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word/header12.xml" ContentType="application/vnd.openxmlformats-officedocument.wordprocessingml.header+xml"/>
  <Override PartName="/word/footer19.xml" ContentType="application/vnd.openxmlformats-officedocument.wordprocessingml.footer+xml"/>
  <Override PartName="/word/header13.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4.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5.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16.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17.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18.xml" ContentType="application/vnd.openxmlformats-officedocument.wordprocessingml.header+xml"/>
  <Override PartName="/word/footer37.xml" ContentType="application/vnd.openxmlformats-officedocument.wordprocessingml.footer+xml"/>
  <Override PartName="/word/header19.xml" ContentType="application/vnd.openxmlformats-officedocument.wordprocessingml.header+xml"/>
  <Override PartName="/word/footer38.xml" ContentType="application/vnd.openxmlformats-officedocument.wordprocessingml.footer+xml"/>
  <Override PartName="/word/header20.xml" ContentType="application/vnd.openxmlformats-officedocument.wordprocessingml.header+xml"/>
  <Override PartName="/word/footer39.xml" ContentType="application/vnd.openxmlformats-officedocument.wordprocessingml.footer+xml"/>
  <Override PartName="/word/header21.xml" ContentType="application/vnd.openxmlformats-officedocument.wordprocessingml.header+xml"/>
  <Override PartName="/word/footer40.xml" ContentType="application/vnd.openxmlformats-officedocument.wordprocessingml.footer+xml"/>
  <Override PartName="/word/header22.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23.xml" ContentType="application/vnd.openxmlformats-officedocument.wordprocessingml.header+xml"/>
  <Override PartName="/word/footer43.xml" ContentType="application/vnd.openxmlformats-officedocument.wordprocessingml.footer+xml"/>
  <Override PartName="/word/header24.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header25.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26.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header27.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word/header28.xml" ContentType="application/vnd.openxmlformats-officedocument.wordprocessingml.header+xml"/>
  <Override PartName="/word/footer52.xml" ContentType="application/vnd.openxmlformats-officedocument.wordprocessingml.footer+xml"/>
  <Override PartName="/word/header29.xml" ContentType="application/vnd.openxmlformats-officedocument.wordprocessingml.header+xml"/>
  <Override PartName="/word/footer53.xml" ContentType="application/vnd.openxmlformats-officedocument.wordprocessingml.footer+xml"/>
  <Override PartName="/word/header30.xml" ContentType="application/vnd.openxmlformats-officedocument.wordprocessingml.header+xml"/>
  <Override PartName="/word/footer54.xml" ContentType="application/vnd.openxmlformats-officedocument.wordprocessingml.footer+xml"/>
  <Override PartName="/word/header31.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header32.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162" w:lineRule="exact"/>
        <w:ind w:left="276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drawing>
          <wp:inline distT="0" distB="0" distL="0" distR="0">
            <wp:extent cx="2796828" cy="738377"/>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796828" cy="738377"/>
                    </a:xfrm>
                    <a:prstGeom prst="rect">
                      <a:avLst/>
                    </a:prstGeom>
                  </pic:spPr>
                </pic:pic>
              </a:graphicData>
            </a:graphic>
          </wp:inline>
        </w:drawing>
      </w:r>
      <w:r>
        <w:rPr>
          <w:rFonts w:ascii="Times New Roman" w:hAnsi="Times New Roman" w:cs="Times New Roman" w:eastAsia="Times New Roman" w:hint="default"/>
          <w:position w:val="-22"/>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2060" w:right="3043" w:firstLine="0"/>
        <w:jc w:val="center"/>
        <w:rPr>
          <w:rFonts w:ascii="宋体" w:hAnsi="宋体" w:cs="宋体" w:eastAsia="宋体" w:hint="default"/>
          <w:sz w:val="36"/>
          <w:szCs w:val="36"/>
        </w:rPr>
      </w:pPr>
      <w:r>
        <w:rPr>
          <w:rFonts w:ascii="宋体" w:hAnsi="宋体" w:cs="宋体" w:eastAsia="宋体" w:hint="default"/>
          <w:b/>
          <w:bCs/>
          <w:sz w:val="36"/>
          <w:szCs w:val="36"/>
        </w:rPr>
        <w:t>大唐高鸿数据网络技术股份有限公司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2060" w:right="3037" w:firstLine="0"/>
        <w:jc w:val="center"/>
        <w:rPr>
          <w:rFonts w:ascii="Times New Roman" w:hAnsi="Times New Roman" w:cs="Times New Roman" w:eastAsia="Times New Roman"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年度报告</w:t>
      </w:r>
      <w:r>
        <w:rPr>
          <w:rFonts w:ascii="Times New Roman" w:hAnsi="Times New Roman" w:cs="Times New Roman" w:eastAsia="Times New Roman" w:hint="default"/>
          <w:b/>
          <w:bCs/>
          <w:sz w:val="32"/>
          <w:szCs w:val="32"/>
        </w:rPr>
        <w:t>(</w:t>
      </w:r>
      <w:r>
        <w:rPr>
          <w:rFonts w:ascii="宋体" w:hAnsi="宋体" w:cs="宋体" w:eastAsia="宋体" w:hint="default"/>
          <w:b/>
          <w:bCs/>
          <w:sz w:val="32"/>
          <w:szCs w:val="32"/>
        </w:rPr>
        <w:t>补充后</w:t>
      </w:r>
      <w:r>
        <w:rPr>
          <w:rFonts w:ascii="Times New Roman" w:hAnsi="Times New Roman" w:cs="Times New Roman" w:eastAsia="Times New Roman" w:hint="default"/>
          <w:b/>
          <w:bCs/>
          <w:sz w:val="32"/>
          <w:szCs w:val="32"/>
        </w:rPr>
        <w:t>)</w:t>
      </w:r>
      <w:r>
        <w:rPr>
          <w:rFonts w:ascii="Times New Roman" w:hAnsi="Times New Roman" w:cs="Times New Roman" w:eastAsia="Times New Roman" w:hint="default"/>
          <w:sz w:val="32"/>
          <w:szCs w:val="32"/>
        </w:rPr>
      </w:r>
    </w:p>
    <w:p>
      <w:pPr>
        <w:spacing w:line="240" w:lineRule="auto" w:before="8"/>
        <w:rPr>
          <w:rFonts w:ascii="Times New Roman" w:hAnsi="Times New Roman" w:cs="Times New Roman" w:eastAsia="Times New Roman" w:hint="default"/>
          <w:b/>
          <w:bCs/>
          <w:sz w:val="36"/>
          <w:szCs w:val="36"/>
        </w:rPr>
      </w:pPr>
    </w:p>
    <w:p>
      <w:pPr>
        <w:spacing w:before="0"/>
        <w:ind w:left="2060" w:right="3039" w:firstLine="0"/>
        <w:jc w:val="center"/>
        <w:rPr>
          <w:rFonts w:ascii="Times New Roman" w:hAnsi="Times New Roman" w:cs="Times New Roman" w:eastAsia="Times New Roman" w:hint="default"/>
          <w:sz w:val="32"/>
          <w:szCs w:val="32"/>
        </w:rPr>
      </w:pPr>
      <w:r>
        <w:rPr>
          <w:rFonts w:ascii="Times New Roman"/>
          <w:b/>
          <w:sz w:val="32"/>
        </w:rPr>
        <w:t>2013-014</w:t>
      </w:r>
      <w:r>
        <w:rPr>
          <w:rFonts w:ascii="Times New Roman"/>
          <w:sz w:val="32"/>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4"/>
        <w:rPr>
          <w:rFonts w:ascii="Times New Roman" w:hAnsi="Times New Roman" w:cs="Times New Roman" w:eastAsia="Times New Roman" w:hint="default"/>
          <w:b/>
          <w:bCs/>
          <w:sz w:val="37"/>
          <w:szCs w:val="37"/>
        </w:rPr>
      </w:pPr>
    </w:p>
    <w:p>
      <w:pPr>
        <w:spacing w:before="0"/>
        <w:ind w:left="2060" w:right="303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1340" w:top="1060" w:bottom="154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1125"/>
        <w:jc w:val="left"/>
        <w:rPr>
          <w:b w:val="0"/>
          <w:bCs w:val="0"/>
        </w:rPr>
      </w:pPr>
      <w:bookmarkStart w:name="_TOC_250010"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公司负责人付景林、主管会计工作负责人王芊及会计机构负责人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丁明锋声明：保证年度报告中财务报告的真实、准确、完整。</w:t>
      </w:r>
      <w:r>
        <w:rPr>
          <w:rFonts w:ascii="宋体" w:hAnsi="宋体" w:cs="宋体" w:eastAsia="宋体" w:hint="default"/>
          <w:sz w:val="28"/>
          <w:szCs w:val="28"/>
        </w:rPr>
      </w:r>
    </w:p>
    <w:p>
      <w:pPr>
        <w:spacing w:line="472" w:lineRule="auto" w:before="148"/>
        <w:ind w:left="714" w:right="1125"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2012 </w:t>
      </w:r>
      <w:r>
        <w:rPr>
          <w:rFonts w:ascii="宋体" w:hAnsi="宋体" w:cs="宋体" w:eastAsia="宋体" w:hint="default"/>
          <w:b/>
          <w:bCs/>
          <w:sz w:val="28"/>
          <w:szCs w:val="28"/>
        </w:rPr>
        <w:t>年</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月</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2" w:right="0" w:firstLine="0"/>
        <w:jc w:val="left"/>
        <w:rPr>
          <w:rFonts w:ascii="Times New Roman" w:hAnsi="Times New Roman" w:cs="Times New Roman" w:eastAsia="Times New Roman" w:hint="default"/>
          <w:sz w:val="28"/>
          <w:szCs w:val="28"/>
        </w:rPr>
      </w:pPr>
      <w:r>
        <w:rPr>
          <w:rFonts w:ascii="宋体" w:hAnsi="宋体" w:cs="宋体" w:eastAsia="宋体" w:hint="default"/>
          <w:b/>
          <w:bCs/>
          <w:w w:val="99"/>
          <w:sz w:val="28"/>
          <w:szCs w:val="28"/>
        </w:rPr>
        <w:t>司总</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本为基数，向全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25"/>
          <w:sz w:val="28"/>
          <w:szCs w:val="28"/>
        </w:rPr>
        <w:t> </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6"/>
          <w:sz w:val="28"/>
          <w:szCs w:val="28"/>
        </w:rPr>
        <w:t> </w:t>
      </w:r>
      <w:r>
        <w:rPr>
          <w:rFonts w:ascii="宋体" w:hAnsi="宋体" w:cs="宋体" w:eastAsia="宋体" w:hint="default"/>
          <w:b/>
          <w:bCs/>
          <w:w w:val="99"/>
          <w:sz w:val="28"/>
          <w:szCs w:val="28"/>
        </w:rPr>
        <w:t>股派</w:t>
      </w:r>
      <w:r>
        <w:rPr>
          <w:rFonts w:ascii="宋体" w:hAnsi="宋体" w:cs="宋体" w:eastAsia="宋体" w:hint="default"/>
          <w:b/>
          <w:bCs/>
          <w:spacing w:val="2"/>
          <w:w w:val="99"/>
          <w:sz w:val="28"/>
          <w:szCs w:val="28"/>
        </w:rPr>
        <w:t>发</w:t>
      </w:r>
      <w:r>
        <w:rPr>
          <w:rFonts w:ascii="宋体" w:hAnsi="宋体" w:cs="宋体" w:eastAsia="宋体" w:hint="default"/>
          <w:b/>
          <w:bCs/>
          <w:w w:val="99"/>
          <w:sz w:val="28"/>
          <w:szCs w:val="28"/>
        </w:rPr>
        <w:t>现金红利</w:t>
      </w:r>
      <w:r>
        <w:rPr>
          <w:rFonts w:ascii="宋体" w:hAnsi="宋体" w:cs="宋体" w:eastAsia="宋体" w:hint="default"/>
          <w:b/>
          <w:bCs/>
          <w:spacing w:val="-26"/>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w w:val="100"/>
          <w:sz w:val="28"/>
          <w:szCs w:val="28"/>
        </w:rPr>
        <w:t>6</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2"/>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26"/>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w w:val="100"/>
          <w:sz w:val="28"/>
          <w:szCs w:val="28"/>
        </w:rPr>
      </w:r>
    </w:p>
    <w:p>
      <w:pPr>
        <w:spacing w:before="236"/>
        <w:ind w:left="152" w:right="1125" w:firstLine="0"/>
        <w:jc w:val="left"/>
        <w:rPr>
          <w:rFonts w:ascii="宋体" w:hAnsi="宋体" w:cs="宋体" w:eastAsia="宋体" w:hint="default"/>
          <w:sz w:val="28"/>
          <w:szCs w:val="28"/>
        </w:rPr>
      </w:pPr>
      <w:r>
        <w:rPr>
          <w:rFonts w:ascii="宋体" w:hAnsi="宋体" w:cs="宋体" w:eastAsia="宋体" w:hint="default"/>
          <w:b/>
          <w:bCs/>
          <w:w w:val="99"/>
          <w:sz w:val="28"/>
          <w:szCs w:val="28"/>
        </w:rPr>
        <w:t>股（</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，不</w:t>
      </w:r>
      <w:r>
        <w:rPr>
          <w:rFonts w:ascii="宋体" w:hAnsi="宋体" w:cs="宋体" w:eastAsia="宋体" w:hint="default"/>
          <w:b/>
          <w:bCs/>
          <w:spacing w:val="2"/>
          <w:w w:val="99"/>
          <w:sz w:val="28"/>
          <w:szCs w:val="28"/>
        </w:rPr>
        <w:t>以</w:t>
      </w:r>
      <w:r>
        <w:rPr>
          <w:rFonts w:ascii="宋体" w:hAnsi="宋体" w:cs="宋体" w:eastAsia="宋体" w:hint="default"/>
          <w:b/>
          <w:bCs/>
          <w:w w:val="99"/>
          <w:sz w:val="28"/>
          <w:szCs w:val="28"/>
        </w:rPr>
        <w:t>公积金</w:t>
      </w:r>
      <w:r>
        <w:rPr>
          <w:rFonts w:ascii="宋体" w:hAnsi="宋体" w:cs="宋体" w:eastAsia="宋体" w:hint="default"/>
          <w:b/>
          <w:bCs/>
          <w:spacing w:val="2"/>
          <w:w w:val="99"/>
          <w:sz w:val="28"/>
          <w:szCs w:val="28"/>
        </w:rPr>
        <w:t>转</w:t>
      </w:r>
      <w:r>
        <w:rPr>
          <w:rFonts w:ascii="宋体" w:hAnsi="宋体" w:cs="宋体" w:eastAsia="宋体" w:hint="default"/>
          <w:b/>
          <w:bCs/>
          <w:w w:val="99"/>
          <w:sz w:val="28"/>
          <w:szCs w:val="28"/>
        </w:rPr>
        <w:t>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1340" w:header="745" w:top="1060" w:bottom="154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060" w:right="303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4" w:val="right" w:leader="dot"/>
            </w:tabs>
            <w:spacing w:line="240" w:lineRule="auto" w:before="0"/>
            <w:ind w:right="0"/>
            <w:jc w:val="left"/>
            <w:rPr>
              <w:rFonts w:ascii="宋体" w:hAnsi="宋体" w:cs="宋体" w:eastAsia="宋体" w:hint="default"/>
            </w:rPr>
          </w:pPr>
          <w:r>
            <w:fldChar w:fldCharType="begin"/>
          </w:r>
          <w:r>
            <w:instrText>TOC \o "1-1" \h \z \u </w:instrText>
          </w:r>
          <w:r>
            <w:fldChar w:fldCharType="separate"/>
          </w:r>
          <w:hyperlink w:history="true" w:anchor="_TOC_250010">
            <w:r>
              <w:rPr/>
              <w:t>第一节</w:t>
            </w:r>
            <w:r>
              <w:rPr>
                <w:spacing w:val="-1"/>
              </w:rPr>
              <w:t> </w:t>
            </w:r>
            <w:r>
              <w:rPr/>
              <w:t>重要提示、目录和释义</w:t>
            </w:r>
            <w:r>
              <w:rPr>
                <w:rFonts w:ascii="宋体" w:hAnsi="宋体" w:cs="宋体" w:eastAsia="宋体" w:hint="default"/>
              </w:rPr>
              <w:tab/>
              <w:t>2</w:t>
            </w:r>
          </w:hyperlink>
        </w:p>
        <w:p>
          <w:pPr>
            <w:pStyle w:val="TOC1"/>
            <w:tabs>
              <w:tab w:pos="9784" w:val="right" w:leader="dot"/>
            </w:tabs>
            <w:spacing w:line="240" w:lineRule="auto" w:before="299"/>
            <w:ind w:right="0"/>
            <w:jc w:val="left"/>
            <w:rPr>
              <w:rFonts w:ascii="宋体" w:hAnsi="宋体" w:cs="宋体" w:eastAsia="宋体" w:hint="default"/>
            </w:rPr>
          </w:pPr>
          <w:hyperlink w:history="true" w:anchor="_TOC_250009">
            <w:r>
              <w:rPr/>
              <w:t>第二节</w:t>
            </w:r>
            <w:r>
              <w:rPr>
                <w:spacing w:val="-1"/>
              </w:rPr>
              <w:t> </w:t>
            </w:r>
            <w:r>
              <w:rPr/>
              <w:t>公司简介</w:t>
            </w:r>
            <w:r>
              <w:rPr>
                <w:rFonts w:ascii="宋体" w:hAnsi="宋体" w:cs="宋体" w:eastAsia="宋体" w:hint="default"/>
              </w:rPr>
              <w:tab/>
              <w:t>6</w:t>
            </w:r>
          </w:hyperlink>
        </w:p>
        <w:p>
          <w:pPr>
            <w:pStyle w:val="TOC1"/>
            <w:tabs>
              <w:tab w:pos="9784" w:val="right" w:leader="dot"/>
            </w:tabs>
            <w:spacing w:line="240" w:lineRule="auto" w:before="296"/>
            <w:ind w:right="0"/>
            <w:jc w:val="left"/>
            <w:rPr>
              <w:rFonts w:ascii="宋体" w:hAnsi="宋体" w:cs="宋体" w:eastAsia="宋体" w:hint="default"/>
            </w:rPr>
          </w:pPr>
          <w:hyperlink w:history="true" w:anchor="_TOC_250008">
            <w:r>
              <w:rPr/>
              <w:t>第三节</w:t>
            </w:r>
            <w:r>
              <w:rPr>
                <w:spacing w:val="-1"/>
              </w:rPr>
              <w:t> </w:t>
            </w:r>
            <w:r>
              <w:rPr/>
              <w:t>会计数据和财务指标摘要</w:t>
            </w:r>
            <w:r>
              <w:rPr>
                <w:rFonts w:ascii="宋体" w:hAnsi="宋体" w:cs="宋体" w:eastAsia="宋体" w:hint="default"/>
              </w:rPr>
              <w:tab/>
              <w:t>8</w:t>
            </w:r>
          </w:hyperlink>
        </w:p>
        <w:p>
          <w:pPr>
            <w:pStyle w:val="TOC1"/>
            <w:tabs>
              <w:tab w:pos="9785" w:val="right" w:leader="dot"/>
            </w:tabs>
            <w:spacing w:line="240" w:lineRule="auto"/>
            <w:ind w:right="0"/>
            <w:jc w:val="left"/>
            <w:rPr>
              <w:rFonts w:ascii="宋体" w:hAnsi="宋体" w:cs="宋体" w:eastAsia="宋体" w:hint="default"/>
            </w:rPr>
          </w:pPr>
          <w:hyperlink w:history="true" w:anchor="_TOC_250007">
            <w:r>
              <w:rPr/>
              <w:t>第四节</w:t>
            </w:r>
            <w:r>
              <w:rPr>
                <w:spacing w:val="-1"/>
              </w:rPr>
              <w:t> </w:t>
            </w:r>
            <w:r>
              <w:rPr/>
              <w:t>董事会报告</w:t>
            </w:r>
            <w:r>
              <w:rPr>
                <w:rFonts w:ascii="宋体" w:hAnsi="宋体" w:cs="宋体" w:eastAsia="宋体" w:hint="default"/>
              </w:rPr>
              <w:tab/>
              <w:t>10</w:t>
            </w:r>
          </w:hyperlink>
        </w:p>
        <w:p>
          <w:pPr>
            <w:pStyle w:val="TOC1"/>
            <w:tabs>
              <w:tab w:pos="9785" w:val="right" w:leader="dot"/>
            </w:tabs>
            <w:spacing w:line="240" w:lineRule="auto"/>
            <w:ind w:right="0"/>
            <w:jc w:val="left"/>
            <w:rPr>
              <w:rFonts w:ascii="宋体" w:hAnsi="宋体" w:cs="宋体" w:eastAsia="宋体" w:hint="default"/>
            </w:rPr>
          </w:pPr>
          <w:hyperlink w:history="true" w:anchor="_TOC_250006">
            <w:r>
              <w:rPr/>
              <w:t>第五节</w:t>
            </w:r>
            <w:r>
              <w:rPr>
                <w:spacing w:val="-1"/>
              </w:rPr>
              <w:t> </w:t>
            </w:r>
            <w:r>
              <w:rPr/>
              <w:t>重要事项</w:t>
            </w:r>
            <w:r>
              <w:rPr>
                <w:rFonts w:ascii="宋体" w:hAnsi="宋体" w:cs="宋体" w:eastAsia="宋体" w:hint="default"/>
              </w:rPr>
              <w:tab/>
              <w:t>33</w:t>
            </w:r>
          </w:hyperlink>
        </w:p>
        <w:p>
          <w:pPr>
            <w:pStyle w:val="TOC1"/>
            <w:tabs>
              <w:tab w:pos="9785" w:val="right" w:leader="dot"/>
            </w:tabs>
            <w:spacing w:line="240" w:lineRule="auto" w:before="296"/>
            <w:ind w:right="0"/>
            <w:jc w:val="left"/>
            <w:rPr>
              <w:rFonts w:ascii="宋体" w:hAnsi="宋体" w:cs="宋体" w:eastAsia="宋体" w:hint="default"/>
            </w:rPr>
          </w:pPr>
          <w:hyperlink w:history="true" w:anchor="_TOC_250005">
            <w:r>
              <w:rPr/>
              <w:t>第六节</w:t>
            </w:r>
            <w:r>
              <w:rPr>
                <w:spacing w:val="-1"/>
              </w:rPr>
              <w:t> </w:t>
            </w:r>
            <w:r>
              <w:rPr/>
              <w:t>股份变动及股东情况</w:t>
            </w:r>
            <w:r>
              <w:rPr>
                <w:rFonts w:ascii="宋体" w:hAnsi="宋体" w:cs="宋体" w:eastAsia="宋体" w:hint="default"/>
              </w:rPr>
              <w:tab/>
              <w:t>50</w:t>
            </w:r>
          </w:hyperlink>
        </w:p>
        <w:p>
          <w:pPr>
            <w:pStyle w:val="TOC1"/>
            <w:tabs>
              <w:tab w:pos="9785" w:val="right" w:leader="dot"/>
            </w:tabs>
            <w:spacing w:line="240" w:lineRule="auto"/>
            <w:ind w:right="0"/>
            <w:jc w:val="left"/>
            <w:rPr>
              <w:rFonts w:ascii="宋体" w:hAnsi="宋体" w:cs="宋体" w:eastAsia="宋体" w:hint="default"/>
            </w:rPr>
          </w:pPr>
          <w:hyperlink w:history="true" w:anchor="_TOC_250004">
            <w:r>
              <w:rPr/>
              <w:t>第七节</w:t>
            </w:r>
            <w:r>
              <w:rPr>
                <w:spacing w:val="-1"/>
              </w:rPr>
              <w:t> </w:t>
            </w:r>
            <w:r>
              <w:rPr/>
              <w:t>董事、监事、高级管理人员和员工情况</w:t>
            </w:r>
            <w:r>
              <w:rPr>
                <w:rFonts w:ascii="宋体" w:hAnsi="宋体" w:cs="宋体" w:eastAsia="宋体" w:hint="default"/>
              </w:rPr>
              <w:tab/>
              <w:t>57</w:t>
            </w:r>
          </w:hyperlink>
        </w:p>
        <w:p>
          <w:pPr>
            <w:pStyle w:val="TOC1"/>
            <w:tabs>
              <w:tab w:pos="9785" w:val="right" w:leader="dot"/>
            </w:tabs>
            <w:spacing w:line="240" w:lineRule="auto"/>
            <w:ind w:right="0"/>
            <w:jc w:val="left"/>
            <w:rPr>
              <w:rFonts w:ascii="宋体" w:hAnsi="宋体" w:cs="宋体" w:eastAsia="宋体" w:hint="default"/>
            </w:rPr>
          </w:pPr>
          <w:hyperlink w:history="true" w:anchor="_TOC_250003">
            <w:r>
              <w:rPr/>
              <w:t>第八节</w:t>
            </w:r>
            <w:r>
              <w:rPr>
                <w:spacing w:val="-1"/>
              </w:rPr>
              <w:t> </w:t>
            </w:r>
            <w:r>
              <w:rPr/>
              <w:t>公司治理</w:t>
            </w:r>
            <w:r>
              <w:rPr>
                <w:rFonts w:ascii="宋体" w:hAnsi="宋体" w:cs="宋体" w:eastAsia="宋体" w:hint="default"/>
              </w:rPr>
              <w:tab/>
              <w:t>63</w:t>
            </w:r>
          </w:hyperlink>
        </w:p>
        <w:p>
          <w:pPr>
            <w:pStyle w:val="TOC1"/>
            <w:tabs>
              <w:tab w:pos="9785" w:val="right" w:leader="dot"/>
            </w:tabs>
            <w:spacing w:line="240" w:lineRule="auto" w:before="296"/>
            <w:ind w:right="0"/>
            <w:jc w:val="left"/>
            <w:rPr>
              <w:rFonts w:ascii="宋体" w:hAnsi="宋体" w:cs="宋体" w:eastAsia="宋体" w:hint="default"/>
            </w:rPr>
          </w:pPr>
          <w:hyperlink w:history="true" w:anchor="_TOC_250002">
            <w:r>
              <w:rPr/>
              <w:t>第九节</w:t>
            </w:r>
            <w:r>
              <w:rPr>
                <w:spacing w:val="-1"/>
              </w:rPr>
              <w:t> </w:t>
            </w:r>
            <w:r>
              <w:rPr/>
              <w:t>内部控制</w:t>
            </w:r>
            <w:r>
              <w:rPr>
                <w:rFonts w:ascii="宋体" w:hAnsi="宋体" w:cs="宋体" w:eastAsia="宋体" w:hint="default"/>
              </w:rPr>
              <w:tab/>
              <w:t>70</w:t>
            </w:r>
          </w:hyperlink>
        </w:p>
        <w:p>
          <w:pPr>
            <w:pStyle w:val="TOC1"/>
            <w:tabs>
              <w:tab w:pos="9785" w:val="right" w:leader="dot"/>
            </w:tabs>
            <w:spacing w:line="240" w:lineRule="auto"/>
            <w:ind w:right="0"/>
            <w:jc w:val="left"/>
            <w:rPr>
              <w:rFonts w:ascii="宋体" w:hAnsi="宋体" w:cs="宋体" w:eastAsia="宋体" w:hint="default"/>
            </w:rPr>
          </w:pPr>
          <w:hyperlink w:history="true" w:anchor="_TOC_250001">
            <w:r>
              <w:rPr/>
              <w:t>第十节</w:t>
            </w:r>
            <w:r>
              <w:rPr>
                <w:spacing w:val="-1"/>
              </w:rPr>
              <w:t> </w:t>
            </w:r>
            <w:r>
              <w:rPr/>
              <w:t>财务报告</w:t>
            </w:r>
            <w:r>
              <w:rPr>
                <w:rFonts w:ascii="宋体" w:hAnsi="宋体" w:cs="宋体" w:eastAsia="宋体" w:hint="default"/>
              </w:rPr>
              <w:tab/>
              <w:t>73</w:t>
            </w:r>
          </w:hyperlink>
        </w:p>
        <w:p>
          <w:pPr>
            <w:pStyle w:val="TOC1"/>
            <w:tabs>
              <w:tab w:pos="9784" w:val="right" w:leader="dot"/>
            </w:tabs>
            <w:spacing w:line="240" w:lineRule="auto"/>
            <w:ind w:right="0"/>
            <w:jc w:val="left"/>
            <w:rPr>
              <w:rFonts w:ascii="宋体" w:hAnsi="宋体" w:cs="宋体" w:eastAsia="宋体" w:hint="default"/>
            </w:rPr>
          </w:pPr>
          <w:hyperlink w:history="true" w:anchor="_TOC_250000">
            <w:r>
              <w:rPr/>
              <w:t>第十一节</w:t>
            </w:r>
            <w:r>
              <w:rPr>
                <w:spacing w:val="-1"/>
              </w:rPr>
              <w:t> </w:t>
            </w:r>
            <w:r>
              <w:rPr/>
              <w:t>备查文件目录</w:t>
            </w:r>
            <w:r>
              <w:rPr>
                <w:rFonts w:ascii="宋体" w:hAnsi="宋体" w:cs="宋体" w:eastAsia="宋体" w:hint="default"/>
              </w:rPr>
              <w:tab/>
              <w:t>214</w:t>
            </w:r>
          </w:hyperlink>
        </w:p>
        <w:p>
          <w:pPr/>
          <w:r>
            <w:fldChar w:fldCharType="end"/>
          </w:r>
        </w:p>
      </w:sdtContent>
    </w:sdt>
    <w:p>
      <w:pPr>
        <w:spacing w:after="0"/>
        <w:sectPr>
          <w:pgSz w:w="11910" w:h="16840"/>
          <w:pgMar w:header="745" w:footer="1340" w:top="1060" w:bottom="1540" w:left="980" w:right="0"/>
        </w:sectPr>
      </w:pPr>
    </w:p>
    <w:p>
      <w:pPr>
        <w:spacing w:before="945"/>
        <w:ind w:left="2060" w:right="303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高鸿股份或公司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高鸿有限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北京大唐高鸿数据网络技术有限公司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高鸿软件</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北京大唐高鸿软件技术有限公司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高鸿信息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大唐高鸿信息技术有限公司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高鸿通信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大唐高鸿通信技术有限公司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大唐融合</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北京大唐融合通信技术有限公司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高鸿科技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北京大唐高鸿科技发展有限公司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济宁高鸿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大唐高鸿济宁电子信息技术有限公司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高鸿商贸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北京大唐高鸿电子商贸有限公司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烟台高鸿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烟台高鸿电子信息技术有限公司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高鸿恒昌</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高鸿恒昌科技有限公司</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0"/>
        <w:ind w:left="2060" w:right="3038"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12"/>
        <w:rPr>
          <w:rFonts w:ascii="宋体" w:hAnsi="宋体" w:cs="宋体" w:eastAsia="宋体" w:hint="default"/>
          <w:b/>
          <w:bCs/>
          <w:sz w:val="24"/>
          <w:szCs w:val="24"/>
        </w:rPr>
      </w:pPr>
    </w:p>
    <w:p>
      <w:pPr>
        <w:spacing w:before="14"/>
        <w:ind w:left="714" w:right="1125" w:firstLine="0"/>
        <w:jc w:val="left"/>
        <w:rPr>
          <w:rFonts w:ascii="宋体" w:hAnsi="宋体" w:cs="宋体" w:eastAsia="宋体" w:hint="default"/>
          <w:sz w:val="28"/>
          <w:szCs w:val="28"/>
        </w:rPr>
      </w:pPr>
      <w:r>
        <w:rPr>
          <w:rFonts w:ascii="宋体" w:hAnsi="宋体" w:cs="宋体" w:eastAsia="宋体" w:hint="default"/>
          <w:b/>
          <w:bCs/>
          <w:w w:val="99"/>
          <w:sz w:val="28"/>
          <w:szCs w:val="28"/>
        </w:rPr>
        <w:t>无</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5" w:footer="1340" w:top="1060" w:bottom="1540" w:left="980" w:right="0"/>
        </w:sectPr>
      </w:pPr>
    </w:p>
    <w:p>
      <w:pPr>
        <w:spacing w:line="240" w:lineRule="auto" w:before="0"/>
        <w:rPr>
          <w:rFonts w:ascii="宋体" w:hAnsi="宋体" w:cs="宋体" w:eastAsia="宋体" w:hint="default"/>
          <w:b/>
          <w:bCs/>
          <w:sz w:val="20"/>
          <w:szCs w:val="20"/>
        </w:rPr>
      </w:pPr>
      <w:r>
        <w:rPr/>
        <w:pict>
          <v:shape style="position:absolute;margin-left:137.883011pt;margin-top:269.809998pt;width:396pt;height:19.6pt;mso-position-horizontal-relative:page;mso-position-vertical-relative:page;z-index:-126265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171.020004pt;margin-top:269.209991pt;width:362.85pt;height:20.8pt;mso-position-horizontal-relative:page;mso-position-vertical-relative:page;z-index:-1262632" coordorigin="3420,5384" coordsize="7257,416">
            <v:group style="position:absolute;left:3432;top:5396;width:2;height:392" coordorigin="3432,5396" coordsize="2,392">
              <v:shape style="position:absolute;left:3432;top:5396;width:2;height:392" coordorigin="3432,5396" coordsize="0,392" path="m3432,5396l3432,5787e" filled="false" stroked="true" strokeweight="1.2pt" strokecolor="#ffffff">
                <v:path arrowok="t"/>
              </v:shape>
            </v:group>
            <v:group style="position:absolute;left:3444;top:5396;width:7233;height:392" coordorigin="3444,5396" coordsize="7233,392">
              <v:shape style="position:absolute;left:3444;top:5396;width:7233;height:392" coordorigin="3444,5396" coordsize="7233,392" path="m3444,5787l10677,5787,10677,5396,3444,5396,3444,5787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1"/>
        <w:spacing w:line="240" w:lineRule="auto"/>
        <w:ind w:right="3036"/>
        <w:jc w:val="center"/>
        <w:rPr>
          <w:b w:val="0"/>
          <w:bCs w:val="0"/>
        </w:rPr>
      </w:pPr>
      <w:bookmarkStart w:name="_TOC_250009" w:id="2"/>
      <w:r>
        <w:rPr/>
        <w:t>第二节</w:t>
      </w:r>
      <w:r>
        <w:rPr>
          <w:spacing w:val="-2"/>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1125"/>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0"/>
        <w:gridCol w:w="2976"/>
        <w:gridCol w:w="2135"/>
        <w:gridCol w:w="2188"/>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高鸿股份</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000851</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高鸿股份</w:t>
            </w:r>
          </w:p>
        </w:tc>
      </w:tr>
      <w:tr>
        <w:trPr>
          <w:trHeight w:val="404"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GOHIGH    </w:t>
            </w:r>
            <w:r>
              <w:rPr>
                <w:rFonts w:ascii="Times New Roman" w:hAnsi="Times New Roman" w:cs="Times New Roman" w:eastAsia="Times New Roman" w:hint="default"/>
                <w:spacing w:val="-9"/>
                <w:sz w:val="18"/>
                <w:szCs w:val="18"/>
              </w:rPr>
              <w:t>DATA     </w:t>
            </w:r>
            <w:r>
              <w:rPr>
                <w:rFonts w:ascii="Times New Roman" w:hAnsi="Times New Roman" w:cs="Times New Roman" w:eastAsia="Times New Roman" w:hint="default"/>
                <w:sz w:val="18"/>
                <w:szCs w:val="18"/>
              </w:rPr>
              <w:t>NETWORKS    TECHNOLOGY  </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CO.</w:t>
            </w:r>
            <w:r>
              <w:rPr>
                <w:rFonts w:ascii="宋体" w:hAnsi="宋体" w:cs="宋体" w:eastAsia="宋体" w:hint="default"/>
                <w:sz w:val="18"/>
                <w:szCs w:val="18"/>
              </w:rPr>
              <w:t>，</w:t>
            </w:r>
            <w:r>
              <w:rPr>
                <w:rFonts w:ascii="Times New Roman" w:hAnsi="Times New Roman" w:cs="Times New Roman" w:eastAsia="Times New Roman" w:hint="default"/>
                <w:sz w:val="18"/>
                <w:szCs w:val="18"/>
              </w:rPr>
              <w:t>LTD</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GOHIGH</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付景林</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贵阳国家高新技术产业开发区金阳知识经济产业园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A-1-63 </w:t>
            </w:r>
            <w:r>
              <w:rPr>
                <w:rFonts w:ascii="宋体" w:hAnsi="宋体" w:cs="宋体" w:eastAsia="宋体" w:hint="default"/>
                <w:sz w:val="18"/>
                <w:szCs w:val="18"/>
              </w:rPr>
              <w:t>号</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550000</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北京海淀区学院路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号研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楼</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100191</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http://www.gohigh.com.cn</w:t>
              </w:r>
            </w:hyperlink>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gohigh@gohigh.com.cn</w:t>
              </w:r>
            </w:hyperlink>
          </w:p>
        </w:tc>
      </w:tr>
    </w:tbl>
    <w:p>
      <w:pPr>
        <w:spacing w:line="240" w:lineRule="auto" w:before="1"/>
        <w:rPr>
          <w:rFonts w:ascii="宋体" w:hAnsi="宋体" w:cs="宋体" w:eastAsia="宋体" w:hint="default"/>
          <w:b/>
          <w:bCs/>
          <w:sz w:val="18"/>
          <w:szCs w:val="18"/>
        </w:rPr>
      </w:pPr>
    </w:p>
    <w:p>
      <w:pPr>
        <w:pStyle w:val="Heading2"/>
        <w:spacing w:line="240" w:lineRule="auto"/>
        <w:ind w:right="1125"/>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张锐、孙迎辉</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北京海淀区学院路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号研</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北京海淀区学院路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号研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楼</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010-62301907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010-62301907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010-62301900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010-62301900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wangqian@gohigh.com.cn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sunyinghui@gohigh.com.cn</w:t>
              </w:r>
            </w:hyperlink>
          </w:p>
        </w:tc>
      </w:tr>
    </w:tbl>
    <w:p>
      <w:pPr>
        <w:spacing w:line="240" w:lineRule="auto" w:before="1"/>
        <w:rPr>
          <w:rFonts w:ascii="宋体" w:hAnsi="宋体" w:cs="宋体" w:eastAsia="宋体" w:hint="default"/>
          <w:b/>
          <w:bCs/>
          <w:sz w:val="18"/>
          <w:szCs w:val="18"/>
        </w:rPr>
      </w:pPr>
    </w:p>
    <w:p>
      <w:pPr>
        <w:pStyle w:val="Heading2"/>
        <w:spacing w:line="240" w:lineRule="auto"/>
        <w:ind w:right="1125"/>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3"/>
      </w:tblGrid>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http/</w:t>
            </w:r>
            <w:hyperlink r:id="rId13">
              <w:r>
                <w:rPr>
                  <w:rFonts w:ascii="Times New Roman"/>
                  <w:sz w:val="18"/>
                </w:rPr>
                <w:t>/www</w:t>
              </w:r>
            </w:hyperlink>
            <w:r>
              <w:rPr>
                <w:rFonts w:ascii="Times New Roman"/>
                <w:sz w:val="18"/>
              </w:rPr>
              <w:t>.</w:t>
            </w:r>
            <w:hyperlink r:id="rId13">
              <w:r>
                <w:rPr>
                  <w:rFonts w:ascii="Times New Roman"/>
                  <w:sz w:val="18"/>
                </w:rPr>
                <w:t>cninfo.com.cn</w:t>
              </w:r>
            </w:hyperlink>
          </w:p>
        </w:tc>
      </w:tr>
      <w:tr>
        <w:trPr>
          <w:trHeight w:val="715"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贵州省贵阳市新华路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126 </w:t>
            </w:r>
            <w:r>
              <w:rPr>
                <w:rFonts w:ascii="宋体" w:hAnsi="宋体" w:cs="宋体" w:eastAsia="宋体" w:hint="default"/>
                <w:sz w:val="18"/>
                <w:szCs w:val="18"/>
              </w:rPr>
              <w:t>号富中国际广场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座和北京海淀区学院路</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楼二层董事会办公室</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8"/>
        <w:rPr>
          <w:rFonts w:ascii="宋体" w:hAnsi="宋体" w:cs="宋体" w:eastAsia="宋体" w:hint="default"/>
          <w:b/>
          <w:bCs/>
          <w:sz w:val="23"/>
          <w:szCs w:val="23"/>
        </w:rPr>
      </w:pPr>
    </w:p>
    <w:p>
      <w:pPr>
        <w:pStyle w:val="Heading2"/>
        <w:spacing w:line="240" w:lineRule="auto"/>
        <w:ind w:right="1125"/>
        <w:jc w:val="left"/>
        <w:rPr>
          <w:b w:val="0"/>
          <w:bCs w:val="0"/>
        </w:rPr>
      </w:pP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2"/>
          <w:szCs w:val="22"/>
        </w:rPr>
      </w:pPr>
    </w:p>
    <w:p>
      <w:pPr>
        <w:spacing w:before="44"/>
        <w:ind w:left="0" w:right="1141" w:firstLine="0"/>
        <w:jc w:val="right"/>
        <w:rPr>
          <w:rFonts w:ascii="宋体" w:hAnsi="宋体" w:cs="宋体" w:eastAsia="宋体" w:hint="default"/>
          <w:sz w:val="18"/>
          <w:szCs w:val="18"/>
        </w:rPr>
      </w:pPr>
      <w:r>
        <w:rPr/>
        <w:pict>
          <v:shape style="position:absolute;margin-left:57pt;margin-top:-154.598282pt;width:478.55pt;height:288.150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4"/>
                    <w:gridCol w:w="1594"/>
                    <w:gridCol w:w="1594"/>
                    <w:gridCol w:w="1596"/>
                    <w:gridCol w:w="1594"/>
                    <w:gridCol w:w="1594"/>
                  </w:tblGrid>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贵州省工商行政管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21443062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520181214426154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214426154</w:t>
                        </w:r>
                      </w:p>
                    </w:tc>
                  </w:tr>
                  <w:tr>
                    <w:trPr>
                      <w:trHeight w:val="394"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401"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520000000027507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1097" w:hRule="exact"/>
                    </w:trPr>
                    <w:tc>
                      <w:tcPr>
                        <w:tcW w:w="317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gridSpan w:val="4"/>
                        <w:vMerge w:val="restart"/>
                        <w:tcBorders>
                          <w:top w:val="single" w:sz="4" w:space="0" w:color="000000"/>
                          <w:left w:val="single" w:sz="10" w:space="0" w:color="D2D2D2"/>
                          <w:right w:val="single" w:sz="4" w:space="0" w:color="000000"/>
                        </w:tcBorders>
                      </w:tcPr>
                      <w:p>
                        <w:pPr>
                          <w:pStyle w:val="TableParagraph"/>
                          <w:spacing w:line="314" w:lineRule="auto" w:before="49"/>
                          <w:ind w:left="16" w:right="-48"/>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1998 </w:t>
                        </w:r>
                        <w:r>
                          <w:rPr>
                            <w:rFonts w:ascii="宋体" w:hAnsi="宋体" w:cs="宋体" w:eastAsia="宋体" w:hint="default"/>
                            <w:sz w:val="18"/>
                            <w:szCs w:val="18"/>
                          </w:rPr>
                          <w:t>年上市，经营范围为：自产自销，批零兼营：磨料磨具，耐火材料， 磨料磨具标准检验筛，磨料磨具专用设备制造，二、三类机电产品，日用百货。 </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月资产重组完成，公司经营范围变更为：多业务宽带电信网络产品、通 信器材、通信终端设备、仪器仪表、电子多业务宽带电信网络产品、通信器材、 通信终端设备、仪器仪表、电子计算机软硬件及外部设备、系统集成的技术开发 转让、咨询、服务及制造、销售；通信及信息系统工程设计；信息服务；自营和 代理各类商品和技术的进出口；但国家限定公司经营或禁止进出口的商品和技术 除外，安全技术防范系统设计、施工、维修。截至本报告期末主营业务为：企业 信息化业务、信息服务业务、终端销售业务</w:t>
                        </w:r>
                      </w:p>
                    </w:tc>
                  </w:tr>
                  <w:tr>
                    <w:trPr>
                      <w:trHeight w:val="706" w:hRule="exact"/>
                    </w:trPr>
                    <w:tc>
                      <w:tcPr>
                        <w:tcW w:w="317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vMerge/>
                        <w:tcBorders>
                          <w:left w:val="single" w:sz="10" w:space="0" w:color="D2D2D2"/>
                          <w:right w:val="single" w:sz="4" w:space="0" w:color="000000"/>
                        </w:tcBorders>
                      </w:tcPr>
                      <w:p>
                        <w:pPr/>
                      </w:p>
                    </w:tc>
                  </w:tr>
                  <w:tr>
                    <w:trPr>
                      <w:trHeight w:val="1097" w:hRule="exact"/>
                    </w:trPr>
                    <w:tc>
                      <w:tcPr>
                        <w:tcW w:w="317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gridSpan w:val="4"/>
                        <w:vMerge/>
                        <w:tcBorders>
                          <w:left w:val="single" w:sz="10" w:space="0" w:color="D2D2D2"/>
                          <w:bottom w:val="single" w:sz="4" w:space="0" w:color="000000"/>
                          <w:right w:val="single" w:sz="4" w:space="0" w:color="000000"/>
                        </w:tcBorders>
                      </w:tcPr>
                      <w:p>
                        <w:pPr/>
                      </w:p>
                    </w:tc>
                  </w:tr>
                  <w:tr>
                    <w:trPr>
                      <w:trHeight w:val="317" w:hRule="exact"/>
                    </w:trPr>
                    <w:tc>
                      <w:tcPr>
                        <w:tcW w:w="317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gridSpan w:val="4"/>
                        <w:vMerge w:val="restart"/>
                        <w:tcBorders>
                          <w:top w:val="single" w:sz="4" w:space="0" w:color="000000"/>
                          <w:left w:val="single" w:sz="10" w:space="0" w:color="D2D2D2"/>
                          <w:right w:val="single" w:sz="4" w:space="0" w:color="000000"/>
                        </w:tcBorders>
                      </w:tcPr>
                      <w:p>
                        <w:pPr>
                          <w:pStyle w:val="TableParagraph"/>
                          <w:spacing w:line="307" w:lineRule="auto" w:before="49"/>
                          <w:ind w:left="16" w:right="22"/>
                          <w:jc w:val="both"/>
                          <w:rPr>
                            <w:rFonts w:ascii="宋体" w:hAnsi="宋体" w:cs="宋体" w:eastAsia="宋体" w:hint="default"/>
                            <w:sz w:val="18"/>
                            <w:szCs w:val="18"/>
                          </w:rPr>
                        </w:pPr>
                        <w:r>
                          <w:rPr>
                            <w:rFonts w:ascii="宋体" w:hAnsi="宋体" w:cs="宋体" w:eastAsia="宋体" w:hint="default"/>
                            <w:sz w:val="18"/>
                            <w:szCs w:val="18"/>
                          </w:rPr>
                          <w:t>大唐高鸿数据网络技术股份有限公司原名贵州中国第七砂轮股份有限公司，原控 股股东为中国七砂集团有限责任公司，</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年重组完成后，公司控股股东变更为 电信科学技术研究院。资产重组完成后至本报告期末公司控股股东无变更。</w:t>
                        </w:r>
                      </w:p>
                    </w:tc>
                  </w:tr>
                  <w:tr>
                    <w:trPr>
                      <w:trHeight w:val="391" w:hRule="exact"/>
                    </w:trPr>
                    <w:tc>
                      <w:tcPr>
                        <w:tcW w:w="317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vMerge/>
                        <w:tcBorders>
                          <w:left w:val="single" w:sz="10" w:space="0" w:color="D2D2D2"/>
                          <w:right w:val="single" w:sz="4" w:space="0" w:color="000000"/>
                        </w:tcBorders>
                      </w:tcPr>
                      <w:p>
                        <w:pPr/>
                      </w:p>
                    </w:tc>
                  </w:tr>
                  <w:tr>
                    <w:trPr>
                      <w:trHeight w:val="317" w:hRule="exact"/>
                    </w:trPr>
                    <w:tc>
                      <w:tcPr>
                        <w:tcW w:w="317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gridSpan w:val="4"/>
                        <w:vMerge/>
                        <w:tcBorders>
                          <w:left w:val="single" w:sz="10" w:space="0" w:color="D2D2D2"/>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2"/>
        <w:spacing w:line="240" w:lineRule="auto"/>
        <w:ind w:right="1125"/>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中瑞岳华会计师事务所（特殊普通合伙）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号楼中海地产广场西塔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古小荣、徐宏轩</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上海市浦东民生路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1199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弄证</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大五道口广场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张群伟、陈伟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日起至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8"/>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125"/>
        <w:jc w:val="left"/>
        <w:rPr>
          <w:b w:val="0"/>
          <w:bCs w:val="0"/>
        </w:rPr>
      </w:pPr>
      <w:bookmarkStart w:name="_TOC_250008"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before="0"/>
        <w:ind w:right="1125"/>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6"/>
        <w:gridCol w:w="1749"/>
        <w:gridCol w:w="1740"/>
        <w:gridCol w:w="1738"/>
        <w:gridCol w:w="1735"/>
      </w:tblGrid>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4,616,859,715.76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4,082,323,118.43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2,562,281,568.13</w:t>
            </w:r>
          </w:p>
        </w:tc>
      </w:tr>
      <w:tr>
        <w:trPr>
          <w:trHeight w:val="716"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25,005,713.64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23,473,158.66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14,478,896.43</w:t>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20,169,145.84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17,639,200.43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-6,741,603.81</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-36,572,231.89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-359,580,706.15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89.83%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-54,142,517.68</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0.0718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0.0705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0.0435</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0.0718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0.0705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0.0435</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w:t>
            </w:r>
          </w:p>
        </w:tc>
      </w:tr>
      <w:tr>
        <w:trPr>
          <w:trHeight w:val="162" w:hRule="exact"/>
        </w:trPr>
        <w:tc>
          <w:tcPr>
            <w:tcW w:w="2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596"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3,590,483,941.93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2,389,020,124.11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2,373,322,944.58</w:t>
            </w:r>
          </w:p>
        </w:tc>
      </w:tr>
      <w:tr>
        <w:trPr>
          <w:trHeight w:val="1027"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6" w:lineRule="auto" w:before="74"/>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6"/>
                <w:sz w:val="18"/>
                <w:szCs w:val="18"/>
              </w:rPr>
              <w:t>权益）（元）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2,116,820,334.13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1,019,157,555.22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107.7%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1,001,756,753.98</w:t>
            </w:r>
          </w:p>
        </w:tc>
      </w:tr>
    </w:tbl>
    <w:p>
      <w:pPr>
        <w:spacing w:line="240" w:lineRule="auto" w:before="1"/>
        <w:rPr>
          <w:rFonts w:ascii="宋体" w:hAnsi="宋体" w:cs="宋体" w:eastAsia="宋体" w:hint="default"/>
          <w:sz w:val="18"/>
          <w:szCs w:val="18"/>
        </w:rPr>
      </w:pPr>
    </w:p>
    <w:p>
      <w:pPr>
        <w:pStyle w:val="Heading2"/>
        <w:spacing w:line="240" w:lineRule="auto"/>
        <w:ind w:right="1125"/>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73"/>
        <w:gridCol w:w="1741"/>
        <w:gridCol w:w="2004"/>
        <w:gridCol w:w="1769"/>
        <w:gridCol w:w="1771"/>
      </w:tblGrid>
      <w:tr>
        <w:trPr>
          <w:trHeight w:val="207" w:hRule="exact"/>
        </w:trPr>
        <w:tc>
          <w:tcPr>
            <w:tcW w:w="2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6" w:hRule="exact"/>
        </w:trPr>
        <w:tc>
          <w:tcPr>
            <w:tcW w:w="2273" w:type="dxa"/>
            <w:vMerge w:val="restart"/>
            <w:tcBorders>
              <w:top w:val="nil" w:sz="6" w:space="0" w:color="auto"/>
              <w:left w:val="single" w:sz="4" w:space="0" w:color="000000"/>
              <w:right w:val="single" w:sz="4" w:space="0" w:color="000000"/>
            </w:tcBorders>
            <w:shd w:val="clear" w:color="auto" w:fill="D2D2D2"/>
          </w:tcPr>
          <w:p>
            <w:pPr/>
          </w:p>
        </w:tc>
        <w:tc>
          <w:tcPr>
            <w:tcW w:w="3745"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73" w:type="dxa"/>
            <w:vMerge/>
            <w:tcBorders>
              <w:left w:val="single" w:sz="4" w:space="0" w:color="000000"/>
              <w:bottom w:val="nil" w:sz="6" w:space="0" w:color="auto"/>
              <w:right w:val="single" w:sz="4" w:space="0" w:color="000000"/>
            </w:tcBorders>
            <w:shd w:val="clear" w:color="auto" w:fill="D2D2D2"/>
          </w:tcPr>
          <w:p>
            <w:pPr/>
          </w:p>
        </w:tc>
        <w:tc>
          <w:tcPr>
            <w:tcW w:w="17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1"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67" w:right="0"/>
              <w:jc w:val="left"/>
              <w:rPr>
                <w:rFonts w:ascii="Times New Roman" w:hAnsi="Times New Roman" w:cs="Times New Roman" w:eastAsia="Times New Roman" w:hint="default"/>
                <w:sz w:val="18"/>
                <w:szCs w:val="18"/>
              </w:rPr>
            </w:pPr>
            <w:r>
              <w:rPr>
                <w:rFonts w:ascii="Times New Roman"/>
                <w:sz w:val="18"/>
              </w:rPr>
              <w:t>25,005,713.64</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23,473,158.66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2,116,820,334.13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1,019,157,555.22</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273"/>
        <w:gridCol w:w="1741"/>
        <w:gridCol w:w="2004"/>
        <w:gridCol w:w="1769"/>
        <w:gridCol w:w="1771"/>
      </w:tblGrid>
      <w:tr>
        <w:trPr>
          <w:trHeight w:val="206" w:hRule="exact"/>
        </w:trPr>
        <w:tc>
          <w:tcPr>
            <w:tcW w:w="2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6" w:hRule="exact"/>
        </w:trPr>
        <w:tc>
          <w:tcPr>
            <w:tcW w:w="2273" w:type="dxa"/>
            <w:vMerge w:val="restart"/>
            <w:tcBorders>
              <w:top w:val="nil" w:sz="6" w:space="0" w:color="auto"/>
              <w:left w:val="single" w:sz="4" w:space="0" w:color="000000"/>
              <w:right w:val="single" w:sz="4" w:space="0" w:color="000000"/>
            </w:tcBorders>
            <w:shd w:val="clear" w:color="auto" w:fill="D2D2D2"/>
          </w:tcPr>
          <w:p>
            <w:pPr/>
          </w:p>
        </w:tc>
        <w:tc>
          <w:tcPr>
            <w:tcW w:w="3745"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73" w:type="dxa"/>
            <w:vMerge/>
            <w:tcBorders>
              <w:left w:val="single" w:sz="4" w:space="0" w:color="000000"/>
              <w:bottom w:val="nil" w:sz="6" w:space="0" w:color="auto"/>
              <w:right w:val="single" w:sz="4" w:space="0" w:color="000000"/>
            </w:tcBorders>
            <w:shd w:val="clear" w:color="auto" w:fill="D2D2D2"/>
          </w:tcPr>
          <w:p>
            <w:pPr/>
          </w:p>
        </w:tc>
        <w:tc>
          <w:tcPr>
            <w:tcW w:w="17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1"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67" w:right="0"/>
              <w:jc w:val="left"/>
              <w:rPr>
                <w:rFonts w:ascii="Times New Roman" w:hAnsi="Times New Roman" w:cs="Times New Roman" w:eastAsia="Times New Roman" w:hint="default"/>
                <w:sz w:val="18"/>
                <w:szCs w:val="18"/>
              </w:rPr>
            </w:pPr>
            <w:r>
              <w:rPr>
                <w:rFonts w:ascii="Times New Roman"/>
                <w:sz w:val="18"/>
              </w:rPr>
              <w:t>25,005,713.64</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23,473,158.66</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2,116,820,334.13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1,019,157,555.22</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、境内外会计准则下会计数据差异原因说明</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Heading2"/>
        <w:spacing w:line="240" w:lineRule="auto" w:before="0"/>
        <w:ind w:right="1125"/>
        <w:jc w:val="left"/>
        <w:rPr>
          <w:b w:val="0"/>
          <w:bCs w:val="0"/>
        </w:rPr>
      </w:pPr>
      <w:r>
        <w:rPr/>
        <w:t>三、非经常性损益项目及金额</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38" w:type="dxa"/>
        <w:tblLayout w:type="fixed"/>
        <w:tblCellMar>
          <w:top w:w="0" w:type="dxa"/>
          <w:left w:w="0" w:type="dxa"/>
          <w:bottom w:w="0" w:type="dxa"/>
          <w:right w:w="0" w:type="dxa"/>
        </w:tblCellMar>
        <w:tblLook w:val="01E0"/>
      </w:tblPr>
      <w:tblGrid>
        <w:gridCol w:w="3285"/>
        <w:gridCol w:w="1533"/>
        <w:gridCol w:w="1519"/>
        <w:gridCol w:w="1522"/>
      </w:tblGrid>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r>
      <w:tr>
        <w:trPr>
          <w:trHeight w:val="71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-581,375.93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-115,408.01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-192,736.10</w:t>
            </w:r>
          </w:p>
        </w:tc>
      </w:tr>
      <w:tr>
        <w:trPr>
          <w:trHeight w:val="1026"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4,982,780.22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2,488,012.62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28,463,585.22</w:t>
            </w: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33" w:type="dxa"/>
            <w:tcBorders>
              <w:top w:val="single" w:sz="4" w:space="0" w:color="000000"/>
              <w:left w:val="single" w:sz="10" w:space="0" w:color="D2D2D2"/>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556,038.60</w:t>
            </w:r>
          </w:p>
        </w:tc>
      </w:tr>
      <w:tr>
        <w:trPr>
          <w:trHeight w:val="71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9"/>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33" w:type="dxa"/>
            <w:tcBorders>
              <w:top w:val="single" w:sz="4" w:space="0" w:color="000000"/>
              <w:left w:val="single" w:sz="10" w:space="0" w:color="D2D2D2"/>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14,162.86</w:t>
            </w: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-1,268,084.48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5,587,166.73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778,385.80</w:t>
            </w: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2,213,492.42</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294,484.08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1,650,412.34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4,248,167.80</w:t>
            </w: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215,760.35</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489,563.63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4,136,605.48</w:t>
            </w:r>
          </w:p>
        </w:tc>
      </w:tr>
      <w:tr>
        <w:trPr>
          <w:trHeight w:val="402"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4,836,567.80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5,833,958.23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21,220,500.24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25"/>
        <w:jc w:val="left"/>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1125"/>
        <w:jc w:val="left"/>
        <w:rPr>
          <w:b w:val="0"/>
          <w:bCs w:val="0"/>
        </w:rPr>
      </w:pPr>
      <w:r>
        <w:rPr/>
        <w:t>一、概述</w:t>
      </w:r>
      <w:r>
        <w:rPr>
          <w:b w:val="0"/>
          <w:bCs w:val="0"/>
        </w:rPr>
      </w:r>
    </w:p>
    <w:p>
      <w:pPr>
        <w:spacing w:line="240" w:lineRule="auto" w:before="8"/>
        <w:rPr>
          <w:rFonts w:ascii="宋体" w:hAnsi="宋体" w:cs="宋体" w:eastAsia="宋体" w:hint="default"/>
          <w:b/>
          <w:bCs/>
          <w:sz w:val="28"/>
          <w:szCs w:val="28"/>
        </w:rPr>
      </w:pPr>
    </w:p>
    <w:p>
      <w:pPr>
        <w:pStyle w:val="BodyText"/>
        <w:spacing w:line="357" w:lineRule="auto"/>
        <w:ind w:right="1131" w:firstLine="566"/>
        <w:jc w:val="both"/>
      </w:pPr>
      <w:r>
        <w:rPr>
          <w:spacing w:val="-2"/>
        </w:rPr>
        <w:t>报告期内，公司坚持以“建立面向广大独立决策的投资和消费主体的服务体系”为发展</w:t>
      </w:r>
      <w:r>
        <w:rPr/>
        <w:t> 战略定位目标，致力于从软件、硬件、服务等多方面满足各类客户多样化的需求，逐步将公</w:t>
      </w:r>
      <w:r>
        <w:rPr>
          <w:spacing w:val="-91"/>
        </w:rPr>
        <w:t> </w:t>
      </w:r>
      <w:r>
        <w:rPr>
          <w:spacing w:val="-91"/>
        </w:rPr>
      </w:r>
      <w:r>
        <w:rPr>
          <w:spacing w:val="-2"/>
        </w:rPr>
        <w:t>司打造成为具有较高社会价值和投资价值的企业</w:t>
      </w:r>
      <w:r>
        <w:rPr>
          <w:rFonts w:ascii="宋体" w:hAnsi="宋体" w:cs="宋体" w:eastAsia="宋体" w:hint="default"/>
          <w:spacing w:val="-2"/>
        </w:rPr>
        <w:t>.</w:t>
      </w:r>
      <w:r>
        <w:rPr>
          <w:spacing w:val="-2"/>
        </w:rPr>
        <w:t>报告期内，公司逐步提升核心竞争力和盈利</w:t>
      </w:r>
      <w:r>
        <w:rPr/>
        <w:t> 能力，在生产经营中深入贯彻落实科学发展观，降本增效，推动了面向企业客户的企业信息</w:t>
      </w:r>
      <w:r>
        <w:rPr>
          <w:spacing w:val="-91"/>
        </w:rPr>
        <w:t> </w:t>
      </w:r>
      <w:r>
        <w:rPr>
          <w:spacing w:val="-91"/>
        </w:rPr>
      </w:r>
      <w:r>
        <w:rPr/>
        <w:t>化业务、面向个人消费者和中小企业客户的</w:t>
      </w:r>
      <w:r>
        <w:rPr>
          <w:rFonts w:ascii="宋体" w:hAnsi="宋体" w:cs="宋体" w:eastAsia="宋体" w:hint="default"/>
        </w:rPr>
        <w:t>IT</w:t>
      </w:r>
      <w:r>
        <w:rPr/>
        <w:t>销售与服务业务以及面向个人消费者的信息服</w:t>
      </w:r>
      <w:r>
        <w:rPr>
          <w:spacing w:val="-89"/>
        </w:rPr>
        <w:t> </w:t>
      </w:r>
      <w:r>
        <w:rPr>
          <w:spacing w:val="-89"/>
        </w:rPr>
      </w:r>
      <w:r>
        <w:rPr/>
        <w:t>务业务三个业务板块稳健发展、持续增长。</w:t>
      </w:r>
    </w:p>
    <w:p>
      <w:pPr>
        <w:spacing w:line="240" w:lineRule="auto" w:before="11"/>
        <w:rPr>
          <w:rFonts w:ascii="宋体" w:hAnsi="宋体" w:cs="宋体" w:eastAsia="宋体" w:hint="default"/>
          <w:sz w:val="19"/>
          <w:szCs w:val="19"/>
        </w:rPr>
      </w:pPr>
    </w:p>
    <w:p>
      <w:pPr>
        <w:pStyle w:val="Heading2"/>
        <w:spacing w:line="240" w:lineRule="auto" w:before="0"/>
        <w:ind w:right="1125"/>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67" w:lineRule="auto"/>
        <w:ind w:right="1049" w:firstLine="566"/>
        <w:jc w:val="left"/>
      </w:pPr>
      <w:r>
        <w:rPr/>
        <w:t>报告期内，公司营业收入为</w:t>
      </w:r>
      <w:r>
        <w:rPr>
          <w:rFonts w:ascii="宋体" w:hAnsi="宋体" w:cs="宋体" w:eastAsia="宋体" w:hint="default"/>
        </w:rPr>
        <w:t>4,616,859,715.76</w:t>
      </w:r>
      <w:r>
        <w:rPr/>
        <w:t>元，营业总成本为</w:t>
      </w:r>
      <w:r>
        <w:rPr>
          <w:rFonts w:ascii="宋体" w:hAnsi="宋体" w:cs="宋体" w:eastAsia="宋体" w:hint="default"/>
        </w:rPr>
        <w:t>4,585,906,272.2</w:t>
      </w:r>
      <w:r>
        <w:rPr/>
        <w:t>元， 经营活动产生现金流量净额为</w:t>
      </w:r>
      <w:r>
        <w:rPr>
          <w:rFonts w:ascii="宋体" w:hAnsi="宋体" w:cs="宋体" w:eastAsia="宋体" w:hint="default"/>
        </w:rPr>
        <w:t>-36,572,231.89</w:t>
      </w:r>
      <w:r>
        <w:rPr/>
        <w:t>元</w:t>
      </w:r>
      <w:r>
        <w:rPr>
          <w:rFonts w:ascii="宋体" w:hAnsi="宋体" w:cs="宋体" w:eastAsia="宋体" w:hint="default"/>
        </w:rPr>
        <w:t>,</w:t>
      </w:r>
      <w:r>
        <w:rPr/>
        <w:t>较去年同期同比例变动为</w:t>
      </w:r>
      <w:r>
        <w:rPr>
          <w:rFonts w:ascii="宋体" w:hAnsi="宋体" w:cs="宋体" w:eastAsia="宋体" w:hint="default"/>
        </w:rPr>
        <w:t>13.09%</w:t>
      </w:r>
      <w:r>
        <w:rPr/>
        <w:t>、</w:t>
      </w:r>
      <w:r>
        <w:rPr>
          <w:rFonts w:ascii="宋体" w:hAnsi="宋体" w:cs="宋体" w:eastAsia="宋体" w:hint="default"/>
        </w:rPr>
        <w:t>13.02%</w:t>
      </w:r>
      <w:r>
        <w:rPr/>
        <w:t>、 </w:t>
      </w:r>
      <w:r>
        <w:rPr>
          <w:rFonts w:ascii="宋体" w:hAnsi="宋体" w:cs="宋体" w:eastAsia="宋体" w:hint="default"/>
        </w:rPr>
        <w:t>89.83%</w:t>
      </w:r>
      <w:r>
        <w:rPr/>
        <w:t>。公司报告期内不存在利润构成或者利润来源发生重大变动。 公司回顾总结前期披露的发展战略和经营计划在报告期内的进展情况</w:t>
      </w:r>
    </w:p>
    <w:p>
      <w:pPr>
        <w:pStyle w:val="BodyText"/>
        <w:spacing w:line="357" w:lineRule="auto" w:before="67"/>
        <w:ind w:right="1170" w:firstLine="420"/>
        <w:jc w:val="both"/>
      </w:pPr>
      <w:r>
        <w:rPr/>
        <w:t>在“十一五”取得跨越式发展的基础上，公司</w:t>
      </w:r>
      <w:r>
        <w:rPr>
          <w:rFonts w:ascii="宋体" w:hAnsi="宋体" w:cs="宋体" w:eastAsia="宋体" w:hint="default"/>
        </w:rPr>
        <w:t>2011</w:t>
      </w:r>
      <w:r>
        <w:rPr/>
        <w:t>年制定了自己的”十二五”发展战略 规划，即：以“建立面向广大独立决策的投资和消费者主体的服务体系”为发展战略目标， 通过建设对客户广泛覆盖的渠道平台，横向整合外部资源和产品线，纵向整合业务及在传统 渠道上整合新型业务，推进企业信息化业务、</w:t>
      </w:r>
      <w:r>
        <w:rPr>
          <w:rFonts w:ascii="宋体" w:hAnsi="宋体" w:cs="宋体" w:eastAsia="宋体" w:hint="default"/>
        </w:rPr>
        <w:t>IT</w:t>
      </w:r>
      <w:r>
        <w:rPr/>
        <w:t>销售业务和信息服务业务全面、协调、可持 续发展，竭力提升公司的可持续发展能力、核心竞争力及盈利能力，逐步将公司打造为具有 较高社会价值与投资价值的企业。</w:t>
      </w:r>
    </w:p>
    <w:p>
      <w:pPr>
        <w:pStyle w:val="BodyText"/>
        <w:spacing w:line="357" w:lineRule="auto" w:before="37"/>
        <w:ind w:right="1116" w:firstLine="420"/>
        <w:jc w:val="left"/>
      </w:pPr>
      <w:r>
        <w:rPr>
          <w:rFonts w:ascii="宋体" w:hAnsi="宋体" w:cs="宋体" w:eastAsia="宋体" w:hint="default"/>
        </w:rPr>
        <w:t>2012</w:t>
      </w:r>
      <w:r>
        <w:rPr/>
        <w:t>年从宏观环境来看，放眼世界，包括中国在内，全球经济仍处于调整期，从国内来 </w:t>
      </w:r>
      <w:r>
        <w:rPr>
          <w:spacing w:val="-2"/>
        </w:rPr>
        <w:t>讲，基于国内外环境，国家出台了一系列宏观政策</w:t>
      </w:r>
      <w:r>
        <w:rPr>
          <w:rFonts w:ascii="宋体" w:hAnsi="宋体" w:cs="宋体" w:eastAsia="宋体" w:hint="default"/>
          <w:spacing w:val="-2"/>
        </w:rPr>
        <w:t>(</w:t>
      </w:r>
      <w:r>
        <w:rPr>
          <w:spacing w:val="-2"/>
        </w:rPr>
        <w:t>如：物联网、三网融合、电子商务、家电</w:t>
      </w:r>
      <w:r>
        <w:rPr/>
        <w:t> </w:t>
      </w:r>
      <w:r>
        <w:rPr>
          <w:spacing w:val="-3"/>
        </w:rPr>
        <w:t>下乡、文化创意产业等扶持政策</w:t>
      </w:r>
      <w:r>
        <w:rPr>
          <w:rFonts w:ascii="宋体" w:hAnsi="宋体" w:cs="宋体" w:eastAsia="宋体" w:hint="default"/>
          <w:spacing w:val="-3"/>
        </w:rPr>
        <w:t>)</w:t>
      </w:r>
      <w:r>
        <w:rPr>
          <w:spacing w:val="-3"/>
        </w:rPr>
        <w:t>鼓励发展实体经济，此外，社会进步和信息技术也取得了长</w:t>
      </w:r>
      <w:r>
        <w:rPr>
          <w:spacing w:val="-80"/>
        </w:rPr>
        <w:t> </w:t>
      </w:r>
      <w:r>
        <w:rPr>
          <w:spacing w:val="-80"/>
        </w:rPr>
      </w:r>
      <w:r>
        <w:rPr/>
        <w:t>足发展，积极的外部因素给公司的服务及产品带来了一定的机遇，也为公司步入良性发展提 供机会。</w:t>
      </w:r>
    </w:p>
    <w:p>
      <w:pPr>
        <w:pStyle w:val="BodyText"/>
        <w:spacing w:line="240" w:lineRule="auto" w:before="36"/>
        <w:ind w:left="573" w:right="1125"/>
        <w:jc w:val="left"/>
      </w:pPr>
      <w:r>
        <w:rPr>
          <w:rFonts w:ascii="宋体" w:hAnsi="宋体" w:cs="宋体" w:eastAsia="宋体" w:hint="default"/>
        </w:rPr>
        <w:t>2012</w:t>
      </w:r>
      <w:r>
        <w:rPr/>
        <w:t>年，公司始终坚持既定的“十二五”发展战略的引领，积极推动产融结合，优化商</w:t>
      </w:r>
    </w:p>
    <w:p>
      <w:pPr>
        <w:spacing w:after="0" w:line="240" w:lineRule="auto"/>
        <w:jc w:val="left"/>
        <w:sectPr>
          <w:pgSz w:w="11910" w:h="16840"/>
          <w:pgMar w:header="745" w:footer="1340" w:top="1060" w:bottom="1540" w:left="980" w:right="0"/>
        </w:sectPr>
      </w:pPr>
    </w:p>
    <w:p>
      <w:pPr>
        <w:spacing w:line="240" w:lineRule="auto" w:before="6"/>
        <w:rPr>
          <w:rFonts w:ascii="宋体" w:hAnsi="宋体" w:cs="宋体" w:eastAsia="宋体" w:hint="default"/>
          <w:sz w:val="29"/>
          <w:szCs w:val="29"/>
        </w:rPr>
      </w:pPr>
    </w:p>
    <w:p>
      <w:pPr>
        <w:pStyle w:val="BodyText"/>
        <w:spacing w:line="357" w:lineRule="auto" w:before="26"/>
        <w:ind w:right="1170"/>
        <w:jc w:val="both"/>
        <w:rPr>
          <w:rFonts w:ascii="宋体" w:hAnsi="宋体" w:cs="宋体" w:eastAsia="宋体" w:hint="default"/>
        </w:rPr>
      </w:pPr>
      <w:r>
        <w:rPr/>
        <w:t>业模式，深入调整业务和资产结构，整合产业链价值资源，加强公司内部控制风险管理，创 新人才选拔、激励机制，以开展管理提升为契机，全力推进“十二五”发展战略目标的阶段 性落地。在国内外经济形势不利的情况下，公司采取措施力促三个业务板块全面、协调、可 持续发展，经营业绩仍然达到了预期目标，也为实现“十二五”战略规划目标实现打下良好 基础。公司各项业务进展如下</w:t>
      </w:r>
      <w:r>
        <w:rPr>
          <w:rFonts w:ascii="宋体" w:hAnsi="宋体" w:cs="宋体" w:eastAsia="宋体" w:hint="default"/>
        </w:rPr>
        <w:t>:</w:t>
      </w:r>
    </w:p>
    <w:p>
      <w:pPr>
        <w:pStyle w:val="BodyText"/>
        <w:spacing w:line="357" w:lineRule="auto" w:before="36"/>
        <w:ind w:right="1231" w:firstLine="420"/>
        <w:jc w:val="both"/>
      </w:pPr>
      <w:r>
        <w:rPr>
          <w:rFonts w:ascii="宋体" w:hAnsi="宋体" w:cs="宋体" w:eastAsia="宋体" w:hint="default"/>
        </w:rPr>
        <w:t>(1) </w:t>
      </w:r>
      <w:r>
        <w:rPr/>
        <w:t>打造拳头产品和行业解决方案，持续优化调整业务体系，全力拓展物联网细分市场 及企业信息化行业应用业务。</w:t>
      </w:r>
    </w:p>
    <w:p>
      <w:pPr>
        <w:pStyle w:val="BodyText"/>
        <w:spacing w:line="357" w:lineRule="auto" w:before="36"/>
        <w:ind w:right="1170" w:firstLine="420"/>
        <w:jc w:val="both"/>
      </w:pPr>
      <w:r>
        <w:rPr/>
        <w:t>物联网细分市场方面，随着国家对于物联网产业及行业应用的重视以及我国经济社会的 高速发展带来的信息化需求，国内的物联网应用市场潜力巨大，</w:t>
      </w:r>
      <w:r>
        <w:rPr>
          <w:rFonts w:ascii="宋体" w:hAnsi="宋体" w:cs="宋体" w:eastAsia="宋体" w:hint="default"/>
        </w:rPr>
        <w:t>2012</w:t>
      </w:r>
      <w:r>
        <w:rPr/>
        <w:t>年公司密切跟踪国家在 物联网领域的政策布局，大力在智慧城市、智慧交通、智慧医疗及数字校园等物联网领域细 分应用市场进行拓展，已取得一定的项目成果。</w:t>
      </w:r>
    </w:p>
    <w:p>
      <w:pPr>
        <w:pStyle w:val="BodyText"/>
        <w:spacing w:line="357" w:lineRule="auto" w:before="36"/>
        <w:ind w:right="1134" w:firstLine="420"/>
        <w:jc w:val="both"/>
      </w:pPr>
      <w:r>
        <w:rPr/>
        <w:t>企业信息化业务方面，随着我国经济社会的高速发展，我国</w:t>
      </w:r>
      <w:r>
        <w:rPr>
          <w:rFonts w:ascii="宋体" w:hAnsi="宋体" w:cs="宋体" w:eastAsia="宋体" w:hint="default"/>
        </w:rPr>
        <w:t>IP</w:t>
      </w:r>
      <w:r>
        <w:rPr>
          <w:rFonts w:ascii="宋体" w:hAnsi="宋体" w:cs="宋体" w:eastAsia="宋体" w:hint="default"/>
          <w:spacing w:val="-23"/>
        </w:rPr>
        <w:t> </w:t>
      </w:r>
      <w:r>
        <w:rPr/>
        <w:t>语音市场需求呈现逐年增 长的态势。</w:t>
      </w:r>
      <w:r>
        <w:rPr>
          <w:rFonts w:ascii="宋体" w:hAnsi="宋体" w:cs="宋体" w:eastAsia="宋体" w:hint="default"/>
        </w:rPr>
        <w:t>IP</w:t>
      </w:r>
      <w:r>
        <w:rPr/>
        <w:t>语音市场将有巨大的发展空间，面对市场机遇，公司大力推动从国内知名“IP 语音系统提供商”向“企业信息化服务与集成商”转型，持续加大在</w:t>
      </w:r>
      <w:r>
        <w:rPr>
          <w:rFonts w:ascii="宋体" w:hAnsi="宋体" w:cs="宋体" w:eastAsia="宋体" w:hint="default"/>
        </w:rPr>
        <w:t>IP</w:t>
      </w:r>
      <w:r>
        <w:rPr/>
        <w:t>语音类融合通信领域 的研发投入，推出业内领先的</w:t>
      </w:r>
      <w:r>
        <w:rPr>
          <w:rFonts w:ascii="宋体" w:hAnsi="宋体" w:cs="宋体" w:eastAsia="宋体" w:hint="default"/>
        </w:rPr>
        <w:t>IP</w:t>
      </w:r>
      <w:r>
        <w:rPr/>
        <w:t>多媒体调度系统，纵深拓展细分市场，有效切入了矿业行业 应用市场。</w:t>
      </w:r>
    </w:p>
    <w:p>
      <w:pPr>
        <w:pStyle w:val="BodyText"/>
        <w:spacing w:line="357" w:lineRule="auto" w:before="36"/>
        <w:ind w:right="1171" w:firstLine="420"/>
        <w:jc w:val="both"/>
      </w:pPr>
      <w:r>
        <w:rPr/>
        <w:t>此外，公司深化业务体系转型，实现“直销为主、代理为辅”向“以代理为主、直销为 辅”的转型落地。同时，公司大力调整业务体系架构，提升业务单元的经营灵活性，有效激 发了经营活力与创新能力。</w:t>
      </w:r>
    </w:p>
    <w:p>
      <w:pPr>
        <w:pStyle w:val="BodyText"/>
        <w:spacing w:line="357" w:lineRule="auto" w:before="36"/>
        <w:ind w:left="573" w:right="1125"/>
        <w:jc w:val="left"/>
      </w:pPr>
      <w:r>
        <w:rPr>
          <w:rFonts w:ascii="宋体" w:hAnsi="宋体" w:cs="宋体" w:eastAsia="宋体" w:hint="default"/>
        </w:rPr>
        <w:t>(2)</w:t>
      </w:r>
      <w:r>
        <w:rPr>
          <w:rFonts w:ascii="宋体" w:hAnsi="宋体" w:cs="宋体" w:eastAsia="宋体" w:hint="default"/>
          <w:spacing w:val="-1"/>
        </w:rPr>
        <w:t> </w:t>
      </w:r>
      <w:r>
        <w:rPr>
          <w:rFonts w:ascii="宋体" w:hAnsi="宋体" w:cs="宋体" w:eastAsia="宋体" w:hint="default"/>
        </w:rPr>
        <w:t>IT</w:t>
      </w:r>
      <w:r>
        <w:rPr/>
        <w:t>销售业务紧跟行业趋势，持续调整优化，打造立体式运营体系。 </w:t>
      </w:r>
      <w:r>
        <w:rPr>
          <w:spacing w:val="-1"/>
        </w:rPr>
        <w:t>全球</w:t>
      </w:r>
      <w:r>
        <w:rPr>
          <w:rFonts w:ascii="宋体" w:hAnsi="宋体" w:cs="宋体" w:eastAsia="宋体" w:hint="default"/>
          <w:spacing w:val="-1"/>
        </w:rPr>
        <w:t>IT</w:t>
      </w:r>
      <w:r>
        <w:rPr>
          <w:spacing w:val="-1"/>
        </w:rPr>
        <w:t>产品行业正在经历快速变革。</w:t>
      </w:r>
      <w:r>
        <w:rPr>
          <w:rFonts w:ascii="宋体" w:hAnsi="宋体" w:cs="宋体" w:eastAsia="宋体" w:hint="default"/>
          <w:spacing w:val="-1"/>
        </w:rPr>
        <w:t>2011</w:t>
      </w:r>
      <w:r>
        <w:rPr>
          <w:spacing w:val="-1"/>
        </w:rPr>
        <w:t>年二季度中国首次取代美国，截至今日</w:t>
      </w:r>
      <w:r>
        <w:rPr>
          <w:rFonts w:ascii="宋体" w:hAnsi="宋体" w:cs="宋体" w:eastAsia="宋体" w:hint="default"/>
          <w:spacing w:val="-1"/>
        </w:rPr>
        <w:t>,</w:t>
      </w:r>
      <w:r>
        <w:rPr>
          <w:spacing w:val="-1"/>
        </w:rPr>
        <w:t>中国已</w:t>
      </w:r>
    </w:p>
    <w:p>
      <w:pPr>
        <w:pStyle w:val="BodyText"/>
        <w:spacing w:line="357" w:lineRule="auto" w:before="36"/>
        <w:ind w:right="1170"/>
        <w:jc w:val="both"/>
      </w:pPr>
      <w:r>
        <w:rPr/>
        <w:t>成为全球最大的</w:t>
      </w:r>
      <w:r>
        <w:rPr>
          <w:rFonts w:ascii="宋体" w:hAnsi="宋体" w:cs="宋体" w:eastAsia="宋体" w:hint="default"/>
        </w:rPr>
        <w:t>PC</w:t>
      </w:r>
      <w:r>
        <w:rPr/>
        <w:t>市场，国内消费者对</w:t>
      </w:r>
      <w:r>
        <w:rPr>
          <w:rFonts w:ascii="宋体" w:hAnsi="宋体" w:cs="宋体" w:eastAsia="宋体" w:hint="default"/>
        </w:rPr>
        <w:t>IT</w:t>
      </w:r>
      <w:r>
        <w:rPr/>
        <w:t>电子产品的需求持续旺盛。随着实体店面成本的上 升及互联网信息技术的不断进步，</w:t>
      </w:r>
      <w:r>
        <w:rPr>
          <w:rFonts w:ascii="宋体" w:hAnsi="宋体" w:cs="宋体" w:eastAsia="宋体" w:hint="default"/>
        </w:rPr>
        <w:t>IT</w:t>
      </w:r>
      <w:r>
        <w:rPr/>
        <w:t>产品市场逐步进入实体销售与电子商务并举的时代。在 这种情况之下，公司在拓展实体销售和深度挖掘大客户资源的同时，着力发展具有高鸿特色 的</w:t>
      </w:r>
      <w:r>
        <w:rPr>
          <w:rFonts w:ascii="宋体" w:hAnsi="宋体" w:cs="宋体" w:eastAsia="宋体" w:hint="default"/>
        </w:rPr>
        <w:t>B2C</w:t>
      </w:r>
      <w:r>
        <w:rPr/>
        <w:t>电子商城（高鸿商城（</w:t>
      </w:r>
      <w:hyperlink r:id="rId14">
        <w:r>
          <w:rPr>
            <w:rFonts w:ascii="宋体" w:hAnsi="宋体" w:cs="宋体" w:eastAsia="宋体" w:hint="default"/>
          </w:rPr>
          <w:t>www.tao3c.com</w:t>
        </w:r>
      </w:hyperlink>
      <w:r>
        <w:rPr/>
        <w:t>）），持续致力于建立在一线城市以个性化的电 子商务为主体，二、三线城市以覆盖实体店面为主体的差异化立体式运营体系。</w:t>
      </w:r>
    </w:p>
    <w:p>
      <w:pPr>
        <w:pStyle w:val="BodyText"/>
        <w:spacing w:line="357" w:lineRule="auto" w:before="36"/>
        <w:ind w:right="1171" w:firstLine="420"/>
        <w:jc w:val="both"/>
      </w:pPr>
      <w:r>
        <w:rPr/>
        <w:t>实体销售方面，报告期内推进烟台高鸿商城初步实现品牌店面的统一收银管理、在山东 济宁、贵阳花溪等地逐步拓展公司自有物业卖场。公司持续推进零售业务的优化，深度挖掘 产品、客户资源；持续加深供应链上下游的合作力度，保持主力品牌的领先地位。</w:t>
      </w:r>
    </w:p>
    <w:p>
      <w:pPr>
        <w:spacing w:after="0" w:line="357" w:lineRule="auto"/>
        <w:jc w:val="both"/>
        <w:sectPr>
          <w:pgSz w:w="11910" w:h="16840"/>
          <w:pgMar w:header="745" w:footer="1340" w:top="1060" w:bottom="1540" w:left="980" w:right="0"/>
        </w:sectPr>
      </w:pPr>
    </w:p>
    <w:p>
      <w:pPr>
        <w:spacing w:line="240" w:lineRule="auto" w:before="6"/>
        <w:rPr>
          <w:rFonts w:ascii="宋体" w:hAnsi="宋体" w:cs="宋体" w:eastAsia="宋体" w:hint="default"/>
          <w:sz w:val="29"/>
          <w:szCs w:val="29"/>
        </w:rPr>
      </w:pPr>
    </w:p>
    <w:p>
      <w:pPr>
        <w:pStyle w:val="BodyText"/>
        <w:spacing w:line="357" w:lineRule="auto" w:before="26"/>
        <w:ind w:right="0" w:firstLine="420"/>
        <w:jc w:val="left"/>
      </w:pPr>
      <w:r>
        <w:rPr>
          <w:rFonts w:ascii="宋体" w:hAnsi="宋体" w:cs="宋体" w:eastAsia="宋体" w:hint="default"/>
          <w:spacing w:val="-4"/>
        </w:rPr>
        <w:t>B2C</w:t>
      </w:r>
      <w:r>
        <w:rPr>
          <w:spacing w:val="-4"/>
        </w:rPr>
        <w:t>电子商务方面，公司致力于为消费者提供全面高质量的、有个性化的服务。报告期内，</w:t>
      </w:r>
      <w:r>
        <w:rPr/>
        <w:t> 公司密切跟踪、重点研究当前的</w:t>
      </w:r>
      <w:r>
        <w:rPr>
          <w:rFonts w:ascii="宋体" w:hAnsi="宋体" w:cs="宋体" w:eastAsia="宋体" w:hint="default"/>
        </w:rPr>
        <w:t>B2C</w:t>
      </w:r>
      <w:r>
        <w:rPr/>
        <w:t>发展趋势和竞争态势，适时推进电子商城在一线城市的布 局，加强仓储物流建设，打造个性化产品，实施特色化营销，逐步提升电子商务业务的盈利 能力，报告期内公司电子商务业务方面销售规模呈现持续增长。</w:t>
      </w:r>
    </w:p>
    <w:p>
      <w:pPr>
        <w:pStyle w:val="BodyText"/>
        <w:spacing w:line="357" w:lineRule="auto" w:before="36"/>
        <w:ind w:left="573" w:right="1213"/>
        <w:jc w:val="left"/>
      </w:pPr>
      <w:r>
        <w:rPr>
          <w:rFonts w:ascii="宋体" w:hAnsi="宋体" w:cs="宋体" w:eastAsia="宋体" w:hint="default"/>
        </w:rPr>
        <w:t>(3) </w:t>
      </w:r>
      <w:r>
        <w:rPr/>
        <w:t>顺应发展趋势，实现信息服务业务盈利与收入的规模增长。 十七届六中全会确立的“文化主题”为文化创业产业的发展带来利好，未来的文化创业</w:t>
      </w:r>
    </w:p>
    <w:p>
      <w:pPr>
        <w:pStyle w:val="BodyText"/>
        <w:spacing w:line="357" w:lineRule="auto" w:before="36"/>
        <w:ind w:right="1154"/>
        <w:jc w:val="left"/>
      </w:pPr>
      <w:r>
        <w:rPr/>
        <w:t>产业将会在政府主导的大背景下进入新的发展阶段。文化创意产业的兴起给运营商和</w:t>
      </w:r>
      <w:r>
        <w:rPr>
          <w:rFonts w:ascii="宋体" w:hAnsi="宋体" w:cs="宋体" w:eastAsia="宋体" w:hint="default"/>
        </w:rPr>
        <w:t>SP</w:t>
      </w:r>
      <w:r>
        <w:rPr/>
        <w:t>、</w:t>
      </w:r>
      <w:r>
        <w:rPr>
          <w:rFonts w:ascii="宋体" w:hAnsi="宋体" w:cs="宋体" w:eastAsia="宋体" w:hint="default"/>
        </w:rPr>
        <w:t>CP </w:t>
      </w:r>
      <w:r>
        <w:rPr/>
        <w:t>及移动互联网信息增值业务带来了新的增长点。</w:t>
      </w:r>
    </w:p>
    <w:p>
      <w:pPr>
        <w:pStyle w:val="BodyText"/>
        <w:spacing w:line="357" w:lineRule="auto" w:before="37"/>
        <w:ind w:right="1171" w:firstLine="420"/>
        <w:jc w:val="both"/>
      </w:pPr>
      <w:r>
        <w:rPr/>
        <w:t>作为</w:t>
      </w:r>
      <w:r>
        <w:rPr>
          <w:rFonts w:ascii="宋体" w:hAnsi="宋体" w:cs="宋体" w:eastAsia="宋体" w:hint="default"/>
        </w:rPr>
        <w:t>2009</w:t>
      </w:r>
      <w:r>
        <w:rPr/>
        <w:t>年和</w:t>
      </w:r>
      <w:r>
        <w:rPr>
          <w:rFonts w:ascii="宋体" w:hAnsi="宋体" w:cs="宋体" w:eastAsia="宋体" w:hint="default"/>
        </w:rPr>
        <w:t>2012</w:t>
      </w:r>
      <w:r>
        <w:rPr/>
        <w:t>年非公开发行募集资金的项目之一，公司信息增值服务业务快速发展 壮大，公司紧密抓住行业的发展趋势，在巩固现有信息增值服务业务的同时，通过挖掘和塑 造有效的商业模式和盈利模型，大力开拓信息增值业务的行业应用以及基于文化创意产业背 景的新媒体业务和移动互联网信息增值服务业务，顺利实现了公司信息增值业务的可持续快 速发展。</w:t>
      </w:r>
    </w:p>
    <w:p>
      <w:pPr>
        <w:spacing w:before="46"/>
        <w:ind w:left="152" w:right="1125" w:firstLine="0"/>
        <w:jc w:val="left"/>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1"/>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说明</w:t>
      </w:r>
    </w:p>
    <w:p>
      <w:pPr>
        <w:pStyle w:val="BodyText"/>
        <w:spacing w:line="240" w:lineRule="auto" w:before="66"/>
        <w:ind w:right="1125"/>
        <w:jc w:val="left"/>
      </w:pPr>
      <w:r>
        <w:rPr>
          <w:rFonts w:ascii="宋体" w:hAnsi="宋体" w:cs="宋体" w:eastAsia="宋体" w:hint="default"/>
        </w:rPr>
        <w:t>2012</w:t>
      </w:r>
      <w:r>
        <w:rPr/>
        <w:t>年度，公司营业收入为</w:t>
      </w:r>
      <w:r>
        <w:rPr>
          <w:rFonts w:ascii="宋体" w:hAnsi="宋体" w:cs="宋体" w:eastAsia="宋体" w:hint="default"/>
        </w:rPr>
        <w:t>4,616,859,715.76</w:t>
      </w:r>
      <w:r>
        <w:rPr/>
        <w:t>元，较去年同期同比例增加</w:t>
      </w:r>
      <w:r>
        <w:rPr>
          <w:rFonts w:ascii="宋体" w:hAnsi="宋体" w:cs="宋体" w:eastAsia="宋体" w:hint="default"/>
        </w:rPr>
        <w:t>13.09%</w:t>
      </w:r>
      <w:r>
        <w:rPr/>
        <w:t>，</w:t>
      </w:r>
    </w:p>
    <w:p>
      <w:pPr>
        <w:spacing w:line="240" w:lineRule="auto" w:before="5"/>
        <w:rPr>
          <w:rFonts w:ascii="宋体" w:hAnsi="宋体" w:cs="宋体" w:eastAsia="宋体" w:hint="default"/>
          <w:sz w:val="5"/>
          <w:szCs w:val="5"/>
        </w:rPr>
      </w:pPr>
    </w:p>
    <w:p>
      <w:pPr>
        <w:spacing w:line="5182" w:lineRule="exact"/>
        <w:ind w:left="153" w:right="0" w:firstLine="0"/>
        <w:rPr>
          <w:rFonts w:ascii="宋体" w:hAnsi="宋体" w:cs="宋体" w:eastAsia="宋体" w:hint="default"/>
          <w:sz w:val="20"/>
          <w:szCs w:val="20"/>
        </w:rPr>
      </w:pPr>
      <w:r>
        <w:rPr>
          <w:rFonts w:ascii="宋体" w:hAnsi="宋体" w:cs="宋体" w:eastAsia="宋体" w:hint="default"/>
          <w:position w:val="-103"/>
          <w:sz w:val="20"/>
          <w:szCs w:val="20"/>
        </w:rPr>
        <w:drawing>
          <wp:inline distT="0" distB="0" distL="0" distR="0">
            <wp:extent cx="4546636" cy="329098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5" cstate="print"/>
                    <a:stretch>
                      <a:fillRect/>
                    </a:stretch>
                  </pic:blipFill>
                  <pic:spPr>
                    <a:xfrm>
                      <a:off x="0" y="0"/>
                      <a:ext cx="4546636" cy="3290982"/>
                    </a:xfrm>
                    <a:prstGeom prst="rect">
                      <a:avLst/>
                    </a:prstGeom>
                  </pic:spPr>
                </pic:pic>
              </a:graphicData>
            </a:graphic>
          </wp:inline>
        </w:drawing>
      </w:r>
      <w:r>
        <w:rPr>
          <w:rFonts w:ascii="宋体" w:hAnsi="宋体" w:cs="宋体" w:eastAsia="宋体" w:hint="default"/>
          <w:position w:val="-103"/>
          <w:sz w:val="20"/>
          <w:szCs w:val="20"/>
        </w:rPr>
      </w:r>
    </w:p>
    <w:p>
      <w:pPr>
        <w:spacing w:after="0" w:line="5182" w:lineRule="exact"/>
        <w:rPr>
          <w:rFonts w:ascii="宋体" w:hAnsi="宋体" w:cs="宋体" w:eastAsia="宋体" w:hint="default"/>
          <w:sz w:val="20"/>
          <w:szCs w:val="20"/>
        </w:rPr>
        <w:sectPr>
          <w:pgSz w:w="11910" w:h="16840"/>
          <w:pgMar w:header="745" w:footer="1340" w:top="1060" w:bottom="1540" w:left="980" w:right="0"/>
        </w:sectPr>
      </w:pPr>
    </w:p>
    <w:p>
      <w:pPr>
        <w:spacing w:line="240" w:lineRule="auto" w:before="6"/>
        <w:rPr>
          <w:rFonts w:ascii="宋体" w:hAnsi="宋体" w:cs="宋体" w:eastAsia="宋体" w:hint="default"/>
          <w:sz w:val="29"/>
          <w:szCs w:val="29"/>
        </w:rPr>
      </w:pPr>
    </w:p>
    <w:p>
      <w:pPr>
        <w:pStyle w:val="BodyText"/>
        <w:spacing w:line="357" w:lineRule="auto" w:before="26"/>
        <w:ind w:right="1125" w:firstLine="566"/>
        <w:jc w:val="left"/>
      </w:pPr>
      <w:r>
        <w:rPr>
          <w:spacing w:val="-2"/>
        </w:rPr>
        <w:t>公司电信增值业务营业收入同比上升</w:t>
      </w:r>
      <w:r>
        <w:rPr>
          <w:rFonts w:ascii="宋体" w:hAnsi="宋体" w:cs="宋体" w:eastAsia="宋体" w:hint="default"/>
          <w:spacing w:val="-2"/>
        </w:rPr>
        <w:t>42.26%</w:t>
      </w:r>
      <w:r>
        <w:rPr>
          <w:spacing w:val="-2"/>
        </w:rPr>
        <w:t>，主要为公司电信增值业务中新媒体业务拓</w:t>
      </w:r>
      <w:r>
        <w:rPr/>
        <w:t> 展所致。</w:t>
      </w:r>
    </w:p>
    <w:p>
      <w:pPr>
        <w:spacing w:before="46"/>
        <w:ind w:left="152" w:right="1125"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before="115"/>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28"/>
        <w:gridCol w:w="1891"/>
        <w:gridCol w:w="1926"/>
        <w:gridCol w:w="1913"/>
        <w:gridCol w:w="1916"/>
      </w:tblGrid>
      <w:tr>
        <w:trPr>
          <w:trHeight w:val="401"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企业信息化</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730,471,455.89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823,040,064.42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-11.25%</w:t>
            </w:r>
          </w:p>
        </w:tc>
      </w:tr>
      <w:tr>
        <w:trPr>
          <w:trHeight w:val="401"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568,016,795.09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679,682,605.92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-16.43%</w:t>
            </w:r>
          </w:p>
        </w:tc>
      </w:tr>
      <w:tr>
        <w:trPr>
          <w:trHeight w:val="403"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93,232,429.39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126,179,679.74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-26.11%</w:t>
            </w:r>
          </w:p>
        </w:tc>
      </w:tr>
      <w:tr>
        <w:trPr>
          <w:trHeight w:val="401"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3,776,200,002.47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3,165,659,117.24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19.29%</w:t>
            </w:r>
          </w:p>
        </w:tc>
      </w:tr>
      <w:tr>
        <w:trPr>
          <w:trHeight w:val="404"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3,678,533,334.19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3,076,430,396.48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19.57%</w:t>
            </w:r>
          </w:p>
        </w:tc>
      </w:tr>
      <w:tr>
        <w:trPr>
          <w:trHeight w:val="403"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182,325,291.16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250,593,592.49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-27.24%</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40" w:lineRule="auto" w:before="101"/>
        <w:ind w:left="152" w:right="8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公司重大的在手订单情况</w:t>
      </w:r>
    </w:p>
    <w:p>
      <w:pPr>
        <w:spacing w:line="340" w:lineRule="auto" w:before="39"/>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公司报告期内产品或服务发生重大变化或调整有关情况</w:t>
      </w:r>
    </w:p>
    <w:p>
      <w:pPr>
        <w:spacing w:line="338" w:lineRule="auto" w:before="41"/>
        <w:ind w:left="152" w:right="89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公司主要销售客户情况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2,933,962,690.78</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63.55%</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1"/>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南京庆亚贸易有限公司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1,465,215,972.15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31.74%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航天信息股份有限公司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677,596,490.68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14.68%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南京驰飞电子科技有限公司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392,739,526.74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好享购物股份有限公司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240,709,829.25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5.21%</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南京东州科技有限公司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157,700,871.96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3.42%</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2,933,962,690.78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63.55%</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、成本</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1125"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1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388"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企业信息化服务 业务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568,016,795.09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679,682,605.92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电信增值业务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78,389,702.31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55,773,710.19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3G-IT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连锁销售</w:t>
            </w:r>
            <w:r>
              <w:rPr>
                <w:rFonts w:ascii="宋体" w:hAnsi="宋体" w:cs="宋体" w:eastAsia="宋体" w:hint="default"/>
                <w:w w:val="99"/>
                <w:sz w:val="18"/>
                <w:szCs w:val="18"/>
              </w:rPr>
              <w:t> </w:t>
            </w:r>
            <w:r>
              <w:rPr>
                <w:rFonts w:ascii="宋体" w:hAnsi="宋体" w:cs="宋体" w:eastAsia="宋体" w:hint="default"/>
                <w:sz w:val="18"/>
                <w:szCs w:val="18"/>
              </w:rPr>
              <w:t>业务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3,678,533,334.19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85.03%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3,076,430,396.48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通信设备产品及 制造</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42,385,437.72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105,086,631.81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计算机涉密、系 统集成业务及外 围设备销售业务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525,631,357.37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574,595,974.11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电信增值业务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78,389,702.31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55,773,710.19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3G-IT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连锁销售</w:t>
            </w:r>
            <w:r>
              <w:rPr>
                <w:rFonts w:ascii="宋体" w:hAnsi="宋体" w:cs="宋体" w:eastAsia="宋体" w:hint="default"/>
                <w:w w:val="99"/>
                <w:sz w:val="18"/>
                <w:szCs w:val="18"/>
              </w:rPr>
              <w:t> </w:t>
            </w:r>
            <w:r>
              <w:rPr>
                <w:rFonts w:ascii="宋体" w:hAnsi="宋体" w:cs="宋体" w:eastAsia="宋体" w:hint="default"/>
                <w:sz w:val="18"/>
                <w:szCs w:val="18"/>
              </w:rPr>
              <w:t>业务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3,678,533,334.19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85.03%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3,076,430,396.48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4.32%</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r>
    </w:tbl>
    <w:p>
      <w:pPr>
        <w:spacing w:line="357" w:lineRule="auto" w:before="49"/>
        <w:ind w:left="152" w:right="10394" w:firstLine="0"/>
        <w:jc w:val="left"/>
        <w:rPr>
          <w:rFonts w:ascii="宋体" w:hAnsi="宋体" w:cs="宋体" w:eastAsia="宋体" w:hint="default"/>
          <w:sz w:val="18"/>
          <w:szCs w:val="18"/>
        </w:rPr>
      </w:pPr>
      <w:r>
        <w:rPr>
          <w:rFonts w:ascii="宋体" w:hAnsi="宋体" w:cs="宋体" w:eastAsia="宋体" w:hint="default"/>
          <w:sz w:val="18"/>
          <w:szCs w:val="18"/>
        </w:rPr>
        <w:t>说明 无</w:t>
      </w:r>
    </w:p>
    <w:p>
      <w:pPr>
        <w:spacing w:before="29"/>
        <w:ind w:left="152" w:right="1125"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2,507,744,057.36</w:t>
            </w:r>
          </w:p>
        </w:tc>
      </w:tr>
      <w:tr>
        <w:trPr>
          <w:trHeight w:val="401" w:hRule="exact"/>
        </w:trPr>
        <w:tc>
          <w:tcPr>
            <w:tcW w:w="42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60.95%</w:t>
            </w:r>
          </w:p>
        </w:tc>
      </w:tr>
    </w:tbl>
    <w:p>
      <w:pPr>
        <w:spacing w:before="49"/>
        <w:ind w:left="152" w:right="1125" w:firstLine="0"/>
        <w:jc w:val="left"/>
        <w:rPr>
          <w:rFonts w:ascii="宋体" w:hAnsi="宋体" w:cs="宋体" w:eastAsia="宋体" w:hint="default"/>
          <w:sz w:val="18"/>
          <w:szCs w:val="18"/>
        </w:rPr>
      </w:pPr>
      <w:r>
        <w:rPr/>
        <w:pict>
          <v:shape style="position:absolute;margin-left:263.570007pt;margin-top:-20.038275pt;width:270.2pt;height:19.6pt;mso-position-horizontal-relative:page;mso-position-vertical-relative:paragraph;z-index:-126258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71.010010pt;margin-top:-20.038275pt;width:262.75pt;height:19.6pt;mso-position-horizontal-relative:page;mso-position-vertical-relative:paragraph;z-index:-1262560" coordorigin="5420,-401" coordsize="5255,392">
            <v:shape style="position:absolute;left:5420;top:-401;width:5255;height:392" coordorigin="5420,-401" coordsize="5255,392" path="m5420,-10l10675,-10,10675,-401,5420,-401,5420,-10xe" filled="true" fillcolor="#ffffff" stroked="false">
              <v:path arrowok="t"/>
              <v:fill type="solid"/>
            </v:shape>
            <w10:wrap type="none"/>
          </v:group>
        </w:pict>
      </w: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3"/>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南京庆亚贸易有限公司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992,708,515.98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24.13%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南京安纳佳电子科技有限公司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468,380,232.84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11.38%</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华硕电脑（上海）有限公司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385,142,573.50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南京东州科技有限公司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360,770,854.70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8.77%</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南京庆百电子科技有限公司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300,741,880.34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7.31%</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2,507,744,057.36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60.95%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340" w:top="1060" w:bottom="1540" w:left="980" w:right="0"/>
        </w:sectPr>
      </w:pPr>
    </w:p>
    <w:p>
      <w:pPr>
        <w:spacing w:line="240" w:lineRule="auto" w:before="10"/>
        <w:rPr>
          <w:rFonts w:ascii="宋体" w:hAnsi="宋体" w:cs="宋体" w:eastAsia="宋体" w:hint="default"/>
          <w:sz w:val="24"/>
          <w:szCs w:val="24"/>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ind w:right="1121" w:firstLine="566"/>
        <w:jc w:val="left"/>
      </w:pPr>
      <w:r>
        <w:rPr>
          <w:spacing w:val="-1"/>
        </w:rPr>
        <w:t>销售费用本年</w:t>
      </w:r>
      <w:r>
        <w:rPr>
          <w:rFonts w:ascii="宋体" w:hAnsi="宋体" w:cs="宋体" w:eastAsia="宋体" w:hint="default"/>
          <w:spacing w:val="-1"/>
        </w:rPr>
        <w:t>67,686,796.80</w:t>
      </w:r>
      <w:r>
        <w:rPr>
          <w:spacing w:val="-1"/>
        </w:rPr>
        <w:t>元，上年</w:t>
      </w:r>
      <w:r>
        <w:rPr>
          <w:rFonts w:ascii="宋体" w:hAnsi="宋体" w:cs="宋体" w:eastAsia="宋体" w:hint="default"/>
          <w:spacing w:val="-1"/>
        </w:rPr>
        <w:t>93,979,731.81</w:t>
      </w:r>
      <w:r>
        <w:rPr>
          <w:spacing w:val="-1"/>
        </w:rPr>
        <w:t>元，比上年同期减少</w:t>
      </w:r>
      <w:r>
        <w:rPr>
          <w:rFonts w:ascii="宋体" w:hAnsi="宋体" w:cs="宋体" w:eastAsia="宋体" w:hint="default"/>
          <w:spacing w:val="-1"/>
        </w:rPr>
        <w:t>28%;</w:t>
      </w:r>
      <w:r>
        <w:rPr>
          <w:spacing w:val="-1"/>
        </w:rPr>
        <w:t>管理费用</w:t>
      </w:r>
      <w:r>
        <w:rPr/>
        <w:t> 本年</w:t>
      </w:r>
      <w:r>
        <w:rPr>
          <w:rFonts w:ascii="宋体" w:hAnsi="宋体" w:cs="宋体" w:eastAsia="宋体" w:hint="default"/>
        </w:rPr>
        <w:t>84,739,194.35</w:t>
      </w:r>
      <w:r>
        <w:rPr/>
        <w:t>元</w:t>
      </w:r>
      <w:r>
        <w:rPr>
          <w:rFonts w:ascii="宋体" w:hAnsi="宋体" w:cs="宋体" w:eastAsia="宋体" w:hint="default"/>
        </w:rPr>
        <w:t>,</w:t>
      </w:r>
      <w:r>
        <w:rPr/>
        <w:t>上年</w:t>
      </w:r>
      <w:r>
        <w:rPr>
          <w:rFonts w:ascii="宋体" w:hAnsi="宋体" w:cs="宋体" w:eastAsia="宋体" w:hint="default"/>
        </w:rPr>
        <w:t>86,989,574.25</w:t>
      </w:r>
      <w:r>
        <w:rPr/>
        <w:t>元，比去年同期减少</w:t>
      </w:r>
      <w:r>
        <w:rPr>
          <w:rFonts w:ascii="宋体" w:hAnsi="宋体" w:cs="宋体" w:eastAsia="宋体" w:hint="default"/>
        </w:rPr>
        <w:t>3%;</w:t>
      </w:r>
      <w:r>
        <w:rPr/>
        <w:t>财务费用本年 </w:t>
      </w:r>
      <w:r>
        <w:rPr>
          <w:rFonts w:ascii="宋体" w:hAnsi="宋体" w:cs="宋体" w:eastAsia="宋体" w:hint="default"/>
        </w:rPr>
        <w:t>56,942,652.46</w:t>
      </w:r>
      <w:r>
        <w:rPr/>
        <w:t>元</w:t>
      </w:r>
      <w:r>
        <w:rPr>
          <w:rFonts w:ascii="宋体" w:hAnsi="宋体" w:cs="宋体" w:eastAsia="宋体" w:hint="default"/>
        </w:rPr>
        <w:t>,</w:t>
      </w:r>
      <w:r>
        <w:rPr/>
        <w:t>上年</w:t>
      </w:r>
      <w:r>
        <w:rPr>
          <w:rFonts w:ascii="宋体" w:hAnsi="宋体" w:cs="宋体" w:eastAsia="宋体" w:hint="default"/>
        </w:rPr>
        <w:t>39,839,113.05</w:t>
      </w:r>
      <w:r>
        <w:rPr/>
        <w:t>元，比去年同期增长</w:t>
      </w:r>
      <w:r>
        <w:rPr>
          <w:rFonts w:ascii="宋体" w:hAnsi="宋体" w:cs="宋体" w:eastAsia="宋体" w:hint="default"/>
        </w:rPr>
        <w:t>43%</w:t>
      </w:r>
      <w:r>
        <w:rPr/>
        <w:t>。财务费用本年与上年相比， 变化幅度较大，原因是</w:t>
      </w:r>
      <w:r>
        <w:rPr>
          <w:rFonts w:ascii="宋体" w:hAnsi="宋体" w:cs="宋体" w:eastAsia="宋体" w:hint="default"/>
        </w:rPr>
        <w:t>IT</w:t>
      </w:r>
      <w:r>
        <w:rPr/>
        <w:t>销售业务规模扩大，对资金的需求上升，债务融资规模的扩大导致 财务费用有较大幅度增长。</w:t>
      </w:r>
    </w:p>
    <w:p>
      <w:pPr>
        <w:spacing w:line="240" w:lineRule="auto" w:before="10"/>
        <w:rPr>
          <w:rFonts w:ascii="宋体" w:hAnsi="宋体" w:cs="宋体" w:eastAsia="宋体" w:hint="default"/>
          <w:sz w:val="21"/>
          <w:szCs w:val="21"/>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、研发支出</w:t>
      </w:r>
      <w:r>
        <w:rPr>
          <w:rFonts w:ascii="宋体" w:hAnsi="宋体" w:cs="宋体" w:eastAsia="宋体" w:hint="default"/>
          <w:sz w:val="21"/>
          <w:szCs w:val="21"/>
        </w:rPr>
      </w:r>
    </w:p>
    <w:p>
      <w:pPr>
        <w:spacing w:line="240" w:lineRule="auto" w:before="7"/>
        <w:rPr>
          <w:rFonts w:ascii="宋体" w:hAnsi="宋体" w:cs="宋体" w:eastAsia="宋体" w:hint="default"/>
          <w:b/>
          <w:bCs/>
          <w:sz w:val="28"/>
          <w:szCs w:val="28"/>
        </w:rPr>
      </w:pPr>
    </w:p>
    <w:p>
      <w:pPr>
        <w:pStyle w:val="BodyText"/>
        <w:spacing w:line="357" w:lineRule="auto"/>
        <w:ind w:right="1130" w:firstLine="566"/>
        <w:jc w:val="both"/>
      </w:pPr>
      <w:r>
        <w:rPr>
          <w:spacing w:val="-1"/>
        </w:rPr>
        <w:t>研发支出本年</w:t>
      </w:r>
      <w:r>
        <w:rPr>
          <w:rFonts w:ascii="宋体" w:hAnsi="宋体" w:cs="宋体" w:eastAsia="宋体" w:hint="default"/>
          <w:spacing w:val="-1"/>
        </w:rPr>
        <w:t>23,937,434.17</w:t>
      </w:r>
      <w:r>
        <w:rPr>
          <w:spacing w:val="-1"/>
        </w:rPr>
        <w:t>元，上年</w:t>
      </w:r>
      <w:r>
        <w:rPr>
          <w:rFonts w:ascii="宋体" w:hAnsi="宋体" w:cs="宋体" w:eastAsia="宋体" w:hint="default"/>
          <w:spacing w:val="-1"/>
        </w:rPr>
        <w:t>15,519,000.32</w:t>
      </w:r>
      <w:r>
        <w:rPr>
          <w:spacing w:val="-1"/>
        </w:rPr>
        <w:t>元，比上年同期增加</w:t>
      </w:r>
      <w:r>
        <w:rPr>
          <w:rFonts w:ascii="宋体" w:hAnsi="宋体" w:cs="宋体" w:eastAsia="宋体" w:hint="default"/>
          <w:spacing w:val="-1"/>
        </w:rPr>
        <w:t>54.25%</w:t>
      </w:r>
      <w:r>
        <w:rPr>
          <w:spacing w:val="-1"/>
        </w:rPr>
        <w:t>，占营</w:t>
      </w:r>
      <w:r>
        <w:rPr/>
        <w:t> </w:t>
      </w:r>
      <w:r>
        <w:rPr>
          <w:spacing w:val="-2"/>
        </w:rPr>
        <w:t>业收入、净资产比例变动为：</w:t>
      </w:r>
      <w:r>
        <w:rPr>
          <w:rFonts w:ascii="宋体" w:hAnsi="宋体" w:cs="宋体" w:eastAsia="宋体" w:hint="default"/>
          <w:spacing w:val="-2"/>
        </w:rPr>
        <w:t>0.14%</w:t>
      </w:r>
      <w:r>
        <w:rPr>
          <w:spacing w:val="-2"/>
        </w:rPr>
        <w:t>、</w:t>
      </w:r>
      <w:r>
        <w:rPr>
          <w:rFonts w:ascii="宋体" w:hAnsi="宋体" w:cs="宋体" w:eastAsia="宋体" w:hint="default"/>
          <w:spacing w:val="-2"/>
        </w:rPr>
        <w:t>-0.28%</w:t>
      </w:r>
      <w:r>
        <w:rPr>
          <w:spacing w:val="-2"/>
        </w:rPr>
        <w:t>。占净资产比例下降主要为公司报告期内非公开</w:t>
      </w:r>
      <w:r>
        <w:rPr>
          <w:spacing w:val="-109"/>
        </w:rPr>
        <w:t> </w:t>
      </w:r>
      <w:r>
        <w:rPr>
          <w:spacing w:val="-109"/>
        </w:rPr>
      </w:r>
      <w:r>
        <w:rPr/>
        <w:t>发行股份、净资产大幅上升的原因。</w:t>
      </w:r>
    </w:p>
    <w:p>
      <w:pPr>
        <w:spacing w:line="240" w:lineRule="auto" w:before="10"/>
        <w:rPr>
          <w:rFonts w:ascii="宋体" w:hAnsi="宋体" w:cs="宋体" w:eastAsia="宋体" w:hint="default"/>
          <w:sz w:val="21"/>
          <w:szCs w:val="21"/>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5,293,651,085.78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4,739,726,518.94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11.69%</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5,330,223,317.67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5,099,307,225.09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-36,572,231.89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-359,580,706.15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89.83%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5,889,785.00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27,919.91%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125,599,925.64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153,426,932.29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-18.14%</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-119,710,140.64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-153,405,912.29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21.97%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2,454,204,800.00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918,000,000.00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167.34%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1,422,819,458.64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626,102,434.77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127.25%</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1,031,385,341.36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291,897,565.23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253.34%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875,102,968.83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-221,089,053.21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495.81%</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1"/>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4"/>
        <w:ind w:right="1118" w:firstLine="566"/>
        <w:jc w:val="left"/>
      </w:pPr>
      <w:r>
        <w:rPr>
          <w:spacing w:val="-3"/>
        </w:rPr>
        <w:t>与去年同期相比，经营活动产生的现金流量净额增加</w:t>
      </w:r>
      <w:r>
        <w:rPr>
          <w:spacing w:val="-47"/>
        </w:rPr>
        <w:t> </w:t>
      </w:r>
      <w:r>
        <w:rPr>
          <w:rFonts w:ascii="宋体" w:hAnsi="宋体" w:cs="宋体" w:eastAsia="宋体" w:hint="default"/>
          <w:spacing w:val="-3"/>
        </w:rPr>
        <w:t>89.83%</w:t>
      </w:r>
      <w:r>
        <w:rPr>
          <w:spacing w:val="-3"/>
        </w:rPr>
        <w:t>，主要是本期销售商品和购</w:t>
      </w:r>
      <w:r>
        <w:rPr/>
        <w:t> 买商品的现金流量净增加额增加 </w:t>
      </w:r>
      <w:r>
        <w:rPr>
          <w:rFonts w:ascii="宋体" w:hAnsi="宋体" w:cs="宋体" w:eastAsia="宋体" w:hint="default"/>
        </w:rPr>
        <w:t>21,326</w:t>
      </w:r>
      <w:r>
        <w:rPr>
          <w:rFonts w:ascii="宋体" w:hAnsi="宋体" w:cs="宋体" w:eastAsia="宋体" w:hint="default"/>
          <w:spacing w:val="29"/>
        </w:rPr>
        <w:t> </w:t>
      </w:r>
      <w:r>
        <w:rPr/>
        <w:t>万元及费用支出减少所致；投资活动现金流入增加</w:t>
      </w:r>
    </w:p>
    <w:p>
      <w:pPr>
        <w:spacing w:after="0" w:line="357" w:lineRule="auto"/>
        <w:jc w:val="left"/>
        <w:sectPr>
          <w:pgSz w:w="11910" w:h="16840"/>
          <w:pgMar w:header="745" w:footer="1340" w:top="1060" w:bottom="1540" w:left="980" w:right="0"/>
        </w:sectPr>
      </w:pPr>
    </w:p>
    <w:p>
      <w:pPr>
        <w:spacing w:line="240" w:lineRule="auto" w:before="6"/>
        <w:rPr>
          <w:rFonts w:ascii="宋体" w:hAnsi="宋体" w:cs="宋体" w:eastAsia="宋体" w:hint="default"/>
          <w:sz w:val="29"/>
          <w:szCs w:val="29"/>
        </w:rPr>
      </w:pPr>
    </w:p>
    <w:p>
      <w:pPr>
        <w:pStyle w:val="BodyText"/>
        <w:spacing w:line="357" w:lineRule="auto" w:before="26"/>
        <w:ind w:right="1133"/>
        <w:jc w:val="both"/>
      </w:pPr>
      <w:r>
        <w:rPr>
          <w:rFonts w:ascii="宋体" w:hAnsi="宋体" w:cs="宋体" w:eastAsia="宋体" w:hint="default"/>
        </w:rPr>
        <w:t>27,919.91%</w:t>
      </w:r>
      <w:r>
        <w:rPr/>
        <w:t>，主要是本期公司收到贵阳市工商资产经营管理有限公司付来贵州达众磨料磨具</w:t>
      </w:r>
      <w:r>
        <w:rPr>
          <w:spacing w:val="-89"/>
        </w:rPr>
        <w:t> </w:t>
      </w:r>
      <w:r>
        <w:rPr>
          <w:spacing w:val="-89"/>
        </w:rPr>
      </w:r>
      <w:r>
        <w:rPr/>
        <w:t>有限责任公司部分股权转让款</w:t>
      </w:r>
      <w:r>
        <w:rPr>
          <w:spacing w:val="-67"/>
        </w:rPr>
        <w:t> </w:t>
      </w:r>
      <w:r>
        <w:rPr>
          <w:rFonts w:ascii="宋体" w:hAnsi="宋体" w:cs="宋体" w:eastAsia="宋体" w:hint="default"/>
        </w:rPr>
        <w:t>552.57</w:t>
      </w:r>
      <w:r>
        <w:rPr>
          <w:rFonts w:ascii="宋体" w:hAnsi="宋体" w:cs="宋体" w:eastAsia="宋体" w:hint="default"/>
          <w:spacing w:val="-68"/>
        </w:rPr>
        <w:t> </w:t>
      </w:r>
      <w:r>
        <w:rPr/>
        <w:t>万元所致；筹资活动现金流入增加</w:t>
      </w:r>
      <w:r>
        <w:rPr>
          <w:spacing w:val="-68"/>
        </w:rPr>
        <w:t> </w:t>
      </w:r>
      <w:r>
        <w:rPr>
          <w:rFonts w:ascii="宋体" w:hAnsi="宋体" w:cs="宋体" w:eastAsia="宋体" w:hint="default"/>
        </w:rPr>
        <w:t>167.34%</w:t>
      </w:r>
      <w:r>
        <w:rPr/>
        <w:t>，主要是公 司本期收到非公开发行股票募集资金所致；筹资活动现金流出增加</w:t>
      </w:r>
      <w:r>
        <w:rPr>
          <w:spacing w:val="29"/>
        </w:rPr>
        <w:t> </w:t>
      </w:r>
      <w:r>
        <w:rPr>
          <w:rFonts w:ascii="宋体" w:hAnsi="宋体" w:cs="宋体" w:eastAsia="宋体" w:hint="default"/>
        </w:rPr>
        <w:t>127.25%</w:t>
      </w:r>
      <w:r>
        <w:rPr/>
        <w:t>，主要是公司本</w:t>
      </w:r>
      <w:r>
        <w:rPr>
          <w:spacing w:val="-118"/>
        </w:rPr>
        <w:t> </w:t>
      </w:r>
      <w:r>
        <w:rPr>
          <w:spacing w:val="-118"/>
        </w:rPr>
      </w:r>
      <w:r>
        <w:rPr/>
        <w:t>期偿还短期借款、支付利息增加及支付了增发费用所致；筹资活动产生的现金流量净额增加</w:t>
      </w:r>
      <w:r>
        <w:rPr>
          <w:spacing w:val="-91"/>
        </w:rPr>
        <w:t> </w:t>
      </w:r>
      <w:r>
        <w:rPr>
          <w:spacing w:val="-91"/>
        </w:rPr>
      </w:r>
      <w:r>
        <w:rPr>
          <w:rFonts w:ascii="宋体" w:hAnsi="宋体" w:cs="宋体" w:eastAsia="宋体" w:hint="default"/>
        </w:rPr>
        <w:t>253.34%</w:t>
      </w:r>
      <w:r>
        <w:rPr/>
        <w:t>，主要是公司本期非公开发行股票筹资净增加所致。</w:t>
      </w:r>
    </w:p>
    <w:p>
      <w:pPr>
        <w:spacing w:before="46"/>
        <w:ind w:left="152" w:right="0" w:firstLine="0"/>
        <w:jc w:val="both"/>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5"/>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before="0"/>
        <w:ind w:right="0"/>
        <w:jc w:val="both"/>
        <w:rPr>
          <w:b w:val="0"/>
          <w:bCs w:val="0"/>
        </w:rPr>
      </w:pPr>
      <w:r>
        <w:rPr/>
        <w:t>三、主营业务构成情况</w:t>
      </w:r>
      <w:r>
        <w:rPr>
          <w:b w:val="0"/>
          <w:bCs w:val="0"/>
        </w:rPr>
      </w:r>
    </w:p>
    <w:p>
      <w:pPr>
        <w:spacing w:line="240" w:lineRule="auto" w:before="7"/>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企业信息化服务 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730,471,455.89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568,016,795.09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电信增值业务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100,136,620.98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78,389,702.31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3G-IT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连锁销售</w:t>
            </w:r>
            <w:r>
              <w:rPr>
                <w:rFonts w:ascii="宋体" w:hAnsi="宋体" w:cs="宋体" w:eastAsia="宋体" w:hint="default"/>
                <w:w w:val="99"/>
                <w:sz w:val="18"/>
                <w:szCs w:val="18"/>
              </w:rPr>
              <w:t> </w:t>
            </w:r>
            <w:r>
              <w:rPr>
                <w:rFonts w:ascii="宋体" w:hAnsi="宋体" w:cs="宋体" w:eastAsia="宋体" w:hint="default"/>
                <w:sz w:val="18"/>
                <w:szCs w:val="18"/>
              </w:rPr>
              <w:t>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3,776,200,002.47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3,678,533,334.19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-0.23%</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3,848,053.30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213.57%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-31.11%</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通信设备产品及 制造</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193,455,479.59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42,385,437.72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35.84%</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计算机涉密、系 统集成业务及外 围设备销售业务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537,015,976.30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525,631,357.37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电信增值业务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100,136,620.98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78,389,702.31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3G-IT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连锁销售</w:t>
            </w:r>
            <w:r>
              <w:rPr>
                <w:rFonts w:ascii="宋体" w:hAnsi="宋体" w:cs="宋体" w:eastAsia="宋体" w:hint="default"/>
                <w:w w:val="99"/>
                <w:sz w:val="18"/>
                <w:szCs w:val="18"/>
              </w:rPr>
              <w:t> </w:t>
            </w:r>
            <w:r>
              <w:rPr>
                <w:rFonts w:ascii="宋体" w:hAnsi="宋体" w:cs="宋体" w:eastAsia="宋体" w:hint="default"/>
                <w:sz w:val="18"/>
                <w:szCs w:val="18"/>
              </w:rPr>
              <w:t>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3,776,200,002.47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3,678,533,334.19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3,848,053.30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1,197,000.00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213.57%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-31.11%</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70,009,355.45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58,275,208.42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116.19%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1,602,355,653.31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1,436,432,080.77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10.35%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1.58%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2,753,990,869.10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2,663,879,673.71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184,300,254.78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167,549,868.69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-53.63%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-3.82%</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after="0"/>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9"/>
        <w:rPr>
          <w:rFonts w:ascii="宋体" w:hAnsi="宋体" w:cs="宋体" w:eastAsia="宋体" w:hint="default"/>
          <w:sz w:val="25"/>
          <w:szCs w:val="25"/>
        </w:rPr>
      </w:pPr>
    </w:p>
    <w:p>
      <w:pPr>
        <w:spacing w:before="44"/>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before="0"/>
        <w:ind w:right="1125"/>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、资产项目重大变动情况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260"/>
        <w:gridCol w:w="1064"/>
        <w:gridCol w:w="1195"/>
        <w:gridCol w:w="1064"/>
        <w:gridCol w:w="799"/>
        <w:gridCol w:w="2919"/>
      </w:tblGrid>
      <w:tr>
        <w:trPr>
          <w:trHeight w:val="206"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3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2324" w:type="dxa"/>
            <w:gridSpan w:val="2"/>
            <w:vMerge/>
            <w:tcBorders>
              <w:left w:val="single" w:sz="4" w:space="0" w:color="000000"/>
              <w:bottom w:val="single" w:sz="4" w:space="0" w:color="000000"/>
              <w:right w:val="single" w:sz="4" w:space="0" w:color="000000"/>
            </w:tcBorders>
            <w:shd w:val="clear" w:color="auto" w:fill="D2D2D2"/>
          </w:tcPr>
          <w:p>
            <w:pP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2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5" w:right="72"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2" w:right="7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2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260"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2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0" w:type="dxa"/>
            <w:vMerge w:val="restart"/>
            <w:tcBorders>
              <w:top w:val="single" w:sz="4" w:space="0" w:color="000000"/>
              <w:left w:val="single" w:sz="9" w:space="0" w:color="D2D2D2"/>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1,189,015,013.1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33.12%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313,912,044.28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13.14%</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19.98%</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本期完成定向增发股份所致</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60"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0"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864,517,887.31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24.08%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552,535,284.16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23.13%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本期分销业务增加所致</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275,557,720.55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376,773,272.23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15.77%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138,432,233.22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141,868,141.26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58,982,892.50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65,858,896.08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160,100,294.45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187,057,048.75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22,135,829.50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本期支付票据所致</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37,697,612.20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19,037,648.70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本期对原开发项目增加投入所致</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4,801,035.42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10,589,983.83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本期摊销</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8,466,349.67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4,682,114.90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本期资产减值准备较上年末增加所 致</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、负债项目重大变动情况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206"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2" w:right="7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750,000,000.0</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20.89%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250,000,000.00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10.46%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10.43%</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本期增加借款</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20,061,500.00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上期办理的承兑汇票本期全部到期</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197,594,747.5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135,803,890.52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本期业务增加所致</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-12,051,626.62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-20,674,728.20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本期应交税款增加所致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180,158,294.7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473,572,175.15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本期归还上年向关联方借款</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155,300,819.68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本期偿还发行短期融资券</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本期收到国家拨款</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5"/>
        <w:gridCol w:w="1214"/>
        <w:gridCol w:w="1190"/>
        <w:gridCol w:w="1195"/>
        <w:gridCol w:w="1191"/>
        <w:gridCol w:w="1201"/>
        <w:gridCol w:w="1196"/>
        <w:gridCol w:w="1195"/>
      </w:tblGrid>
      <w:tr>
        <w:trPr>
          <w:trHeight w:val="163" w:hRule="exact"/>
        </w:trPr>
        <w:tc>
          <w:tcPr>
            <w:tcW w:w="1175" w:type="dxa"/>
            <w:vMerge w:val="restart"/>
            <w:tcBorders>
              <w:top w:val="single" w:sz="4" w:space="0" w:color="000000"/>
              <w:left w:val="single" w:sz="4" w:space="0" w:color="000000"/>
              <w:right w:val="single" w:sz="4" w:space="0" w:color="000000"/>
            </w:tcBorders>
            <w:shd w:val="clear" w:color="auto" w:fill="D2D2D2"/>
          </w:tcPr>
          <w:p>
            <w:pPr/>
          </w:p>
        </w:tc>
        <w:tc>
          <w:tcPr>
            <w:tcW w:w="1214" w:type="dxa"/>
            <w:vMerge w:val="restart"/>
            <w:tcBorders>
              <w:top w:val="single" w:sz="4" w:space="0" w:color="000000"/>
              <w:left w:val="single" w:sz="4" w:space="0" w:color="000000"/>
              <w:right w:val="single" w:sz="4" w:space="0" w:color="000000"/>
            </w:tcBorders>
            <w:shd w:val="clear" w:color="auto" w:fill="D2D2D2"/>
          </w:tcPr>
          <w:p>
            <w:pPr/>
          </w:p>
        </w:tc>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52" w:right="5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75" w:type="dxa"/>
            <w:vMerge/>
            <w:tcBorders>
              <w:left w:val="single" w:sz="4" w:space="0" w:color="000000"/>
              <w:bottom w:val="nil" w:sz="6" w:space="0" w:color="auto"/>
              <w:right w:val="single" w:sz="4" w:space="0" w:color="000000"/>
            </w:tcBorders>
            <w:shd w:val="clear" w:color="auto" w:fill="D2D2D2"/>
          </w:tcPr>
          <w:p>
            <w:pPr/>
          </w:p>
        </w:tc>
        <w:tc>
          <w:tcPr>
            <w:tcW w:w="1214" w:type="dxa"/>
            <w:vMerge/>
            <w:tcBorders>
              <w:left w:val="single" w:sz="4" w:space="0" w:color="000000"/>
              <w:bottom w:val="nil" w:sz="6" w:space="0" w:color="auto"/>
              <w:right w:val="single" w:sz="4" w:space="0" w:color="000000"/>
            </w:tcBorders>
            <w:shd w:val="clear" w:color="auto" w:fill="D2D2D2"/>
          </w:tcPr>
          <w:p>
            <w:pPr/>
          </w:p>
        </w:tc>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26" w:right="5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95" w:type="dxa"/>
            <w:vMerge/>
            <w:tcBorders>
              <w:left w:val="single" w:sz="4" w:space="0" w:color="000000"/>
              <w:right w:val="single" w:sz="4" w:space="0" w:color="000000"/>
            </w:tcBorders>
            <w:shd w:val="clear" w:color="auto" w:fill="D2D2D2"/>
          </w:tcPr>
          <w:p>
            <w:pPr/>
          </w:p>
        </w:tc>
        <w:tc>
          <w:tcPr>
            <w:tcW w:w="119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03" w:right="47" w:hanging="452"/>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11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90"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75" w:type="dxa"/>
            <w:vMerge w:val="restart"/>
            <w:tcBorders>
              <w:top w:val="nil" w:sz="6" w:space="0" w:color="auto"/>
              <w:left w:val="single" w:sz="4" w:space="0" w:color="000000"/>
              <w:right w:val="single" w:sz="4" w:space="0" w:color="000000"/>
            </w:tcBorders>
            <w:shd w:val="clear" w:color="auto" w:fill="D2D2D2"/>
          </w:tcPr>
          <w:p>
            <w:pPr/>
          </w:p>
        </w:tc>
        <w:tc>
          <w:tcPr>
            <w:tcW w:w="1214" w:type="dxa"/>
            <w:vMerge w:val="restart"/>
            <w:tcBorders>
              <w:top w:val="nil" w:sz="6" w:space="0" w:color="auto"/>
              <w:left w:val="single" w:sz="4" w:space="0" w:color="000000"/>
              <w:right w:val="single" w:sz="4" w:space="0" w:color="000000"/>
            </w:tcBorders>
            <w:shd w:val="clear" w:color="auto" w:fill="D2D2D2"/>
          </w:tcPr>
          <w:p>
            <w:pPr/>
          </w:p>
        </w:tc>
        <w:tc>
          <w:tcPr>
            <w:tcW w:w="1190"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bottom w:val="nil" w:sz="6" w:space="0" w:color="auto"/>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175"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8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4"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2"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的金融资产</w:t>
            </w:r>
          </w:p>
          <w:p>
            <w:pPr>
              <w:pStyle w:val="TableParagraph"/>
              <w:spacing w:line="316" w:lineRule="auto" w:before="22"/>
              <w:ind w:left="12" w:right="71"/>
              <w:jc w:val="both"/>
              <w:rPr>
                <w:rFonts w:ascii="宋体" w:hAnsi="宋体" w:cs="宋体" w:eastAsia="宋体" w:hint="default"/>
                <w:sz w:val="18"/>
                <w:szCs w:val="18"/>
              </w:rPr>
            </w:pPr>
            <w:r>
              <w:rPr>
                <w:rFonts w:ascii="宋体" w:hAnsi="宋体" w:cs="宋体" w:eastAsia="宋体" w:hint="default"/>
                <w:sz w:val="18"/>
                <w:szCs w:val="18"/>
              </w:rPr>
              <w:t>（不含衍生金 融资产）</w:t>
            </w:r>
          </w:p>
        </w:tc>
        <w:tc>
          <w:tcPr>
            <w:tcW w:w="1214" w:type="dxa"/>
            <w:tcBorders>
              <w:top w:val="single" w:sz="4" w:space="0" w:color="000000"/>
              <w:left w:val="single" w:sz="10" w:space="0" w:color="D2D2D2"/>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 产</w:t>
            </w:r>
          </w:p>
        </w:tc>
        <w:tc>
          <w:tcPr>
            <w:tcW w:w="1214" w:type="dxa"/>
            <w:tcBorders>
              <w:top w:val="single" w:sz="4" w:space="0" w:color="000000"/>
              <w:left w:val="single" w:sz="10" w:space="0" w:color="D2D2D2"/>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1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 融资产</w:t>
            </w:r>
          </w:p>
        </w:tc>
        <w:tc>
          <w:tcPr>
            <w:tcW w:w="1214" w:type="dxa"/>
            <w:tcBorders>
              <w:top w:val="single" w:sz="4" w:space="0" w:color="000000"/>
              <w:left w:val="single" w:sz="10" w:space="0" w:color="D2D2D2"/>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14" w:type="dxa"/>
            <w:tcBorders>
              <w:top w:val="single" w:sz="4" w:space="0" w:color="000000"/>
              <w:left w:val="single" w:sz="10" w:space="0" w:color="D2D2D2"/>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1"/>
              <w:jc w:val="left"/>
              <w:rPr>
                <w:rFonts w:ascii="宋体" w:hAnsi="宋体" w:cs="宋体" w:eastAsia="宋体" w:hint="default"/>
                <w:sz w:val="18"/>
                <w:szCs w:val="18"/>
              </w:rPr>
            </w:pPr>
            <w:r>
              <w:rPr>
                <w:rFonts w:ascii="宋体" w:hAnsi="宋体" w:cs="宋体" w:eastAsia="宋体" w:hint="default"/>
                <w:sz w:val="18"/>
                <w:szCs w:val="18"/>
              </w:rPr>
              <w:t>生产性生物资 产</w:t>
            </w:r>
          </w:p>
        </w:tc>
        <w:tc>
          <w:tcPr>
            <w:tcW w:w="1214" w:type="dxa"/>
            <w:tcBorders>
              <w:top w:val="single" w:sz="4" w:space="0" w:color="000000"/>
              <w:left w:val="single" w:sz="10" w:space="0" w:color="D2D2D2"/>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14" w:type="dxa"/>
            <w:tcBorders>
              <w:top w:val="single" w:sz="4" w:space="0" w:color="000000"/>
              <w:left w:val="single" w:sz="10" w:space="0" w:color="D2D2D2"/>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5"/>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692" w:lineRule="exact" w:before="43"/>
        <w:ind w:left="719" w:right="8267" w:hanging="567"/>
        <w:jc w:val="left"/>
        <w:rPr>
          <w:rFonts w:ascii="宋体" w:hAnsi="宋体" w:cs="宋体" w:eastAsia="宋体" w:hint="default"/>
          <w:sz w:val="24"/>
          <w:szCs w:val="24"/>
        </w:rPr>
      </w:pPr>
      <w:r>
        <w:rPr>
          <w:rFonts w:ascii="宋体" w:hAnsi="宋体" w:cs="宋体" w:eastAsia="宋体" w:hint="default"/>
          <w:b/>
          <w:bCs/>
          <w:sz w:val="24"/>
          <w:szCs w:val="24"/>
        </w:rPr>
        <w:t>五、核心竞争力分析</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企业信息化业务</w:t>
      </w:r>
    </w:p>
    <w:p>
      <w:pPr>
        <w:pStyle w:val="BodyText"/>
        <w:spacing w:line="357" w:lineRule="auto" w:before="49"/>
        <w:ind w:right="1131" w:firstLine="566"/>
        <w:jc w:val="both"/>
      </w:pPr>
      <w:r>
        <w:rPr>
          <w:spacing w:val="-2"/>
        </w:rPr>
        <w:t>（</w:t>
      </w:r>
      <w:r>
        <w:rPr>
          <w:rFonts w:ascii="宋体" w:hAnsi="宋体" w:cs="宋体" w:eastAsia="宋体" w:hint="default"/>
          <w:spacing w:val="-2"/>
        </w:rPr>
        <w:t>1</w:t>
      </w:r>
      <w:r>
        <w:rPr>
          <w:spacing w:val="-2"/>
        </w:rPr>
        <w:t>）技术优势：公司在</w:t>
      </w:r>
      <w:r>
        <w:rPr>
          <w:rFonts w:ascii="宋体" w:hAnsi="宋体" w:cs="宋体" w:eastAsia="宋体" w:hint="default"/>
          <w:spacing w:val="-2"/>
        </w:rPr>
        <w:t>IP</w:t>
      </w:r>
      <w:r>
        <w:rPr>
          <w:spacing w:val="-2"/>
        </w:rPr>
        <w:t>和宽带数据通信、</w:t>
      </w:r>
      <w:r>
        <w:rPr>
          <w:rFonts w:ascii="宋体" w:hAnsi="宋体" w:cs="宋体" w:eastAsia="宋体" w:hint="default"/>
          <w:spacing w:val="-2"/>
        </w:rPr>
        <w:t>NGN/IMS</w:t>
      </w:r>
      <w:r>
        <w:rPr>
          <w:spacing w:val="-2"/>
        </w:rPr>
        <w:t>和</w:t>
      </w:r>
      <w:r>
        <w:rPr>
          <w:rFonts w:ascii="宋体" w:hAnsi="宋体" w:cs="宋体" w:eastAsia="宋体" w:hint="default"/>
          <w:spacing w:val="-2"/>
        </w:rPr>
        <w:t>IP</w:t>
      </w:r>
      <w:r>
        <w:rPr>
          <w:spacing w:val="-2"/>
        </w:rPr>
        <w:t>语音、视频等领域具有深厚的</w:t>
      </w:r>
      <w:r>
        <w:rPr/>
        <w:t> 技术积累和研究基础。公司的企业信息化解决方案是将语音、数据、视频、监控、互联网服</w:t>
      </w:r>
      <w:r>
        <w:rPr>
          <w:spacing w:val="-87"/>
        </w:rPr>
        <w:t> </w:t>
      </w:r>
      <w:r>
        <w:rPr>
          <w:spacing w:val="-87"/>
        </w:rPr>
      </w:r>
      <w:r>
        <w:rPr/>
        <w:t>务和丰富的增值业务应用整合到一个系统中，具有开放、可靠、易于扩展和升级等特点。同</w:t>
      </w:r>
      <w:r>
        <w:rPr>
          <w:spacing w:val="-91"/>
        </w:rPr>
        <w:t> </w:t>
      </w:r>
      <w:r>
        <w:rPr>
          <w:spacing w:val="-91"/>
        </w:rPr>
      </w:r>
      <w:r>
        <w:rPr/>
        <w:t>时，作为国内主要电信运营商的首选网络解决方案和服务提供商之一，公司目前已拥有软交</w:t>
      </w:r>
    </w:p>
    <w:p>
      <w:pPr>
        <w:spacing w:after="0" w:line="357" w:lineRule="auto"/>
        <w:jc w:val="both"/>
        <w:sectPr>
          <w:pgSz w:w="11910" w:h="16840"/>
          <w:pgMar w:header="745" w:footer="1340" w:top="1060" w:bottom="1540" w:left="980" w:right="0"/>
        </w:sectPr>
      </w:pPr>
    </w:p>
    <w:p>
      <w:pPr>
        <w:spacing w:line="240" w:lineRule="auto" w:before="6"/>
        <w:rPr>
          <w:rFonts w:ascii="宋体" w:hAnsi="宋体" w:cs="宋体" w:eastAsia="宋体" w:hint="default"/>
          <w:sz w:val="29"/>
          <w:szCs w:val="29"/>
        </w:rPr>
      </w:pPr>
    </w:p>
    <w:p>
      <w:pPr>
        <w:pStyle w:val="BodyText"/>
        <w:spacing w:line="240" w:lineRule="auto" w:before="26"/>
        <w:ind w:right="1125"/>
        <w:jc w:val="left"/>
      </w:pPr>
      <w:r>
        <w:rPr/>
        <w:t>换平台、中继网关、接入网关、</w:t>
      </w:r>
      <w:r>
        <w:rPr>
          <w:rFonts w:ascii="宋体" w:hAnsi="宋体" w:cs="宋体" w:eastAsia="宋体" w:hint="default"/>
        </w:rPr>
        <w:t>IP</w:t>
      </w:r>
      <w:r>
        <w:rPr/>
        <w:t>电话等全系列软交换</w:t>
      </w:r>
      <w:r>
        <w:rPr>
          <w:rFonts w:ascii="宋体" w:hAnsi="宋体" w:cs="宋体" w:eastAsia="宋体" w:hint="default"/>
        </w:rPr>
        <w:t>/VoIP</w:t>
      </w:r>
      <w:r>
        <w:rPr/>
        <w:t>产品。</w:t>
      </w:r>
    </w:p>
    <w:p>
      <w:pPr>
        <w:pStyle w:val="BodyText"/>
        <w:spacing w:line="357" w:lineRule="auto" w:before="154"/>
        <w:ind w:right="0" w:firstLine="566"/>
        <w:jc w:val="left"/>
      </w:pPr>
      <w:r>
        <w:rPr>
          <w:spacing w:val="-2"/>
        </w:rPr>
        <w:t>（</w:t>
      </w:r>
      <w:r>
        <w:rPr>
          <w:rFonts w:ascii="宋体" w:hAnsi="宋体" w:cs="宋体" w:eastAsia="宋体" w:hint="default"/>
          <w:spacing w:val="-2"/>
        </w:rPr>
        <w:t>2</w:t>
      </w:r>
      <w:r>
        <w:rPr>
          <w:spacing w:val="-2"/>
        </w:rPr>
        <w:t>）资质优势：公司已取得多项资质，包括计算机系统集成一级资质、涉密甲级资质、</w:t>
      </w:r>
      <w:r>
        <w:rPr/>
        <w:t> 建筑智能化设计甲级资质、安防资质等，在建筑智能化弱电集成、计算机集成、</w:t>
      </w:r>
      <w:r>
        <w:rPr>
          <w:rFonts w:ascii="宋体" w:hAnsi="宋体" w:cs="宋体" w:eastAsia="宋体" w:hint="default"/>
        </w:rPr>
        <w:t>RFID</w:t>
      </w:r>
      <w:r>
        <w:rPr/>
        <w:t>集成项</w:t>
      </w:r>
      <w:r>
        <w:rPr>
          <w:spacing w:val="-88"/>
        </w:rPr>
        <w:t> </w:t>
      </w:r>
      <w:r>
        <w:rPr/>
        <w:t>目中有较强的资质优势。</w:t>
      </w:r>
    </w:p>
    <w:p>
      <w:pPr>
        <w:pStyle w:val="BodyText"/>
        <w:spacing w:line="357" w:lineRule="auto" w:before="36"/>
        <w:ind w:right="1171" w:firstLine="566"/>
        <w:jc w:val="both"/>
      </w:pPr>
      <w:r>
        <w:rPr/>
        <w:t>（</w:t>
      </w:r>
      <w:r>
        <w:rPr>
          <w:rFonts w:ascii="宋体" w:hAnsi="宋体" w:cs="宋体" w:eastAsia="宋体" w:hint="default"/>
        </w:rPr>
        <w:t>3</w:t>
      </w:r>
      <w:r>
        <w:rPr/>
        <w:t>）营销网络优势：公司在全国</w:t>
      </w:r>
      <w:r>
        <w:rPr>
          <w:rFonts w:ascii="宋体" w:hAnsi="宋体" w:cs="宋体" w:eastAsia="宋体" w:hint="default"/>
        </w:rPr>
        <w:t>25</w:t>
      </w:r>
      <w:r>
        <w:rPr/>
        <w:t>个省份都设立有办理处和分支机构，并建立了完善 的地区总代、一级代理商、二级代理商、增值业务代理商的渠道体系，在销售体系建设方面 具有较强的竞争优势。</w:t>
      </w:r>
    </w:p>
    <w:p>
      <w:pPr>
        <w:pStyle w:val="BodyText"/>
        <w:spacing w:line="240" w:lineRule="auto" w:before="36"/>
        <w:ind w:left="719" w:right="1125"/>
        <w:jc w:val="left"/>
      </w:pPr>
      <w:r>
        <w:rPr>
          <w:rFonts w:ascii="宋体" w:hAnsi="宋体" w:cs="宋体" w:eastAsia="宋体" w:hint="default"/>
        </w:rPr>
        <w:t>2.IT</w:t>
      </w:r>
      <w:r>
        <w:rPr/>
        <w:t>销售业务</w:t>
      </w:r>
    </w:p>
    <w:p>
      <w:pPr>
        <w:pStyle w:val="BodyText"/>
        <w:spacing w:line="357" w:lineRule="auto" w:before="154"/>
        <w:ind w:right="1128" w:firstLine="566"/>
        <w:jc w:val="both"/>
      </w:pPr>
      <w:r>
        <w:rPr/>
        <w:t>（</w:t>
      </w:r>
      <w:r>
        <w:rPr>
          <w:rFonts w:ascii="宋体" w:hAnsi="宋体" w:cs="宋体" w:eastAsia="宋体" w:hint="default"/>
        </w:rPr>
        <w:t>1</w:t>
      </w:r>
      <w:r>
        <w:rPr/>
        <w:t>）品牌优势：高鸿商城（</w:t>
      </w:r>
      <w:hyperlink r:id="rId14">
        <w:r>
          <w:rPr>
            <w:rFonts w:ascii="宋体" w:hAnsi="宋体" w:cs="宋体" w:eastAsia="宋体" w:hint="default"/>
          </w:rPr>
          <w:t>http://www.tao3c.com</w:t>
        </w:r>
      </w:hyperlink>
      <w:r>
        <w:rPr/>
        <w:t>）被商务部确定为“电子商务示范</w:t>
      </w:r>
      <w:r>
        <w:rPr>
          <w:spacing w:val="2"/>
        </w:rPr>
        <w:t> </w:t>
      </w:r>
      <w:r>
        <w:rPr/>
        <w:t>企业”。</w:t>
      </w:r>
    </w:p>
    <w:p>
      <w:pPr>
        <w:pStyle w:val="BodyText"/>
        <w:spacing w:line="357" w:lineRule="auto" w:before="36"/>
        <w:ind w:right="1126" w:firstLine="566"/>
        <w:jc w:val="both"/>
      </w:pPr>
      <w:r>
        <w:rPr/>
        <w:t>（</w:t>
      </w:r>
      <w:r>
        <w:rPr>
          <w:rFonts w:ascii="宋体" w:hAnsi="宋体" w:cs="宋体" w:eastAsia="宋体" w:hint="default"/>
        </w:rPr>
        <w:t>2</w:t>
      </w:r>
      <w:r>
        <w:rPr/>
        <w:t>）经营模式优势：公司制定了以“注重体验消费、专业诚信服务”为理念的运营模</w:t>
      </w:r>
      <w:r>
        <w:rPr>
          <w:spacing w:val="2"/>
        </w:rPr>
        <w:t> </w:t>
      </w:r>
      <w:r>
        <w:rPr/>
        <w:t>式，以品牌店和品类店相结合、网上营销平台和网下实体店面相结合的新型模式进行</w:t>
      </w:r>
      <w:r>
        <w:rPr>
          <w:rFonts w:ascii="宋体" w:hAnsi="宋体" w:cs="宋体" w:eastAsia="宋体" w:hint="default"/>
        </w:rPr>
        <w:t>IT</w:t>
      </w:r>
      <w:r>
        <w:rPr/>
        <w:t>产品</w:t>
      </w:r>
      <w:r>
        <w:rPr>
          <w:spacing w:val="-86"/>
        </w:rPr>
        <w:t> </w:t>
      </w:r>
      <w:r>
        <w:rPr/>
        <w:t>的销售与服务。该新型模式拉近了消费者与</w:t>
      </w:r>
      <w:r>
        <w:rPr>
          <w:rFonts w:ascii="宋体" w:hAnsi="宋体" w:cs="宋体" w:eastAsia="宋体" w:hint="default"/>
        </w:rPr>
        <w:t>IT</w:t>
      </w:r>
      <w:r>
        <w:rPr/>
        <w:t>品牌、产品之间的距离，推动了公司</w:t>
      </w:r>
      <w:r>
        <w:rPr>
          <w:rFonts w:ascii="宋体" w:hAnsi="宋体" w:cs="宋体" w:eastAsia="宋体" w:hint="default"/>
        </w:rPr>
        <w:t>IT</w:t>
      </w:r>
      <w:r>
        <w:rPr/>
        <w:t>连锁销</w:t>
      </w:r>
      <w:r>
        <w:rPr>
          <w:spacing w:val="-87"/>
        </w:rPr>
        <w:t> </w:t>
      </w:r>
      <w:r>
        <w:rPr>
          <w:spacing w:val="-87"/>
        </w:rPr>
      </w:r>
      <w:r>
        <w:rPr/>
        <w:t>售和电子商务系统业务的发展。</w:t>
      </w:r>
    </w:p>
    <w:p>
      <w:pPr>
        <w:pStyle w:val="BodyText"/>
        <w:spacing w:line="240" w:lineRule="auto" w:before="36"/>
        <w:ind w:left="719" w:right="1125"/>
        <w:jc w:val="left"/>
      </w:pPr>
      <w:r>
        <w:rPr>
          <w:rFonts w:ascii="宋体" w:hAnsi="宋体" w:cs="宋体" w:eastAsia="宋体" w:hint="default"/>
        </w:rPr>
        <w:t>3.</w:t>
      </w:r>
      <w:r>
        <w:rPr/>
        <w:t>信息服务业务</w:t>
      </w:r>
    </w:p>
    <w:p>
      <w:pPr>
        <w:pStyle w:val="BodyText"/>
        <w:spacing w:line="357" w:lineRule="auto" w:before="154"/>
        <w:ind w:left="212" w:right="1133" w:firstLine="566"/>
        <w:jc w:val="both"/>
      </w:pPr>
      <w:r>
        <w:rPr/>
        <w:t>（</w:t>
      </w:r>
      <w:r>
        <w:rPr>
          <w:rFonts w:ascii="宋体" w:hAnsi="宋体" w:cs="宋体" w:eastAsia="宋体" w:hint="default"/>
        </w:rPr>
        <w:t>1</w:t>
      </w:r>
      <w:r>
        <w:rPr/>
        <w:t>）资源优势：公司凭借良好的品牌以及公信力已经聚合了优秀的内容、产品和渠道 </w:t>
      </w:r>
      <w:r>
        <w:rPr>
          <w:spacing w:val="2"/>
        </w:rPr>
        <w:t>资源，打造了强强合作联盟，形成自身的资源整合优势。</w:t>
      </w:r>
      <w:r>
        <w:rPr>
          <w:rFonts w:ascii="宋体" w:hAnsi="宋体" w:cs="宋体" w:eastAsia="宋体" w:hint="default"/>
          <w:spacing w:val="2"/>
        </w:rPr>
        <w:t>2010</w:t>
      </w:r>
      <w:r>
        <w:rPr>
          <w:spacing w:val="2"/>
        </w:rPr>
        <w:t>年</w:t>
      </w:r>
      <w:r>
        <w:rPr>
          <w:rFonts w:ascii="宋体" w:hAnsi="宋体" w:cs="宋体" w:eastAsia="宋体" w:hint="default"/>
          <w:spacing w:val="2"/>
        </w:rPr>
        <w:t>7</w:t>
      </w:r>
      <w:r>
        <w:rPr>
          <w:spacing w:val="2"/>
        </w:rPr>
        <w:t>月，公司与国家出版总署</w:t>
      </w:r>
      <w:r>
        <w:rPr/>
        <w:t> </w:t>
      </w:r>
      <w:r>
        <w:rPr>
          <w:spacing w:val="-1"/>
        </w:rPr>
        <w:t>新闻出版研究院签订战略合作协议，进行战略合作，同时公司还获得“原动力”新媒体原创</w:t>
      </w:r>
      <w:r>
        <w:rPr>
          <w:spacing w:val="-104"/>
        </w:rPr>
        <w:t> </w:t>
      </w:r>
      <w:r>
        <w:rPr>
          <w:spacing w:val="-104"/>
        </w:rPr>
      </w:r>
      <w:r>
        <w:rPr/>
        <w:t>动漫大赛的独家技术支持与优秀原创产品的产业化授权。</w:t>
      </w:r>
    </w:p>
    <w:p>
      <w:pPr>
        <w:pStyle w:val="BodyText"/>
        <w:spacing w:line="357" w:lineRule="auto" w:before="36"/>
        <w:ind w:left="212" w:right="1134" w:firstLine="566"/>
        <w:jc w:val="both"/>
      </w:pPr>
      <w:r>
        <w:rPr/>
        <w:t>（</w:t>
      </w:r>
      <w:r>
        <w:rPr>
          <w:rFonts w:ascii="宋体" w:hAnsi="宋体" w:cs="宋体" w:eastAsia="宋体" w:hint="default"/>
        </w:rPr>
        <w:t>2</w:t>
      </w:r>
      <w:r>
        <w:rPr/>
        <w:t>）技术优势：公司作为一家通信领域高科技上市企业，在技术创新、系统运行稳定 </w:t>
      </w:r>
      <w:r>
        <w:rPr>
          <w:spacing w:val="-1"/>
        </w:rPr>
        <w:t>性、产品服务完整性等方面与传统增值业务企业相比具有明显优势。公司拥有强大的技术团</w:t>
      </w:r>
      <w:r>
        <w:rPr>
          <w:spacing w:val="-104"/>
        </w:rPr>
        <w:t> </w:t>
      </w:r>
      <w:r>
        <w:rPr>
          <w:spacing w:val="-104"/>
        </w:rPr>
      </w:r>
      <w:r>
        <w:rPr>
          <w:spacing w:val="-1"/>
        </w:rPr>
        <w:t>队以及开发经验，可为用户提供各种优质的产品和服务；同时还可完成基础运营商在各项业</w:t>
      </w:r>
      <w:r>
        <w:rPr>
          <w:spacing w:val="-103"/>
        </w:rPr>
        <w:t> </w:t>
      </w:r>
      <w:r>
        <w:rPr>
          <w:spacing w:val="-103"/>
        </w:rPr>
      </w:r>
      <w:r>
        <w:rPr/>
        <w:t>务平台的委托开发、运行维护乃至合作运营领域展开更高层面、更深程度的合作。</w:t>
      </w:r>
    </w:p>
    <w:p>
      <w:pPr>
        <w:pStyle w:val="BodyText"/>
        <w:spacing w:line="357" w:lineRule="auto" w:before="37"/>
        <w:ind w:left="212" w:right="1138" w:firstLine="566"/>
        <w:jc w:val="both"/>
      </w:pPr>
      <w:r>
        <w:rPr/>
        <w:t>（</w:t>
      </w:r>
      <w:r>
        <w:rPr>
          <w:rFonts w:ascii="宋体" w:hAnsi="宋体" w:cs="宋体" w:eastAsia="宋体" w:hint="default"/>
        </w:rPr>
        <w:t>3</w:t>
      </w:r>
      <w:r>
        <w:rPr/>
        <w:t>）渠道优势：公司旗下拥有电子产品连锁销售平台，在与包括手机、笔记本电脑、 智能终端等多种终端类产品的增值业务内嵌合作领域具有广泛前景。</w:t>
      </w:r>
    </w:p>
    <w:p>
      <w:pPr>
        <w:spacing w:after="0" w:line="357" w:lineRule="auto"/>
        <w:jc w:val="both"/>
        <w:sectPr>
          <w:pgSz w:w="11910" w:h="16840"/>
          <w:pgMar w:header="745" w:footer="1340"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ind w:right="1125"/>
        <w:jc w:val="left"/>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、对外股权投资情况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）对外投资情况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361"/>
        <w:gridCol w:w="3192"/>
        <w:gridCol w:w="3190"/>
      </w:tblGrid>
      <w:tr>
        <w:trPr>
          <w:trHeight w:val="401" w:hRule="exact"/>
        </w:trPr>
        <w:tc>
          <w:tcPr>
            <w:tcW w:w="97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3" w:hRule="exact"/>
        </w:trPr>
        <w:tc>
          <w:tcPr>
            <w:tcW w:w="3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7,000,000.00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1,320%</w:t>
            </w:r>
          </w:p>
        </w:tc>
      </w:tr>
      <w:tr>
        <w:trPr>
          <w:trHeight w:val="403" w:hRule="exact"/>
        </w:trPr>
        <w:tc>
          <w:tcPr>
            <w:tcW w:w="97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1" w:hRule="exact"/>
        </w:trPr>
        <w:tc>
          <w:tcPr>
            <w:tcW w:w="3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4"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北京大唐高鸿数据网络技术有限公司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3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大唐高鸿济宁电子信息技术有限公司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销售业务和企业信息化业务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98%</w:t>
            </w:r>
          </w:p>
        </w:tc>
      </w:tr>
    </w:tbl>
    <w:p>
      <w:pPr>
        <w:spacing w:line="240" w:lineRule="auto" w:before="3"/>
        <w:rPr>
          <w:rFonts w:ascii="宋体" w:hAnsi="宋体" w:cs="宋体" w:eastAsia="宋体" w:hint="default"/>
          <w:b/>
          <w:bCs/>
          <w:sz w:val="19"/>
          <w:szCs w:val="19"/>
        </w:rPr>
      </w:pPr>
    </w:p>
    <w:p>
      <w:pPr>
        <w:spacing w:before="36"/>
        <w:ind w:left="152" w:right="1125" w:firstLine="0"/>
        <w:jc w:val="left"/>
        <w:rPr>
          <w:rFonts w:ascii="宋体" w:hAnsi="宋体" w:cs="宋体" w:eastAsia="宋体" w:hint="default"/>
          <w:sz w:val="21"/>
          <w:szCs w:val="21"/>
        </w:rPr>
      </w:pPr>
      <w:r>
        <w:rPr/>
        <w:pict>
          <v:shape style="position:absolute;margin-left:145.940002pt;margin-top:51.26368pt;width:84.15pt;height:17.55pt;mso-position-horizontal-relative:page;mso-position-vertical-relative:paragraph;z-index:-1262536"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成本（元）</w:t>
                  </w:r>
                </w:p>
              </w:txbxContent>
            </v:textbox>
            <w10:wrap type="none"/>
          </v:shape>
        </w:pict>
      </w:r>
      <w:r>
        <w:rPr/>
        <w:pict>
          <v:shape style="position:absolute;margin-left:189.410004pt;margin-top:51.26368pt;width:84.25pt;height:17.55pt;mso-position-horizontal-relative:page;mso-position-vertical-relative:paragraph;z-index:-1262512"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数量（股）</w:t>
                  </w:r>
                </w:p>
              </w:txbxContent>
            </v:textbox>
            <w10:wrap type="none"/>
          </v:shape>
        </w:pict>
      </w:r>
      <w:r>
        <w:rPr/>
        <w:pict>
          <v:shape style="position:absolute;margin-left:276.410004pt;margin-top:51.26368pt;width:84.15pt;height:17.55pt;mso-position-horizontal-relative:page;mso-position-vertical-relative:paragraph;z-index:-1262488"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数量（股）</w:t>
                  </w: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）持有金融企业股权情况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76"/>
        <w:gridCol w:w="881"/>
        <w:gridCol w:w="869"/>
        <w:gridCol w:w="872"/>
        <w:gridCol w:w="869"/>
        <w:gridCol w:w="869"/>
        <w:gridCol w:w="869"/>
        <w:gridCol w:w="869"/>
        <w:gridCol w:w="869"/>
        <w:gridCol w:w="869"/>
        <w:gridCol w:w="854"/>
      </w:tblGrid>
      <w:tr>
        <w:trPr>
          <w:trHeight w:val="713" w:hRule="exact"/>
        </w:trPr>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最初投资</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 w:right="0"/>
              <w:jc w:val="left"/>
              <w:rPr>
                <w:rFonts w:ascii="宋体" w:hAnsi="宋体" w:cs="宋体" w:eastAsia="宋体" w:hint="default"/>
                <w:sz w:val="18"/>
                <w:szCs w:val="18"/>
              </w:rPr>
            </w:pPr>
            <w:r>
              <w:rPr>
                <w:rFonts w:ascii="宋体" w:hAnsi="宋体" w:cs="宋体" w:eastAsia="宋体" w:hint="default"/>
                <w:sz w:val="18"/>
                <w:szCs w:val="18"/>
              </w:rPr>
              <w:t>期初持股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4" w:firstLine="45"/>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9"/>
              <w:jc w:val="right"/>
              <w:rPr>
                <w:rFonts w:ascii="宋体" w:hAnsi="宋体" w:cs="宋体" w:eastAsia="宋体" w:hint="default"/>
                <w:sz w:val="18"/>
                <w:szCs w:val="18"/>
              </w:rPr>
            </w:pPr>
            <w:r>
              <w:rPr>
                <w:rFonts w:ascii="宋体" w:hAnsi="宋体" w:cs="宋体" w:eastAsia="宋体" w:hint="default"/>
                <w:sz w:val="18"/>
                <w:szCs w:val="18"/>
              </w:rPr>
              <w:t>期末持股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4" w:firstLine="45"/>
              <w:jc w:val="left"/>
              <w:rPr>
                <w:rFonts w:ascii="宋体" w:hAnsi="宋体" w:cs="宋体" w:eastAsia="宋体" w:hint="default"/>
                <w:sz w:val="18"/>
                <w:szCs w:val="18"/>
              </w:rPr>
            </w:pPr>
            <w:r>
              <w:rPr>
                <w:rFonts w:ascii="宋体" w:hAnsi="宋体" w:cs="宋体" w:eastAsia="宋体" w:hint="default"/>
                <w:sz w:val="18"/>
                <w:szCs w:val="18"/>
              </w:rPr>
              <w:t>期末持股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8"/>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9" w:right="67"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1027"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both"/>
              <w:rPr>
                <w:rFonts w:ascii="宋体" w:hAnsi="宋体" w:cs="宋体" w:eastAsia="宋体" w:hint="default"/>
                <w:sz w:val="18"/>
                <w:szCs w:val="18"/>
              </w:rPr>
            </w:pPr>
            <w:r>
              <w:rPr>
                <w:rFonts w:ascii="宋体" w:hAnsi="宋体" w:cs="宋体" w:eastAsia="宋体" w:hint="default"/>
                <w:sz w:val="18"/>
                <w:szCs w:val="18"/>
              </w:rPr>
              <w:t>国泰君安 证券股份 有限公司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证券公司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635,958.00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588,850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635,958.00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13"/>
              <w:jc w:val="left"/>
              <w:rPr>
                <w:rFonts w:ascii="宋体" w:hAnsi="宋体" w:cs="宋体" w:eastAsia="宋体" w:hint="default"/>
                <w:sz w:val="18"/>
                <w:szCs w:val="18"/>
              </w:rPr>
            </w:pPr>
            <w:r>
              <w:rPr>
                <w:rFonts w:ascii="宋体" w:hAnsi="宋体" w:cs="宋体" w:eastAsia="宋体" w:hint="default"/>
                <w:sz w:val="18"/>
                <w:szCs w:val="18"/>
              </w:rPr>
              <w:t>长期股权 投资</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17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635,958.00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588,850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635,958.00</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b/>
          <w:bCs/>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）证券投资情况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830"/>
        <w:gridCol w:w="787"/>
        <w:gridCol w:w="797"/>
        <w:gridCol w:w="798"/>
        <w:gridCol w:w="796"/>
        <w:gridCol w:w="799"/>
        <w:gridCol w:w="794"/>
        <w:gridCol w:w="800"/>
        <w:gridCol w:w="784"/>
        <w:gridCol w:w="781"/>
      </w:tblGrid>
      <w:tr>
        <w:trPr>
          <w:trHeight w:val="161" w:hRule="exact"/>
        </w:trPr>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33" w:firstLine="9"/>
              <w:jc w:val="left"/>
              <w:rPr>
                <w:rFonts w:ascii="宋体" w:hAnsi="宋体" w:cs="宋体" w:eastAsia="宋体" w:hint="default"/>
                <w:sz w:val="18"/>
                <w:szCs w:val="18"/>
              </w:rPr>
            </w:pPr>
            <w:r>
              <w:rPr>
                <w:rFonts w:ascii="宋体" w:hAnsi="宋体" w:cs="宋体" w:eastAsia="宋体" w:hint="default"/>
                <w:sz w:val="18"/>
                <w:szCs w:val="18"/>
              </w:rPr>
              <w:t>最初投资 成本</w:t>
            </w:r>
          </w:p>
        </w:tc>
        <w:tc>
          <w:tcPr>
            <w:tcW w:w="797" w:type="dxa"/>
            <w:vMerge w:val="restart"/>
            <w:tcBorders>
              <w:top w:val="single" w:sz="4" w:space="0" w:color="000000"/>
              <w:left w:val="single" w:sz="4" w:space="0" w:color="000000"/>
              <w:right w:val="nil" w:sz="6" w:space="0" w:color="auto"/>
            </w:tcBorders>
            <w:shd w:val="clear" w:color="auto" w:fill="D2D2D2"/>
          </w:tcPr>
          <w:p>
            <w:pPr>
              <w:pStyle w:val="TableParagraph"/>
              <w:spacing w:line="312" w:lineRule="exact" w:before="9"/>
              <w:ind w:left="22" w:right="37" w:firstLine="9"/>
              <w:jc w:val="left"/>
              <w:rPr>
                <w:rFonts w:ascii="宋体" w:hAnsi="宋体" w:cs="宋体" w:eastAsia="宋体" w:hint="default"/>
                <w:sz w:val="18"/>
                <w:szCs w:val="18"/>
              </w:rPr>
            </w:pPr>
            <w:r>
              <w:rPr>
                <w:rFonts w:ascii="宋体" w:hAnsi="宋体" w:cs="宋体" w:eastAsia="宋体" w:hint="default"/>
                <w:sz w:val="18"/>
                <w:szCs w:val="18"/>
              </w:rPr>
              <w:t>期初持股 数量</w:t>
            </w:r>
          </w:p>
        </w:tc>
        <w:tc>
          <w:tcPr>
            <w:tcW w:w="798" w:type="dxa"/>
            <w:vMerge w:val="restart"/>
            <w:tcBorders>
              <w:top w:val="single" w:sz="4" w:space="0" w:color="000000"/>
              <w:left w:val="single" w:sz="4" w:space="0" w:color="000000"/>
              <w:right w:val="nil" w:sz="6" w:space="0" w:color="auto"/>
            </w:tcBorders>
            <w:shd w:val="clear" w:color="auto" w:fill="D2D2D2"/>
          </w:tcPr>
          <w:p>
            <w:pPr>
              <w:pStyle w:val="TableParagraph"/>
              <w:spacing w:line="312" w:lineRule="exact" w:before="9"/>
              <w:ind w:left="22" w:right="38" w:firstLine="9"/>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期初持股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796" w:type="dxa"/>
            <w:vMerge w:val="restart"/>
            <w:tcBorders>
              <w:top w:val="single" w:sz="4" w:space="0" w:color="000000"/>
              <w:left w:val="single" w:sz="4" w:space="0" w:color="000000"/>
              <w:right w:val="nil" w:sz="6" w:space="0" w:color="auto"/>
            </w:tcBorders>
            <w:shd w:val="clear" w:color="auto" w:fill="D2D2D2"/>
          </w:tcPr>
          <w:p>
            <w:pPr>
              <w:pStyle w:val="TableParagraph"/>
              <w:spacing w:line="316" w:lineRule="auto" w:before="49"/>
              <w:ind w:left="23" w:right="35" w:firstLine="9"/>
              <w:jc w:val="left"/>
              <w:rPr>
                <w:rFonts w:ascii="宋体" w:hAnsi="宋体" w:cs="宋体" w:eastAsia="宋体" w:hint="default"/>
                <w:sz w:val="18"/>
                <w:szCs w:val="18"/>
              </w:rPr>
            </w:pPr>
            <w:r>
              <w:rPr>
                <w:rFonts w:ascii="宋体" w:hAnsi="宋体" w:cs="宋体" w:eastAsia="宋体" w:hint="default"/>
                <w:sz w:val="18"/>
                <w:szCs w:val="18"/>
              </w:rPr>
              <w:t>期末持股 数量</w:t>
            </w:r>
          </w:p>
        </w:tc>
        <w:tc>
          <w:tcPr>
            <w:tcW w:w="799" w:type="dxa"/>
            <w:vMerge w:val="restart"/>
            <w:tcBorders>
              <w:top w:val="single" w:sz="4" w:space="0" w:color="000000"/>
              <w:left w:val="single" w:sz="4" w:space="0" w:color="000000"/>
              <w:right w:val="nil" w:sz="6" w:space="0" w:color="auto"/>
            </w:tcBorders>
            <w:shd w:val="clear" w:color="auto" w:fill="D2D2D2"/>
          </w:tcPr>
          <w:p>
            <w:pPr>
              <w:pStyle w:val="TableParagraph"/>
              <w:spacing w:line="312" w:lineRule="exact" w:before="9"/>
              <w:ind w:left="22" w:right="41" w:firstLine="9"/>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期末持股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 w:right="30"/>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 w:right="35"/>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7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2" w:right="19"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78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8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78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nil" w:sz="6" w:space="0" w:color="auto"/>
            </w:tcBorders>
            <w:shd w:val="clear" w:color="auto" w:fill="D2D2D2"/>
          </w:tcPr>
          <w:p>
            <w:pPr/>
          </w:p>
        </w:tc>
        <w:tc>
          <w:tcPr>
            <w:tcW w:w="798" w:type="dxa"/>
            <w:vMerge/>
            <w:tcBorders>
              <w:left w:val="single" w:sz="4" w:space="0" w:color="000000"/>
              <w:bottom w:val="nil" w:sz="6" w:space="0" w:color="auto"/>
              <w:right w:val="nil" w:sz="6" w:space="0" w:color="auto"/>
            </w:tcBorders>
            <w:shd w:val="clear" w:color="auto" w:fill="D2D2D2"/>
          </w:tcPr>
          <w:p>
            <w:pPr/>
          </w:p>
        </w:tc>
        <w:tc>
          <w:tcPr>
            <w:tcW w:w="796" w:type="dxa"/>
            <w:vMerge/>
            <w:tcBorders>
              <w:left w:val="single" w:sz="4" w:space="0" w:color="000000"/>
              <w:right w:val="nil" w:sz="6" w:space="0" w:color="auto"/>
            </w:tcBorders>
            <w:shd w:val="clear" w:color="auto" w:fill="D2D2D2"/>
          </w:tcPr>
          <w:p>
            <w:pPr/>
          </w:p>
        </w:tc>
        <w:tc>
          <w:tcPr>
            <w:tcW w:w="799" w:type="dxa"/>
            <w:vMerge/>
            <w:tcBorders>
              <w:left w:val="single" w:sz="4" w:space="0" w:color="000000"/>
              <w:bottom w:val="nil" w:sz="6" w:space="0" w:color="auto"/>
              <w:right w:val="nil" w:sz="6" w:space="0" w:color="auto"/>
            </w:tcBorders>
            <w:shd w:val="clear" w:color="auto" w:fill="D2D2D2"/>
          </w:tcPr>
          <w:p>
            <w:pPr/>
          </w:p>
        </w:tc>
        <w:tc>
          <w:tcPr>
            <w:tcW w:w="794"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84" w:type="dxa"/>
            <w:vMerge/>
            <w:tcBorders>
              <w:left w:val="single" w:sz="4" w:space="0" w:color="000000"/>
              <w:right w:val="single" w:sz="4" w:space="0" w:color="000000"/>
            </w:tcBorders>
            <w:shd w:val="clear" w:color="auto" w:fill="D2D2D2"/>
          </w:tcPr>
          <w:p>
            <w:pPr/>
          </w:p>
        </w:tc>
        <w:tc>
          <w:tcPr>
            <w:tcW w:w="7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161" w:hRule="exact"/>
        </w:trPr>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nil" w:sz="6" w:space="0" w:color="auto"/>
            </w:tcBorders>
            <w:shd w:val="clear" w:color="auto" w:fill="D2D2D2"/>
          </w:tcPr>
          <w:p>
            <w:pPr/>
          </w:p>
        </w:tc>
        <w:tc>
          <w:tcPr>
            <w:tcW w:w="798" w:type="dxa"/>
            <w:tcBorders>
              <w:top w:val="nil" w:sz="6" w:space="0" w:color="auto"/>
              <w:left w:val="single" w:sz="4" w:space="0" w:color="000000"/>
              <w:bottom w:val="single" w:sz="4" w:space="0" w:color="000000"/>
              <w:right w:val="nil" w:sz="6" w:space="0" w:color="auto"/>
            </w:tcBorders>
            <w:shd w:val="clear" w:color="auto" w:fill="D2D2D2"/>
          </w:tcPr>
          <w:p>
            <w:pPr/>
          </w:p>
        </w:tc>
        <w:tc>
          <w:tcPr>
            <w:tcW w:w="796" w:type="dxa"/>
            <w:vMerge/>
            <w:tcBorders>
              <w:left w:val="single" w:sz="4" w:space="0" w:color="000000"/>
              <w:bottom w:val="single" w:sz="4" w:space="0" w:color="000000"/>
              <w:right w:val="nil" w:sz="6" w:space="0" w:color="auto"/>
            </w:tcBorders>
            <w:shd w:val="clear" w:color="auto" w:fill="D2D2D2"/>
          </w:tcPr>
          <w:p>
            <w:pPr/>
          </w:p>
        </w:tc>
        <w:tc>
          <w:tcPr>
            <w:tcW w:w="799" w:type="dxa"/>
            <w:tcBorders>
              <w:top w:val="nil" w:sz="6" w:space="0" w:color="auto"/>
              <w:left w:val="single" w:sz="4" w:space="0" w:color="000000"/>
              <w:bottom w:val="single" w:sz="4" w:space="0" w:color="000000"/>
              <w:right w:val="nil" w:sz="6" w:space="0" w:color="auto"/>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84" w:type="dxa"/>
            <w:vMerge/>
            <w:tcBorders>
              <w:left w:val="single" w:sz="4" w:space="0" w:color="000000"/>
              <w:bottom w:val="single" w:sz="4" w:space="0" w:color="000000"/>
              <w:right w:val="single" w:sz="4" w:space="0" w:color="000000"/>
            </w:tcBorders>
            <w:shd w:val="clear" w:color="auto" w:fill="D2D2D2"/>
          </w:tcPr>
          <w:p>
            <w:pPr/>
          </w:p>
        </w:tc>
        <w:tc>
          <w:tcPr>
            <w:tcW w:w="78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42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left="450" w:right="0"/>
              <w:jc w:val="left"/>
              <w:rPr>
                <w:rFonts w:ascii="Times New Roman" w:hAnsi="Times New Roman" w:cs="Times New Roman" w:eastAsia="Times New Roman" w:hint="default"/>
                <w:sz w:val="18"/>
                <w:szCs w:val="18"/>
              </w:rPr>
            </w:pPr>
            <w:r>
              <w:rPr>
                <w:rFonts w:ascii="Times New Roman"/>
                <w:sz w:val="18"/>
              </w:rPr>
              <w:t>0.00</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5" w:firstLine="0"/>
        <w:jc w:val="left"/>
        <w:rPr>
          <w:rFonts w:ascii="宋体" w:hAnsi="宋体" w:cs="宋体" w:eastAsia="宋体" w:hint="default"/>
          <w:sz w:val="18"/>
          <w:szCs w:val="18"/>
        </w:rPr>
      </w:pPr>
      <w:r>
        <w:rPr/>
        <w:pict>
          <v:shape style="position:absolute;margin-left:193.462997pt;margin-top:-38.158291pt;width:62.35pt;height:17.650pt;mso-position-horizontal-relative:page;mso-position-vertical-relative:paragraph;z-index:-1262464"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（元）</w:t>
                  </w:r>
                </w:p>
              </w:txbxContent>
            </v:textbox>
            <w10:wrap type="none"/>
          </v:shape>
        </w:pict>
      </w:r>
      <w:r>
        <w:rPr/>
        <w:pict>
          <v:shape style="position:absolute;margin-left:233.207001pt;margin-top:-38.158291pt;width:62.45pt;height:17.650pt;mso-position-horizontal-relative:page;mso-position-vertical-relative:paragraph;z-index:-1262440"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pict>
          <v:shape style="position:absolute;margin-left:291.049988pt;margin-top:-38.158291pt;width:44.45pt;height:17.650pt;mso-position-horizontal-relative:page;mso-position-vertical-relative:paragraph;z-index:-1262416"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13.006989pt;margin-top:-38.158291pt;width:62.45pt;height:17.650pt;mso-position-horizontal-relative:page;mso-position-vertical-relative:paragraph;z-index:-1262392"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pict>
          <v:shape style="position:absolute;margin-left:370.75pt;margin-top:-38.158291pt;width:44.4pt;height:17.650pt;mso-position-horizontal-relative:page;mso-position-vertical-relative:paragraph;z-index:-1262368"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持有其他上市公司股权情况的说明</w:t>
      </w:r>
    </w:p>
    <w:p>
      <w:pPr>
        <w:pStyle w:val="BodyText"/>
        <w:spacing w:line="357" w:lineRule="auto" w:before="148"/>
        <w:ind w:right="1128" w:firstLine="566"/>
        <w:jc w:val="both"/>
        <w:rPr>
          <w:rFonts w:ascii="宋体" w:hAnsi="宋体" w:cs="宋体" w:eastAsia="宋体" w:hint="default"/>
        </w:rPr>
      </w:pPr>
      <w:r>
        <w:rPr>
          <w:spacing w:val="-2"/>
        </w:rPr>
        <w:t>根据公司董事会第五届第二十九次会议审议通过的《关于参与设立创业企业投资公司的</w:t>
      </w:r>
      <w:r>
        <w:rPr/>
        <w:t> </w:t>
      </w:r>
      <w:r>
        <w:rPr>
          <w:spacing w:val="-2"/>
        </w:rPr>
        <w:t>议案》，同意合资成立投资公司。</w:t>
      </w:r>
      <w:r>
        <w:rPr>
          <w:rFonts w:ascii="宋体" w:hAnsi="宋体" w:cs="宋体" w:eastAsia="宋体" w:hint="default"/>
          <w:spacing w:val="-2"/>
        </w:rPr>
        <w:t>2008</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9</w:t>
      </w:r>
      <w:r>
        <w:rPr>
          <w:spacing w:val="-2"/>
        </w:rPr>
        <w:t>日，公司出资</w:t>
      </w:r>
      <w:r>
        <w:rPr>
          <w:rFonts w:ascii="宋体" w:hAnsi="宋体" w:cs="宋体" w:eastAsia="宋体" w:hint="default"/>
          <w:spacing w:val="-2"/>
        </w:rPr>
        <w:t>2,000</w:t>
      </w:r>
      <w:r>
        <w:rPr>
          <w:spacing w:val="-2"/>
        </w:rPr>
        <w:t>万元参股设立北京海岸淘金</w:t>
      </w:r>
      <w:r>
        <w:rPr>
          <w:spacing w:val="-110"/>
        </w:rPr>
        <w:t> </w:t>
      </w:r>
      <w:r>
        <w:rPr>
          <w:spacing w:val="-110"/>
        </w:rPr>
      </w:r>
      <w:r>
        <w:rPr/>
        <w:t>创业投资有限公司（以下简称：“海岸淘金公司”），公司持有其</w:t>
      </w:r>
      <w:r>
        <w:rPr>
          <w:rFonts w:ascii="宋体" w:hAnsi="宋体" w:cs="宋体" w:eastAsia="宋体" w:hint="default"/>
        </w:rPr>
        <w:t>35.71%</w:t>
      </w:r>
      <w:r>
        <w:rPr/>
        <w:t>股权。海岸淘金公</w:t>
      </w:r>
      <w:r>
        <w:rPr>
          <w:spacing w:val="-91"/>
        </w:rPr>
        <w:t> </w:t>
      </w:r>
      <w:r>
        <w:rPr>
          <w:spacing w:val="-91"/>
        </w:rPr>
      </w:r>
      <w:r>
        <w:rPr>
          <w:spacing w:val="-2"/>
        </w:rPr>
        <w:t>司于</w:t>
      </w:r>
      <w:r>
        <w:rPr>
          <w:rFonts w:ascii="宋体" w:hAnsi="宋体" w:cs="宋体" w:eastAsia="宋体" w:hint="default"/>
          <w:spacing w:val="-2"/>
        </w:rPr>
        <w:t>2010</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10</w:t>
      </w:r>
      <w:r>
        <w:rPr>
          <w:spacing w:val="-2"/>
        </w:rPr>
        <w:t>日与北京雪迪龙科技股份有限公司（以下简称：“雪迪龙公司”）签署增资</w:t>
      </w:r>
      <w:r>
        <w:rPr>
          <w:spacing w:val="-116"/>
        </w:rPr>
        <w:t> </w:t>
      </w:r>
      <w:r>
        <w:rPr>
          <w:spacing w:val="-116"/>
        </w:rPr>
      </w:r>
      <w:r>
        <w:rPr>
          <w:spacing w:val="3"/>
        </w:rPr>
        <w:t>协议，以货币形式出资</w:t>
      </w:r>
      <w:r>
        <w:rPr>
          <w:rFonts w:ascii="宋体" w:hAnsi="宋体" w:cs="宋体" w:eastAsia="宋体" w:hint="default"/>
          <w:spacing w:val="3"/>
        </w:rPr>
        <w:t>2,100</w:t>
      </w:r>
      <w:r>
        <w:rPr>
          <w:spacing w:val="3"/>
        </w:rPr>
        <w:t>万元认购雪迪龙公司新增</w:t>
      </w:r>
      <w:r>
        <w:rPr>
          <w:rFonts w:ascii="宋体" w:hAnsi="宋体" w:cs="宋体" w:eastAsia="宋体" w:hint="default"/>
          <w:spacing w:val="3"/>
        </w:rPr>
        <w:t>309.28</w:t>
      </w:r>
      <w:r>
        <w:rPr>
          <w:spacing w:val="3"/>
        </w:rPr>
        <w:t>万股股份，持有雪迪龙公司</w:t>
      </w:r>
      <w:r>
        <w:rPr>
          <w:rFonts w:ascii="宋体" w:hAnsi="宋体" w:cs="宋体" w:eastAsia="宋体" w:hint="default"/>
          <w:spacing w:val="3"/>
        </w:rPr>
        <w:t>3%</w:t>
      </w:r>
      <w:r>
        <w:rPr>
          <w:rFonts w:ascii="宋体" w:hAnsi="宋体" w:cs="宋体" w:eastAsia="宋体" w:hint="default"/>
          <w:spacing w:val="-117"/>
        </w:rPr>
        <w:t> </w:t>
      </w:r>
      <w:r>
        <w:rPr/>
        <w:t>的股份。北京雪迪龙科技股份有限公司于</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26</w:t>
      </w:r>
      <w:r>
        <w:rPr/>
        <w:t>日正式通过了中国证监会主板发行审</w:t>
      </w:r>
      <w:r>
        <w:rPr>
          <w:spacing w:val="-89"/>
        </w:rPr>
        <w:t> </w:t>
      </w:r>
      <w:r>
        <w:rPr>
          <w:spacing w:val="-89"/>
        </w:rPr>
      </w:r>
      <w:r>
        <w:rPr>
          <w:spacing w:val="-5"/>
        </w:rPr>
        <w:t>核委员会的</w:t>
      </w:r>
      <w:r>
        <w:rPr>
          <w:rFonts w:ascii="宋体" w:hAnsi="宋体" w:cs="宋体" w:eastAsia="宋体" w:hint="default"/>
          <w:spacing w:val="-5"/>
        </w:rPr>
        <w:t>IPO</w:t>
      </w:r>
      <w:r>
        <w:rPr>
          <w:spacing w:val="-5"/>
        </w:rPr>
        <w:t>首发申请（具体详见：《发审委</w:t>
      </w:r>
      <w:r>
        <w:rPr>
          <w:rFonts w:ascii="宋体" w:hAnsi="宋体" w:cs="宋体" w:eastAsia="宋体" w:hint="default"/>
          <w:spacing w:val="-5"/>
        </w:rPr>
        <w:t>2011</w:t>
      </w:r>
      <w:r>
        <w:rPr>
          <w:spacing w:val="-5"/>
        </w:rPr>
        <w:t>年第</w:t>
      </w:r>
      <w:r>
        <w:rPr>
          <w:rFonts w:ascii="宋体" w:hAnsi="宋体" w:cs="宋体" w:eastAsia="宋体" w:hint="default"/>
          <w:spacing w:val="-5"/>
        </w:rPr>
        <w:t>288</w:t>
      </w:r>
      <w:r>
        <w:rPr>
          <w:spacing w:val="-5"/>
        </w:rPr>
        <w:t>次会议审核结果公告》）并于</w:t>
      </w:r>
      <w:r>
        <w:rPr>
          <w:rFonts w:ascii="宋体" w:hAnsi="宋体" w:cs="宋体" w:eastAsia="宋体" w:hint="default"/>
          <w:spacing w:val="-5"/>
        </w:rPr>
        <w:t>2012</w:t>
      </w:r>
    </w:p>
    <w:p>
      <w:pPr>
        <w:pStyle w:val="BodyText"/>
        <w:spacing w:line="240" w:lineRule="auto" w:before="36"/>
        <w:ind w:right="1125"/>
        <w:jc w:val="left"/>
      </w:pPr>
      <w:r>
        <w:rPr/>
        <w:t>年</w:t>
      </w:r>
      <w:r>
        <w:rPr>
          <w:rFonts w:ascii="宋体" w:hAnsi="宋体" w:cs="宋体" w:eastAsia="宋体" w:hint="default"/>
        </w:rPr>
        <w:t>2</w:t>
      </w:r>
      <w:r>
        <w:rPr/>
        <w:t>月</w:t>
      </w:r>
      <w:r>
        <w:rPr>
          <w:rFonts w:ascii="宋体" w:hAnsi="宋体" w:cs="宋体" w:eastAsia="宋体" w:hint="default"/>
        </w:rPr>
        <w:t>2</w:t>
      </w:r>
      <w:r>
        <w:rPr/>
        <w:t>日正式收到中国证监会批复，《关于核准北京雪迪龙科技股份有限公司首次公开发行</w:t>
      </w:r>
    </w:p>
    <w:p>
      <w:pPr>
        <w:spacing w:after="0" w:line="240" w:lineRule="auto"/>
        <w:jc w:val="left"/>
        <w:sectPr>
          <w:pgSz w:w="11910" w:h="16840"/>
          <w:pgMar w:header="745" w:footer="1340" w:top="1060" w:bottom="1540" w:left="980" w:right="0"/>
        </w:sectPr>
      </w:pPr>
    </w:p>
    <w:p>
      <w:pPr>
        <w:spacing w:line="240" w:lineRule="auto" w:before="6"/>
        <w:rPr>
          <w:rFonts w:ascii="宋体" w:hAnsi="宋体" w:cs="宋体" w:eastAsia="宋体" w:hint="default"/>
          <w:sz w:val="29"/>
          <w:szCs w:val="29"/>
        </w:rPr>
      </w:pPr>
    </w:p>
    <w:p>
      <w:pPr>
        <w:pStyle w:val="BodyText"/>
        <w:spacing w:line="357" w:lineRule="auto" w:before="26"/>
        <w:ind w:right="1130"/>
        <w:jc w:val="both"/>
      </w:pPr>
      <w:r>
        <w:rPr>
          <w:spacing w:val="-2"/>
        </w:rPr>
        <w:t>股票的批复》（具体详见：证监许可</w:t>
      </w:r>
      <w:r>
        <w:rPr>
          <w:rFonts w:ascii="宋体" w:hAnsi="宋体" w:cs="宋体" w:eastAsia="宋体" w:hint="default"/>
          <w:spacing w:val="-2"/>
        </w:rPr>
        <w:t>[2012]151</w:t>
      </w:r>
      <w:r>
        <w:rPr>
          <w:spacing w:val="-2"/>
        </w:rPr>
        <w:t>号《关于核准北京雪迪龙科技股份有限公司首</w:t>
      </w:r>
      <w:r>
        <w:rPr>
          <w:spacing w:val="-111"/>
        </w:rPr>
        <w:t> </w:t>
      </w:r>
      <w:r>
        <w:rPr>
          <w:spacing w:val="-111"/>
        </w:rPr>
      </w:r>
      <w:r>
        <w:rPr/>
        <w:t>次公开发行股票的批复》）。雪迪龙公司股票已于</w:t>
      </w:r>
      <w:r>
        <w:rPr>
          <w:rFonts w:ascii="宋体" w:hAnsi="宋体" w:cs="宋体" w:eastAsia="宋体" w:hint="default"/>
        </w:rPr>
        <w:t>2012</w:t>
      </w:r>
      <w:r>
        <w:rPr/>
        <w:t>年</w:t>
      </w:r>
      <w:r>
        <w:rPr>
          <w:rFonts w:ascii="宋体" w:hAnsi="宋体" w:cs="宋体" w:eastAsia="宋体" w:hint="default"/>
        </w:rPr>
        <w:t>3</w:t>
      </w:r>
      <w:r>
        <w:rPr/>
        <w:t>月</w:t>
      </w:r>
      <w:r>
        <w:rPr>
          <w:rFonts w:ascii="宋体" w:hAnsi="宋体" w:cs="宋体" w:eastAsia="宋体" w:hint="default"/>
        </w:rPr>
        <w:t>9</w:t>
      </w:r>
      <w:r>
        <w:rPr/>
        <w:t>日上市，海岸淘金公司所持限</w:t>
      </w:r>
      <w:r>
        <w:rPr>
          <w:spacing w:val="-88"/>
        </w:rPr>
        <w:t> </w:t>
      </w:r>
      <w:r>
        <w:rPr>
          <w:spacing w:val="-88"/>
        </w:rPr>
      </w:r>
      <w:r>
        <w:rPr>
          <w:spacing w:val="-2"/>
        </w:rPr>
        <w:t>售股份于</w:t>
      </w:r>
      <w:r>
        <w:rPr>
          <w:rFonts w:ascii="宋体" w:hAnsi="宋体" w:cs="宋体" w:eastAsia="宋体" w:hint="default"/>
          <w:spacing w:val="-2"/>
        </w:rPr>
        <w:t>2013</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10</w:t>
      </w:r>
      <w:r>
        <w:rPr>
          <w:spacing w:val="-2"/>
        </w:rPr>
        <w:t>日后方可上市。（详情见：《北京雪迪龙科技股份有限公司首次公开发</w:t>
      </w:r>
      <w:r>
        <w:rPr>
          <w:spacing w:val="-116"/>
        </w:rPr>
        <w:t> </w:t>
      </w:r>
      <w:r>
        <w:rPr>
          <w:spacing w:val="-116"/>
        </w:rPr>
      </w:r>
      <w:r>
        <w:rPr/>
        <w:t>行股票上市公告书》）</w:t>
      </w:r>
    </w:p>
    <w:p>
      <w:pPr>
        <w:spacing w:line="240" w:lineRule="auto" w:before="10"/>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、委托理财、衍生品投资和委托贷款情况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2"/>
        <w:gridCol w:w="798"/>
        <w:gridCol w:w="796"/>
        <w:gridCol w:w="808"/>
        <w:gridCol w:w="797"/>
        <w:gridCol w:w="799"/>
        <w:gridCol w:w="797"/>
        <w:gridCol w:w="799"/>
        <w:gridCol w:w="797"/>
        <w:gridCol w:w="800"/>
        <w:gridCol w:w="785"/>
        <w:gridCol w:w="792"/>
      </w:tblGrid>
      <w:tr>
        <w:trPr>
          <w:trHeight w:val="161" w:hRule="exact"/>
        </w:trPr>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1" w:right="30" w:hanging="272"/>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2" w:right="33"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3" w:right="30"/>
              <w:jc w:val="left"/>
              <w:rPr>
                <w:rFonts w:ascii="宋体" w:hAnsi="宋体" w:cs="宋体" w:eastAsia="宋体" w:hint="default"/>
                <w:sz w:val="18"/>
                <w:szCs w:val="18"/>
              </w:rPr>
            </w:pPr>
            <w:r>
              <w:rPr>
                <w:rFonts w:ascii="宋体" w:hAnsi="宋体" w:cs="宋体" w:eastAsia="宋体" w:hint="default"/>
                <w:sz w:val="18"/>
                <w:szCs w:val="18"/>
              </w:rPr>
              <w:t>委托理财 起始日期</w:t>
            </w:r>
          </w:p>
        </w:tc>
        <w:tc>
          <w:tcPr>
            <w:tcW w:w="8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7" w:right="39"/>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3" w:right="31"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1"/>
              <w:jc w:val="left"/>
              <w:rPr>
                <w:rFonts w:ascii="宋体" w:hAnsi="宋体" w:cs="宋体" w:eastAsia="宋体" w:hint="default"/>
                <w:sz w:val="18"/>
                <w:szCs w:val="18"/>
              </w:rPr>
            </w:pPr>
            <w:r>
              <w:rPr>
                <w:rFonts w:ascii="宋体" w:hAnsi="宋体" w:cs="宋体" w:eastAsia="宋体" w:hint="default"/>
                <w:sz w:val="18"/>
                <w:szCs w:val="18"/>
              </w:rPr>
              <w:t>实际收回 本金金额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3" w:right="33" w:hanging="180"/>
              <w:jc w:val="left"/>
              <w:rPr>
                <w:rFonts w:ascii="宋体" w:hAnsi="宋体" w:cs="宋体" w:eastAsia="宋体" w:hint="default"/>
                <w:sz w:val="18"/>
                <w:szCs w:val="18"/>
              </w:rPr>
            </w:pPr>
            <w:r>
              <w:rPr>
                <w:rFonts w:ascii="宋体" w:hAnsi="宋体" w:cs="宋体" w:eastAsia="宋体" w:hint="default"/>
                <w:sz w:val="18"/>
                <w:szCs w:val="18"/>
              </w:rPr>
              <w:t>本期实际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6" w:right="31" w:hanging="180"/>
              <w:jc w:val="left"/>
              <w:rPr>
                <w:rFonts w:ascii="宋体" w:hAnsi="宋体" w:cs="宋体" w:eastAsia="宋体" w:hint="default"/>
                <w:sz w:val="18"/>
                <w:szCs w:val="18"/>
              </w:rPr>
            </w:pPr>
            <w:r>
              <w:rPr>
                <w:rFonts w:ascii="宋体" w:hAnsi="宋体" w:cs="宋体" w:eastAsia="宋体" w:hint="default"/>
                <w:sz w:val="18"/>
                <w:szCs w:val="18"/>
              </w:rPr>
              <w:t>实际获得 收益</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2"/>
              <w:jc w:val="left"/>
              <w:rPr>
                <w:rFonts w:ascii="宋体" w:hAnsi="宋体" w:cs="宋体" w:eastAsia="宋体" w:hint="default"/>
                <w:sz w:val="18"/>
                <w:szCs w:val="18"/>
              </w:rPr>
            </w:pPr>
            <w:r>
              <w:rPr>
                <w:rFonts w:ascii="宋体" w:hAnsi="宋体" w:cs="宋体" w:eastAsia="宋体" w:hint="default"/>
                <w:sz w:val="18"/>
                <w:szCs w:val="18"/>
              </w:rPr>
              <w:t>计提减值 准备金额</w:t>
            </w:r>
          </w:p>
        </w:tc>
        <w:tc>
          <w:tcPr>
            <w:tcW w:w="78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3" w:right="19"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7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center"/>
              <w:rPr>
                <w:rFonts w:ascii="宋体" w:hAnsi="宋体" w:cs="宋体" w:eastAsia="宋体" w:hint="default"/>
                <w:sz w:val="18"/>
                <w:szCs w:val="18"/>
              </w:rPr>
            </w:pPr>
            <w:r>
              <w:rPr>
                <w:rFonts w:ascii="宋体" w:hAnsi="宋体" w:cs="宋体" w:eastAsia="宋体" w:hint="default"/>
                <w:sz w:val="18"/>
                <w:szCs w:val="18"/>
              </w:rPr>
              <w:t>关联关系</w:t>
            </w:r>
          </w:p>
        </w:tc>
      </w:tr>
      <w:tr>
        <w:trPr>
          <w:trHeight w:val="161" w:hRule="exact"/>
        </w:trPr>
        <w:tc>
          <w:tcPr>
            <w:tcW w:w="792"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85"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13" w:space="0" w:color="D2D2D2"/>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）衍生品投资情况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报告期末衍生品投资的持仓情况</w:t>
      </w:r>
    </w:p>
    <w:p>
      <w:pPr>
        <w:spacing w:line="338" w:lineRule="auto" w:before="117"/>
        <w:ind w:left="152" w:right="9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说明</w:t>
      </w:r>
    </w:p>
    <w:p>
      <w:pPr>
        <w:spacing w:line="240" w:lineRule="auto" w:before="8"/>
        <w:rPr>
          <w:rFonts w:ascii="宋体" w:hAnsi="宋体" w:cs="宋体" w:eastAsia="宋体" w:hint="default"/>
          <w:sz w:val="21"/>
          <w:szCs w:val="21"/>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14"/>
        <w:gridCol w:w="958"/>
        <w:gridCol w:w="1184"/>
        <w:gridCol w:w="1181"/>
        <w:gridCol w:w="1184"/>
        <w:gridCol w:w="1181"/>
        <w:gridCol w:w="1184"/>
        <w:gridCol w:w="1181"/>
      </w:tblGrid>
      <w:tr>
        <w:trPr>
          <w:trHeight w:val="1025" w:hRule="exact"/>
        </w:trPr>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92" w:right="0"/>
              <w:jc w:val="left"/>
              <w:rPr>
                <w:rFonts w:ascii="宋体" w:hAnsi="宋体" w:cs="宋体" w:eastAsia="宋体" w:hint="default"/>
                <w:sz w:val="18"/>
                <w:szCs w:val="18"/>
              </w:rPr>
            </w:pPr>
            <w:r>
              <w:rPr>
                <w:rFonts w:ascii="宋体" w:hAnsi="宋体" w:cs="宋体" w:eastAsia="宋体" w:hint="default"/>
                <w:sz w:val="18"/>
                <w:szCs w:val="18"/>
              </w:rPr>
              <w:t>贷款对象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是否关联方</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8"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贷款利率</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99" w:right="45" w:hanging="452"/>
              <w:jc w:val="left"/>
              <w:rPr>
                <w:rFonts w:ascii="宋体" w:hAnsi="宋体" w:cs="宋体" w:eastAsia="宋体" w:hint="default"/>
                <w:sz w:val="18"/>
                <w:szCs w:val="18"/>
              </w:rPr>
            </w:pPr>
            <w:r>
              <w:rPr>
                <w:rFonts w:ascii="宋体" w:hAnsi="宋体" w:cs="宋体" w:eastAsia="宋体" w:hint="default"/>
                <w:sz w:val="18"/>
                <w:szCs w:val="18"/>
              </w:rPr>
              <w:t>担保人或抵押 物</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05" w:right="43" w:hanging="360"/>
              <w:jc w:val="left"/>
              <w:rPr>
                <w:rFonts w:ascii="宋体" w:hAnsi="宋体" w:cs="宋体" w:eastAsia="宋体" w:hint="default"/>
                <w:sz w:val="18"/>
                <w:szCs w:val="18"/>
              </w:rPr>
            </w:pPr>
            <w:r>
              <w:rPr>
                <w:rFonts w:ascii="宋体" w:hAnsi="宋体" w:cs="宋体" w:eastAsia="宋体" w:hint="default"/>
                <w:sz w:val="18"/>
                <w:szCs w:val="18"/>
              </w:rPr>
              <w:t>贷款对象资金 用途</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27" w:right="44" w:hanging="180"/>
              <w:jc w:val="left"/>
              <w:rPr>
                <w:rFonts w:ascii="宋体" w:hAnsi="宋体" w:cs="宋体" w:eastAsia="宋体" w:hint="default"/>
                <w:sz w:val="18"/>
                <w:szCs w:val="18"/>
              </w:rPr>
            </w:pPr>
            <w:r>
              <w:rPr>
                <w:rFonts w:ascii="宋体" w:hAnsi="宋体" w:cs="宋体" w:eastAsia="宋体" w:hint="default"/>
                <w:sz w:val="18"/>
                <w:szCs w:val="18"/>
              </w:rPr>
              <w:t>展期、逾期或 诉讼事项</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3"/>
              <w:jc w:val="both"/>
              <w:rPr>
                <w:rFonts w:ascii="宋体" w:hAnsi="宋体" w:cs="宋体" w:eastAsia="宋体" w:hint="default"/>
                <w:sz w:val="18"/>
                <w:szCs w:val="18"/>
              </w:rPr>
            </w:pPr>
            <w:r>
              <w:rPr>
                <w:rFonts w:ascii="宋体" w:hAnsi="宋体" w:cs="宋体" w:eastAsia="宋体" w:hint="default"/>
                <w:sz w:val="18"/>
                <w:szCs w:val="18"/>
              </w:rPr>
              <w:t>展期、逾期或 诉讼事项等风 险的应对措施</w:t>
            </w:r>
          </w:p>
        </w:tc>
      </w:tr>
      <w:tr>
        <w:trPr>
          <w:trHeight w:val="403" w:hRule="exact"/>
        </w:trPr>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99"/>
        <w:gridCol w:w="5471"/>
      </w:tblGrid>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154,293.48</w:t>
            </w:r>
          </w:p>
        </w:tc>
      </w:tr>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3,746.24</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48,053.41</w:t>
            </w:r>
          </w:p>
        </w:tc>
      </w:tr>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089"/>
        <w:gridCol w:w="5481"/>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11,500</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7.45%</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21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年，经中国证监会证监许可</w:t>
            </w:r>
            <w:r>
              <w:rPr>
                <w:rFonts w:ascii="Times New Roman" w:hAnsi="Times New Roman" w:cs="Times New Roman" w:eastAsia="Times New Roman" w:hint="default"/>
                <w:spacing w:val="-3"/>
                <w:sz w:val="18"/>
                <w:szCs w:val="18"/>
              </w:rPr>
              <w:t>[2009]1168</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号文核准，公司于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2009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 </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日采取非公开发行股票方式向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家特定对</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象发行股份</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7,300</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万股股票，每股发行价</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6.70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元，特定投资者均以货币资金认购。经中瑞岳华会计师事务所有限公司出具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的中瑞岳华验字</w:t>
            </w:r>
            <w:r>
              <w:rPr>
                <w:rFonts w:ascii="Times New Roman" w:hAnsi="Times New Roman" w:cs="Times New Roman" w:eastAsia="Times New Roman" w:hint="default"/>
                <w:sz w:val="18"/>
                <w:szCs w:val="18"/>
              </w:rPr>
              <w:t>[2009]</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号《验资报告》验证，本次共募集资金人民币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489,100,000.00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元，扣除承销、保荐及其他费</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25,602,000.00 </w:t>
            </w:r>
            <w:r>
              <w:rPr>
                <w:rFonts w:ascii="宋体" w:hAnsi="宋体" w:cs="宋体" w:eastAsia="宋体" w:hint="default"/>
                <w:sz w:val="18"/>
                <w:szCs w:val="18"/>
              </w:rPr>
              <w:t>元后，本次实际募集资金净额为人民币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463,498,000.00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日，报告期内使</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年度募集资金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2,042.83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万元，累计使用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年度募集资金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46,350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年度募集资金使用完毕。</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经中国证监会证监许可</w:t>
            </w:r>
            <w:r>
              <w:rPr>
                <w:rFonts w:ascii="Times New Roman" w:hAnsi="Times New Roman" w:cs="Times New Roman" w:eastAsia="Times New Roman" w:hint="default"/>
                <w:sz w:val="18"/>
                <w:szCs w:val="18"/>
              </w:rPr>
              <w:t>[2012]690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号文核准，公司于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日采取非公开发行股票方式向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家特定对象发行股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18,304</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万股股票，每股发行价</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元，特定投资者均以货币资金认购。经中瑞岳华会计师事务所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出具的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中瑞岳华验字</w:t>
            </w:r>
            <w:r>
              <w:rPr>
                <w:rFonts w:ascii="Times New Roman" w:hAnsi="Times New Roman" w:cs="Times New Roman" w:eastAsia="Times New Roman" w:hint="default"/>
                <w:sz w:val="18"/>
                <w:szCs w:val="18"/>
              </w:rPr>
              <w:t>[2012]</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号《验资报告》验证，本次共募集资金人民币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1,120,204,800.00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元，扣除承销、保荐及其他费</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用人民币元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40,770,000.00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后，本次实际募集资金净额为人民币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1,079,434,800.00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日，报告期内使</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1703.41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万元，累计使用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1703.41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4"/>
        <w:gridCol w:w="883"/>
        <w:gridCol w:w="931"/>
        <w:gridCol w:w="780"/>
        <w:gridCol w:w="784"/>
        <w:gridCol w:w="776"/>
        <w:gridCol w:w="776"/>
        <w:gridCol w:w="788"/>
        <w:gridCol w:w="776"/>
        <w:gridCol w:w="780"/>
      </w:tblGrid>
      <w:tr>
        <w:trPr>
          <w:trHeight w:val="133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3" w:right="18"/>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8" w:right="7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86" w:right="82"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7"/>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22"/>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47" w:right="0"/>
              <w:jc w:val="left"/>
              <w:rPr>
                <w:rFonts w:ascii="Times New Roman" w:hAnsi="Times New Roman" w:cs="Times New Roman" w:eastAsia="Times New Roman" w:hint="default"/>
                <w:sz w:val="18"/>
                <w:szCs w:val="18"/>
              </w:rPr>
            </w:pPr>
            <w:r>
              <w:rPr>
                <w:rFonts w:ascii="Times New Roman"/>
                <w:sz w:val="18"/>
              </w:rPr>
              <w:t>(2)/(1)</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5" w:right="18"/>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0" w:right="26"/>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2" w:right="22"/>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82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连锁门店拓展和基</w:t>
            </w:r>
            <w:r>
              <w:rPr>
                <w:rFonts w:ascii="宋体" w:hAnsi="宋体" w:cs="宋体" w:eastAsia="宋体" w:hint="default"/>
                <w:w w:val="99"/>
                <w:sz w:val="18"/>
                <w:szCs w:val="18"/>
              </w:rPr>
              <w:t> </w:t>
            </w:r>
            <w:r>
              <w:rPr>
                <w:rFonts w:ascii="宋体" w:hAnsi="宋体" w:cs="宋体" w:eastAsia="宋体" w:hint="default"/>
                <w:sz w:val="18"/>
                <w:szCs w:val="18"/>
              </w:rPr>
              <w:t>于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的移动电子商 务系统</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31,350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31,350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280.46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31,350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3,470.34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7"/>
              <w:jc w:val="both"/>
              <w:rPr>
                <w:rFonts w:ascii="宋体" w:hAnsi="宋体" w:cs="宋体" w:eastAsia="宋体" w:hint="default"/>
                <w:sz w:val="18"/>
                <w:szCs w:val="18"/>
              </w:rPr>
            </w:pP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移动互联网增值 业务及互联网增值业 务</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1,762.37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2,174.69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jc w:val="both"/>
              <w:rPr>
                <w:rFonts w:ascii="宋体" w:hAnsi="宋体" w:cs="宋体" w:eastAsia="宋体" w:hint="default"/>
                <w:sz w:val="18"/>
                <w:szCs w:val="18"/>
              </w:rPr>
            </w:pPr>
            <w:r>
              <w:rPr>
                <w:rFonts w:ascii="宋体" w:hAnsi="宋体" w:cs="宋体" w:eastAsia="宋体" w:hint="default"/>
                <w:sz w:val="18"/>
                <w:szCs w:val="18"/>
              </w:rPr>
              <w:t>企业信息化系列产品 研发升级与产业化项 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28,036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28,036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电子商务项目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41,987.48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41,987.48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5"/>
              <w:jc w:val="both"/>
              <w:rPr>
                <w:rFonts w:ascii="宋体" w:hAnsi="宋体" w:cs="宋体" w:eastAsia="宋体" w:hint="default"/>
                <w:sz w:val="18"/>
                <w:szCs w:val="18"/>
              </w:rPr>
            </w:pPr>
            <w:r>
              <w:rPr>
                <w:rFonts w:ascii="宋体" w:hAnsi="宋体" w:cs="宋体" w:eastAsia="宋体" w:hint="default"/>
                <w:sz w:val="18"/>
                <w:szCs w:val="18"/>
              </w:rPr>
              <w:t>移动增值业务升级扩 容建设及数字新媒体 内容采集与运营项目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37,920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37,920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1,703.41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1,703.41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8"/>
              <w:jc w:val="right"/>
              <w:rPr>
                <w:rFonts w:ascii="Times New Roman" w:hAnsi="Times New Roman" w:cs="Times New Roman" w:eastAsia="Times New Roman" w:hint="default"/>
                <w:sz w:val="18"/>
                <w:szCs w:val="18"/>
              </w:rPr>
            </w:pPr>
            <w:r>
              <w:rPr>
                <w:rFonts w:ascii="Times New Roman"/>
                <w:sz w:val="18"/>
              </w:rPr>
              <w:t>--</w:t>
            </w:r>
          </w:p>
        </w:tc>
        <w:tc>
          <w:tcPr>
            <w:tcW w:w="8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154,293.48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154,293.48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3,746.24</w:t>
            </w:r>
          </w:p>
        </w:tc>
        <w:tc>
          <w:tcPr>
            <w:tcW w:w="78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48,053.41</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2" w:right="0"/>
              <w:jc w:val="lef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5,645.03</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982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18"/>
              <w:jc w:val="right"/>
              <w:rPr>
                <w:rFonts w:ascii="Times New Roman" w:hAnsi="Times New Roman" w:cs="Times New Roman" w:eastAsia="Times New Roman" w:hint="default"/>
                <w:sz w:val="18"/>
                <w:szCs w:val="18"/>
              </w:rPr>
            </w:pPr>
            <w:r>
              <w:rPr>
                <w:rFonts w:ascii="Times New Roman"/>
                <w:sz w:val="18"/>
              </w:rPr>
              <w:t>--</w:t>
            </w:r>
          </w:p>
        </w:tc>
        <w:tc>
          <w:tcPr>
            <w:tcW w:w="88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154,293.48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154,293.48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3,746.24</w:t>
            </w:r>
          </w:p>
        </w:tc>
        <w:tc>
          <w:tcPr>
            <w:tcW w:w="78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11"/>
              <w:jc w:val="right"/>
              <w:rPr>
                <w:rFonts w:ascii="Times New Roman" w:hAnsi="Times New Roman" w:cs="Times New Roman" w:eastAsia="Times New Roman" w:hint="default"/>
                <w:sz w:val="18"/>
                <w:szCs w:val="18"/>
              </w:rPr>
            </w:pPr>
            <w:r>
              <w:rPr>
                <w:rFonts w:ascii="Times New Roman"/>
                <w:spacing w:val="-1"/>
                <w:sz w:val="18"/>
              </w:rPr>
              <w:t>48,053.41</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22" w:right="0"/>
              <w:jc w:val="lef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w w:val="95"/>
                <w:sz w:val="18"/>
              </w:rPr>
              <w:t>5,645.03</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3"/>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340" w:top="1060" w:bottom="154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262320" coordorigin="9206,15298" coordsize="2700,1540">
            <v:shape style="position:absolute;left:9206;top:15298;width:2700;height:1540" type="#_x0000_t75" stroked="false">
              <v:imagedata r:id="rId18"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23</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8049"/>
      </w:tblGrid>
      <w:tr>
        <w:trPr>
          <w:trHeight w:val="102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80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8" w:firstLine="9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2011 </w:t>
            </w:r>
            <w:r>
              <w:rPr>
                <w:rFonts w:ascii="宋体" w:hAnsi="宋体" w:cs="宋体" w:eastAsia="宋体" w:hint="default"/>
                <w:sz w:val="18"/>
                <w:szCs w:val="18"/>
              </w:rPr>
              <w:t>年公司变更</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连锁门店拓展</w:t>
            </w:r>
            <w:r>
              <w:rPr>
                <w:rFonts w:ascii="Times New Roman" w:hAnsi="Times New Roman" w:cs="Times New Roman" w:eastAsia="Times New Roman" w:hint="default"/>
                <w:sz w:val="18"/>
                <w:szCs w:val="18"/>
              </w:rPr>
              <w:t>”</w:t>
            </w:r>
            <w:r>
              <w:rPr>
                <w:rFonts w:ascii="宋体" w:hAnsi="宋体" w:cs="宋体" w:eastAsia="宋体" w:hint="default"/>
                <w:sz w:val="18"/>
                <w:szCs w:val="18"/>
              </w:rPr>
              <w:t>实施地点及实施方式后，通过在烟台佰和数码广场购置自有物业 实施</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连锁门店拓展</w:t>
            </w:r>
            <w:r>
              <w:rPr>
                <w:rFonts w:ascii="Times New Roman" w:hAnsi="Times New Roman" w:cs="Times New Roman" w:eastAsia="Times New Roman" w:hint="default"/>
                <w:sz w:val="18"/>
                <w:szCs w:val="18"/>
              </w:rPr>
              <w:t>”</w:t>
            </w:r>
            <w:r>
              <w:rPr>
                <w:rFonts w:ascii="宋体" w:hAnsi="宋体" w:cs="宋体" w:eastAsia="宋体" w:hint="default"/>
                <w:sz w:val="18"/>
                <w:szCs w:val="18"/>
              </w:rPr>
              <w:t>项目，目前烟台高鸿初步实现统一经营，运营时间较短故在本报告期内未达预 计收益。</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8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70" w:type="dxa"/>
            <w:vMerge/>
            <w:tcBorders>
              <w:left w:val="single" w:sz="4" w:space="0" w:color="000000"/>
              <w:right w:val="single" w:sz="4" w:space="0" w:color="000000"/>
            </w:tcBorders>
            <w:shd w:val="clear" w:color="auto" w:fill="D2D2D2"/>
          </w:tcPr>
          <w:p>
            <w:pPr/>
          </w:p>
        </w:tc>
        <w:tc>
          <w:tcPr>
            <w:tcW w:w="8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02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80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28"/>
              <w:jc w:val="both"/>
              <w:rPr>
                <w:rFonts w:ascii="宋体" w:hAnsi="宋体" w:cs="宋体" w:eastAsia="宋体" w:hint="default"/>
                <w:sz w:val="18"/>
                <w:szCs w:val="18"/>
              </w:rPr>
            </w:pPr>
            <w:r>
              <w:rPr>
                <w:rFonts w:ascii="宋体" w:hAnsi="宋体" w:cs="宋体" w:eastAsia="宋体" w:hint="default"/>
                <w:sz w:val="18"/>
                <w:szCs w:val="18"/>
              </w:rPr>
              <w:t>经公司第六届十六次董事会及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年第一次临时股东大会审议通过。截至本报告日，公司已将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年募集资金项目</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连锁门店拓展和基于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的移动电子商务系统项目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的实施地点由在各地开设连锁 店面变更为在烟台市佰和数码广场开设大规模连锁销售店群。</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70" w:type="dxa"/>
            <w:vMerge/>
            <w:tcBorders>
              <w:left w:val="single" w:sz="4" w:space="0" w:color="000000"/>
              <w:right w:val="single" w:sz="4" w:space="0" w:color="000000"/>
            </w:tcBorders>
            <w:shd w:val="clear" w:color="auto" w:fill="D2D2D2"/>
          </w:tcPr>
          <w:p>
            <w:pPr/>
          </w:p>
        </w:tc>
        <w:tc>
          <w:tcPr>
            <w:tcW w:w="8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025"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80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经公司第六届十六次董事会及</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年第一次临时股东大会审议通过</w:t>
            </w:r>
            <w:r>
              <w:rPr>
                <w:rFonts w:ascii="Times New Roman" w:hAnsi="Times New Roman" w:cs="Times New Roman" w:eastAsia="Times New Roman" w:hint="default"/>
                <w:sz w:val="18"/>
                <w:szCs w:val="18"/>
              </w:rPr>
              <w:t>,</w:t>
            </w:r>
            <w:r>
              <w:rPr>
                <w:rFonts w:ascii="宋体" w:hAnsi="宋体" w:cs="宋体" w:eastAsia="宋体" w:hint="default"/>
                <w:sz w:val="18"/>
                <w:szCs w:val="18"/>
              </w:rPr>
              <w:t>公司已将</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年募集资金项目</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连锁门店拓展和基于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的移动电子商务系统项目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的实施方式由向电脑城物业租用经营场所变更为购 置自有物业经营。</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457"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804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18"/>
              <w:jc w:val="both"/>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年度募集资金：截至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日，公司已以自筹资金预先投入募集资金投资项目实际投资 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1,900.74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连锁门店拓展和基于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的移动电子商务系统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1,627.54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移动 互联网增值业务及互联网增值业务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273.2</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万元。</w:t>
            </w:r>
            <w:r>
              <w:rPr>
                <w:rFonts w:ascii="Times New Roman" w:hAnsi="Times New Roman" w:cs="Times New Roman" w:eastAsia="Times New Roman" w:hint="default"/>
                <w:spacing w:val="-10"/>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日经公司第六 </w:t>
            </w:r>
            <w:r>
              <w:rPr>
                <w:rFonts w:ascii="宋体" w:hAnsi="宋体" w:cs="宋体" w:eastAsia="宋体" w:hint="default"/>
                <w:spacing w:val="-3"/>
                <w:sz w:val="18"/>
                <w:szCs w:val="18"/>
              </w:rPr>
              <w:t>届董事会第八次会审议通过《关于以非公开发行募集资金置换自筹资金的议案》，并经公司独立董事发</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表意见，同意为了提高募集资金利用效率，减少财务费用支出，公司以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19,007,376.44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元募集资金置换</w:t>
            </w:r>
          </w:p>
          <w:p>
            <w:pPr>
              <w:pStyle w:val="TableParagraph"/>
              <w:spacing w:line="309" w:lineRule="auto" w:before="9"/>
              <w:ind w:left="24" w:right="45"/>
              <w:jc w:val="both"/>
              <w:rPr>
                <w:rFonts w:ascii="宋体" w:hAnsi="宋体" w:cs="宋体" w:eastAsia="宋体" w:hint="default"/>
                <w:sz w:val="18"/>
                <w:szCs w:val="18"/>
              </w:rPr>
            </w:pPr>
            <w:r>
              <w:rPr>
                <w:rFonts w:ascii="宋体" w:hAnsi="宋体" w:cs="宋体" w:eastAsia="宋体" w:hint="default"/>
                <w:sz w:val="18"/>
                <w:szCs w:val="18"/>
              </w:rPr>
              <w:t>上述已预先投入募集资金投资项目的自筹资金。公司聘请中瑞岳华会计师事务所有限公司对公司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年募集资金投资项目实际使用自筹资金情况进行了专项审核。经公司保荐机构西南证券股份有限公司 核查，西南证券及保荐代表人同意公司以本次非公开发行募集资金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1,900.74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万元置换预先投入募集资</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金投资项目的自筹资金。</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年度募集资金，截至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日，公司以自筹资金预先投入募集</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资金项目实际投资人民币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万元，全部为用于移动增值业务升级扩容建设及数字新媒体内容采集与</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pacing w:val="-3"/>
                <w:sz w:val="18"/>
                <w:szCs w:val="18"/>
              </w:rPr>
              <w:t>运营项目。</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日，经公司第七届董事会第十三次会议审议通过《关于募集资金置换预先投</w:t>
            </w:r>
          </w:p>
          <w:p>
            <w:pPr>
              <w:pStyle w:val="TableParagraph"/>
              <w:spacing w:line="309" w:lineRule="auto" w:before="63"/>
              <w:ind w:left="24" w:right="44"/>
              <w:jc w:val="both"/>
              <w:rPr>
                <w:rFonts w:ascii="宋体" w:hAnsi="宋体" w:cs="宋体" w:eastAsia="宋体" w:hint="default"/>
                <w:sz w:val="18"/>
                <w:szCs w:val="18"/>
              </w:rPr>
            </w:pPr>
            <w:r>
              <w:rPr>
                <w:rFonts w:ascii="宋体" w:hAnsi="宋体" w:cs="宋体" w:eastAsia="宋体" w:hint="default"/>
                <w:spacing w:val="-3"/>
                <w:sz w:val="18"/>
                <w:szCs w:val="18"/>
              </w:rPr>
              <w:t>入募集资金投资项目的自筹资金的议案》，并经独立董事、监事会、保荐机构发表了意见，公司以</w:t>
            </w:r>
            <w:r>
              <w:rPr>
                <w:rFonts w:ascii="宋体" w:hAnsi="宋体" w:cs="宋体" w:eastAsia="宋体" w:hint="default"/>
                <w:spacing w:val="-12"/>
                <w:sz w:val="18"/>
                <w:szCs w:val="18"/>
              </w:rPr>
              <w:t> </w:t>
            </w:r>
            <w:r>
              <w:rPr>
                <w:rFonts w:ascii="Times New Roman" w:hAnsi="Times New Roman" w:cs="Times New Roman" w:eastAsia="Times New Roman" w:hint="default"/>
                <w:spacing w:val="-1"/>
                <w:sz w:val="18"/>
                <w:szCs w:val="18"/>
              </w:rPr>
              <w:t>700</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pacing w:val="-36"/>
                <w:sz w:val="18"/>
                <w:szCs w:val="18"/>
              </w:rPr>
            </w:r>
            <w:r>
              <w:rPr>
                <w:rFonts w:ascii="宋体" w:hAnsi="宋体" w:cs="宋体" w:eastAsia="宋体" w:hint="default"/>
                <w:sz w:val="18"/>
                <w:szCs w:val="18"/>
              </w:rPr>
              <w:t>万元募集资金置换上述已预先投入募集资金项目的自筹资金，公司聘请了中瑞岳华会计师事务所（特 殊普通合伙）对公司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年募集资金投资项目实际使用自筹资金情况进行了专项审核。</w:t>
            </w:r>
          </w:p>
        </w:tc>
      </w:tr>
      <w:tr>
        <w:trPr>
          <w:trHeight w:val="404"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3"/>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4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8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2009</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日经公司第六届董事会第八次会议审议通过将不超过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4,600 </w:t>
            </w:r>
            <w:r>
              <w:rPr>
                <w:rFonts w:ascii="宋体" w:hAnsi="宋体" w:cs="宋体" w:eastAsia="宋体" w:hint="default"/>
                <w:sz w:val="18"/>
                <w:szCs w:val="18"/>
              </w:rPr>
              <w:t>万元的闲置募集资金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暂时用于补充公司流动资金，期限自董事会审议批准之日起不超过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日，公司</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使用闲置募集资金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万元补充流动资金，于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日将</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万元资金全部归还并存入公</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司募集资金专用账户</w:t>
            </w:r>
            <w:r>
              <w:rPr>
                <w:rFonts w:ascii="宋体" w:hAnsi="宋体" w:cs="宋体" w:eastAsia="宋体" w:hint="default"/>
                <w:spacing w:val="-16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77"/>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日经公司第六届董</w:t>
            </w:r>
            <w:r>
              <w:rPr>
                <w:rFonts w:ascii="宋体" w:hAnsi="宋体" w:cs="宋体" w:eastAsia="宋体" w:hint="default"/>
                <w:spacing w:val="-3"/>
                <w:sz w:val="18"/>
                <w:szCs w:val="18"/>
              </w:rPr>
              <w:t>事</w:t>
            </w:r>
            <w:r>
              <w:rPr>
                <w:rFonts w:ascii="宋体" w:hAnsi="宋体" w:cs="宋体" w:eastAsia="宋体" w:hint="default"/>
                <w:sz w:val="18"/>
                <w:szCs w:val="18"/>
              </w:rPr>
              <w:t>会第十一次会议审议通过将不超过</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万元的闲置募集资金暂时用于补充公司流动资金，期限自董事会审议批准之日起不超过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日公司使用闲置募集资金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4,600 </w:t>
            </w:r>
            <w:r>
              <w:rPr>
                <w:rFonts w:ascii="宋体" w:hAnsi="宋体" w:cs="宋体" w:eastAsia="宋体" w:hint="default"/>
                <w:sz w:val="18"/>
                <w:szCs w:val="18"/>
              </w:rPr>
              <w:t>万元补充流动资金，已于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4,600 </w:t>
            </w:r>
            <w:r>
              <w:rPr>
                <w:rFonts w:ascii="宋体" w:hAnsi="宋体" w:cs="宋体" w:eastAsia="宋体" w:hint="default"/>
                <w:sz w:val="18"/>
                <w:szCs w:val="18"/>
              </w:rPr>
              <w:t>万元资</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金全部归还并存入公司募集资金专用账户</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日经公司第六届董事会</w:t>
            </w:r>
            <w:r>
              <w:rPr>
                <w:rFonts w:ascii="宋体" w:hAnsi="宋体" w:cs="宋体" w:eastAsia="宋体" w:hint="default"/>
                <w:spacing w:val="-3"/>
                <w:sz w:val="18"/>
                <w:szCs w:val="18"/>
              </w:rPr>
              <w:t>第</w:t>
            </w:r>
            <w:r>
              <w:rPr>
                <w:rFonts w:ascii="宋体" w:hAnsi="宋体" w:cs="宋体" w:eastAsia="宋体" w:hint="default"/>
                <w:sz w:val="18"/>
                <w:szCs w:val="18"/>
              </w:rPr>
              <w:t>十六次会议</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审议通过将不超过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4,600 </w:t>
            </w:r>
            <w:r>
              <w:rPr>
                <w:rFonts w:ascii="宋体" w:hAnsi="宋体" w:cs="宋体" w:eastAsia="宋体" w:hint="default"/>
                <w:sz w:val="18"/>
                <w:szCs w:val="18"/>
              </w:rPr>
              <w:t>万元的闲置募集资金暂时用于补充公司流动资金，期限自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headerReference w:type="default" r:id="rId16"/>
          <w:footerReference w:type="default" r:id="rId17"/>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8049"/>
      </w:tblGrid>
      <w:tr>
        <w:trPr>
          <w:trHeight w:val="1611"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起至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日公司使用闲置募集资金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万元补充流动资金，已于</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资金全部归还并存入公司募集资金专用账户</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司第七届董事会第九次会议审议通过；并于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pacing w:val="-6"/>
                <w:sz w:val="18"/>
                <w:szCs w:val="18"/>
              </w:rPr>
              <w:t>日，</w:t>
            </w:r>
            <w:r>
              <w:rPr>
                <w:rFonts w:ascii="Times New Roman" w:hAnsi="Times New Roman" w:cs="Times New Roman" w:eastAsia="Times New Roman" w:hint="default"/>
                <w:spacing w:val="-6"/>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年第八次临时股东大会审议批准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将不超过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万元的闲置募集资金暂时用于补充公司流动资金，期限自股东大会批准之日起不超过</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日公司使用闲置募集资金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 </w:t>
            </w:r>
            <w:r>
              <w:rPr>
                <w:rFonts w:ascii="宋体" w:hAnsi="宋体" w:cs="宋体" w:eastAsia="宋体" w:hint="default"/>
                <w:sz w:val="18"/>
                <w:szCs w:val="18"/>
              </w:rPr>
              <w:t>万元补充流动资金，尚未到期，尚未归还。</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存放于公司在开户银行设立的募集资金专用账户。将依照承诺项目计划进度使用。</w:t>
            </w:r>
          </w:p>
        </w:tc>
      </w:tr>
      <w:tr>
        <w:trPr>
          <w:trHeight w:val="102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958"/>
      </w:tblGrid>
      <w:tr>
        <w:trPr>
          <w:trHeight w:val="1337"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3"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 (1)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715"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连锁门</w:t>
            </w:r>
            <w:r>
              <w:rPr>
                <w:rFonts w:ascii="宋体" w:hAnsi="宋体" w:cs="宋体" w:eastAsia="宋体" w:hint="default"/>
                <w:w w:val="99"/>
                <w:sz w:val="18"/>
                <w:szCs w:val="18"/>
              </w:rPr>
              <w:t> </w:t>
            </w:r>
            <w:r>
              <w:rPr>
                <w:rFonts w:ascii="宋体" w:hAnsi="宋体" w:cs="宋体" w:eastAsia="宋体" w:hint="default"/>
                <w:sz w:val="18"/>
                <w:szCs w:val="18"/>
              </w:rPr>
              <w:t>店拓展</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连锁门</w:t>
            </w:r>
            <w:r>
              <w:rPr>
                <w:rFonts w:ascii="宋体" w:hAnsi="宋体" w:cs="宋体" w:eastAsia="宋体" w:hint="default"/>
                <w:w w:val="99"/>
                <w:sz w:val="18"/>
                <w:szCs w:val="18"/>
              </w:rPr>
              <w:t> </w:t>
            </w:r>
            <w:r>
              <w:rPr>
                <w:rFonts w:ascii="宋体" w:hAnsi="宋体" w:cs="宋体" w:eastAsia="宋体" w:hint="default"/>
                <w:sz w:val="18"/>
                <w:szCs w:val="18"/>
              </w:rPr>
              <w:t>店拓展</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11,500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11,500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11,500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2275"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连锁门店拓展</w:t>
            </w:r>
            <w:r>
              <w:rPr>
                <w:rFonts w:ascii="Times New Roman" w:hAnsi="Times New Roman" w:cs="Times New Roman" w:eastAsia="Times New Roman" w:hint="default"/>
                <w:sz w:val="18"/>
                <w:szCs w:val="18"/>
              </w:rPr>
              <w:t>”</w:t>
            </w:r>
            <w:r>
              <w:rPr>
                <w:rFonts w:ascii="宋体" w:hAnsi="宋体" w:cs="宋体" w:eastAsia="宋体" w:hint="default"/>
                <w:sz w:val="18"/>
                <w:szCs w:val="18"/>
              </w:rPr>
              <w:t>项目的主要实施地点是在华北、华东、华南、华中、西南、西北等 地电脑卖场或其周边物业开展</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连锁销售业务。公司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年度的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连锁经营业务全 部是向电脑城物业租用经营场所，我国一线和二线城市电脑城租金价格的大幅上调， </w:t>
            </w:r>
            <w:r>
              <w:rPr>
                <w:rFonts w:ascii="宋体" w:hAnsi="宋体" w:cs="宋体" w:eastAsia="宋体" w:hint="default"/>
                <w:spacing w:val="-2"/>
                <w:sz w:val="18"/>
                <w:szCs w:val="18"/>
              </w:rPr>
              <w:t>成本超出预期水平较高，同时电脑城物业每年换租，需要取得物业的支持、</w:t>
            </w:r>
            <w:r>
              <w:rPr>
                <w:rFonts w:ascii="Times New Roman" w:hAnsi="Times New Roman" w:cs="Times New Roman" w:eastAsia="Times New Roman" w:hint="default"/>
                <w:spacing w:val="-2"/>
                <w:sz w:val="18"/>
                <w:szCs w:val="18"/>
              </w:rPr>
              <w:t>IT</w:t>
            </w:r>
            <w:r>
              <w:rPr>
                <w:rFonts w:ascii="Times New Roman" w:hAnsi="Times New Roman" w:cs="Times New Roman" w:eastAsia="Times New Roman" w:hint="default"/>
                <w:sz w:val="18"/>
                <w:szCs w:val="18"/>
              </w:rPr>
              <w:t> </w:t>
            </w:r>
            <w:r>
              <w:rPr>
                <w:rFonts w:ascii="宋体" w:hAnsi="宋体" w:cs="宋体" w:eastAsia="宋体" w:hint="default"/>
                <w:sz w:val="18"/>
                <w:szCs w:val="18"/>
              </w:rPr>
              <w:t>厂商的</w:t>
            </w:r>
            <w:r>
              <w:rPr>
                <w:rFonts w:ascii="宋体" w:hAnsi="宋体" w:cs="宋体" w:eastAsia="宋体" w:hint="default"/>
                <w:spacing w:val="-73"/>
                <w:sz w:val="18"/>
                <w:szCs w:val="18"/>
              </w:rPr>
              <w:t> </w:t>
            </w:r>
            <w:r>
              <w:rPr>
                <w:rFonts w:ascii="宋体" w:hAnsi="宋体" w:cs="宋体" w:eastAsia="宋体" w:hint="default"/>
                <w:sz w:val="18"/>
                <w:szCs w:val="18"/>
              </w:rPr>
              <w:t>品牌授权才能续租，由此带来较高费用。鉴于以上原因，此项目的经营环境发生了重</w:t>
            </w:r>
            <w:r>
              <w:rPr>
                <w:rFonts w:ascii="宋体" w:hAnsi="宋体" w:cs="宋体" w:eastAsia="宋体" w:hint="default"/>
                <w:sz w:val="18"/>
                <w:szCs w:val="18"/>
              </w:rPr>
              <w:t> 大变化，经公司第六届十六次董事会及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年第一次临时股东大会审议通过变更该 项目的实施地点及实施方式。</w:t>
            </w:r>
          </w:p>
        </w:tc>
      </w:tr>
      <w:tr>
        <w:trPr>
          <w:trHeight w:val="1025"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年公司变更</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连锁门店拓展</w:t>
            </w:r>
            <w:r>
              <w:rPr>
                <w:rFonts w:ascii="Times New Roman" w:hAnsi="Times New Roman" w:cs="Times New Roman" w:eastAsia="Times New Roman" w:hint="default"/>
                <w:sz w:val="18"/>
                <w:szCs w:val="18"/>
              </w:rPr>
              <w:t>”</w:t>
            </w:r>
            <w:r>
              <w:rPr>
                <w:rFonts w:ascii="宋体" w:hAnsi="宋体" w:cs="宋体" w:eastAsia="宋体" w:hint="default"/>
                <w:sz w:val="18"/>
                <w:szCs w:val="18"/>
              </w:rPr>
              <w:t>实施地点及实施方式后，通过在烟台佰和数码广 场购置自有物业实施</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连锁门店拓展</w:t>
            </w:r>
            <w:r>
              <w:rPr>
                <w:rFonts w:ascii="Times New Roman" w:hAnsi="Times New Roman" w:cs="Times New Roman" w:eastAsia="Times New Roman" w:hint="default"/>
                <w:sz w:val="18"/>
                <w:szCs w:val="18"/>
              </w:rPr>
              <w:t>”</w:t>
            </w:r>
            <w:r>
              <w:rPr>
                <w:rFonts w:ascii="宋体" w:hAnsi="宋体" w:cs="宋体" w:eastAsia="宋体" w:hint="default"/>
                <w:sz w:val="18"/>
                <w:szCs w:val="18"/>
              </w:rPr>
              <w:t>项目，目前烟台高鸿初步实现统一经营，运营 时间较短故在本报告期内未达预计收益。</w:t>
            </w:r>
          </w:p>
        </w:tc>
      </w:tr>
      <w:tr>
        <w:trPr>
          <w:trHeight w:val="715"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、主要子公司、参股公司分析</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0"/>
        <w:gridCol w:w="1078"/>
        <w:gridCol w:w="944"/>
        <w:gridCol w:w="941"/>
        <w:gridCol w:w="943"/>
        <w:gridCol w:w="941"/>
        <w:gridCol w:w="943"/>
        <w:gridCol w:w="941"/>
        <w:gridCol w:w="809"/>
        <w:gridCol w:w="1078"/>
      </w:tblGrid>
      <w:tr>
        <w:trPr>
          <w:trHeight w:val="715" w:hRule="exact"/>
        </w:trPr>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3" w:hanging="92"/>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6"/>
              <w:ind w:left="19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37"/>
              <w:jc w:val="left"/>
              <w:rPr>
                <w:rFonts w:ascii="宋体" w:hAnsi="宋体" w:cs="宋体" w:eastAsia="宋体" w:hint="default"/>
                <w:sz w:val="18"/>
                <w:szCs w:val="18"/>
              </w:rPr>
            </w:pPr>
            <w:r>
              <w:rPr>
                <w:rFonts w:ascii="宋体" w:hAnsi="宋体" w:cs="宋体" w:eastAsia="宋体" w:hint="default"/>
                <w:sz w:val="18"/>
                <w:szCs w:val="18"/>
              </w:rPr>
              <w:t>净利润（元）</w:t>
            </w:r>
          </w:p>
        </w:tc>
      </w:tr>
    </w:tbl>
    <w:p>
      <w:pPr>
        <w:spacing w:after="0" w:line="240" w:lineRule="auto"/>
        <w:jc w:val="left"/>
        <w:rPr>
          <w:rFonts w:ascii="宋体" w:hAnsi="宋体" w:cs="宋体" w:eastAsia="宋体" w:hint="default"/>
          <w:sz w:val="18"/>
          <w:szCs w:val="18"/>
        </w:rPr>
        <w:sectPr>
          <w:footerReference w:type="default" r:id="rId19"/>
          <w:pgSz w:w="11910" w:h="16840"/>
          <w:pgMar w:footer="1340" w:header="877" w:top="1060" w:bottom="1540" w:left="980" w:right="0"/>
          <w:pgNumType w:start="24"/>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51"/>
        <w:gridCol w:w="1078"/>
        <w:gridCol w:w="944"/>
        <w:gridCol w:w="941"/>
        <w:gridCol w:w="943"/>
        <w:gridCol w:w="941"/>
        <w:gridCol w:w="943"/>
        <w:gridCol w:w="941"/>
        <w:gridCol w:w="809"/>
        <w:gridCol w:w="1078"/>
      </w:tblGrid>
      <w:tr>
        <w:trPr>
          <w:trHeight w:val="1337"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5"/>
              <w:jc w:val="both"/>
              <w:rPr>
                <w:rFonts w:ascii="宋体" w:hAnsi="宋体" w:cs="宋体" w:eastAsia="宋体" w:hint="default"/>
                <w:sz w:val="18"/>
                <w:szCs w:val="18"/>
              </w:rPr>
            </w:pPr>
            <w:r>
              <w:rPr>
                <w:rFonts w:ascii="宋体" w:hAnsi="宋体" w:cs="宋体" w:eastAsia="宋体" w:hint="default"/>
                <w:sz w:val="18"/>
                <w:szCs w:val="18"/>
              </w:rPr>
              <w:t>北京大唐 高鸿数据 网络技术 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88"/>
              <w:jc w:val="left"/>
              <w:rPr>
                <w:rFonts w:ascii="宋体" w:hAnsi="宋体" w:cs="宋体" w:eastAsia="宋体" w:hint="default"/>
                <w:sz w:val="18"/>
                <w:szCs w:val="18"/>
              </w:rPr>
            </w:pPr>
            <w:r>
              <w:rPr>
                <w:rFonts w:ascii="宋体" w:hAnsi="宋体" w:cs="宋体" w:eastAsia="宋体" w:hint="default"/>
                <w:sz w:val="18"/>
                <w:szCs w:val="18"/>
              </w:rPr>
              <w:t>通信系统 设备制造</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通讯设备 系统集成、 贸易</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14,625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1,220,066,2</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44.80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183,356,40</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5.55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1,484,903,1</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80.43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8,595,665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5,577,034.89</w:t>
            </w:r>
          </w:p>
        </w:tc>
      </w:tr>
      <w:tr>
        <w:trPr>
          <w:trHeight w:val="1339"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5"/>
              <w:jc w:val="both"/>
              <w:rPr>
                <w:rFonts w:ascii="宋体" w:hAnsi="宋体" w:cs="宋体" w:eastAsia="宋体" w:hint="default"/>
                <w:sz w:val="18"/>
                <w:szCs w:val="18"/>
              </w:rPr>
            </w:pPr>
            <w:r>
              <w:rPr>
                <w:rFonts w:ascii="宋体" w:hAnsi="宋体" w:cs="宋体" w:eastAsia="宋体" w:hint="default"/>
                <w:sz w:val="18"/>
                <w:szCs w:val="18"/>
              </w:rPr>
              <w:t>北京大唐 高鸿软件 技术有限 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120,916,12</w:t>
            </w:r>
          </w:p>
          <w:p>
            <w:pPr>
              <w:pStyle w:val="TableParagraph"/>
              <w:spacing w:line="240" w:lineRule="auto" w:before="102"/>
              <w:ind w:left="597" w:right="0"/>
              <w:jc w:val="left"/>
              <w:rPr>
                <w:rFonts w:ascii="Times New Roman" w:hAnsi="Times New Roman" w:cs="Times New Roman" w:eastAsia="Times New Roman" w:hint="default"/>
                <w:sz w:val="18"/>
                <w:szCs w:val="18"/>
              </w:rPr>
            </w:pPr>
            <w:r>
              <w:rPr>
                <w:rFonts w:ascii="Times New Roman"/>
                <w:sz w:val="18"/>
              </w:rPr>
              <w:t>5.73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86,544,025.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61,738,983.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15,048,26</w:t>
            </w:r>
          </w:p>
          <w:p>
            <w:pPr>
              <w:pStyle w:val="TableParagraph"/>
              <w:spacing w:line="240" w:lineRule="auto" w:before="102"/>
              <w:ind w:left="463" w:right="0"/>
              <w:jc w:val="left"/>
              <w:rPr>
                <w:rFonts w:ascii="Times New Roman" w:hAnsi="Times New Roman" w:cs="Times New Roman" w:eastAsia="Times New Roman" w:hint="default"/>
                <w:sz w:val="18"/>
                <w:szCs w:val="18"/>
              </w:rPr>
            </w:pPr>
            <w:r>
              <w:rPr>
                <w:rFonts w:ascii="Times New Roman"/>
                <w:sz w:val="18"/>
              </w:rPr>
              <w:t>6.20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16,090,468.2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r>
      <w:tr>
        <w:trPr>
          <w:trHeight w:val="1025"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5"/>
              <w:jc w:val="both"/>
              <w:rPr>
                <w:rFonts w:ascii="宋体" w:hAnsi="宋体" w:cs="宋体" w:eastAsia="宋体" w:hint="default"/>
                <w:sz w:val="18"/>
                <w:szCs w:val="18"/>
              </w:rPr>
            </w:pPr>
            <w:r>
              <w:rPr>
                <w:rFonts w:ascii="宋体" w:hAnsi="宋体" w:cs="宋体" w:eastAsia="宋体" w:hint="default"/>
                <w:sz w:val="18"/>
                <w:szCs w:val="18"/>
              </w:rPr>
              <w:t>大唐高鸿 通信技术 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88"/>
              <w:jc w:val="left"/>
              <w:rPr>
                <w:rFonts w:ascii="宋体" w:hAnsi="宋体" w:cs="宋体" w:eastAsia="宋体" w:hint="default"/>
                <w:sz w:val="18"/>
                <w:szCs w:val="18"/>
              </w:rPr>
            </w:pPr>
            <w:r>
              <w:rPr>
                <w:rFonts w:ascii="宋体" w:hAnsi="宋体" w:cs="宋体" w:eastAsia="宋体" w:hint="default"/>
                <w:sz w:val="18"/>
                <w:szCs w:val="18"/>
              </w:rPr>
              <w:t>互联网信 息服务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85"/>
              <w:jc w:val="left"/>
              <w:rPr>
                <w:rFonts w:ascii="宋体" w:hAnsi="宋体" w:cs="宋体" w:eastAsia="宋体" w:hint="default"/>
                <w:sz w:val="18"/>
                <w:szCs w:val="18"/>
              </w:rPr>
            </w:pPr>
            <w:r>
              <w:rPr>
                <w:rFonts w:ascii="宋体" w:hAnsi="宋体" w:cs="宋体" w:eastAsia="宋体" w:hint="default"/>
                <w:sz w:val="18"/>
                <w:szCs w:val="18"/>
              </w:rPr>
              <w:t>信息服务 业务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18,500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533,001,13</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2.78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182,586,77</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2.05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117,995,47</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6.01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5,129,016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5,134,651.53</w:t>
            </w:r>
          </w:p>
        </w:tc>
      </w:tr>
      <w:tr>
        <w:trPr>
          <w:trHeight w:val="1028"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95"/>
              <w:jc w:val="both"/>
              <w:rPr>
                <w:rFonts w:ascii="宋体" w:hAnsi="宋体" w:cs="宋体" w:eastAsia="宋体" w:hint="default"/>
                <w:sz w:val="18"/>
                <w:szCs w:val="18"/>
              </w:rPr>
            </w:pPr>
            <w:r>
              <w:rPr>
                <w:rFonts w:ascii="宋体" w:hAnsi="宋体" w:cs="宋体" w:eastAsia="宋体" w:hint="default"/>
                <w:sz w:val="18"/>
                <w:szCs w:val="18"/>
              </w:rPr>
              <w:t>大唐高鸿 信息技术 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2"/>
              <w:jc w:val="left"/>
              <w:rPr>
                <w:rFonts w:ascii="宋体" w:hAnsi="宋体" w:cs="宋体" w:eastAsia="宋体" w:hint="default"/>
                <w:sz w:val="18"/>
                <w:szCs w:val="18"/>
              </w:rPr>
            </w:pPr>
            <w:r>
              <w:rPr>
                <w:rFonts w:ascii="宋体" w:hAnsi="宋体" w:cs="宋体" w:eastAsia="宋体" w:hint="default"/>
                <w:spacing w:val="-3"/>
                <w:sz w:val="18"/>
                <w:szCs w:val="18"/>
              </w:rPr>
              <w:t>计算机、软</w:t>
            </w:r>
            <w:r>
              <w:rPr>
                <w:rFonts w:ascii="宋体" w:hAnsi="宋体" w:cs="宋体" w:eastAsia="宋体" w:hint="default"/>
                <w:sz w:val="18"/>
                <w:szCs w:val="18"/>
              </w:rPr>
              <w:t> 件及辅助 设备批发</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3" w:right="185"/>
              <w:jc w:val="left"/>
              <w:rPr>
                <w:rFonts w:ascii="宋体" w:hAnsi="宋体" w:cs="宋体" w:eastAsia="宋体" w:hint="default"/>
                <w:sz w:val="18"/>
                <w:szCs w:val="18"/>
              </w:rPr>
            </w:pPr>
            <w:r>
              <w:rPr>
                <w:rFonts w:ascii="宋体" w:hAnsi="宋体" w:cs="宋体" w:eastAsia="宋体" w:hint="default"/>
                <w:sz w:val="18"/>
                <w:szCs w:val="18"/>
              </w:rPr>
              <w:t>电子产品 销售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824,490,14</w:t>
            </w:r>
          </w:p>
          <w:p>
            <w:pPr>
              <w:pStyle w:val="TableParagraph"/>
              <w:spacing w:line="240" w:lineRule="auto" w:before="102"/>
              <w:ind w:left="597" w:right="0"/>
              <w:jc w:val="left"/>
              <w:rPr>
                <w:rFonts w:ascii="Times New Roman" w:hAnsi="Times New Roman" w:cs="Times New Roman" w:eastAsia="Times New Roman" w:hint="default"/>
                <w:sz w:val="18"/>
                <w:szCs w:val="18"/>
              </w:rPr>
            </w:pPr>
            <w:r>
              <w:rPr>
                <w:rFonts w:ascii="Times New Roman"/>
                <w:sz w:val="18"/>
              </w:rPr>
              <w:t>3.29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322,288,52</w:t>
            </w:r>
          </w:p>
          <w:p>
            <w:pPr>
              <w:pStyle w:val="TableParagraph"/>
              <w:spacing w:line="240" w:lineRule="auto" w:before="102"/>
              <w:ind w:left="597" w:right="0"/>
              <w:jc w:val="left"/>
              <w:rPr>
                <w:rFonts w:ascii="Times New Roman" w:hAnsi="Times New Roman" w:cs="Times New Roman" w:eastAsia="Times New Roman" w:hint="default"/>
                <w:sz w:val="18"/>
                <w:szCs w:val="18"/>
              </w:rPr>
            </w:pPr>
            <w:r>
              <w:rPr>
                <w:rFonts w:ascii="Times New Roman"/>
                <w:sz w:val="18"/>
              </w:rPr>
              <w:t>0.85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2,338,782,2</w:t>
            </w:r>
          </w:p>
          <w:p>
            <w:pPr>
              <w:pStyle w:val="TableParagraph"/>
              <w:spacing w:line="240" w:lineRule="auto" w:before="102"/>
              <w:ind w:left="503" w:right="0"/>
              <w:jc w:val="left"/>
              <w:rPr>
                <w:rFonts w:ascii="Times New Roman" w:hAnsi="Times New Roman" w:cs="Times New Roman" w:eastAsia="Times New Roman" w:hint="default"/>
                <w:sz w:val="18"/>
                <w:szCs w:val="18"/>
              </w:rPr>
            </w:pPr>
            <w:r>
              <w:rPr>
                <w:rFonts w:ascii="Times New Roman"/>
                <w:sz w:val="18"/>
              </w:rPr>
              <w:t>13.12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28,292,02</w:t>
            </w:r>
          </w:p>
          <w:p>
            <w:pPr>
              <w:pStyle w:val="TableParagraph"/>
              <w:spacing w:line="240" w:lineRule="auto" w:before="102"/>
              <w:ind w:left="463" w:right="0"/>
              <w:jc w:val="left"/>
              <w:rPr>
                <w:rFonts w:ascii="Times New Roman" w:hAnsi="Times New Roman" w:cs="Times New Roman" w:eastAsia="Times New Roman" w:hint="default"/>
                <w:sz w:val="18"/>
                <w:szCs w:val="18"/>
              </w:rPr>
            </w:pPr>
            <w:r>
              <w:rPr>
                <w:rFonts w:ascii="Times New Roman"/>
                <w:sz w:val="18"/>
              </w:rPr>
              <w:t>1.44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18,278,106.7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r>
      <w:tr>
        <w:trPr>
          <w:trHeight w:val="1337"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5"/>
              <w:jc w:val="both"/>
              <w:rPr>
                <w:rFonts w:ascii="宋体" w:hAnsi="宋体" w:cs="宋体" w:eastAsia="宋体" w:hint="default"/>
                <w:sz w:val="18"/>
                <w:szCs w:val="18"/>
              </w:rPr>
            </w:pPr>
            <w:r>
              <w:rPr>
                <w:rFonts w:ascii="宋体" w:hAnsi="宋体" w:cs="宋体" w:eastAsia="宋体" w:hint="default"/>
                <w:sz w:val="18"/>
                <w:szCs w:val="18"/>
              </w:rPr>
              <w:t>北京大唐 融合通信 技术有限 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88"/>
              <w:jc w:val="left"/>
              <w:rPr>
                <w:rFonts w:ascii="宋体" w:hAnsi="宋体" w:cs="宋体" w:eastAsia="宋体" w:hint="default"/>
                <w:sz w:val="18"/>
                <w:szCs w:val="18"/>
              </w:rPr>
            </w:pPr>
            <w:r>
              <w:rPr>
                <w:rFonts w:ascii="宋体" w:hAnsi="宋体" w:cs="宋体" w:eastAsia="宋体" w:hint="default"/>
                <w:sz w:val="18"/>
                <w:szCs w:val="18"/>
              </w:rPr>
              <w:t>通信系统 设备制造</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85"/>
              <w:jc w:val="left"/>
              <w:rPr>
                <w:rFonts w:ascii="宋体" w:hAnsi="宋体" w:cs="宋体" w:eastAsia="宋体" w:hint="default"/>
                <w:sz w:val="18"/>
                <w:szCs w:val="18"/>
              </w:rPr>
            </w:pPr>
            <w:r>
              <w:rPr>
                <w:rFonts w:ascii="宋体" w:hAnsi="宋体" w:cs="宋体" w:eastAsia="宋体" w:hint="default"/>
                <w:sz w:val="18"/>
                <w:szCs w:val="18"/>
              </w:rPr>
              <w:t>企业信息 化</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56,692,221.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51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12,629,358.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49,183,191.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3,824,567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4,805,979.93</w:t>
            </w:r>
          </w:p>
        </w:tc>
      </w:tr>
      <w:tr>
        <w:trPr>
          <w:trHeight w:val="1339"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5"/>
              <w:jc w:val="both"/>
              <w:rPr>
                <w:rFonts w:ascii="宋体" w:hAnsi="宋体" w:cs="宋体" w:eastAsia="宋体" w:hint="default"/>
                <w:sz w:val="18"/>
                <w:szCs w:val="18"/>
              </w:rPr>
            </w:pPr>
            <w:r>
              <w:rPr>
                <w:rFonts w:ascii="宋体" w:hAnsi="宋体" w:cs="宋体" w:eastAsia="宋体" w:hint="default"/>
                <w:sz w:val="18"/>
                <w:szCs w:val="18"/>
              </w:rPr>
              <w:t>北京大唐 高鸿科技 发展有限 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3"/>
                <w:sz w:val="18"/>
                <w:szCs w:val="18"/>
              </w:rPr>
              <w:t>计算机、软</w:t>
            </w:r>
            <w:r>
              <w:rPr>
                <w:rFonts w:ascii="宋体" w:hAnsi="宋体" w:cs="宋体" w:eastAsia="宋体" w:hint="default"/>
                <w:sz w:val="18"/>
                <w:szCs w:val="18"/>
              </w:rPr>
              <w:t> 件及辅助 设备批发</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85"/>
              <w:jc w:val="left"/>
              <w:rPr>
                <w:rFonts w:ascii="宋体" w:hAnsi="宋体" w:cs="宋体" w:eastAsia="宋体" w:hint="default"/>
                <w:sz w:val="18"/>
                <w:szCs w:val="18"/>
              </w:rPr>
            </w:pPr>
            <w:r>
              <w:rPr>
                <w:rFonts w:ascii="宋体" w:hAnsi="宋体" w:cs="宋体" w:eastAsia="宋体" w:hint="default"/>
                <w:sz w:val="18"/>
                <w:szCs w:val="18"/>
              </w:rPr>
              <w:t>计算机软 硬件销售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222,012,49</w:t>
            </w:r>
          </w:p>
          <w:p>
            <w:pPr>
              <w:pStyle w:val="TableParagraph"/>
              <w:spacing w:line="240" w:lineRule="auto" w:before="102"/>
              <w:ind w:left="597" w:right="0"/>
              <w:jc w:val="left"/>
              <w:rPr>
                <w:rFonts w:ascii="Times New Roman" w:hAnsi="Times New Roman" w:cs="Times New Roman" w:eastAsia="Times New Roman" w:hint="default"/>
                <w:sz w:val="18"/>
                <w:szCs w:val="18"/>
              </w:rPr>
            </w:pPr>
            <w:r>
              <w:rPr>
                <w:rFonts w:ascii="Times New Roman"/>
                <w:sz w:val="18"/>
              </w:rPr>
              <w:t>2.81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70,404,096.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619,052,01</w:t>
            </w:r>
          </w:p>
          <w:p>
            <w:pPr>
              <w:pStyle w:val="TableParagraph"/>
              <w:spacing w:line="240" w:lineRule="auto" w:before="102"/>
              <w:ind w:left="595" w:right="0"/>
              <w:jc w:val="left"/>
              <w:rPr>
                <w:rFonts w:ascii="Times New Roman" w:hAnsi="Times New Roman" w:cs="Times New Roman" w:eastAsia="Times New Roman" w:hint="default"/>
                <w:sz w:val="18"/>
                <w:szCs w:val="18"/>
              </w:rPr>
            </w:pPr>
            <w:r>
              <w:rPr>
                <w:rFonts w:ascii="Times New Roman"/>
                <w:sz w:val="18"/>
              </w:rPr>
              <w:t>0.28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11,065,09</w:t>
            </w:r>
          </w:p>
          <w:p>
            <w:pPr>
              <w:pStyle w:val="TableParagraph"/>
              <w:spacing w:line="240" w:lineRule="auto" w:before="102"/>
              <w:ind w:left="463" w:right="0"/>
              <w:jc w:val="left"/>
              <w:rPr>
                <w:rFonts w:ascii="Times New Roman" w:hAnsi="Times New Roman" w:cs="Times New Roman" w:eastAsia="Times New Roman" w:hint="default"/>
                <w:sz w:val="18"/>
                <w:szCs w:val="18"/>
              </w:rPr>
            </w:pPr>
            <w:r>
              <w:rPr>
                <w:rFonts w:ascii="Times New Roman"/>
                <w:sz w:val="18"/>
              </w:rPr>
              <w:t>2.12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9,642,145.30</w:t>
            </w:r>
          </w:p>
        </w:tc>
      </w:tr>
      <w:tr>
        <w:trPr>
          <w:trHeight w:val="1337"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5"/>
              <w:jc w:val="both"/>
              <w:rPr>
                <w:rFonts w:ascii="宋体" w:hAnsi="宋体" w:cs="宋体" w:eastAsia="宋体" w:hint="default"/>
                <w:sz w:val="18"/>
                <w:szCs w:val="18"/>
              </w:rPr>
            </w:pPr>
            <w:r>
              <w:rPr>
                <w:rFonts w:ascii="宋体" w:hAnsi="宋体" w:cs="宋体" w:eastAsia="宋体" w:hint="default"/>
                <w:sz w:val="18"/>
                <w:szCs w:val="18"/>
              </w:rPr>
              <w:t>大唐高鸿 济宁电子 信息技术 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3"/>
                <w:sz w:val="18"/>
                <w:szCs w:val="18"/>
              </w:rPr>
              <w:t>计算机、软</w:t>
            </w:r>
            <w:r>
              <w:rPr>
                <w:rFonts w:ascii="宋体" w:hAnsi="宋体" w:cs="宋体" w:eastAsia="宋体" w:hint="default"/>
                <w:sz w:val="18"/>
                <w:szCs w:val="18"/>
              </w:rPr>
              <w:t> 件及辅助 设备批发</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85"/>
              <w:jc w:val="left"/>
              <w:rPr>
                <w:rFonts w:ascii="宋体" w:hAnsi="宋体" w:cs="宋体" w:eastAsia="宋体" w:hint="default"/>
                <w:sz w:val="18"/>
                <w:szCs w:val="18"/>
              </w:rPr>
            </w:pPr>
            <w:r>
              <w:rPr>
                <w:rFonts w:ascii="宋体" w:hAnsi="宋体" w:cs="宋体" w:eastAsia="宋体" w:hint="default"/>
                <w:sz w:val="18"/>
                <w:szCs w:val="18"/>
              </w:rPr>
              <w:t>电子产品 销售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42,708,359.</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40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30,156,257.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208,409.4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156,257.05</w:t>
            </w:r>
          </w:p>
        </w:tc>
      </w:tr>
      <w:tr>
        <w:trPr>
          <w:trHeight w:val="1339"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5"/>
              <w:jc w:val="both"/>
              <w:rPr>
                <w:rFonts w:ascii="宋体" w:hAnsi="宋体" w:cs="宋体" w:eastAsia="宋体" w:hint="default"/>
                <w:sz w:val="18"/>
                <w:szCs w:val="18"/>
              </w:rPr>
            </w:pPr>
            <w:r>
              <w:rPr>
                <w:rFonts w:ascii="宋体" w:hAnsi="宋体" w:cs="宋体" w:eastAsia="宋体" w:hint="default"/>
                <w:sz w:val="18"/>
                <w:szCs w:val="18"/>
              </w:rPr>
              <w:t>贵州达众 磨料磨具 有限责任 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85"/>
              <w:jc w:val="left"/>
              <w:rPr>
                <w:rFonts w:ascii="宋体" w:hAnsi="宋体" w:cs="宋体" w:eastAsia="宋体" w:hint="default"/>
                <w:sz w:val="18"/>
                <w:szCs w:val="18"/>
              </w:rPr>
            </w:pPr>
            <w:r>
              <w:rPr>
                <w:rFonts w:ascii="宋体" w:hAnsi="宋体" w:cs="宋体" w:eastAsia="宋体" w:hint="default"/>
                <w:sz w:val="18"/>
                <w:szCs w:val="18"/>
              </w:rPr>
              <w:t>金属制品 制造</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3"/>
              <w:jc w:val="right"/>
              <w:rPr>
                <w:rFonts w:ascii="Times New Roman" w:hAnsi="Times New Roman" w:cs="Times New Roman" w:eastAsia="Times New Roman" w:hint="default"/>
                <w:sz w:val="18"/>
                <w:szCs w:val="18"/>
              </w:rPr>
            </w:pPr>
            <w:r>
              <w:rPr>
                <w:rFonts w:ascii="Times New Roman"/>
                <w:sz w:val="18"/>
              </w:rPr>
              <w:t>--</w:t>
            </w:r>
          </w:p>
        </w:tc>
      </w:tr>
      <w:tr>
        <w:trPr>
          <w:trHeight w:val="1337"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5"/>
              <w:jc w:val="both"/>
              <w:rPr>
                <w:rFonts w:ascii="宋体" w:hAnsi="宋体" w:cs="宋体" w:eastAsia="宋体" w:hint="default"/>
                <w:sz w:val="18"/>
                <w:szCs w:val="18"/>
              </w:rPr>
            </w:pPr>
            <w:r>
              <w:rPr>
                <w:rFonts w:ascii="宋体" w:hAnsi="宋体" w:cs="宋体" w:eastAsia="宋体" w:hint="default"/>
                <w:sz w:val="18"/>
                <w:szCs w:val="18"/>
              </w:rPr>
              <w:t>北京海岸 淘金创业 投资有限 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88"/>
              <w:jc w:val="left"/>
              <w:rPr>
                <w:rFonts w:ascii="宋体" w:hAnsi="宋体" w:cs="宋体" w:eastAsia="宋体" w:hint="default"/>
                <w:sz w:val="18"/>
                <w:szCs w:val="18"/>
              </w:rPr>
            </w:pPr>
            <w:r>
              <w:rPr>
                <w:rFonts w:ascii="宋体" w:hAnsi="宋体" w:cs="宋体" w:eastAsia="宋体" w:hint="default"/>
                <w:sz w:val="18"/>
                <w:szCs w:val="18"/>
              </w:rPr>
              <w:t>其他资本 市场服务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85"/>
              <w:jc w:val="left"/>
              <w:rPr>
                <w:rFonts w:ascii="宋体" w:hAnsi="宋体" w:cs="宋体" w:eastAsia="宋体" w:hint="default"/>
                <w:sz w:val="18"/>
                <w:szCs w:val="18"/>
              </w:rPr>
            </w:pPr>
            <w:r>
              <w:rPr>
                <w:rFonts w:ascii="宋体" w:hAnsi="宋体" w:cs="宋体" w:eastAsia="宋体" w:hint="default"/>
                <w:sz w:val="18"/>
                <w:szCs w:val="18"/>
              </w:rPr>
              <w:t>创业投资 业务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58,856,945.</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34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57,221,779.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3,279,762.1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772,736.6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763,762.98</w:t>
            </w:r>
          </w:p>
        </w:tc>
      </w:tr>
      <w:tr>
        <w:trPr>
          <w:trHeight w:val="1027"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5"/>
              <w:jc w:val="both"/>
              <w:rPr>
                <w:rFonts w:ascii="宋体" w:hAnsi="宋体" w:cs="宋体" w:eastAsia="宋体" w:hint="default"/>
                <w:sz w:val="18"/>
                <w:szCs w:val="18"/>
              </w:rPr>
            </w:pPr>
            <w:r>
              <w:rPr>
                <w:rFonts w:ascii="宋体" w:hAnsi="宋体" w:cs="宋体" w:eastAsia="宋体" w:hint="default"/>
                <w:sz w:val="18"/>
                <w:szCs w:val="18"/>
              </w:rPr>
              <w:t>大唐高新 创业投资 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88"/>
              <w:jc w:val="left"/>
              <w:rPr>
                <w:rFonts w:ascii="宋体" w:hAnsi="宋体" w:cs="宋体" w:eastAsia="宋体" w:hint="default"/>
                <w:sz w:val="18"/>
                <w:szCs w:val="18"/>
              </w:rPr>
            </w:pPr>
            <w:r>
              <w:rPr>
                <w:rFonts w:ascii="宋体" w:hAnsi="宋体" w:cs="宋体" w:eastAsia="宋体" w:hint="default"/>
                <w:sz w:val="18"/>
                <w:szCs w:val="18"/>
              </w:rPr>
              <w:t>其他资本 市场服务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85"/>
              <w:jc w:val="left"/>
              <w:rPr>
                <w:rFonts w:ascii="宋体" w:hAnsi="宋体" w:cs="宋体" w:eastAsia="宋体" w:hint="default"/>
                <w:sz w:val="18"/>
                <w:szCs w:val="18"/>
              </w:rPr>
            </w:pPr>
            <w:r>
              <w:rPr>
                <w:rFonts w:ascii="宋体" w:hAnsi="宋体" w:cs="宋体" w:eastAsia="宋体" w:hint="default"/>
                <w:sz w:val="18"/>
                <w:szCs w:val="18"/>
              </w:rPr>
              <w:t>创业投资 业务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102,183,79</w:t>
            </w:r>
          </w:p>
          <w:p>
            <w:pPr>
              <w:pStyle w:val="TableParagraph"/>
              <w:spacing w:line="240" w:lineRule="auto" w:before="102"/>
              <w:ind w:left="597" w:right="0"/>
              <w:jc w:val="left"/>
              <w:rPr>
                <w:rFonts w:ascii="Times New Roman" w:hAnsi="Times New Roman" w:cs="Times New Roman" w:eastAsia="Times New Roman" w:hint="default"/>
                <w:sz w:val="18"/>
                <w:szCs w:val="18"/>
              </w:rPr>
            </w:pPr>
            <w:r>
              <w:rPr>
                <w:rFonts w:ascii="Times New Roman"/>
                <w:sz w:val="18"/>
              </w:rPr>
              <w:t>3.00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101,674,55</w:t>
            </w:r>
          </w:p>
          <w:p>
            <w:pPr>
              <w:pStyle w:val="TableParagraph"/>
              <w:spacing w:line="240" w:lineRule="auto" w:before="102"/>
              <w:ind w:left="597" w:right="0"/>
              <w:jc w:val="left"/>
              <w:rPr>
                <w:rFonts w:ascii="Times New Roman" w:hAnsi="Times New Roman" w:cs="Times New Roman" w:eastAsia="Times New Roman" w:hint="default"/>
                <w:sz w:val="18"/>
                <w:szCs w:val="18"/>
              </w:rPr>
            </w:pPr>
            <w:r>
              <w:rPr>
                <w:rFonts w:ascii="Times New Roman"/>
                <w:sz w:val="18"/>
              </w:rPr>
              <w:t>2.82</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1,117,300.0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1,692,895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1,269,671.77</w:t>
            </w:r>
          </w:p>
        </w:tc>
      </w:tr>
      <w:tr>
        <w:trPr>
          <w:trHeight w:val="1339"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5"/>
              <w:jc w:val="both"/>
              <w:rPr>
                <w:rFonts w:ascii="宋体" w:hAnsi="宋体" w:cs="宋体" w:eastAsia="宋体" w:hint="default"/>
                <w:sz w:val="18"/>
                <w:szCs w:val="18"/>
              </w:rPr>
            </w:pPr>
            <w:r>
              <w:rPr>
                <w:rFonts w:ascii="宋体" w:hAnsi="宋体" w:cs="宋体" w:eastAsia="宋体" w:hint="default"/>
                <w:sz w:val="18"/>
                <w:szCs w:val="18"/>
              </w:rPr>
              <w:t>国泰君安 投资管理 股份有限 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88"/>
              <w:jc w:val="left"/>
              <w:rPr>
                <w:rFonts w:ascii="宋体" w:hAnsi="宋体" w:cs="宋体" w:eastAsia="宋体" w:hint="default"/>
                <w:sz w:val="18"/>
                <w:szCs w:val="18"/>
              </w:rPr>
            </w:pPr>
            <w:r>
              <w:rPr>
                <w:rFonts w:ascii="宋体" w:hAnsi="宋体" w:cs="宋体" w:eastAsia="宋体" w:hint="default"/>
                <w:sz w:val="18"/>
                <w:szCs w:val="18"/>
              </w:rPr>
              <w:t>其他资本 市场服务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137,583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6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51"/>
        <w:gridCol w:w="1078"/>
        <w:gridCol w:w="944"/>
        <w:gridCol w:w="941"/>
        <w:gridCol w:w="943"/>
        <w:gridCol w:w="941"/>
        <w:gridCol w:w="943"/>
        <w:gridCol w:w="941"/>
        <w:gridCol w:w="809"/>
        <w:gridCol w:w="1078"/>
      </w:tblGrid>
      <w:tr>
        <w:trPr>
          <w:trHeight w:val="1028" w:hRule="exact"/>
        </w:trPr>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5"/>
              <w:jc w:val="both"/>
              <w:rPr>
                <w:rFonts w:ascii="宋体" w:hAnsi="宋体" w:cs="宋体" w:eastAsia="宋体" w:hint="default"/>
                <w:sz w:val="18"/>
                <w:szCs w:val="18"/>
              </w:rPr>
            </w:pPr>
            <w:r>
              <w:rPr>
                <w:rFonts w:ascii="宋体" w:hAnsi="宋体" w:cs="宋体" w:eastAsia="宋体" w:hint="default"/>
                <w:sz w:val="18"/>
                <w:szCs w:val="18"/>
              </w:rPr>
              <w:t>国泰君安 证券股份 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88"/>
              <w:jc w:val="left"/>
              <w:rPr>
                <w:rFonts w:ascii="宋体" w:hAnsi="宋体" w:cs="宋体" w:eastAsia="宋体" w:hint="default"/>
                <w:sz w:val="18"/>
                <w:szCs w:val="18"/>
              </w:rPr>
            </w:pPr>
            <w:r>
              <w:rPr>
                <w:rFonts w:ascii="宋体" w:hAnsi="宋体" w:cs="宋体" w:eastAsia="宋体" w:hint="default"/>
                <w:sz w:val="18"/>
                <w:szCs w:val="18"/>
              </w:rPr>
              <w:t>证券市场 服务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85"/>
              <w:jc w:val="left"/>
              <w:rPr>
                <w:rFonts w:ascii="宋体" w:hAnsi="宋体" w:cs="宋体" w:eastAsia="宋体" w:hint="default"/>
                <w:sz w:val="18"/>
                <w:szCs w:val="18"/>
              </w:rPr>
            </w:pPr>
            <w:r>
              <w:rPr>
                <w:rFonts w:ascii="宋体" w:hAnsi="宋体" w:cs="宋体" w:eastAsia="宋体" w:hint="default"/>
                <w:sz w:val="18"/>
                <w:szCs w:val="18"/>
              </w:rPr>
              <w:t>证券交易 服务</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w:t>
      </w:r>
    </w:p>
    <w:p>
      <w:pPr>
        <w:spacing w:line="300" w:lineRule="auto" w:before="115"/>
        <w:ind w:left="152" w:right="1120" w:firstLine="425"/>
        <w:jc w:val="left"/>
        <w:rPr>
          <w:rFonts w:ascii="宋体" w:hAnsi="宋体" w:cs="宋体" w:eastAsia="宋体" w:hint="default"/>
          <w:sz w:val="18"/>
          <w:szCs w:val="18"/>
        </w:rPr>
      </w:pPr>
      <w:r>
        <w:rPr>
          <w:rFonts w:ascii="宋体" w:hAnsi="宋体" w:cs="宋体" w:eastAsia="宋体" w:hint="default"/>
          <w:sz w:val="18"/>
          <w:szCs w:val="18"/>
        </w:rPr>
        <w:t>北京大唐融合通信技术有限公司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年净利润较上年增长</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84%</w:t>
      </w:r>
      <w:r>
        <w:rPr>
          <w:rFonts w:ascii="宋体" w:hAnsi="宋体" w:cs="宋体" w:eastAsia="宋体" w:hint="default"/>
          <w:spacing w:val="-3"/>
          <w:sz w:val="18"/>
          <w:szCs w:val="18"/>
        </w:rPr>
        <w:t>，主要原因是该子公司的自有产品线及解决方案在三网</w:t>
      </w:r>
      <w:r>
        <w:rPr>
          <w:rFonts w:ascii="宋体" w:hAnsi="宋体" w:cs="宋体" w:eastAsia="宋体" w:hint="default"/>
          <w:sz w:val="18"/>
          <w:szCs w:val="18"/>
        </w:rPr>
        <w:t> 融合及行业应用方面的市场上进一步扩大了市场占有率；</w:t>
      </w:r>
    </w:p>
    <w:p>
      <w:pPr>
        <w:spacing w:before="72"/>
        <w:ind w:left="57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北京大唐高鸿科技发展有限公司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年净利润较上年增长</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459%</w:t>
      </w:r>
      <w:r>
        <w:rPr>
          <w:rFonts w:ascii="宋体" w:hAnsi="宋体" w:cs="宋体" w:eastAsia="宋体" w:hint="default"/>
          <w:sz w:val="18"/>
          <w:szCs w:val="18"/>
        </w:rPr>
        <w:t>，主要原因是公司内部业务调整，使得该子公司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2012</w:t>
      </w:r>
    </w:p>
    <w:p>
      <w:pPr>
        <w:spacing w:before="63"/>
        <w:ind w:left="152" w:right="1125" w:firstLine="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产品销售业务规模大幅提升。</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6"/>
          <w:szCs w:val="26"/>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、非募集资金投资的重大项目情况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2" w:hanging="361"/>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报告期内未有超过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年度末经审计净资产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的非募集资金的重大投资项目。</w:t>
            </w:r>
          </w:p>
        </w:tc>
      </w:tr>
    </w:tbl>
    <w:p>
      <w:pPr>
        <w:spacing w:line="240" w:lineRule="auto" w:before="1"/>
        <w:rPr>
          <w:rFonts w:ascii="宋体" w:hAnsi="宋体" w:cs="宋体" w:eastAsia="宋体" w:hint="default"/>
          <w:sz w:val="18"/>
          <w:szCs w:val="18"/>
        </w:rPr>
      </w:pPr>
    </w:p>
    <w:p>
      <w:pPr>
        <w:pStyle w:val="Heading2"/>
        <w:spacing w:line="240" w:lineRule="auto"/>
        <w:ind w:right="1125"/>
        <w:jc w:val="left"/>
        <w:rPr>
          <w:b w:val="0"/>
          <w:bCs w:val="0"/>
        </w:rPr>
      </w:pPr>
      <w:r>
        <w:rPr/>
        <w:t>七、公司未来发展的展望</w:t>
      </w:r>
      <w:r>
        <w:rPr>
          <w:b w:val="0"/>
          <w:bCs w:val="0"/>
        </w:rPr>
      </w:r>
    </w:p>
    <w:p>
      <w:pPr>
        <w:spacing w:line="240" w:lineRule="auto" w:before="8"/>
        <w:rPr>
          <w:rFonts w:ascii="宋体" w:hAnsi="宋体" w:cs="宋体" w:eastAsia="宋体" w:hint="default"/>
          <w:b/>
          <w:bCs/>
          <w:sz w:val="28"/>
          <w:szCs w:val="28"/>
        </w:rPr>
      </w:pPr>
    </w:p>
    <w:p>
      <w:pPr>
        <w:pStyle w:val="BodyText"/>
        <w:tabs>
          <w:tab w:pos="1533" w:val="left" w:leader="none"/>
        </w:tabs>
        <w:spacing w:line="240" w:lineRule="auto"/>
        <w:ind w:left="573" w:right="1125"/>
        <w:jc w:val="left"/>
      </w:pPr>
      <w:r>
        <w:rPr/>
        <w:t>（一）</w:t>
        <w:tab/>
        <w:t>公司所处行业的发展趋势及公司面临的市场竞争格局及发展机遇</w:t>
      </w:r>
    </w:p>
    <w:p>
      <w:pPr>
        <w:pStyle w:val="BodyText"/>
        <w:spacing w:line="357" w:lineRule="auto" w:before="154"/>
        <w:ind w:right="1128" w:firstLine="420"/>
        <w:jc w:val="both"/>
      </w:pPr>
      <w:r>
        <w:rPr>
          <w:spacing w:val="2"/>
        </w:rPr>
        <w:t>报告期内全球经济仍处于调整期，从国内来讲，基于国内外环境，国家出台了一系列产 </w:t>
      </w:r>
      <w:r>
        <w:rPr/>
        <w:t>业宏观政策</w:t>
      </w:r>
      <w:r>
        <w:rPr>
          <w:rFonts w:ascii="宋体" w:hAnsi="宋体" w:cs="宋体" w:eastAsia="宋体" w:hint="default"/>
        </w:rPr>
        <w:t>(</w:t>
      </w:r>
      <w:r>
        <w:rPr/>
        <w:t>如：物联网、三网融合、电子商务、家电下乡、文化创意产业等扶持政策</w:t>
      </w:r>
      <w:r>
        <w:rPr>
          <w:rFonts w:ascii="宋体" w:hAnsi="宋体" w:cs="宋体" w:eastAsia="宋体" w:hint="default"/>
        </w:rPr>
        <w:t>)</w:t>
      </w:r>
      <w:r>
        <w:rPr/>
        <w:t>鼓励</w:t>
      </w:r>
      <w:r>
        <w:rPr>
          <w:spacing w:val="-83"/>
        </w:rPr>
        <w:t> </w:t>
      </w:r>
      <w:r>
        <w:rPr/>
        <w:t>发展实体经济，此外，社会进步和信息技术也取得了长足发展，积极的外部因素给公司的服</w:t>
      </w:r>
      <w:r>
        <w:rPr>
          <w:spacing w:val="-86"/>
        </w:rPr>
        <w:t> </w:t>
      </w:r>
      <w:r>
        <w:rPr>
          <w:spacing w:val="-86"/>
        </w:rPr>
      </w:r>
      <w:r>
        <w:rPr/>
        <w:t>务及产品带来了一定的机遇，也为公司步入良性发展提供了机会。</w:t>
      </w:r>
    </w:p>
    <w:p>
      <w:pPr>
        <w:pStyle w:val="BodyText"/>
        <w:spacing w:line="357" w:lineRule="auto" w:before="36"/>
        <w:ind w:right="1131" w:firstLine="420"/>
        <w:jc w:val="both"/>
      </w:pPr>
      <w:r>
        <w:rPr>
          <w:spacing w:val="2"/>
        </w:rPr>
        <w:t>报告期内公司坚持“建立面向广大独立决策投资和消费主体的服务体系”为战略定位， </w:t>
      </w:r>
      <w:r>
        <w:rPr/>
        <w:t>推动面向企业客户的企业信息化业务、面向个人消费者和中小企业客户的</w:t>
      </w:r>
      <w:r>
        <w:rPr>
          <w:rFonts w:ascii="宋体" w:hAnsi="宋体" w:cs="宋体" w:eastAsia="宋体" w:hint="default"/>
        </w:rPr>
        <w:t>IT</w:t>
      </w:r>
      <w:r>
        <w:rPr/>
        <w:t>销售业务以及面</w:t>
      </w:r>
      <w:r>
        <w:rPr>
          <w:spacing w:val="-87"/>
        </w:rPr>
        <w:t> </w:t>
      </w:r>
      <w:r>
        <w:rPr>
          <w:spacing w:val="-87"/>
        </w:rPr>
      </w:r>
      <w:r>
        <w:rPr/>
        <w:t>向个人消费者的信息服务业务三个业务板块稳健发展、持续增长。</w:t>
      </w:r>
    </w:p>
    <w:p>
      <w:pPr>
        <w:pStyle w:val="BodyText"/>
        <w:spacing w:line="357" w:lineRule="auto" w:before="36"/>
        <w:ind w:left="573" w:right="1213"/>
        <w:jc w:val="left"/>
      </w:pPr>
      <w:r>
        <w:rPr/>
        <w:t>结合宏观政策，公司对所处行业的未来发展趋势、市场状况及发展机遇进行如下分析： </w:t>
      </w:r>
      <w:r>
        <w:rPr>
          <w:rFonts w:ascii="宋体" w:hAnsi="宋体" w:cs="宋体" w:eastAsia="宋体" w:hint="default"/>
        </w:rPr>
        <w:t>1.</w:t>
      </w:r>
      <w:r>
        <w:rPr/>
        <w:t>企业信息化方面</w:t>
      </w:r>
    </w:p>
    <w:p>
      <w:pPr>
        <w:pStyle w:val="BodyText"/>
        <w:spacing w:line="240" w:lineRule="auto" w:before="36"/>
        <w:ind w:right="0" w:firstLine="420"/>
        <w:jc w:val="both"/>
      </w:pPr>
      <w:r>
        <w:rPr>
          <w:spacing w:val="2"/>
        </w:rPr>
        <w:t>国家“十二五”规划指出：我国将着力“全面提高信息化水平”，“推动信息化与工业</w:t>
      </w:r>
      <w:r>
        <w:rPr/>
      </w:r>
    </w:p>
    <w:p>
      <w:pPr>
        <w:pStyle w:val="BodyText"/>
        <w:spacing w:line="240" w:lineRule="auto" w:before="154"/>
        <w:ind w:right="1125"/>
        <w:jc w:val="left"/>
      </w:pPr>
      <w:r>
        <w:rPr/>
        <w:t>化深度融合，加快经济社会各领域信息化”，“实现电信网、广播电视网、互联网‘三网融</w:t>
      </w:r>
    </w:p>
    <w:p>
      <w:pPr>
        <w:spacing w:after="0" w:line="240" w:lineRule="auto"/>
        <w:jc w:val="left"/>
        <w:sectPr>
          <w:pgSz w:w="11910" w:h="16840"/>
          <w:pgMar w:header="877" w:footer="1340" w:top="1060" w:bottom="1540" w:left="980" w:right="0"/>
        </w:sectPr>
      </w:pPr>
    </w:p>
    <w:p>
      <w:pPr>
        <w:spacing w:line="240" w:lineRule="auto" w:before="6"/>
        <w:rPr>
          <w:rFonts w:ascii="宋体" w:hAnsi="宋体" w:cs="宋体" w:eastAsia="宋体" w:hint="default"/>
          <w:sz w:val="29"/>
          <w:szCs w:val="29"/>
        </w:rPr>
      </w:pPr>
    </w:p>
    <w:p>
      <w:pPr>
        <w:pStyle w:val="BodyText"/>
        <w:spacing w:line="357" w:lineRule="auto" w:before="26"/>
        <w:ind w:right="1130"/>
        <w:jc w:val="both"/>
      </w:pPr>
      <w:r>
        <w:rPr/>
        <w:t>合’，构建宽带、融合、安全的下一代国家信息基础设施”，“推进物联网研发应用”。在</w:t>
      </w:r>
      <w:r>
        <w:rPr>
          <w:spacing w:val="-88"/>
        </w:rPr>
        <w:t> </w:t>
      </w:r>
      <w:r>
        <w:rPr>
          <w:spacing w:val="-88"/>
        </w:rPr>
      </w:r>
      <w:r>
        <w:rPr>
          <w:spacing w:val="-2"/>
        </w:rPr>
        <w:t>未来</w:t>
      </w:r>
      <w:r>
        <w:rPr>
          <w:rFonts w:ascii="宋体" w:hAnsi="宋体" w:cs="宋体" w:eastAsia="宋体" w:hint="default"/>
          <w:spacing w:val="-2"/>
        </w:rPr>
        <w:t>5</w:t>
      </w:r>
      <w:r>
        <w:rPr>
          <w:spacing w:val="-2"/>
        </w:rPr>
        <w:t>年，这些政策倾向将推动信息网络和信息技术广泛应用，促进传统产业改造升级，推广</w:t>
      </w:r>
      <w:r>
        <w:rPr/>
        <w:t> 行业智能化应用，推进三网融合和物联网产业取得实质进展。</w:t>
      </w:r>
    </w:p>
    <w:p>
      <w:pPr>
        <w:pStyle w:val="BodyText"/>
        <w:spacing w:line="240" w:lineRule="auto" w:before="36"/>
        <w:ind w:left="573" w:right="1125"/>
        <w:jc w:val="left"/>
      </w:pPr>
      <w:r>
        <w:rPr>
          <w:rFonts w:ascii="宋体" w:hAnsi="宋体" w:cs="宋体" w:eastAsia="宋体" w:hint="default"/>
        </w:rPr>
        <w:t>2.IT</w:t>
      </w:r>
      <w:r>
        <w:rPr/>
        <w:t>销售业务方面</w:t>
      </w:r>
    </w:p>
    <w:p>
      <w:pPr>
        <w:pStyle w:val="BodyText"/>
        <w:spacing w:line="357" w:lineRule="auto" w:before="154"/>
        <w:ind w:right="996" w:firstLine="420"/>
        <w:jc w:val="left"/>
      </w:pPr>
      <w:r>
        <w:rPr>
          <w:spacing w:val="2"/>
        </w:rPr>
        <w:t>目前电子产品消费市场不断扩大，</w:t>
      </w:r>
      <w:r>
        <w:rPr>
          <w:rFonts w:ascii="宋体" w:hAnsi="宋体" w:cs="宋体" w:eastAsia="宋体" w:hint="default"/>
          <w:spacing w:val="2"/>
        </w:rPr>
        <w:t>IT</w:t>
      </w:r>
      <w:r>
        <w:rPr>
          <w:spacing w:val="2"/>
        </w:rPr>
        <w:t>销售业务迅速发展，传统电脑卖场刚性成本上升，</w:t>
      </w:r>
      <w:r>
        <w:rPr/>
        <w:t> 供应商逐步挤压下游零售商的利润，行业竞争激烈，行业中企业开始出现集中化；</w:t>
      </w:r>
      <w:r>
        <w:rPr>
          <w:rFonts w:ascii="宋体" w:hAnsi="宋体" w:cs="宋体" w:eastAsia="宋体" w:hint="default"/>
        </w:rPr>
        <w:t>B2C</w:t>
      </w:r>
      <w:r>
        <w:rPr/>
        <w:t>市场蓬 </w:t>
      </w:r>
      <w:r>
        <w:rPr>
          <w:spacing w:val="-5"/>
        </w:rPr>
        <w:t>勃发展，呈现规模增长，中小城市的电子消费市场广阔。国家“十二五”规划明确指出：“加</w:t>
      </w:r>
      <w:r>
        <w:rPr/>
        <w:t> 快发展服务业”，“积极发展电子商务”，“培育新热点，推动规模化、网络化、品牌化运</w:t>
      </w:r>
      <w:r>
        <w:rPr>
          <w:spacing w:val="-90"/>
        </w:rPr>
        <w:t> </w:t>
      </w:r>
      <w:r>
        <w:rPr>
          <w:spacing w:val="-90"/>
        </w:rPr>
      </w:r>
      <w:r>
        <w:rPr/>
        <w:t>营”。预计未来几年中，在政策的扶持下，电子商务将成为未来消费领域的主力市场，连锁</w:t>
      </w:r>
      <w:r>
        <w:rPr>
          <w:spacing w:val="-91"/>
        </w:rPr>
        <w:t> </w:t>
      </w:r>
      <w:r>
        <w:rPr>
          <w:spacing w:val="-91"/>
        </w:rPr>
      </w:r>
      <w:r>
        <w:rPr/>
        <w:t>品牌化运营也将充分体现规模经济效益和品牌优势所代表的竞争力。在行业整合过程中，销</w:t>
      </w:r>
      <w:r>
        <w:rPr>
          <w:spacing w:val="-91"/>
        </w:rPr>
        <w:t> </w:t>
      </w:r>
      <w:r>
        <w:rPr>
          <w:spacing w:val="-91"/>
        </w:rPr>
      </w:r>
      <w:r>
        <w:rPr>
          <w:spacing w:val="-2"/>
        </w:rPr>
        <w:t>售形式呈现地域化，一、二线城市中，网络销售优势将日益明显，而实体销售企业将会在三、</w:t>
      </w:r>
      <w:r>
        <w:rPr/>
        <w:t> 四线城市展开激烈竞争；产品呈现差异化，优秀的</w:t>
      </w:r>
      <w:r>
        <w:rPr>
          <w:rFonts w:ascii="宋体" w:hAnsi="宋体" w:cs="宋体" w:eastAsia="宋体" w:hint="default"/>
        </w:rPr>
        <w:t>IT</w:t>
      </w:r>
      <w:r>
        <w:rPr/>
        <w:t>连锁企业必然凭借品牌、管理、资金、</w:t>
      </w:r>
      <w:r>
        <w:rPr>
          <w:spacing w:val="-88"/>
        </w:rPr>
        <w:t> </w:t>
      </w:r>
      <w:r>
        <w:rPr>
          <w:spacing w:val="-88"/>
        </w:rPr>
      </w:r>
      <w:r>
        <w:rPr/>
        <w:t>成本、服务及物流方面的优势，掌握市场的主动权和话语权。</w:t>
      </w:r>
    </w:p>
    <w:p>
      <w:pPr>
        <w:pStyle w:val="BodyText"/>
        <w:spacing w:line="240" w:lineRule="auto" w:before="36"/>
        <w:ind w:left="573" w:right="1125"/>
        <w:jc w:val="left"/>
      </w:pPr>
      <w:r>
        <w:rPr>
          <w:rFonts w:ascii="宋体" w:hAnsi="宋体" w:cs="宋体" w:eastAsia="宋体" w:hint="default"/>
        </w:rPr>
        <w:t>3.</w:t>
      </w:r>
      <w:r>
        <w:rPr/>
        <w:t>信息服务业务方面</w:t>
      </w:r>
    </w:p>
    <w:p>
      <w:pPr>
        <w:pStyle w:val="BodyText"/>
        <w:spacing w:line="357" w:lineRule="auto" w:before="154"/>
        <w:ind w:right="996" w:firstLine="420"/>
        <w:jc w:val="left"/>
      </w:pPr>
      <w:r>
        <w:rPr/>
        <w:t>根据国家“十二五”规划，我国在</w:t>
      </w:r>
      <w:r>
        <w:rPr>
          <w:spacing w:val="-17"/>
        </w:rPr>
        <w:t> </w:t>
      </w:r>
      <w:r>
        <w:rPr/>
        <w:t>“三网融合”背景下，将加快</w:t>
      </w:r>
      <w:r>
        <w:rPr>
          <w:rFonts w:ascii="宋体" w:hAnsi="宋体" w:cs="宋体" w:eastAsia="宋体" w:hint="default"/>
        </w:rPr>
        <w:t>3G</w:t>
      </w:r>
      <w:r>
        <w:rPr/>
        <w:t>网络升级与</w:t>
      </w:r>
      <w:r>
        <w:rPr>
          <w:rFonts w:ascii="宋体" w:hAnsi="宋体" w:cs="宋体" w:eastAsia="宋体" w:hint="default"/>
        </w:rPr>
        <w:t>4G</w:t>
      </w:r>
      <w:r>
        <w:rPr/>
        <w:t>网络建 </w:t>
      </w:r>
      <w:r>
        <w:rPr>
          <w:spacing w:val="-2"/>
        </w:rPr>
        <w:t>设，这亦为信息增值服务业务带来发展机遇。随着机遇的到来，信息增值服务业务前景广阔，</w:t>
      </w:r>
      <w:r>
        <w:rPr/>
        <w:t> 市场竞争日趋激烈。</w:t>
      </w:r>
    </w:p>
    <w:p>
      <w:pPr>
        <w:pStyle w:val="BodyText"/>
        <w:spacing w:line="357" w:lineRule="auto" w:before="36"/>
        <w:ind w:right="1139" w:firstLine="420"/>
        <w:jc w:val="both"/>
      </w:pPr>
      <w:r>
        <w:rPr>
          <w:spacing w:val="2"/>
        </w:rPr>
        <w:t>在国家“十二五”规划引领下，公司将加快三个业务板块发展步伐，通过升级企业信息</w:t>
      </w:r>
      <w:r>
        <w:rPr/>
        <w:t> 化系列产品，为企业信息化建设提供专业的技术支持；紧盯三网融合机遇，通过进军移动互</w:t>
      </w:r>
      <w:r>
        <w:rPr>
          <w:spacing w:val="-91"/>
        </w:rPr>
        <w:t> </w:t>
      </w:r>
      <w:r>
        <w:rPr>
          <w:spacing w:val="-91"/>
        </w:rPr>
      </w:r>
      <w:r>
        <w:rPr/>
        <w:t>联网和文化创意领域，获取核心技术及内容资源，逐步发展为数字化信息服务主力企业。</w:t>
      </w:r>
    </w:p>
    <w:p>
      <w:pPr>
        <w:pStyle w:val="BodyText"/>
        <w:spacing w:line="240" w:lineRule="auto" w:before="36"/>
        <w:ind w:left="573" w:right="1125"/>
        <w:jc w:val="left"/>
      </w:pPr>
      <w:r>
        <w:rPr/>
        <w:t>（二）公司经营面临以下困难</w:t>
      </w:r>
    </w:p>
    <w:p>
      <w:pPr>
        <w:pStyle w:val="BodyText"/>
        <w:spacing w:line="357" w:lineRule="auto" w:before="154"/>
        <w:ind w:right="1125" w:firstLine="420"/>
        <w:jc w:val="left"/>
      </w:pPr>
      <w:r>
        <w:rPr>
          <w:spacing w:val="2"/>
        </w:rPr>
        <w:t>企业信息化服务方面，目前公司产品较为单一，新产品开发及老产品维护将耗费大量资 </w:t>
      </w:r>
      <w:r>
        <w:rPr/>
        <w:t>源，且部分产品和解决方案盈利能力有限。</w:t>
      </w:r>
    </w:p>
    <w:p>
      <w:pPr>
        <w:pStyle w:val="BodyText"/>
        <w:spacing w:line="357" w:lineRule="auto" w:before="37"/>
        <w:ind w:right="1129" w:firstLine="420"/>
        <w:jc w:val="both"/>
      </w:pPr>
      <w:r>
        <w:rPr>
          <w:rFonts w:ascii="宋体" w:hAnsi="宋体" w:cs="宋体" w:eastAsia="宋体" w:hint="default"/>
          <w:spacing w:val="2"/>
        </w:rPr>
        <w:t>IT</w:t>
      </w:r>
      <w:r>
        <w:rPr>
          <w:spacing w:val="2"/>
        </w:rPr>
        <w:t>销售业务方面，行业整体盈利能力下降，实体店面受厂商和电脑城物业双重挤压，实 </w:t>
      </w:r>
      <w:r>
        <w:rPr>
          <w:spacing w:val="-2"/>
        </w:rPr>
        <w:t>体店面刚性成本上升；电子商城在</w:t>
      </w:r>
      <w:r>
        <w:rPr>
          <w:rFonts w:ascii="宋体" w:hAnsi="宋体" w:cs="宋体" w:eastAsia="宋体" w:hint="default"/>
          <w:spacing w:val="-2"/>
        </w:rPr>
        <w:t>B2C</w:t>
      </w:r>
      <w:r>
        <w:rPr>
          <w:spacing w:val="-2"/>
        </w:rPr>
        <w:t>蓬勃发展的环境下，各大网上商城压缩利润，竞争愈发</w:t>
      </w:r>
      <w:r>
        <w:rPr>
          <w:spacing w:val="-116"/>
        </w:rPr>
        <w:t> </w:t>
      </w:r>
      <w:r>
        <w:rPr>
          <w:spacing w:val="-116"/>
        </w:rPr>
      </w:r>
      <w:r>
        <w:rPr>
          <w:spacing w:val="-2"/>
        </w:rPr>
        <w:t>激烈，公司</w:t>
      </w:r>
      <w:r>
        <w:rPr>
          <w:rFonts w:ascii="宋体" w:hAnsi="宋体" w:cs="宋体" w:eastAsia="宋体" w:hint="default"/>
          <w:spacing w:val="-2"/>
        </w:rPr>
        <w:t>B2C</w:t>
      </w:r>
      <w:r>
        <w:rPr>
          <w:spacing w:val="-2"/>
        </w:rPr>
        <w:t>业务发展严重受制于系统平台，建设集供应、物流、服务为一体的专业化电子</w:t>
      </w:r>
      <w:r>
        <w:rPr/>
        <w:t> 商务体系日趋迫切。</w:t>
      </w:r>
    </w:p>
    <w:p>
      <w:pPr>
        <w:pStyle w:val="BodyText"/>
        <w:spacing w:line="357" w:lineRule="auto" w:before="36"/>
        <w:ind w:right="1125" w:firstLine="420"/>
        <w:jc w:val="left"/>
      </w:pPr>
      <w:r>
        <w:rPr>
          <w:spacing w:val="2"/>
        </w:rPr>
        <w:t>信息服务业务方面，基础增值业务增长处于瓶颈期，运营商基地建设处于行业初期，大 </w:t>
      </w:r>
      <w:r>
        <w:rPr>
          <w:spacing w:val="6"/>
        </w:rPr>
        <w:t>量信息增值业务服务商的进入为公司建设有高鸿特色的信息增值业务服务带来了更高的挑</w:t>
      </w:r>
    </w:p>
    <w:p>
      <w:pPr>
        <w:spacing w:after="0" w:line="357" w:lineRule="auto"/>
        <w:jc w:val="left"/>
        <w:sectPr>
          <w:pgSz w:w="11910" w:h="16840"/>
          <w:pgMar w:header="877" w:footer="1340" w:top="1060" w:bottom="1540" w:left="980" w:right="0"/>
        </w:sectPr>
      </w:pPr>
    </w:p>
    <w:p>
      <w:pPr>
        <w:spacing w:line="240" w:lineRule="auto" w:before="6"/>
        <w:rPr>
          <w:rFonts w:ascii="宋体" w:hAnsi="宋体" w:cs="宋体" w:eastAsia="宋体" w:hint="default"/>
          <w:sz w:val="29"/>
          <w:szCs w:val="29"/>
        </w:rPr>
      </w:pPr>
    </w:p>
    <w:p>
      <w:pPr>
        <w:pStyle w:val="BodyText"/>
        <w:spacing w:line="240" w:lineRule="auto" w:before="26"/>
        <w:ind w:right="0"/>
        <w:jc w:val="both"/>
      </w:pPr>
      <w:r>
        <w:rPr/>
        <w:t>战。</w:t>
      </w:r>
    </w:p>
    <w:p>
      <w:pPr>
        <w:pStyle w:val="BodyText"/>
        <w:spacing w:line="240" w:lineRule="auto" w:before="154"/>
        <w:ind w:left="573" w:right="1125"/>
        <w:jc w:val="left"/>
      </w:pPr>
      <w:r>
        <w:rPr/>
        <w:t>（三）公司未来发展战略</w:t>
      </w:r>
    </w:p>
    <w:p>
      <w:pPr>
        <w:pStyle w:val="BodyText"/>
        <w:spacing w:line="357" w:lineRule="auto" w:before="154"/>
        <w:ind w:right="1134" w:firstLine="420"/>
        <w:jc w:val="both"/>
      </w:pPr>
      <w:r>
        <w:rPr>
          <w:spacing w:val="2"/>
        </w:rPr>
        <w:t>当今是为消费者服务的社会，需求产生市场。在国家“十二五”规划的引领下，公司结</w:t>
      </w:r>
      <w:r>
        <w:rPr/>
        <w:t> 合自身的特点，制定了公司“十二五”发展规划，公司仍将继续在“建立面向广大独立决策</w:t>
      </w:r>
      <w:r>
        <w:rPr>
          <w:spacing w:val="-89"/>
        </w:rPr>
        <w:t> </w:t>
      </w:r>
      <w:r>
        <w:rPr>
          <w:spacing w:val="-89"/>
        </w:rPr>
      </w:r>
      <w:r>
        <w:rPr/>
        <w:t>的投资和消费者主体的服务体系”发展战略的指引下，秉承“诚信为本、服务至上、勇于创</w:t>
      </w:r>
      <w:r>
        <w:rPr>
          <w:spacing w:val="-89"/>
        </w:rPr>
        <w:t> </w:t>
      </w:r>
      <w:r>
        <w:rPr>
          <w:spacing w:val="-89"/>
        </w:rPr>
      </w:r>
      <w:r>
        <w:rPr/>
        <w:t>新、追求卓越”的服务理念推进公司三个业务板块稳健、快速发展，竭力提升公司的可持续</w:t>
      </w:r>
      <w:r>
        <w:rPr>
          <w:spacing w:val="-91"/>
        </w:rPr>
        <w:t> </w:t>
      </w:r>
      <w:r>
        <w:rPr>
          <w:spacing w:val="-91"/>
        </w:rPr>
      </w:r>
      <w:r>
        <w:rPr/>
        <w:t>发展能力、核心竞争力及盈利能力，逐步将公司打造为具有高社会价值、投资价值的企业。</w:t>
      </w:r>
    </w:p>
    <w:p>
      <w:pPr>
        <w:pStyle w:val="BodyText"/>
        <w:spacing w:line="357" w:lineRule="auto" w:before="36"/>
        <w:ind w:left="573" w:right="1125"/>
        <w:jc w:val="left"/>
      </w:pPr>
      <w:r>
        <w:rPr>
          <w:rFonts w:ascii="宋体" w:hAnsi="宋体" w:cs="宋体" w:eastAsia="宋体" w:hint="default"/>
        </w:rPr>
        <w:t>1.</w:t>
      </w:r>
      <w:r>
        <w:rPr/>
        <w:t>经营战略 </w:t>
      </w:r>
      <w:r>
        <w:rPr>
          <w:spacing w:val="-1"/>
        </w:rPr>
        <w:t>深入贯彻落实“科学发展观”，坚持以公司的十二五发展战略为引领</w:t>
      </w:r>
      <w:r>
        <w:rPr>
          <w:rFonts w:ascii="宋体" w:hAnsi="宋体" w:cs="宋体" w:eastAsia="宋体" w:hint="default"/>
          <w:spacing w:val="-1"/>
        </w:rPr>
        <w:t>,</w:t>
      </w:r>
      <w:r>
        <w:rPr>
          <w:spacing w:val="-1"/>
        </w:rPr>
        <w:t>通过建设渠道平台</w:t>
      </w:r>
    </w:p>
    <w:p>
      <w:pPr>
        <w:pStyle w:val="BodyText"/>
        <w:spacing w:line="357" w:lineRule="auto" w:before="36"/>
        <w:ind w:right="1134"/>
        <w:jc w:val="both"/>
      </w:pPr>
      <w:r>
        <w:rPr/>
        <w:t>对客户广泛覆盖，横向整合资源，纵向整合业务，在传统渠道上整合新型业务，努力使各业</w:t>
      </w:r>
      <w:r>
        <w:rPr>
          <w:spacing w:val="-87"/>
        </w:rPr>
        <w:t> </w:t>
      </w:r>
      <w:r>
        <w:rPr>
          <w:spacing w:val="-87"/>
        </w:rPr>
      </w:r>
      <w:r>
        <w:rPr/>
        <w:t>务板块在行业细分领域成为具有竞争优势的一流企业，实现企业信息化、</w:t>
      </w:r>
      <w:r>
        <w:rPr>
          <w:rFonts w:ascii="宋体" w:hAnsi="宋体" w:cs="宋体" w:eastAsia="宋体" w:hint="default"/>
        </w:rPr>
        <w:t>IT</w:t>
      </w:r>
      <w:r>
        <w:rPr/>
        <w:t>销售业务、信息</w:t>
      </w:r>
      <w:r>
        <w:rPr>
          <w:spacing w:val="-87"/>
        </w:rPr>
        <w:t> </w:t>
      </w:r>
      <w:r>
        <w:rPr>
          <w:spacing w:val="-87"/>
        </w:rPr>
      </w:r>
      <w:r>
        <w:rPr/>
        <w:t>服务业务全面、协调、可持续发展。</w:t>
      </w:r>
    </w:p>
    <w:p>
      <w:pPr>
        <w:pStyle w:val="BodyText"/>
        <w:spacing w:line="240" w:lineRule="auto" w:before="36"/>
        <w:ind w:left="573" w:right="1125"/>
        <w:jc w:val="left"/>
      </w:pPr>
      <w:r>
        <w:rPr>
          <w:rFonts w:ascii="宋体" w:hAnsi="宋体" w:cs="宋体" w:eastAsia="宋体" w:hint="default"/>
        </w:rPr>
        <w:t>2.</w:t>
      </w:r>
      <w:r>
        <w:rPr/>
        <w:t>市场战略</w:t>
      </w:r>
    </w:p>
    <w:p>
      <w:pPr>
        <w:pStyle w:val="BodyText"/>
        <w:spacing w:line="240" w:lineRule="auto" w:before="154"/>
        <w:ind w:left="573" w:right="1125"/>
        <w:jc w:val="left"/>
      </w:pPr>
      <w:r>
        <w:rPr/>
        <w:t>（</w:t>
      </w:r>
      <w:r>
        <w:rPr>
          <w:rFonts w:ascii="宋体" w:hAnsi="宋体" w:cs="宋体" w:eastAsia="宋体" w:hint="default"/>
        </w:rPr>
        <w:t>1</w:t>
      </w:r>
      <w:r>
        <w:rPr/>
        <w:t>）企业信息化业务</w:t>
      </w:r>
    </w:p>
    <w:p>
      <w:pPr>
        <w:pStyle w:val="BodyText"/>
        <w:spacing w:line="357" w:lineRule="auto" w:before="154"/>
        <w:ind w:right="1133" w:firstLine="420"/>
        <w:jc w:val="both"/>
      </w:pPr>
      <w:r>
        <w:rPr>
          <w:spacing w:val="2"/>
        </w:rPr>
        <w:t>充分利用推动信息化和工业化深度融合和物联网应用为政策导向扩大内需的机遇，结合 </w:t>
      </w:r>
      <w:r>
        <w:rPr/>
        <w:t>自有技术积累，整合多项业务，提供有特色的信息化解决方案，拓宽物联网细分领域和企业</w:t>
      </w:r>
      <w:r>
        <w:rPr>
          <w:spacing w:val="-91"/>
        </w:rPr>
        <w:t> </w:t>
      </w:r>
      <w:r>
        <w:rPr>
          <w:spacing w:val="-91"/>
        </w:rPr>
      </w:r>
      <w:r>
        <w:rPr/>
        <w:t>信息化服务市场，建设专业技术领域的职业团队，逐步实现到“企业信息化服务与集成商”</w:t>
      </w:r>
      <w:r>
        <w:rPr>
          <w:spacing w:val="-87"/>
        </w:rPr>
        <w:t> </w:t>
      </w:r>
      <w:r>
        <w:rPr>
          <w:spacing w:val="-87"/>
        </w:rPr>
      </w:r>
      <w:r>
        <w:rPr/>
        <w:t>转变。</w:t>
      </w:r>
    </w:p>
    <w:p>
      <w:pPr>
        <w:pStyle w:val="BodyText"/>
        <w:spacing w:line="372" w:lineRule="auto" w:before="77"/>
        <w:ind w:right="996" w:firstLine="566"/>
        <w:jc w:val="left"/>
      </w:pPr>
      <w:r>
        <w:rPr/>
        <w:t>（</w:t>
      </w:r>
      <w:r>
        <w:rPr>
          <w:rFonts w:ascii="宋体" w:hAnsi="宋体" w:cs="宋体" w:eastAsia="宋体" w:hint="default"/>
        </w:rPr>
        <w:t>2</w:t>
      </w:r>
      <w:r>
        <w:rPr/>
        <w:t>）</w:t>
      </w:r>
      <w:r>
        <w:rPr>
          <w:rFonts w:ascii="宋体" w:hAnsi="宋体" w:cs="宋体" w:eastAsia="宋体" w:hint="default"/>
        </w:rPr>
        <w:t>IT</w:t>
      </w:r>
      <w:r>
        <w:rPr/>
        <w:t>销售业务 公司将在以实体店面与电子商城形成网上网下专业化</w:t>
      </w:r>
      <w:r>
        <w:rPr>
          <w:rFonts w:ascii="宋体" w:hAnsi="宋体" w:cs="宋体" w:eastAsia="宋体" w:hint="default"/>
        </w:rPr>
        <w:t>IT</w:t>
      </w:r>
      <w:r>
        <w:rPr/>
        <w:t>销售的基础上，逐步建立在一线城市</w:t>
      </w:r>
      <w:r>
        <w:rPr>
          <w:spacing w:val="-87"/>
        </w:rPr>
        <w:t> </w:t>
      </w:r>
      <w:r>
        <w:rPr>
          <w:spacing w:val="-87"/>
        </w:rPr>
      </w:r>
      <w:r>
        <w:rPr>
          <w:spacing w:val="-2"/>
        </w:rPr>
        <w:t>以个性化的电子商务为主体，二、三线城市以覆盖实体店面为主体的差异化立体式运营体系。</w:t>
      </w:r>
    </w:p>
    <w:p>
      <w:pPr>
        <w:pStyle w:val="BodyText"/>
        <w:spacing w:line="240" w:lineRule="auto" w:before="62"/>
        <w:ind w:left="573" w:right="1125"/>
        <w:jc w:val="left"/>
      </w:pPr>
      <w:r>
        <w:rPr/>
        <w:t>（</w:t>
      </w:r>
      <w:r>
        <w:rPr>
          <w:rFonts w:ascii="宋体" w:hAnsi="宋体" w:cs="宋体" w:eastAsia="宋体" w:hint="default"/>
        </w:rPr>
        <w:t>3</w:t>
      </w:r>
      <w:r>
        <w:rPr/>
        <w:t>）信息服务业务</w:t>
      </w:r>
    </w:p>
    <w:p>
      <w:pPr>
        <w:pStyle w:val="BodyText"/>
        <w:spacing w:line="357" w:lineRule="auto" w:before="154"/>
        <w:ind w:right="1133" w:firstLine="420"/>
        <w:jc w:val="both"/>
      </w:pPr>
      <w:r>
        <w:rPr>
          <w:spacing w:val="2"/>
        </w:rPr>
        <w:t>根据政策导向，紧盯物联网、三网融合加速推进的机遇，加强业务多样化发展，深入挖 </w:t>
      </w:r>
      <w:r>
        <w:rPr/>
        <w:t>掘移动互联网信息增值业务，加大投入，获取核心技术，支撑业务规模化发展；进军文化创</w:t>
      </w:r>
      <w:r>
        <w:rPr>
          <w:spacing w:val="-91"/>
        </w:rPr>
        <w:t> </w:t>
      </w:r>
      <w:r>
        <w:rPr>
          <w:spacing w:val="-91"/>
        </w:rPr>
      </w:r>
      <w:r>
        <w:rPr/>
        <w:t>意领域，以内容资源支撑业务规模拓展，拓展加强新媒体业务，基地接入，逐步塑造为数字</w:t>
      </w:r>
      <w:r>
        <w:rPr>
          <w:spacing w:val="-91"/>
        </w:rPr>
        <w:t> </w:t>
      </w:r>
      <w:r>
        <w:rPr>
          <w:spacing w:val="-91"/>
        </w:rPr>
      </w:r>
      <w:r>
        <w:rPr/>
        <w:t>化信息服务的主力企业。</w:t>
      </w:r>
    </w:p>
    <w:p>
      <w:pPr>
        <w:pStyle w:val="BodyText"/>
        <w:spacing w:line="357" w:lineRule="auto" w:before="36"/>
        <w:ind w:left="573" w:right="0"/>
        <w:jc w:val="left"/>
      </w:pPr>
      <w:r>
        <w:rPr>
          <w:rFonts w:ascii="宋体" w:hAnsi="宋体" w:cs="宋体" w:eastAsia="宋体" w:hint="default"/>
        </w:rPr>
        <w:t>3.</w:t>
      </w:r>
      <w:r>
        <w:rPr/>
        <w:t>产品和品牌战略 </w:t>
      </w:r>
      <w:r>
        <w:rPr>
          <w:spacing w:val="-1"/>
        </w:rPr>
        <w:t>以市场战略为基础，保证整体产品质量，服务质量，提升品牌形象；以服务客户为中心，</w:t>
      </w:r>
    </w:p>
    <w:p>
      <w:pPr>
        <w:pStyle w:val="BodyText"/>
        <w:spacing w:line="240" w:lineRule="auto" w:before="36"/>
        <w:ind w:right="0"/>
        <w:jc w:val="both"/>
      </w:pPr>
      <w:r>
        <w:rPr/>
        <w:t>打造符合市场需求的有特色产品及服务，突出品牌定位及核心价值。</w:t>
      </w:r>
    </w:p>
    <w:p>
      <w:pPr>
        <w:spacing w:after="0" w:line="240" w:lineRule="auto"/>
        <w:jc w:val="both"/>
        <w:sectPr>
          <w:pgSz w:w="11910" w:h="16840"/>
          <w:pgMar w:header="877" w:footer="1340" w:top="1060" w:bottom="1540" w:left="980" w:right="0"/>
        </w:sectPr>
      </w:pPr>
    </w:p>
    <w:p>
      <w:pPr>
        <w:spacing w:line="240" w:lineRule="auto" w:before="6"/>
        <w:rPr>
          <w:rFonts w:ascii="宋体" w:hAnsi="宋体" w:cs="宋体" w:eastAsia="宋体" w:hint="default"/>
          <w:sz w:val="29"/>
          <w:szCs w:val="29"/>
        </w:rPr>
      </w:pPr>
    </w:p>
    <w:p>
      <w:pPr>
        <w:pStyle w:val="BodyText"/>
        <w:spacing w:line="357" w:lineRule="auto" w:before="26"/>
        <w:ind w:right="1133" w:firstLine="420"/>
        <w:jc w:val="both"/>
      </w:pPr>
      <w:r>
        <w:rPr>
          <w:spacing w:val="2"/>
        </w:rPr>
        <w:t>针对企业信息化服务方面，公司深度挖掘市场需求，将产品打造成精品，拓展物联网细 </w:t>
      </w:r>
      <w:r>
        <w:rPr/>
        <w:t>分行业市场和</w:t>
      </w:r>
      <w:r>
        <w:rPr>
          <w:rFonts w:ascii="宋体" w:hAnsi="宋体" w:cs="宋体" w:eastAsia="宋体" w:hint="default"/>
        </w:rPr>
        <w:t>IP</w:t>
      </w:r>
      <w:r>
        <w:rPr/>
        <w:t>语音应用领域，推广企业信息化服务；</w:t>
      </w:r>
      <w:r>
        <w:rPr>
          <w:rFonts w:ascii="宋体" w:hAnsi="宋体" w:cs="宋体" w:eastAsia="宋体" w:hint="default"/>
        </w:rPr>
        <w:t>IT</w:t>
      </w:r>
      <w:r>
        <w:rPr/>
        <w:t>销售业务领域，公司将致力于用具</w:t>
      </w:r>
      <w:r>
        <w:rPr>
          <w:spacing w:val="-89"/>
        </w:rPr>
        <w:t> </w:t>
      </w:r>
      <w:r>
        <w:rPr>
          <w:spacing w:val="-89"/>
        </w:rPr>
      </w:r>
      <w:r>
        <w:rPr/>
        <w:t>有特色的高质量终端产品与丰富的品类组合服务消费者；信息服务业务方面，公司努力拓展</w:t>
      </w:r>
      <w:r>
        <w:rPr>
          <w:spacing w:val="-91"/>
        </w:rPr>
        <w:t> </w:t>
      </w:r>
      <w:r>
        <w:rPr>
          <w:spacing w:val="-91"/>
        </w:rPr>
      </w:r>
      <w:r>
        <w:rPr/>
        <w:t>移动互联网信息服务和新媒体业务，拓宽信息服务业务内容，为客户提供贴心的信息服务。</w:t>
      </w:r>
      <w:r>
        <w:rPr>
          <w:spacing w:val="-91"/>
        </w:rPr>
        <w:t> </w:t>
      </w:r>
      <w:r>
        <w:rPr>
          <w:spacing w:val="-91"/>
        </w:rPr>
      </w:r>
      <w:r>
        <w:rPr/>
        <w:t>公司通过三个业务板块的推进，为消费者提供具有“高鸿”特色的产品与服务。</w:t>
      </w:r>
    </w:p>
    <w:p>
      <w:pPr>
        <w:pStyle w:val="BodyText"/>
        <w:spacing w:line="357" w:lineRule="auto" w:before="36"/>
        <w:ind w:left="573" w:right="1125"/>
        <w:jc w:val="left"/>
      </w:pPr>
      <w:r>
        <w:rPr>
          <w:rFonts w:ascii="宋体" w:hAnsi="宋体" w:cs="宋体" w:eastAsia="宋体" w:hint="default"/>
        </w:rPr>
        <w:t>4.</w:t>
      </w:r>
      <w:r>
        <w:rPr/>
        <w:t>人才战略 </w:t>
      </w:r>
      <w:r>
        <w:rPr>
          <w:spacing w:val="-1"/>
        </w:rPr>
        <w:t>建立和完善公司激励政策，逐步建立短、中、长期的激励机制</w:t>
      </w:r>
      <w:r>
        <w:rPr>
          <w:rFonts w:ascii="宋体" w:hAnsi="宋体" w:cs="宋体" w:eastAsia="宋体" w:hint="default"/>
          <w:spacing w:val="-1"/>
        </w:rPr>
        <w:t>,</w:t>
      </w:r>
      <w:r>
        <w:rPr>
          <w:spacing w:val="-1"/>
        </w:rPr>
        <w:t>优化人才结构，塑造人才</w:t>
      </w:r>
    </w:p>
    <w:p>
      <w:pPr>
        <w:pStyle w:val="BodyText"/>
        <w:spacing w:line="357" w:lineRule="auto" w:before="36"/>
        <w:ind w:right="1139"/>
        <w:jc w:val="both"/>
      </w:pPr>
      <w:r>
        <w:rPr/>
        <w:t>精品战略。引进与培养适合公司新业务发展的综合型人才（或专业型人才）。加强人力资源</w:t>
      </w:r>
      <w:r>
        <w:rPr>
          <w:spacing w:val="-91"/>
        </w:rPr>
        <w:t> </w:t>
      </w:r>
      <w:r>
        <w:rPr>
          <w:spacing w:val="-91"/>
        </w:rPr>
      </w:r>
      <w:r>
        <w:rPr/>
        <w:t>能力建设，通过干部巡讲，逐步培养和建设一支年轻、有朝气、有激情、吃苦耐劳、逆境生</w:t>
      </w:r>
      <w:r>
        <w:rPr>
          <w:spacing w:val="-91"/>
        </w:rPr>
        <w:t> </w:t>
      </w:r>
      <w:r>
        <w:rPr>
          <w:spacing w:val="-91"/>
        </w:rPr>
      </w:r>
      <w:r>
        <w:rPr/>
        <w:t>存的队伍。</w:t>
      </w:r>
    </w:p>
    <w:p>
      <w:pPr>
        <w:pStyle w:val="BodyText"/>
        <w:spacing w:line="240" w:lineRule="auto" w:before="36"/>
        <w:ind w:left="573" w:right="1125"/>
        <w:jc w:val="left"/>
      </w:pPr>
      <w:r>
        <w:rPr>
          <w:rFonts w:ascii="宋体" w:hAnsi="宋体" w:cs="宋体" w:eastAsia="宋体" w:hint="default"/>
        </w:rPr>
        <w:t>5.</w:t>
      </w:r>
      <w:r>
        <w:rPr/>
        <w:t>资本战略</w:t>
      </w:r>
    </w:p>
    <w:p>
      <w:pPr>
        <w:pStyle w:val="BodyText"/>
        <w:spacing w:line="357" w:lineRule="auto" w:before="154"/>
        <w:ind w:right="996" w:firstLine="420"/>
        <w:jc w:val="left"/>
      </w:pPr>
      <w:r>
        <w:rPr>
          <w:spacing w:val="2"/>
        </w:rPr>
        <w:t>公司充分发挥上市公司的资本平台优势，围绕相关业务开展资本经营活动，运用资本经 </w:t>
      </w:r>
      <w:r>
        <w:rPr>
          <w:spacing w:val="-2"/>
        </w:rPr>
        <w:t>营手段，整合产业链具有价值的资源，并与公司核心竞争力相结合，提升公司整体竞争能力，</w:t>
      </w:r>
      <w:r>
        <w:rPr/>
        <w:t> 实现资本保值增值，使公司的规模和效益得到有效提升。</w:t>
      </w:r>
    </w:p>
    <w:p>
      <w:pPr>
        <w:pStyle w:val="BodyText"/>
        <w:spacing w:line="357" w:lineRule="auto" w:before="36"/>
        <w:ind w:left="573" w:right="1012"/>
        <w:jc w:val="left"/>
      </w:pPr>
      <w:r>
        <w:rPr/>
        <w:t>（四）新年度经营计划 </w:t>
      </w:r>
      <w:r>
        <w:rPr>
          <w:spacing w:val="-1"/>
        </w:rPr>
        <w:t>公司将紧密结合公司的发展战略，对三大业务板块重点项目进行投资，提升产业链价值。</w:t>
      </w:r>
      <w:r>
        <w:rPr>
          <w:spacing w:val="-105"/>
        </w:rPr>
        <w:t> </w:t>
      </w:r>
      <w:r>
        <w:rPr>
          <w:spacing w:val="-105"/>
        </w:rPr>
      </w:r>
      <w:r>
        <w:rPr>
          <w:rFonts w:ascii="宋体" w:hAnsi="宋体" w:cs="宋体" w:eastAsia="宋体" w:hint="default"/>
          <w:spacing w:val="4"/>
        </w:rPr>
        <w:t>2013</w:t>
      </w:r>
      <w:r>
        <w:rPr>
          <w:spacing w:val="4"/>
        </w:rPr>
        <w:t>年公司一方面通过内部优化自身业务</w:t>
      </w:r>
      <w:r>
        <w:rPr>
          <w:rFonts w:ascii="宋体" w:hAnsi="宋体" w:cs="宋体" w:eastAsia="宋体" w:hint="default"/>
          <w:spacing w:val="4"/>
        </w:rPr>
        <w:t>,</w:t>
      </w:r>
      <w:r>
        <w:rPr>
          <w:spacing w:val="4"/>
        </w:rPr>
        <w:t>提升业务竞争力</w:t>
      </w:r>
      <w:r>
        <w:rPr>
          <w:rFonts w:ascii="宋体" w:hAnsi="宋体" w:cs="宋体" w:eastAsia="宋体" w:hint="default"/>
          <w:spacing w:val="4"/>
        </w:rPr>
        <w:t>,</w:t>
      </w:r>
      <w:r>
        <w:rPr>
          <w:spacing w:val="4"/>
        </w:rPr>
        <w:t>另一方面</w:t>
      </w:r>
      <w:r>
        <w:rPr>
          <w:rFonts w:ascii="宋体" w:hAnsi="宋体" w:cs="宋体" w:eastAsia="宋体" w:hint="default"/>
          <w:spacing w:val="4"/>
        </w:rPr>
        <w:t>,</w:t>
      </w:r>
      <w:r>
        <w:rPr>
          <w:spacing w:val="4"/>
        </w:rPr>
        <w:t>公司将围绕自身</w:t>
      </w:r>
    </w:p>
    <w:p>
      <w:pPr>
        <w:pStyle w:val="BodyText"/>
        <w:spacing w:line="240" w:lineRule="auto" w:before="36"/>
        <w:ind w:right="0"/>
        <w:jc w:val="both"/>
      </w:pPr>
      <w:r>
        <w:rPr/>
        <w:t>业务及募投项目</w:t>
      </w:r>
      <w:r>
        <w:rPr>
          <w:rFonts w:ascii="宋体" w:hAnsi="宋体" w:cs="宋体" w:eastAsia="宋体" w:hint="default"/>
        </w:rPr>
        <w:t>,</w:t>
      </w:r>
      <w:r>
        <w:rPr/>
        <w:t>实施产业整合。</w:t>
      </w:r>
    </w:p>
    <w:p>
      <w:pPr>
        <w:pStyle w:val="BodyText"/>
        <w:spacing w:line="357" w:lineRule="auto" w:before="154"/>
        <w:ind w:right="1128" w:firstLine="420"/>
        <w:jc w:val="both"/>
      </w:pPr>
      <w:r>
        <w:rPr/>
        <w:t>通过产融互动</w:t>
      </w:r>
      <w:r>
        <w:rPr>
          <w:rFonts w:ascii="宋体" w:hAnsi="宋体" w:cs="宋体" w:eastAsia="宋体" w:hint="default"/>
        </w:rPr>
        <w:t>,</w:t>
      </w:r>
      <w:r>
        <w:rPr>
          <w:rFonts w:ascii="宋体" w:hAnsi="宋体" w:cs="宋体" w:eastAsia="宋体" w:hint="default"/>
          <w:spacing w:val="15"/>
        </w:rPr>
        <w:t> </w:t>
      </w:r>
      <w:r>
        <w:rPr>
          <w:spacing w:val="2"/>
        </w:rPr>
        <w:t>推进“十二五”发展战略的实施。通过资本运营，为公司三个业务板块</w:t>
      </w:r>
      <w:r>
        <w:rPr/>
        <w:t> </w:t>
      </w:r>
      <w:r>
        <w:rPr>
          <w:spacing w:val="3"/>
        </w:rPr>
        <w:t>注入新的活力。以资本促进业务成长，优化资产结构，提高盈利水平，实现公司价值增值</w:t>
      </w:r>
      <w:r>
        <w:rPr>
          <w:rFonts w:ascii="宋体" w:hAnsi="宋体" w:cs="宋体" w:eastAsia="宋体" w:hint="default"/>
          <w:spacing w:val="3"/>
        </w:rPr>
        <w:t>;</w:t>
      </w:r>
      <w:r>
        <w:rPr>
          <w:rFonts w:ascii="宋体" w:hAnsi="宋体" w:cs="宋体" w:eastAsia="宋体" w:hint="default"/>
          <w:spacing w:val="-96"/>
        </w:rPr>
        <w:t> </w:t>
      </w:r>
      <w:r>
        <w:rPr/>
        <w:t>充分与国家宏观与区域政策对接</w:t>
      </w:r>
      <w:r>
        <w:rPr>
          <w:rFonts w:ascii="宋体" w:hAnsi="宋体" w:cs="宋体" w:eastAsia="宋体" w:hint="default"/>
        </w:rPr>
        <w:t>,</w:t>
      </w:r>
      <w:r>
        <w:rPr/>
        <w:t>整合资源</w:t>
      </w:r>
      <w:r>
        <w:rPr>
          <w:rFonts w:ascii="宋体" w:hAnsi="宋体" w:cs="宋体" w:eastAsia="宋体" w:hint="default"/>
        </w:rPr>
        <w:t>,</w:t>
      </w:r>
      <w:r>
        <w:rPr/>
        <w:t>提升公司的可持续发展能力和盈利能力。</w:t>
      </w:r>
    </w:p>
    <w:p>
      <w:pPr>
        <w:pStyle w:val="BodyText"/>
        <w:spacing w:line="240" w:lineRule="auto" w:before="36"/>
        <w:ind w:left="573" w:right="1125"/>
        <w:jc w:val="left"/>
      </w:pPr>
      <w:r>
        <w:rPr>
          <w:rFonts w:ascii="宋体" w:hAnsi="宋体" w:cs="宋体" w:eastAsia="宋体" w:hint="default"/>
        </w:rPr>
        <w:t>1.</w:t>
      </w:r>
      <w:r>
        <w:rPr/>
        <w:t>企业信息化业务</w:t>
      </w:r>
    </w:p>
    <w:p>
      <w:pPr>
        <w:pStyle w:val="BodyText"/>
        <w:spacing w:line="357" w:lineRule="auto" w:before="154"/>
        <w:ind w:right="1133" w:firstLine="420"/>
        <w:jc w:val="both"/>
      </w:pPr>
      <w:r>
        <w:rPr>
          <w:spacing w:val="2"/>
        </w:rPr>
        <w:t>整体目标：立足于公司现有的核心产品及解决方案，聚焦行业市场，有效切入物联网应 </w:t>
      </w:r>
      <w:r>
        <w:rPr/>
        <w:t>用细分市场和重点行业企业市场。</w:t>
      </w:r>
    </w:p>
    <w:p>
      <w:pPr>
        <w:pStyle w:val="BodyText"/>
        <w:spacing w:line="357" w:lineRule="auto" w:before="36"/>
        <w:ind w:right="1128" w:firstLine="420"/>
        <w:jc w:val="both"/>
      </w:pPr>
      <w:r>
        <w:rPr>
          <w:spacing w:val="2"/>
        </w:rPr>
        <w:t>以整体解决方案为导向，以重点行业为重点市场</w:t>
      </w:r>
      <w:r>
        <w:rPr>
          <w:rFonts w:ascii="宋体" w:hAnsi="宋体" w:cs="宋体" w:eastAsia="宋体" w:hint="default"/>
          <w:spacing w:val="2"/>
        </w:rPr>
        <w:t>,</w:t>
      </w:r>
      <w:r>
        <w:rPr>
          <w:spacing w:val="2"/>
        </w:rPr>
        <w:t>巩固重点行业优势市场</w:t>
      </w:r>
      <w:r>
        <w:rPr>
          <w:rFonts w:ascii="宋体" w:hAnsi="宋体" w:cs="宋体" w:eastAsia="宋体" w:hint="default"/>
          <w:spacing w:val="2"/>
        </w:rPr>
        <w:t>,</w:t>
      </w:r>
      <w:r>
        <w:rPr>
          <w:spacing w:val="2"/>
        </w:rPr>
        <w:t>围绕确定的主 </w:t>
      </w:r>
      <w:r>
        <w:rPr/>
        <w:t>导产业大规模开展并购；非核心机构外移，降低成本；深入行业、扩大规模、提升能力，从</w:t>
      </w:r>
      <w:r>
        <w:rPr>
          <w:spacing w:val="-91"/>
        </w:rPr>
        <w:t> </w:t>
      </w:r>
      <w:r>
        <w:rPr>
          <w:spacing w:val="-91"/>
        </w:rPr>
      </w:r>
      <w:r>
        <w:rPr/>
        <w:t>行业、区域、产品三方面进行市场拓展，进一步提升市场拓展工作的能力；加强现有产品的</w:t>
      </w:r>
      <w:r>
        <w:rPr>
          <w:spacing w:val="-91"/>
        </w:rPr>
        <w:t> </w:t>
      </w:r>
      <w:r>
        <w:rPr>
          <w:spacing w:val="-91"/>
        </w:rPr>
      </w:r>
      <w:r>
        <w:rPr/>
        <w:t>竞争力</w:t>
      </w:r>
      <w:r>
        <w:rPr>
          <w:rFonts w:ascii="宋体" w:hAnsi="宋体" w:cs="宋体" w:eastAsia="宋体" w:hint="default"/>
        </w:rPr>
        <w:t>,</w:t>
      </w:r>
      <w:r>
        <w:rPr/>
        <w:t>不断尝试新应用</w:t>
      </w:r>
      <w:r>
        <w:rPr>
          <w:rFonts w:ascii="宋体" w:hAnsi="宋体" w:cs="宋体" w:eastAsia="宋体" w:hint="default"/>
        </w:rPr>
        <w:t>,</w:t>
      </w:r>
      <w:r>
        <w:rPr/>
        <w:t>积极探索新方案，力争新方向上形成有效突破，为公司物联网应用</w:t>
      </w:r>
      <w:r>
        <w:rPr>
          <w:spacing w:val="-89"/>
        </w:rPr>
        <w:t> </w:t>
      </w:r>
      <w:r>
        <w:rPr>
          <w:spacing w:val="-89"/>
        </w:rPr>
      </w:r>
      <w:r>
        <w:rPr/>
        <w:t>及企业信息化产业后续发展提供原动力。</w:t>
      </w:r>
    </w:p>
    <w:p>
      <w:pPr>
        <w:spacing w:after="0" w:line="357" w:lineRule="auto"/>
        <w:jc w:val="both"/>
        <w:sectPr>
          <w:pgSz w:w="11910" w:h="16840"/>
          <w:pgMar w:header="877" w:footer="1340" w:top="1060" w:bottom="1540" w:left="980" w:right="0"/>
        </w:sectPr>
      </w:pPr>
    </w:p>
    <w:p>
      <w:pPr>
        <w:spacing w:line="240" w:lineRule="auto" w:before="6"/>
        <w:rPr>
          <w:rFonts w:ascii="宋体" w:hAnsi="宋体" w:cs="宋体" w:eastAsia="宋体" w:hint="default"/>
          <w:sz w:val="29"/>
          <w:szCs w:val="29"/>
        </w:rPr>
      </w:pPr>
    </w:p>
    <w:p>
      <w:pPr>
        <w:pStyle w:val="BodyText"/>
        <w:spacing w:line="240" w:lineRule="auto" w:before="26"/>
        <w:ind w:left="573" w:right="1125"/>
        <w:jc w:val="left"/>
      </w:pPr>
      <w:r>
        <w:rPr>
          <w:rFonts w:ascii="宋体" w:hAnsi="宋体" w:cs="宋体" w:eastAsia="宋体" w:hint="default"/>
        </w:rPr>
        <w:t>2.IT</w:t>
      </w:r>
      <w:r>
        <w:rPr/>
        <w:t>销售业务</w:t>
      </w:r>
    </w:p>
    <w:p>
      <w:pPr>
        <w:pStyle w:val="BodyText"/>
        <w:spacing w:line="357" w:lineRule="auto" w:before="154"/>
        <w:ind w:right="1128" w:firstLine="420"/>
        <w:jc w:val="both"/>
      </w:pPr>
      <w:r>
        <w:rPr>
          <w:spacing w:val="2"/>
        </w:rPr>
        <w:t>整体目标：积极研究行业动态，提升公司的综合竞争力，实现营收规模和盈利能力的双 </w:t>
      </w:r>
      <w:r>
        <w:rPr/>
        <w:t>重提升。实体销售方面，一方面加强与上下游的合作，不断完善信控体系，保持大客户批发</w:t>
      </w:r>
      <w:r>
        <w:rPr>
          <w:spacing w:val="-91"/>
        </w:rPr>
        <w:t> </w:t>
      </w:r>
      <w:r>
        <w:rPr>
          <w:spacing w:val="-91"/>
        </w:rPr>
      </w:r>
      <w:r>
        <w:rPr>
          <w:spacing w:val="-2"/>
        </w:rPr>
        <w:t>业务平稳有序快速持续发展；另一方面持续优化实体店面的运营。电子商务</w:t>
      </w:r>
      <w:r>
        <w:rPr>
          <w:rFonts w:ascii="宋体" w:hAnsi="宋体" w:cs="宋体" w:eastAsia="宋体" w:hint="default"/>
          <w:spacing w:val="-2"/>
        </w:rPr>
        <w:t>B2C</w:t>
      </w:r>
      <w:r>
        <w:rPr>
          <w:spacing w:val="-2"/>
        </w:rPr>
        <w:t>方面，密切关</w:t>
      </w:r>
      <w:r>
        <w:rPr>
          <w:spacing w:val="-115"/>
        </w:rPr>
        <w:t> </w:t>
      </w:r>
      <w:r>
        <w:rPr>
          <w:spacing w:val="-115"/>
        </w:rPr>
      </w:r>
      <w:r>
        <w:rPr/>
        <w:t>注行业发展趋势和竞争态势，苦练内功，提升运营效率；重点建设“个性化”的服务与产品</w:t>
      </w:r>
      <w:r>
        <w:rPr>
          <w:spacing w:val="-87"/>
        </w:rPr>
        <w:t> </w:t>
      </w:r>
      <w:r>
        <w:rPr>
          <w:spacing w:val="-87"/>
        </w:rPr>
      </w:r>
      <w:r>
        <w:rPr>
          <w:spacing w:val="-6"/>
        </w:rPr>
        <w:t>体系；以“找差异、求突破、调结构、谋发展”为工作指导，逐步形成“以产品组织为核心”</w:t>
      </w:r>
      <w:r>
        <w:rPr>
          <w:spacing w:val="-81"/>
        </w:rPr>
        <w:t> </w:t>
      </w:r>
      <w:r>
        <w:rPr>
          <w:spacing w:val="-81"/>
        </w:rPr>
      </w:r>
      <w:r>
        <w:rPr/>
        <w:t>的运营模式，同时拓展电子商务系统软件产品和运营咨询服务的销售市场，寻求新的业务模</w:t>
      </w:r>
      <w:r>
        <w:rPr>
          <w:spacing w:val="-91"/>
        </w:rPr>
        <w:t> </w:t>
      </w:r>
      <w:r>
        <w:rPr>
          <w:spacing w:val="-91"/>
        </w:rPr>
      </w:r>
      <w:r>
        <w:rPr/>
        <w:t>式，全面提升高鸿商城整体核心竞争力和盈利能力。</w:t>
      </w:r>
    </w:p>
    <w:p>
      <w:pPr>
        <w:pStyle w:val="BodyText"/>
        <w:spacing w:line="357" w:lineRule="auto" w:before="37"/>
        <w:ind w:left="573" w:right="3853"/>
        <w:jc w:val="left"/>
      </w:pPr>
      <w:r>
        <w:rPr>
          <w:rFonts w:ascii="宋体" w:hAnsi="宋体" w:cs="宋体" w:eastAsia="宋体" w:hint="default"/>
        </w:rPr>
        <w:t>3.</w:t>
      </w:r>
      <w:r>
        <w:rPr/>
        <w:t>信息服务业务 整体目标：重点拓展移动互联网信息服务业务和新媒体业务。</w:t>
      </w:r>
    </w:p>
    <w:p>
      <w:pPr>
        <w:pStyle w:val="BodyText"/>
        <w:spacing w:line="357" w:lineRule="auto" w:before="36"/>
        <w:ind w:right="1133" w:firstLine="420"/>
        <w:jc w:val="both"/>
      </w:pPr>
      <w:r>
        <w:rPr>
          <w:spacing w:val="2"/>
        </w:rPr>
        <w:t>未来公司将建立常态化的内容资源征集体系，完善可运营、可管理的渠道运营平台，保 </w:t>
      </w:r>
      <w:r>
        <w:rPr/>
        <w:t>持以基础电信业务为主的规模化运营；通过合作开发智能手机操作系统级动态加载方案以及</w:t>
      </w:r>
      <w:r>
        <w:rPr>
          <w:spacing w:val="-91"/>
        </w:rPr>
        <w:t> </w:t>
      </w:r>
      <w:r>
        <w:rPr>
          <w:spacing w:val="-91"/>
        </w:rPr>
      </w:r>
      <w:r>
        <w:rPr/>
        <w:t>手机网游运营平台，为移动互联网广告业务和手机网游运营业务打下坚实基础。新媒体业务</w:t>
      </w:r>
      <w:r>
        <w:rPr>
          <w:spacing w:val="-91"/>
        </w:rPr>
        <w:t> </w:t>
      </w:r>
      <w:r>
        <w:rPr>
          <w:spacing w:val="-91"/>
        </w:rPr>
      </w:r>
      <w:r>
        <w:rPr/>
        <w:t>方面：通过开发数字新媒体内容采集平台，支撑新媒体业务以及文化创意产业扶持基金项目</w:t>
      </w:r>
      <w:r>
        <w:rPr>
          <w:spacing w:val="-91"/>
        </w:rPr>
        <w:t> </w:t>
      </w:r>
      <w:r>
        <w:rPr>
          <w:spacing w:val="-91"/>
        </w:rPr>
      </w:r>
      <w:r>
        <w:rPr/>
        <w:t>的发展；大力培养创新业务，重点推进运营商基地模式业务以及移动互联网应用业务；积极</w:t>
      </w:r>
      <w:r>
        <w:rPr>
          <w:spacing w:val="-91"/>
        </w:rPr>
        <w:t> </w:t>
      </w:r>
      <w:r>
        <w:rPr>
          <w:spacing w:val="-91"/>
        </w:rPr>
      </w:r>
      <w:r>
        <w:rPr/>
        <w:t>探索长投合作运作模式，结合资本运作以孵化、战略投资、联合运营等多种方式快速推进新</w:t>
      </w:r>
      <w:r>
        <w:rPr>
          <w:spacing w:val="-91"/>
        </w:rPr>
        <w:t> </w:t>
      </w:r>
      <w:r>
        <w:rPr>
          <w:spacing w:val="-91"/>
        </w:rPr>
      </w:r>
      <w:r>
        <w:rPr/>
        <w:t>业务发展。</w:t>
      </w:r>
    </w:p>
    <w:p>
      <w:pPr>
        <w:spacing w:line="240" w:lineRule="auto" w:before="11"/>
        <w:rPr>
          <w:rFonts w:ascii="宋体" w:hAnsi="宋体" w:cs="宋体" w:eastAsia="宋体" w:hint="default"/>
          <w:sz w:val="19"/>
          <w:szCs w:val="19"/>
        </w:rPr>
      </w:pPr>
    </w:p>
    <w:p>
      <w:pPr>
        <w:pStyle w:val="Heading2"/>
        <w:spacing w:line="240" w:lineRule="auto" w:before="0"/>
        <w:ind w:right="1125"/>
        <w:jc w:val="left"/>
        <w:rPr>
          <w:b w:val="0"/>
          <w:bCs w:val="0"/>
        </w:rPr>
      </w:pPr>
      <w:r>
        <w:rPr/>
        <w:t>八、与上年度财务报告相比，会计政策、会计估计和核算方法发生变化的情况说明</w:t>
      </w:r>
      <w:r>
        <w:rPr>
          <w:b w:val="0"/>
          <w:bCs w:val="0"/>
        </w:rPr>
      </w:r>
    </w:p>
    <w:p>
      <w:pPr>
        <w:spacing w:line="240" w:lineRule="auto" w:before="4"/>
        <w:rPr>
          <w:rFonts w:ascii="宋体" w:hAnsi="宋体" w:cs="宋体" w:eastAsia="宋体" w:hint="default"/>
          <w:b/>
          <w:bCs/>
          <w:sz w:val="26"/>
          <w:szCs w:val="26"/>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before="0"/>
        <w:ind w:right="1125"/>
        <w:jc w:val="left"/>
        <w:rPr>
          <w:b w:val="0"/>
          <w:bCs w:val="0"/>
        </w:rPr>
      </w:pPr>
      <w:r>
        <w:rPr/>
        <w:t>九、报告期内发生重大会计差错更正需追溯重述的情况说明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before="0"/>
        <w:ind w:right="1125"/>
        <w:jc w:val="left"/>
        <w:rPr>
          <w:b w:val="0"/>
          <w:bCs w:val="0"/>
        </w:rPr>
      </w:pPr>
      <w:r>
        <w:rPr/>
        <w:t>十、与上年度财务报告相比，合并报表范围发生变化的情况说明</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ind w:right="1128" w:firstLine="420"/>
        <w:jc w:val="both"/>
      </w:pPr>
      <w:r>
        <w:rPr>
          <w:spacing w:val="2"/>
        </w:rPr>
        <w:t>经大唐高鸿数据网络技术股份有限公司第六届第二十七次董事会会议审议通过，同意公 </w:t>
      </w:r>
      <w:r>
        <w:rPr>
          <w:spacing w:val="3"/>
        </w:rPr>
        <w:t>司和控股子公司大唐高鸿信息技术有限公司合计投资</w:t>
      </w:r>
      <w:r>
        <w:rPr>
          <w:rFonts w:ascii="宋体" w:hAnsi="宋体" w:cs="宋体" w:eastAsia="宋体" w:hint="default"/>
          <w:spacing w:val="3"/>
        </w:rPr>
        <w:t>3,000</w:t>
      </w:r>
      <w:r>
        <w:rPr>
          <w:spacing w:val="3"/>
        </w:rPr>
        <w:t>万元在山东济宁设立子公司“大</w:t>
      </w:r>
      <w:r>
        <w:rPr>
          <w:spacing w:val="-103"/>
        </w:rPr>
        <w:t> </w:t>
      </w:r>
      <w:r>
        <w:rPr>
          <w:spacing w:val="-103"/>
        </w:rPr>
      </w:r>
      <w:r>
        <w:rPr/>
        <w:t>唐高鸿济宁电子信息技术有限公司”。公司出资</w:t>
      </w:r>
      <w:r>
        <w:rPr>
          <w:rFonts w:ascii="宋体" w:hAnsi="宋体" w:cs="宋体" w:eastAsia="宋体" w:hint="default"/>
        </w:rPr>
        <w:t>2,940</w:t>
      </w:r>
      <w:r>
        <w:rPr/>
        <w:t>万元，持有其</w:t>
      </w:r>
      <w:r>
        <w:rPr>
          <w:rFonts w:ascii="宋体" w:hAnsi="宋体" w:cs="宋体" w:eastAsia="宋体" w:hint="default"/>
        </w:rPr>
        <w:t>98%</w:t>
      </w:r>
      <w:r>
        <w:rPr/>
        <w:t>股权；高鸿信息出资</w:t>
      </w:r>
      <w:r>
        <w:rPr>
          <w:spacing w:val="-91"/>
        </w:rPr>
        <w:t> </w:t>
      </w:r>
      <w:r>
        <w:rPr>
          <w:spacing w:val="-91"/>
        </w:rPr>
      </w:r>
      <w:r>
        <w:rPr>
          <w:rFonts w:ascii="宋体" w:hAnsi="宋体" w:cs="宋体" w:eastAsia="宋体" w:hint="default"/>
          <w:spacing w:val="-2"/>
        </w:rPr>
        <w:t>60</w:t>
      </w:r>
      <w:r>
        <w:rPr>
          <w:spacing w:val="-2"/>
        </w:rPr>
        <w:t>万元持有其</w:t>
      </w:r>
      <w:r>
        <w:rPr>
          <w:rFonts w:ascii="宋体" w:hAnsi="宋体" w:cs="宋体" w:eastAsia="宋体" w:hint="default"/>
          <w:spacing w:val="-2"/>
        </w:rPr>
        <w:t>2%</w:t>
      </w:r>
      <w:r>
        <w:rPr>
          <w:spacing w:val="-2"/>
        </w:rPr>
        <w:t>股权。济宁高鸿</w:t>
      </w:r>
      <w:r>
        <w:rPr>
          <w:rFonts w:ascii="宋体" w:hAnsi="宋体" w:cs="宋体" w:eastAsia="宋体" w:hint="default"/>
          <w:spacing w:val="-2"/>
        </w:rPr>
        <w:t>2012</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26</w:t>
      </w:r>
      <w:r>
        <w:rPr>
          <w:spacing w:val="-2"/>
        </w:rPr>
        <w:t>日成立，注册资本</w:t>
      </w:r>
      <w:r>
        <w:rPr>
          <w:rFonts w:ascii="宋体" w:hAnsi="宋体" w:cs="宋体" w:eastAsia="宋体" w:hint="default"/>
          <w:spacing w:val="-2"/>
        </w:rPr>
        <w:t>6,000</w:t>
      </w:r>
      <w:r>
        <w:rPr>
          <w:spacing w:val="-2"/>
        </w:rPr>
        <w:t>万元，</w:t>
      </w: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月起纳入</w:t>
      </w:r>
      <w:r>
        <w:rPr>
          <w:spacing w:val="-99"/>
        </w:rPr>
        <w:t> </w:t>
      </w:r>
      <w:r>
        <w:rPr/>
        <w:t>合并范围。</w:t>
      </w:r>
    </w:p>
    <w:p>
      <w:pPr>
        <w:spacing w:after="0" w:line="357" w:lineRule="auto"/>
        <w:jc w:val="both"/>
        <w:sectPr>
          <w:pgSz w:w="11910" w:h="16840"/>
          <w:pgMar w:header="877" w:footer="1340"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ind w:right="1125"/>
        <w:jc w:val="left"/>
        <w:rPr>
          <w:b w:val="0"/>
          <w:bCs w:val="0"/>
        </w:rPr>
      </w:pPr>
      <w:r>
        <w:rPr/>
        <w:t>十一、公司利润分配及分红派息情况</w:t>
      </w:r>
      <w:r>
        <w:rPr>
          <w:b w:val="0"/>
          <w:bCs w:val="0"/>
        </w:rPr>
      </w:r>
    </w:p>
    <w:p>
      <w:pPr>
        <w:spacing w:line="240" w:lineRule="auto" w:before="7"/>
        <w:rPr>
          <w:rFonts w:ascii="宋体" w:hAnsi="宋体" w:cs="宋体" w:eastAsia="宋体" w:hint="default"/>
          <w:b/>
          <w:bCs/>
          <w:sz w:val="26"/>
          <w:szCs w:val="26"/>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报告期内利润分配政策特别是现金分红政策的制定、执行或调整情况</w:t>
      </w:r>
    </w:p>
    <w:p>
      <w:pPr>
        <w:pStyle w:val="BodyText"/>
        <w:spacing w:line="357" w:lineRule="auto" w:before="145"/>
        <w:ind w:right="1131" w:firstLine="900"/>
        <w:jc w:val="both"/>
      </w:pPr>
      <w:r>
        <w:rPr>
          <w:spacing w:val="-4"/>
        </w:rPr>
        <w:t>为贯彻中国证监会发布的《关于进一步落实上市公司现金分红有关事项的通知》（证</w:t>
      </w:r>
      <w:r>
        <w:rPr/>
        <w:t> 监发</w:t>
      </w:r>
      <w:r>
        <w:rPr>
          <w:rFonts w:ascii="宋体" w:hAnsi="宋体" w:cs="宋体" w:eastAsia="宋体" w:hint="default"/>
        </w:rPr>
        <w:t>[2012]37</w:t>
      </w:r>
      <w:r>
        <w:rPr/>
        <w:t>号）的精神，健全公司利润分配制度，经公司第七届第二次董事会和</w:t>
      </w:r>
      <w:r>
        <w:rPr>
          <w:rFonts w:ascii="宋体" w:hAnsi="宋体" w:cs="宋体" w:eastAsia="宋体" w:hint="default"/>
        </w:rPr>
        <w:t>2012</w:t>
      </w:r>
      <w:r>
        <w:rPr/>
        <w:t>年第</w:t>
      </w:r>
      <w:r>
        <w:rPr>
          <w:spacing w:val="-85"/>
        </w:rPr>
        <w:t> </w:t>
      </w:r>
      <w:r>
        <w:rPr/>
        <w:t>五次临时股东大会审议通过《关于修订</w:t>
      </w:r>
      <w:r>
        <w:rPr>
          <w:rFonts w:ascii="宋体" w:hAnsi="宋体" w:cs="宋体" w:eastAsia="宋体" w:hint="default"/>
        </w:rPr>
        <w:t>&lt;</w:t>
      </w:r>
      <w:r>
        <w:rPr/>
        <w:t>公司章程</w:t>
      </w:r>
      <w:r>
        <w:rPr>
          <w:rFonts w:ascii="宋体" w:hAnsi="宋体" w:cs="宋体" w:eastAsia="宋体" w:hint="default"/>
        </w:rPr>
        <w:t>&gt;</w:t>
      </w:r>
      <w:r>
        <w:rPr/>
        <w:t>的议案》，制定了《公司未来三年股东回</w:t>
      </w:r>
      <w:r>
        <w:rPr>
          <w:spacing w:val="-87"/>
        </w:rPr>
        <w:t> </w:t>
      </w:r>
      <w:r>
        <w:rPr>
          <w:spacing w:val="-87"/>
        </w:rPr>
      </w:r>
      <w:r>
        <w:rPr/>
        <w:t>报规划》，完善了利润分配政策的原则、形式、明确了现金分红条件和比例，规定了公司利</w:t>
      </w:r>
      <w:r>
        <w:rPr>
          <w:spacing w:val="-91"/>
        </w:rPr>
        <w:t> </w:t>
      </w:r>
      <w:r>
        <w:rPr>
          <w:spacing w:val="-91"/>
        </w:rPr>
      </w:r>
      <w:r>
        <w:rPr/>
        <w:t>润分配决策程序和调整程序，同时明确指出独立董事应尽职履责并发挥应有的作用，中小股</w:t>
      </w:r>
      <w:r>
        <w:rPr>
          <w:spacing w:val="-91"/>
        </w:rPr>
        <w:t> </w:t>
      </w:r>
      <w:r>
        <w:rPr>
          <w:spacing w:val="-91"/>
        </w:rPr>
      </w:r>
      <w:r>
        <w:rPr/>
        <w:t>东具有充分表达意见和诉求的机会，维护中小股东的合法权益。</w:t>
      </w:r>
    </w:p>
    <w:p>
      <w:pPr>
        <w:spacing w:line="360" w:lineRule="auto" w:before="47"/>
        <w:ind w:left="152" w:right="3916"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公司报告期利润分配预案及资本公积金转增股本预案符合公司章程等的相关规定。 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年（含报告期）的利润分配预案或方案及资本公积金转增股本预案或方案情况</w:t>
      </w:r>
    </w:p>
    <w:p>
      <w:pPr>
        <w:pStyle w:val="BodyText"/>
        <w:spacing w:line="240" w:lineRule="auto" w:before="32"/>
        <w:ind w:left="573" w:right="1125"/>
        <w:jc w:val="left"/>
      </w:pPr>
      <w:r>
        <w:rPr>
          <w:rFonts w:ascii="宋体" w:hAnsi="宋体" w:cs="宋体" w:eastAsia="宋体" w:hint="default"/>
        </w:rPr>
        <w:t>2010</w:t>
      </w:r>
      <w:r>
        <w:rPr/>
        <w:t>年、</w:t>
      </w:r>
      <w:r>
        <w:rPr>
          <w:rFonts w:ascii="宋体" w:hAnsi="宋体" w:cs="宋体" w:eastAsia="宋体" w:hint="default"/>
        </w:rPr>
        <w:t>2011</w:t>
      </w:r>
      <w:r>
        <w:rPr/>
        <w:t>年可供母公司股东分配利润均为负，公司不具备分配的条件。公司</w:t>
      </w:r>
      <w:r>
        <w:rPr>
          <w:rFonts w:ascii="宋体" w:hAnsi="宋体" w:cs="宋体" w:eastAsia="宋体" w:hint="default"/>
        </w:rPr>
        <w:t>2010</w:t>
      </w:r>
      <w:r>
        <w:rPr/>
        <w:t>、</w:t>
      </w:r>
    </w:p>
    <w:p>
      <w:pPr>
        <w:pStyle w:val="BodyText"/>
        <w:spacing w:line="240" w:lineRule="auto" w:before="154"/>
        <w:ind w:right="1125"/>
        <w:jc w:val="left"/>
      </w:pPr>
      <w:r>
        <w:rPr>
          <w:rFonts w:ascii="宋体" w:hAnsi="宋体" w:cs="宋体" w:eastAsia="宋体" w:hint="default"/>
        </w:rPr>
        <w:t>2011</w:t>
      </w:r>
      <w:r>
        <w:rPr/>
        <w:t>年度的利润分配方案为既不进行利润分配，也不进行资本公积金转增股本。</w:t>
      </w:r>
    </w:p>
    <w:p>
      <w:pPr>
        <w:pStyle w:val="BodyText"/>
        <w:spacing w:line="240" w:lineRule="auto" w:before="154"/>
        <w:ind w:left="573" w:right="0"/>
        <w:jc w:val="left"/>
      </w:pPr>
      <w:r>
        <w:rPr>
          <w:rFonts w:ascii="宋体" w:hAnsi="宋体" w:cs="宋体" w:eastAsia="宋体" w:hint="default"/>
        </w:rPr>
        <w:t>2012</w:t>
      </w:r>
      <w:r>
        <w:rPr/>
        <w:t>年可供母公司股东分配利润为</w:t>
      </w:r>
      <w:r>
        <w:rPr>
          <w:spacing w:val="85"/>
        </w:rPr>
        <w:t> </w:t>
      </w:r>
      <w:r>
        <w:rPr>
          <w:rFonts w:ascii="宋体" w:hAnsi="宋体" w:cs="宋体" w:eastAsia="宋体" w:hint="default"/>
        </w:rPr>
        <w:t>35,241,375.69</w:t>
      </w:r>
      <w:r>
        <w:rPr/>
        <w:t>元，公司利润分配预案为：以</w:t>
      </w:r>
      <w:r>
        <w:rPr>
          <w:rFonts w:ascii="宋体" w:hAnsi="宋体" w:cs="宋体" w:eastAsia="宋体" w:hint="default"/>
        </w:rPr>
        <w:t>2012</w:t>
      </w:r>
      <w:r>
        <w:rPr/>
        <w:t>年</w:t>
      </w:r>
    </w:p>
    <w:p>
      <w:pPr>
        <w:pStyle w:val="BodyText"/>
        <w:spacing w:line="357" w:lineRule="auto" w:before="154"/>
        <w:ind w:right="0"/>
        <w:jc w:val="left"/>
      </w:pP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日公司总股本</w:t>
      </w:r>
      <w:r>
        <w:rPr>
          <w:rFonts w:ascii="宋体" w:hAnsi="宋体" w:cs="宋体" w:eastAsia="宋体" w:hint="default"/>
          <w:spacing w:val="-2"/>
        </w:rPr>
        <w:t>515,940,000</w:t>
      </w:r>
      <w:r>
        <w:rPr>
          <w:spacing w:val="-2"/>
        </w:rPr>
        <w:t>股本为基数，向全体股东以每</w:t>
      </w:r>
      <w:r>
        <w:rPr>
          <w:rFonts w:ascii="宋体" w:hAnsi="宋体" w:cs="宋体" w:eastAsia="宋体" w:hint="default"/>
          <w:spacing w:val="-2"/>
        </w:rPr>
        <w:t>10</w:t>
      </w:r>
      <w:r>
        <w:rPr>
          <w:spacing w:val="-2"/>
        </w:rPr>
        <w:t>股派发</w:t>
      </w:r>
      <w:r>
        <w:rPr>
          <w:rFonts w:ascii="宋体" w:hAnsi="宋体" w:cs="宋体" w:eastAsia="宋体" w:hint="default"/>
          <w:spacing w:val="-2"/>
        </w:rPr>
        <w:t>0.6</w:t>
      </w:r>
      <w:r>
        <w:rPr>
          <w:spacing w:val="-2"/>
        </w:rPr>
        <w:t>元现金（含税），</w:t>
      </w:r>
      <w:r>
        <w:rPr>
          <w:spacing w:val="-99"/>
        </w:rPr>
        <w:t> </w:t>
      </w:r>
      <w:r>
        <w:rPr>
          <w:spacing w:val="-99"/>
        </w:rPr>
      </w:r>
      <w:r>
        <w:rPr/>
        <w:t>本次利润分配不进行资本公积金转增股本。</w:t>
      </w:r>
    </w:p>
    <w:p>
      <w:pPr>
        <w:spacing w:line="240" w:lineRule="auto" w:before="13"/>
        <w:rPr>
          <w:rFonts w:ascii="宋体" w:hAnsi="宋体" w:cs="宋体" w:eastAsia="宋体" w:hint="default"/>
          <w:sz w:val="23"/>
          <w:szCs w:val="23"/>
        </w:rPr>
      </w:pPr>
    </w:p>
    <w:p>
      <w:pPr>
        <w:spacing w:before="44"/>
        <w:ind w:left="152" w:right="1125"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4"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30,956,400.00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25,005,713.64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23,473,158.66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14,478,896.43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7"/>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before="0"/>
        <w:ind w:right="1125"/>
        <w:jc w:val="left"/>
        <w:rPr>
          <w:b w:val="0"/>
          <w:bCs w:val="0"/>
        </w:rPr>
      </w:pPr>
      <w:r>
        <w:rPr/>
        <w:t>十二、社会责任情况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ind w:right="1131" w:firstLine="420"/>
        <w:jc w:val="both"/>
      </w:pPr>
      <w:r>
        <w:rPr>
          <w:rFonts w:ascii="宋体" w:hAnsi="宋体" w:cs="宋体" w:eastAsia="宋体" w:hint="default"/>
          <w:spacing w:val="2"/>
        </w:rPr>
        <w:t>1.</w:t>
      </w:r>
      <w:r>
        <w:rPr>
          <w:spacing w:val="2"/>
        </w:rPr>
        <w:t>保护消费者合法权益：公司以市场为导向，关注顾客需求，通过持续改进，不断提高 </w:t>
      </w:r>
      <w:r>
        <w:rPr/>
        <w:t>质量管理水平，提升服务质量超越顾客期望；设有全国服务热线</w:t>
      </w:r>
      <w:r>
        <w:rPr>
          <w:rFonts w:ascii="宋体" w:hAnsi="宋体" w:cs="宋体" w:eastAsia="宋体" w:hint="default"/>
        </w:rPr>
        <w:t>4006509676</w:t>
      </w:r>
      <w:r>
        <w:rPr/>
        <w:t>，对客户咨询和</w:t>
      </w:r>
      <w:r>
        <w:rPr>
          <w:spacing w:val="-85"/>
        </w:rPr>
        <w:t> </w:t>
      </w:r>
      <w:r>
        <w:rPr>
          <w:spacing w:val="-85"/>
        </w:rPr>
      </w:r>
      <w:r>
        <w:rPr/>
        <w:t>投诉及时作出反馈，直至用户满意为止。</w:t>
      </w:r>
    </w:p>
    <w:p>
      <w:pPr>
        <w:pStyle w:val="BodyText"/>
        <w:spacing w:line="357" w:lineRule="auto" w:before="36"/>
        <w:ind w:right="1131" w:firstLine="420"/>
        <w:jc w:val="both"/>
      </w:pPr>
      <w:r>
        <w:rPr>
          <w:rFonts w:ascii="宋体" w:hAnsi="宋体" w:cs="宋体" w:eastAsia="宋体" w:hint="default"/>
          <w:spacing w:val="2"/>
        </w:rPr>
        <w:t>2.</w:t>
      </w:r>
      <w:r>
        <w:rPr>
          <w:spacing w:val="2"/>
        </w:rPr>
        <w:t>组织员工参与绿化植树活动：以“种植一棵小树，绿化一片环境”的精神，持续不断 </w:t>
      </w:r>
      <w:r>
        <w:rPr/>
        <w:t>为环境的美化增添一分绿色。</w:t>
      </w:r>
    </w:p>
    <w:p>
      <w:pPr>
        <w:spacing w:after="0" w:line="357" w:lineRule="auto"/>
        <w:jc w:val="both"/>
        <w:sectPr>
          <w:pgSz w:w="11910" w:h="16840"/>
          <w:pgMar w:header="877" w:footer="1340" w:top="1060" w:bottom="1540" w:left="980" w:right="0"/>
        </w:sectPr>
      </w:pPr>
    </w:p>
    <w:p>
      <w:pPr>
        <w:spacing w:line="240" w:lineRule="auto" w:before="6"/>
        <w:rPr>
          <w:rFonts w:ascii="宋体" w:hAnsi="宋体" w:cs="宋体" w:eastAsia="宋体" w:hint="default"/>
          <w:sz w:val="29"/>
          <w:szCs w:val="29"/>
        </w:rPr>
      </w:pPr>
    </w:p>
    <w:p>
      <w:pPr>
        <w:pStyle w:val="BodyText"/>
        <w:spacing w:line="357" w:lineRule="auto" w:before="26"/>
        <w:ind w:right="1125" w:firstLine="420"/>
        <w:jc w:val="left"/>
      </w:pPr>
      <w:r>
        <w:rPr>
          <w:rFonts w:ascii="宋体" w:hAnsi="宋体" w:cs="宋体" w:eastAsia="宋体" w:hint="default"/>
          <w:spacing w:val="2"/>
        </w:rPr>
        <w:t>3.</w:t>
      </w:r>
      <w:r>
        <w:rPr>
          <w:spacing w:val="2"/>
        </w:rPr>
        <w:t>倡导员工绿色出行：号召员工“每周少开一天车、自行车出行健身又环保”，以实际 </w:t>
      </w:r>
      <w:r>
        <w:rPr/>
        <w:t>行动减少汽车尾气的排放；公出尽量选择公交、地铁等。</w:t>
      </w:r>
    </w:p>
    <w:p>
      <w:pPr>
        <w:pStyle w:val="BodyText"/>
        <w:spacing w:line="240" w:lineRule="auto" w:before="36"/>
        <w:ind w:left="573" w:right="1125"/>
        <w:jc w:val="left"/>
      </w:pPr>
      <w:r>
        <w:rPr>
          <w:rFonts w:ascii="宋体" w:hAnsi="宋体" w:cs="宋体" w:eastAsia="宋体" w:hint="default"/>
        </w:rPr>
        <w:t>4.</w:t>
      </w:r>
      <w:r>
        <w:rPr/>
        <w:t>公司主要产品均以通过</w:t>
      </w:r>
      <w:r>
        <w:rPr>
          <w:rFonts w:ascii="宋体" w:hAnsi="宋体" w:cs="宋体" w:eastAsia="宋体" w:hint="default"/>
        </w:rPr>
        <w:t>RoHS</w:t>
      </w:r>
      <w:r>
        <w:rPr/>
        <w:t>（电气、电子设备中限制使用某些有害物质指令）认证。</w:t>
      </w:r>
    </w:p>
    <w:p>
      <w:pPr>
        <w:pStyle w:val="BodyText"/>
        <w:spacing w:line="357" w:lineRule="auto" w:before="154"/>
        <w:ind w:right="1125" w:firstLine="420"/>
        <w:jc w:val="left"/>
      </w:pPr>
      <w:r>
        <w:rPr>
          <w:spacing w:val="2"/>
        </w:rPr>
        <w:t>公司在生产经营和业务发展的过程中，将继续努力做到经济效益与社会效益、自身发展 </w:t>
      </w:r>
      <w:r>
        <w:rPr/>
        <w:t>与社会发展相互协调，实现公司与社会、公司与环境、公司与员工的健康和谐发展。</w:t>
      </w:r>
    </w:p>
    <w:p>
      <w:pPr>
        <w:spacing w:line="240" w:lineRule="auto" w:before="11"/>
        <w:rPr>
          <w:rFonts w:ascii="宋体" w:hAnsi="宋体" w:cs="宋体" w:eastAsia="宋体" w:hint="default"/>
          <w:sz w:val="19"/>
          <w:szCs w:val="19"/>
        </w:rPr>
      </w:pPr>
    </w:p>
    <w:p>
      <w:pPr>
        <w:pStyle w:val="Heading2"/>
        <w:spacing w:line="240" w:lineRule="auto" w:before="0"/>
        <w:ind w:right="1125"/>
        <w:jc w:val="left"/>
        <w:rPr>
          <w:b w:val="0"/>
          <w:bCs w:val="0"/>
        </w:rPr>
      </w:pPr>
      <w:r>
        <w:rPr/>
        <w:t>十三、报告期内接待调研、沟通、采访等活动登记表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33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20"/>
              <w:jc w:val="left"/>
              <w:rPr>
                <w:rFonts w:ascii="宋体" w:hAnsi="宋体" w:cs="宋体" w:eastAsia="宋体" w:hint="default"/>
                <w:sz w:val="18"/>
                <w:szCs w:val="18"/>
              </w:rPr>
            </w:pPr>
            <w:r>
              <w:rPr>
                <w:rFonts w:ascii="宋体" w:hAnsi="宋体" w:cs="宋体" w:eastAsia="宋体" w:hint="default"/>
                <w:sz w:val="18"/>
                <w:szCs w:val="18"/>
              </w:rPr>
              <w:t>高鸿股份一层会议 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久银投资基金杨群</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公司主营业务介绍，</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年度非公开发行项目进展 介绍，提供公司宣传资料 一份</w:t>
            </w:r>
          </w:p>
        </w:tc>
      </w:tr>
      <w:tr>
        <w:trPr>
          <w:trHeight w:val="133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3" w:right="20"/>
              <w:jc w:val="left"/>
              <w:rPr>
                <w:rFonts w:ascii="宋体" w:hAnsi="宋体" w:cs="宋体" w:eastAsia="宋体" w:hint="default"/>
                <w:sz w:val="18"/>
                <w:szCs w:val="18"/>
              </w:rPr>
            </w:pPr>
            <w:r>
              <w:rPr>
                <w:rFonts w:ascii="宋体" w:hAnsi="宋体" w:cs="宋体" w:eastAsia="宋体" w:hint="default"/>
                <w:sz w:val="18"/>
                <w:szCs w:val="18"/>
              </w:rPr>
              <w:t>高鸿股份一层会议 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天相投资于海宁</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公司主营业务介绍，</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年度非公开发行项目进展 介绍，提供公司宣传资料 一份</w:t>
            </w:r>
          </w:p>
        </w:tc>
      </w:tr>
      <w:tr>
        <w:trPr>
          <w:trHeight w:val="227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23" w:right="20"/>
              <w:jc w:val="left"/>
              <w:rPr>
                <w:rFonts w:ascii="宋体" w:hAnsi="宋体" w:cs="宋体" w:eastAsia="宋体" w:hint="default"/>
                <w:sz w:val="18"/>
                <w:szCs w:val="18"/>
              </w:rPr>
            </w:pPr>
            <w:r>
              <w:rPr>
                <w:rFonts w:ascii="宋体" w:hAnsi="宋体" w:cs="宋体" w:eastAsia="宋体" w:hint="default"/>
                <w:sz w:val="18"/>
                <w:szCs w:val="18"/>
              </w:rPr>
              <w:t>高鸿股份一层会议 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23" w:right="23"/>
              <w:jc w:val="left"/>
              <w:rPr>
                <w:rFonts w:ascii="宋体" w:hAnsi="宋体" w:cs="宋体" w:eastAsia="宋体" w:hint="default"/>
                <w:sz w:val="18"/>
                <w:szCs w:val="18"/>
              </w:rPr>
            </w:pPr>
            <w:r>
              <w:rPr>
                <w:rFonts w:ascii="宋体" w:hAnsi="宋体" w:cs="宋体" w:eastAsia="宋体" w:hint="default"/>
                <w:sz w:val="18"/>
                <w:szCs w:val="18"/>
              </w:rPr>
              <w:t>光大金控资产管理 有限公司 </w:t>
            </w:r>
            <w:r>
              <w:rPr>
                <w:rFonts w:ascii="宋体" w:hAnsi="宋体" w:cs="宋体" w:eastAsia="宋体" w:hint="default"/>
                <w:spacing w:val="2"/>
                <w:sz w:val="18"/>
                <w:szCs w:val="18"/>
              </w:rPr>
              <w:t> </w:t>
            </w:r>
            <w:r>
              <w:rPr>
                <w:rFonts w:ascii="宋体" w:hAnsi="宋体" w:cs="宋体" w:eastAsia="宋体" w:hint="default"/>
                <w:sz w:val="18"/>
                <w:szCs w:val="18"/>
              </w:rPr>
              <w:t>杨卓</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针对公司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年非公开发 行股票事项进行了简要沟 通，公司董事会秘书对发 行项目进展情况，募集资 金用途，发行价格，发行 数量等做出了简要介绍。 未提供书面资料。</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高鸿股份一层会议 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中信证券 </w:t>
            </w:r>
            <w:r>
              <w:rPr>
                <w:rFonts w:ascii="宋体" w:hAnsi="宋体" w:cs="宋体" w:eastAsia="宋体" w:hint="default"/>
                <w:spacing w:val="2"/>
                <w:sz w:val="18"/>
                <w:szCs w:val="18"/>
              </w:rPr>
              <w:t> </w:t>
            </w:r>
            <w:r>
              <w:rPr>
                <w:rFonts w:ascii="宋体" w:hAnsi="宋体" w:cs="宋体" w:eastAsia="宋体" w:hint="default"/>
                <w:sz w:val="18"/>
                <w:szCs w:val="18"/>
              </w:rPr>
              <w:t>钟昌震</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公司主营业务情况介绍， 公司募集资金情况介绍</w:t>
            </w:r>
            <w:r>
              <w:rPr>
                <w:rFonts w:ascii="Times New Roman" w:hAnsi="Times New Roman" w:cs="Times New Roman" w:eastAsia="Times New Roman" w:hint="default"/>
                <w:sz w:val="18"/>
                <w:szCs w:val="18"/>
              </w:rPr>
              <w:t>, </w:t>
            </w:r>
            <w:r>
              <w:rPr>
                <w:rFonts w:ascii="宋体" w:hAnsi="宋体" w:cs="宋体" w:eastAsia="宋体" w:hint="default"/>
                <w:sz w:val="18"/>
                <w:szCs w:val="18"/>
              </w:rPr>
              <w:t>未提供书面资料。</w:t>
            </w:r>
          </w:p>
        </w:tc>
      </w:tr>
    </w:tbl>
    <w:p>
      <w:pPr>
        <w:spacing w:after="0" w:line="307"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right="3036"/>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1125"/>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spacing w:line="348"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本年度公司无重大诉讼、仲裁事项。 媒体质疑情况</w:t>
      </w:r>
    </w:p>
    <w:p>
      <w:pPr>
        <w:spacing w:line="340" w:lineRule="auto" w:before="36"/>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本年度公司无媒体质疑事项。</w:t>
      </w:r>
    </w:p>
    <w:p>
      <w:pPr>
        <w:spacing w:line="240" w:lineRule="auto" w:before="4"/>
        <w:rPr>
          <w:rFonts w:ascii="宋体" w:hAnsi="宋体" w:cs="宋体" w:eastAsia="宋体" w:hint="default"/>
          <w:sz w:val="19"/>
          <w:szCs w:val="19"/>
        </w:rPr>
      </w:pPr>
    </w:p>
    <w:p>
      <w:pPr>
        <w:spacing w:line="468" w:lineRule="auto" w:before="0"/>
        <w:ind w:left="152" w:right="3794" w:firstLine="0"/>
        <w:jc w:val="left"/>
        <w:rPr>
          <w:rFonts w:ascii="宋体" w:hAnsi="宋体" w:cs="宋体" w:eastAsia="宋体" w:hint="default"/>
          <w:sz w:val="24"/>
          <w:szCs w:val="24"/>
        </w:rPr>
      </w:pPr>
      <w:r>
        <w:rPr/>
        <w:pict>
          <v:shape style="position:absolute;margin-left:56.459999pt;margin-top:50.255611pt;width:479.35pt;height:301.7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958"/>
                  </w:tblGrid>
                  <w:tr>
                    <w:trPr>
                      <w:trHeight w:val="102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03" w:right="22" w:hanging="181"/>
                          <w:jc w:val="left"/>
                          <w:rPr>
                            <w:rFonts w:ascii="宋体" w:hAnsi="宋体" w:cs="宋体" w:eastAsia="宋体" w:hint="default"/>
                            <w:sz w:val="18"/>
                            <w:szCs w:val="18"/>
                          </w:rPr>
                        </w:pPr>
                        <w:r>
                          <w:rPr>
                            <w:rFonts w:ascii="宋体" w:hAnsi="宋体" w:cs="宋体" w:eastAsia="宋体" w:hint="default"/>
                            <w:sz w:val="18"/>
                            <w:szCs w:val="18"/>
                          </w:rPr>
                          <w:t>股东或关联 人名称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15"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95" w:right="23" w:hanging="272"/>
                          <w:jc w:val="left"/>
                          <w:rPr>
                            <w:rFonts w:ascii="宋体" w:hAnsi="宋体" w:cs="宋体" w:eastAsia="宋体" w:hint="default"/>
                            <w:sz w:val="18"/>
                            <w:szCs w:val="18"/>
                          </w:rPr>
                        </w:pPr>
                        <w:r>
                          <w:rPr>
                            <w:rFonts w:ascii="宋体" w:hAnsi="宋体" w:cs="宋体" w:eastAsia="宋体" w:hint="default"/>
                            <w:sz w:val="18"/>
                            <w:szCs w:val="18"/>
                          </w:rPr>
                          <w:t>期初数（万 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23" w:hanging="89"/>
                          <w:jc w:val="left"/>
                          <w:rPr>
                            <w:rFonts w:ascii="宋体" w:hAnsi="宋体" w:cs="宋体" w:eastAsia="宋体" w:hint="default"/>
                            <w:sz w:val="18"/>
                            <w:szCs w:val="18"/>
                          </w:rPr>
                        </w:pPr>
                        <w:r>
                          <w:rPr>
                            <w:rFonts w:ascii="宋体" w:hAnsi="宋体" w:cs="宋体" w:eastAsia="宋体" w:hint="default"/>
                            <w:sz w:val="18"/>
                            <w:szCs w:val="18"/>
                          </w:rPr>
                          <w:t>报告期新增 占用金额</w:t>
                        </w:r>
                      </w:p>
                      <w:p>
                        <w:pPr>
                          <w:pStyle w:val="TableParagraph"/>
                          <w:spacing w:line="240" w:lineRule="auto" w:before="19"/>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1"/>
                          <w:jc w:val="center"/>
                          <w:rPr>
                            <w:rFonts w:ascii="宋体" w:hAnsi="宋体" w:cs="宋体" w:eastAsia="宋体" w:hint="default"/>
                            <w:sz w:val="18"/>
                            <w:szCs w:val="18"/>
                          </w:rPr>
                        </w:pPr>
                        <w:r>
                          <w:rPr>
                            <w:rFonts w:ascii="宋体" w:hAnsi="宋体" w:cs="宋体" w:eastAsia="宋体" w:hint="default"/>
                            <w:sz w:val="18"/>
                            <w:szCs w:val="18"/>
                          </w:rPr>
                          <w:t>报告期偿还 总金额（万 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92" w:right="23" w:hanging="269"/>
                          <w:jc w:val="left"/>
                          <w:rPr>
                            <w:rFonts w:ascii="宋体" w:hAnsi="宋体" w:cs="宋体" w:eastAsia="宋体" w:hint="default"/>
                            <w:sz w:val="18"/>
                            <w:szCs w:val="18"/>
                          </w:rPr>
                        </w:pPr>
                        <w:r>
                          <w:rPr>
                            <w:rFonts w:ascii="宋体" w:hAnsi="宋体" w:cs="宋体" w:eastAsia="宋体" w:hint="default"/>
                            <w:sz w:val="18"/>
                            <w:szCs w:val="18"/>
                          </w:rPr>
                          <w:t>期末数（万 元）</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预计偿还金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403" w:hRule="exact"/>
                    </w:trPr>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期末合计值占期末净资产的比例</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r>
                  <w:tr>
                    <w:trPr>
                      <w:trHeight w:val="1337"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4"/>
                          <w:jc w:val="left"/>
                          <w:rPr>
                            <w:rFonts w:ascii="宋体" w:hAnsi="宋体" w:cs="宋体" w:eastAsia="宋体" w:hint="default"/>
                            <w:sz w:val="18"/>
                            <w:szCs w:val="18"/>
                          </w:rPr>
                        </w:pPr>
                        <w:r>
                          <w:rPr>
                            <w:rFonts w:ascii="宋体" w:hAnsi="宋体" w:cs="宋体" w:eastAsia="宋体" w:hint="default"/>
                            <w:sz w:val="18"/>
                            <w:szCs w:val="18"/>
                          </w:rPr>
                          <w:t>当期新增大股东及其附属企业非经 </w:t>
                        </w:r>
                        <w:r>
                          <w:rPr>
                            <w:rFonts w:ascii="宋体" w:hAnsi="宋体" w:cs="宋体" w:eastAsia="宋体" w:hint="default"/>
                            <w:spacing w:val="-5"/>
                            <w:sz w:val="18"/>
                            <w:szCs w:val="18"/>
                          </w:rPr>
                          <w:t>营性资金占用情况的原因、责任人追</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究及董事会拟定采取措施的情况说 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未能按计划清偿非经营性资金占用 </w:t>
                        </w:r>
                        <w:r>
                          <w:rPr>
                            <w:rFonts w:ascii="宋体" w:hAnsi="宋体" w:cs="宋体" w:eastAsia="宋体" w:hint="default"/>
                            <w:spacing w:val="-5"/>
                            <w:sz w:val="18"/>
                            <w:szCs w:val="18"/>
                          </w:rPr>
                          <w:t>的原因、责任追究情况及董事会拟定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采取的措施说明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715"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38"/>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bl>
                <w:p>
                  <w:pPr/>
                </w:p>
              </w:txbxContent>
            </v:textbox>
            <w10:wrap type="none"/>
          </v:shape>
        </w:pict>
      </w:r>
      <w:r>
        <w:rPr>
          <w:rFonts w:ascii="宋体" w:hAnsi="宋体" w:cs="宋体" w:eastAsia="宋体" w:hint="default"/>
          <w:b/>
          <w:bCs/>
          <w:sz w:val="24"/>
          <w:szCs w:val="24"/>
        </w:rPr>
        <w:t>二、上市公司发生控股股东及其关联方非经营性占用资金情况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报告期内公司控股股东及其关联方不存在非经营性占用资金情况。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2"/>
        <w:spacing w:line="240" w:lineRule="auto"/>
        <w:ind w:right="1125"/>
        <w:jc w:val="left"/>
        <w:rPr>
          <w:b w:val="0"/>
          <w:bCs w:val="0"/>
        </w:rPr>
      </w:pPr>
      <w:r>
        <w:rPr/>
        <w:t>三、资产交易事项</w:t>
      </w:r>
      <w:r>
        <w:rPr>
          <w:b w:val="0"/>
          <w:bCs w:val="0"/>
        </w:rPr>
      </w:r>
    </w:p>
    <w:p>
      <w:pPr>
        <w:spacing w:line="240" w:lineRule="auto" w:before="12"/>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pict>
          <v:group style="position:absolute;margin-left:460.320007pt;margin-top:97.043671pt;width:135pt;height:77pt;mso-position-horizontal-relative:page;mso-position-vertical-relative:paragraph;z-index:-1262272" coordorigin="9206,1941" coordsize="2700,1540">
            <v:shape style="position:absolute;left:9206;top:1941;width:2700;height:1540" type="#_x0000_t75" stroked="false">
              <v:imagedata r:id="rId18" o:title=""/>
            </v:shape>
            <v:shape style="position:absolute;left:10593;top:2301;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33</w:t>
                    </w:r>
                  </w:p>
                </w:txbxContent>
              </v:textbox>
              <w10:wrap type="none"/>
            </v:shape>
            <w10:wrap type="none"/>
          </v:group>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、收购资产情况</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50"/>
        <w:gridCol w:w="1375"/>
        <w:gridCol w:w="569"/>
        <w:gridCol w:w="708"/>
        <w:gridCol w:w="1133"/>
        <w:gridCol w:w="1136"/>
        <w:gridCol w:w="708"/>
        <w:gridCol w:w="566"/>
        <w:gridCol w:w="853"/>
        <w:gridCol w:w="1133"/>
        <w:gridCol w:w="811"/>
      </w:tblGrid>
      <w:tr>
        <w:trPr>
          <w:trHeight w:val="1330" w:hRule="exact"/>
        </w:trPr>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99" w:right="99"/>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0"/>
              <w:ind w:left="592" w:right="50" w:hanging="540"/>
              <w:jc w:val="left"/>
              <w:rPr>
                <w:rFonts w:ascii="宋体" w:hAnsi="宋体" w:cs="宋体" w:eastAsia="宋体" w:hint="default"/>
                <w:sz w:val="18"/>
                <w:szCs w:val="18"/>
              </w:rPr>
            </w:pPr>
            <w:r>
              <w:rPr>
                <w:rFonts w:ascii="宋体" w:hAnsi="宋体" w:cs="宋体" w:eastAsia="宋体" w:hint="default"/>
                <w:sz w:val="18"/>
                <w:szCs w:val="18"/>
              </w:rPr>
              <w:t>被收购或置入资 产</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98" w:right="99"/>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6" w:lineRule="auto" w:before="18"/>
              <w:ind w:left="98" w:right="99"/>
              <w:jc w:val="left"/>
              <w:rPr>
                <w:rFonts w:ascii="宋体" w:hAnsi="宋体" w:cs="宋体" w:eastAsia="宋体" w:hint="default"/>
                <w:sz w:val="18"/>
                <w:szCs w:val="18"/>
              </w:rPr>
            </w:pPr>
            <w:r>
              <w:rPr>
                <w:rFonts w:ascii="宋体" w:hAnsi="宋体" w:cs="宋体" w:eastAsia="宋体" w:hint="default"/>
                <w:sz w:val="18"/>
                <w:szCs w:val="18"/>
              </w:rPr>
              <w:t>（万 元）</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0"/>
              <w:ind w:left="259" w:right="77" w:hanging="180"/>
              <w:jc w:val="left"/>
              <w:rPr>
                <w:rFonts w:ascii="宋体" w:hAnsi="宋体" w:cs="宋体" w:eastAsia="宋体" w:hint="default"/>
                <w:sz w:val="18"/>
                <w:szCs w:val="18"/>
              </w:rPr>
            </w:pPr>
            <w:r>
              <w:rPr>
                <w:rFonts w:ascii="宋体" w:hAnsi="宋体" w:cs="宋体" w:eastAsia="宋体" w:hint="default"/>
                <w:sz w:val="18"/>
                <w:szCs w:val="18"/>
              </w:rPr>
              <w:t>进展情 况</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6"/>
              <w:ind w:left="112" w:right="108"/>
              <w:jc w:val="both"/>
              <w:rPr>
                <w:rFonts w:ascii="宋体" w:hAnsi="宋体" w:cs="宋体" w:eastAsia="宋体" w:hint="default"/>
                <w:sz w:val="18"/>
                <w:szCs w:val="18"/>
              </w:rPr>
            </w:pPr>
            <w:r>
              <w:rPr>
                <w:rFonts w:ascii="宋体" w:hAnsi="宋体" w:cs="宋体" w:eastAsia="宋体" w:hint="default"/>
                <w:sz w:val="18"/>
                <w:szCs w:val="18"/>
              </w:rPr>
              <w:t>自购买日起 至报告期末 为上市公司 贡献的净利</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6"/>
              <w:ind w:left="112" w:right="111"/>
              <w:jc w:val="both"/>
              <w:rPr>
                <w:rFonts w:ascii="宋体" w:hAnsi="宋体" w:cs="宋体" w:eastAsia="宋体" w:hint="default"/>
                <w:sz w:val="18"/>
                <w:szCs w:val="18"/>
              </w:rPr>
            </w:pPr>
            <w:r>
              <w:rPr>
                <w:rFonts w:ascii="宋体" w:hAnsi="宋体" w:cs="宋体" w:eastAsia="宋体" w:hint="default"/>
                <w:sz w:val="18"/>
                <w:szCs w:val="18"/>
              </w:rPr>
              <w:t>自本期初至 报告期末为 上市公司贡 献的净利润</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6"/>
              <w:ind w:left="79" w:right="77"/>
              <w:jc w:val="both"/>
              <w:rPr>
                <w:rFonts w:ascii="宋体" w:hAnsi="宋体" w:cs="宋体" w:eastAsia="宋体" w:hint="default"/>
                <w:sz w:val="18"/>
                <w:szCs w:val="18"/>
              </w:rPr>
            </w:pPr>
            <w:r>
              <w:rPr>
                <w:rFonts w:ascii="宋体" w:hAnsi="宋体" w:cs="宋体" w:eastAsia="宋体" w:hint="default"/>
                <w:sz w:val="18"/>
                <w:szCs w:val="18"/>
              </w:rPr>
              <w:t>该资产 为上市 公司贡 献的净</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98" w:right="96"/>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6"/>
              <w:ind w:left="60" w:right="62"/>
              <w:jc w:val="both"/>
              <w:rPr>
                <w:rFonts w:ascii="宋体" w:hAnsi="宋体" w:cs="宋体" w:eastAsia="宋体" w:hint="default"/>
                <w:sz w:val="18"/>
                <w:szCs w:val="18"/>
              </w:rPr>
            </w:pPr>
            <w:r>
              <w:rPr>
                <w:rFonts w:ascii="宋体" w:hAnsi="宋体" w:cs="宋体" w:eastAsia="宋体" w:hint="default"/>
                <w:sz w:val="18"/>
                <w:szCs w:val="18"/>
              </w:rPr>
              <w:t>与交易对 方的关联 关系（适 用关联交</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headerReference w:type="default" r:id="rId20"/>
          <w:footerReference w:type="default" r:id="rId21"/>
          <w:pgSz w:w="11910" w:h="16840"/>
          <w:pgMar w:header="877" w:footer="0" w:top="1060" w:bottom="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52"/>
        <w:gridCol w:w="1375"/>
        <w:gridCol w:w="569"/>
        <w:gridCol w:w="708"/>
        <w:gridCol w:w="1133"/>
        <w:gridCol w:w="1136"/>
        <w:gridCol w:w="708"/>
        <w:gridCol w:w="566"/>
        <w:gridCol w:w="853"/>
        <w:gridCol w:w="1133"/>
        <w:gridCol w:w="811"/>
      </w:tblGrid>
      <w:tr>
        <w:trPr>
          <w:trHeight w:val="1299" w:hRule="exact"/>
        </w:trPr>
        <w:tc>
          <w:tcPr>
            <w:tcW w:w="7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3" w:right="19"/>
              <w:jc w:val="center"/>
              <w:rPr>
                <w:rFonts w:ascii="宋体" w:hAnsi="宋体" w:cs="宋体" w:eastAsia="宋体" w:hint="default"/>
                <w:sz w:val="18"/>
                <w:szCs w:val="18"/>
              </w:rPr>
            </w:pPr>
            <w:r>
              <w:rPr>
                <w:rFonts w:ascii="宋体" w:hAnsi="宋体" w:cs="宋体" w:eastAsia="宋体" w:hint="default"/>
                <w:spacing w:val="-27"/>
                <w:sz w:val="18"/>
                <w:szCs w:val="18"/>
              </w:rPr>
              <w:t>润（万元）（适</w:t>
            </w:r>
            <w:r>
              <w:rPr>
                <w:rFonts w:ascii="宋体" w:hAnsi="宋体" w:cs="宋体" w:eastAsia="宋体" w:hint="default"/>
                <w:sz w:val="18"/>
                <w:szCs w:val="18"/>
              </w:rPr>
              <w:t> 用于非同一 控制下的企 业合并）</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7" w:right="68"/>
              <w:jc w:val="center"/>
              <w:rPr>
                <w:rFonts w:ascii="宋体" w:hAnsi="宋体" w:cs="宋体" w:eastAsia="宋体" w:hint="default"/>
                <w:sz w:val="18"/>
                <w:szCs w:val="18"/>
              </w:rPr>
            </w:pPr>
            <w:r>
              <w:rPr>
                <w:rFonts w:ascii="宋体" w:hAnsi="宋体" w:cs="宋体" w:eastAsia="宋体" w:hint="default"/>
                <w:spacing w:val="-16"/>
                <w:sz w:val="18"/>
                <w:szCs w:val="18"/>
              </w:rPr>
              <w:t>（万元）（适</w:t>
            </w:r>
            <w:r>
              <w:rPr>
                <w:rFonts w:ascii="宋体" w:hAnsi="宋体" w:cs="宋体" w:eastAsia="宋体" w:hint="default"/>
                <w:sz w:val="18"/>
                <w:szCs w:val="18"/>
              </w:rPr>
              <w:t> 用于同一控 制下的企业 合并）</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79" w:right="77"/>
              <w:jc w:val="both"/>
              <w:rPr>
                <w:rFonts w:ascii="Times New Roman" w:hAnsi="Times New Roman" w:cs="Times New Roman" w:eastAsia="Times New Roman" w:hint="default"/>
                <w:sz w:val="18"/>
                <w:szCs w:val="18"/>
              </w:rPr>
            </w:pPr>
            <w:r>
              <w:rPr>
                <w:rFonts w:ascii="宋体" w:hAnsi="宋体" w:cs="宋体" w:eastAsia="宋体" w:hint="default"/>
                <w:sz w:val="18"/>
                <w:szCs w:val="18"/>
              </w:rPr>
              <w:t>利润占 利润总 额的比 率</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1" w:right="0"/>
              <w:jc w:val="left"/>
              <w:rPr>
                <w:rFonts w:ascii="宋体" w:hAnsi="宋体" w:cs="宋体" w:eastAsia="宋体" w:hint="default"/>
                <w:sz w:val="18"/>
                <w:szCs w:val="18"/>
              </w:rPr>
            </w:pPr>
            <w:r>
              <w:rPr>
                <w:rFonts w:ascii="宋体" w:hAnsi="宋体" w:cs="宋体" w:eastAsia="宋体" w:hint="default"/>
                <w:sz w:val="18"/>
                <w:szCs w:val="18"/>
              </w:rPr>
              <w:t>易情形</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7" w:hRule="exact"/>
        </w:trPr>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大唐电 信科技 股份有 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both"/>
              <w:rPr>
                <w:rFonts w:ascii="宋体" w:hAnsi="宋体" w:cs="宋体" w:eastAsia="宋体" w:hint="default"/>
                <w:sz w:val="18"/>
                <w:szCs w:val="18"/>
              </w:rPr>
            </w:pPr>
            <w:r>
              <w:rPr>
                <w:rFonts w:ascii="宋体" w:hAnsi="宋体" w:cs="宋体" w:eastAsia="宋体" w:hint="default"/>
                <w:sz w:val="18"/>
                <w:szCs w:val="18"/>
              </w:rPr>
              <w:t>北京大唐高鸿数 据网络技术有限 公司少数股东股 权</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132"/>
              <w:jc w:val="left"/>
              <w:rPr>
                <w:rFonts w:ascii="宋体" w:hAnsi="宋体" w:cs="宋体" w:eastAsia="宋体" w:hint="default"/>
                <w:sz w:val="18"/>
                <w:szCs w:val="18"/>
              </w:rPr>
            </w:pPr>
            <w:r>
              <w:rPr>
                <w:rFonts w:ascii="宋体" w:hAnsi="宋体" w:cs="宋体" w:eastAsia="宋体" w:hint="default"/>
                <w:sz w:val="18"/>
                <w:szCs w:val="18"/>
              </w:rPr>
              <w:t>交易已 完成</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557.7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24.79%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2012-057</w:t>
            </w:r>
          </w:p>
        </w:tc>
      </w:tr>
      <w:tr>
        <w:trPr>
          <w:trHeight w:val="1340" w:hRule="exact"/>
        </w:trPr>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西安大 唐电信 有限公 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both"/>
              <w:rPr>
                <w:rFonts w:ascii="宋体" w:hAnsi="宋体" w:cs="宋体" w:eastAsia="宋体" w:hint="default"/>
                <w:sz w:val="18"/>
                <w:szCs w:val="18"/>
              </w:rPr>
            </w:pPr>
            <w:r>
              <w:rPr>
                <w:rFonts w:ascii="宋体" w:hAnsi="宋体" w:cs="宋体" w:eastAsia="宋体" w:hint="default"/>
                <w:sz w:val="18"/>
                <w:szCs w:val="18"/>
              </w:rPr>
              <w:t>北京大唐高鸿数 据网络技术有限 公司少数股东股 权</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568.4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132"/>
              <w:jc w:val="left"/>
              <w:rPr>
                <w:rFonts w:ascii="宋体" w:hAnsi="宋体" w:cs="宋体" w:eastAsia="宋体" w:hint="default"/>
                <w:sz w:val="18"/>
                <w:szCs w:val="18"/>
              </w:rPr>
            </w:pPr>
            <w:r>
              <w:rPr>
                <w:rFonts w:ascii="宋体" w:hAnsi="宋体" w:cs="宋体" w:eastAsia="宋体" w:hint="default"/>
                <w:sz w:val="18"/>
                <w:szCs w:val="18"/>
              </w:rPr>
              <w:t>交易已 完成</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557.7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24.79%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2012-057</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收购资产情况概述</w:t>
      </w:r>
    </w:p>
    <w:p>
      <w:pPr>
        <w:pStyle w:val="BodyText"/>
        <w:spacing w:line="357" w:lineRule="auto" w:before="145"/>
        <w:ind w:right="1129" w:firstLine="516"/>
        <w:jc w:val="both"/>
      </w:pPr>
      <w:r>
        <w:rPr>
          <w:spacing w:val="-3"/>
        </w:rPr>
        <w:t>公司原已持有北京大唐高鸿数据网络技术有限公司</w:t>
      </w:r>
      <w:r>
        <w:rPr>
          <w:rFonts w:ascii="宋体" w:hAnsi="宋体" w:cs="宋体" w:eastAsia="宋体" w:hint="default"/>
          <w:spacing w:val="-3"/>
        </w:rPr>
        <w:t>83.165%</w:t>
      </w:r>
      <w:r>
        <w:rPr>
          <w:spacing w:val="-3"/>
        </w:rPr>
        <w:t>的股权，本次只是收购高鸿有</w:t>
      </w:r>
      <w:r>
        <w:rPr/>
        <w:t> </w:t>
      </w:r>
      <w:r>
        <w:rPr>
          <w:spacing w:val="-2"/>
        </w:rPr>
        <w:t>限原少数股东持有的</w:t>
      </w:r>
      <w:r>
        <w:rPr>
          <w:rFonts w:ascii="宋体" w:hAnsi="宋体" w:cs="宋体" w:eastAsia="宋体" w:hint="default"/>
          <w:spacing w:val="-2"/>
        </w:rPr>
        <w:t>16.835%</w:t>
      </w:r>
      <w:r>
        <w:rPr>
          <w:spacing w:val="-2"/>
        </w:rPr>
        <w:t>的股权，已按计划实施完毕，对公司业务的连续性、管理层稳定</w:t>
      </w:r>
      <w:r>
        <w:rPr>
          <w:spacing w:val="-113"/>
        </w:rPr>
        <w:t> </w:t>
      </w:r>
      <w:r>
        <w:rPr>
          <w:spacing w:val="-113"/>
        </w:rPr>
      </w:r>
      <w:r>
        <w:rPr/>
        <w:t>性没有影响。</w:t>
      </w:r>
    </w:p>
    <w:p>
      <w:pPr>
        <w:spacing w:line="240" w:lineRule="auto" w:before="10"/>
        <w:rPr>
          <w:rFonts w:ascii="宋体" w:hAnsi="宋体" w:cs="宋体" w:eastAsia="宋体" w:hint="default"/>
          <w:sz w:val="21"/>
          <w:szCs w:val="21"/>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、出售资产情况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7"/>
        <w:gridCol w:w="684"/>
        <w:gridCol w:w="684"/>
        <w:gridCol w:w="684"/>
        <w:gridCol w:w="684"/>
        <w:gridCol w:w="682"/>
        <w:gridCol w:w="684"/>
        <w:gridCol w:w="684"/>
        <w:gridCol w:w="680"/>
        <w:gridCol w:w="682"/>
        <w:gridCol w:w="679"/>
      </w:tblGrid>
      <w:tr>
        <w:trPr>
          <w:trHeight w:val="2897"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16" w:lineRule="auto"/>
              <w:ind w:left="246" w:right="65"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69"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67" w:right="65"/>
              <w:jc w:val="both"/>
              <w:rPr>
                <w:rFonts w:ascii="宋体" w:hAnsi="宋体" w:cs="宋体" w:eastAsia="宋体" w:hint="default"/>
                <w:sz w:val="18"/>
                <w:szCs w:val="18"/>
              </w:rPr>
            </w:pPr>
            <w:r>
              <w:rPr>
                <w:rFonts w:ascii="宋体" w:hAnsi="宋体" w:cs="宋体" w:eastAsia="宋体" w:hint="default"/>
                <w:sz w:val="18"/>
                <w:szCs w:val="18"/>
              </w:rPr>
              <w:t>出售产 生的损 益（万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资产出 售为上 市公司 贡献的 净利润 占利润 总额的 比例</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67" w:right="6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9" w:right="62"/>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64" w:right="63"/>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16"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16" w:lineRule="auto"/>
              <w:ind w:left="244" w:right="6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403"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出售资产情况概述</w:t>
      </w:r>
    </w:p>
    <w:p>
      <w:pPr>
        <w:pStyle w:val="BodyText"/>
        <w:spacing w:line="357" w:lineRule="auto" w:before="145"/>
        <w:ind w:right="1131" w:firstLine="566"/>
        <w:jc w:val="both"/>
      </w:pPr>
      <w:r>
        <w:rPr/>
        <w:t>公司第六届第二十八次董事会</w:t>
      </w:r>
      <w:r>
        <w:rPr>
          <w:rFonts w:ascii="宋体" w:hAnsi="宋体" w:cs="宋体" w:eastAsia="宋体" w:hint="default"/>
        </w:rPr>
        <w:t>7</w:t>
      </w:r>
      <w:r>
        <w:rPr/>
        <w:t>审议通过《关于转让国泰君安证券股份有限公司部分出 </w:t>
      </w:r>
      <w:r>
        <w:rPr>
          <w:spacing w:val="-2"/>
        </w:rPr>
        <w:t>资权利的议案》，同意公司以</w:t>
      </w:r>
      <w:r>
        <w:rPr>
          <w:rFonts w:ascii="宋体" w:hAnsi="宋体" w:cs="宋体" w:eastAsia="宋体" w:hint="default"/>
          <w:spacing w:val="-2"/>
        </w:rPr>
        <w:t>2,849,450.42</w:t>
      </w:r>
      <w:r>
        <w:rPr>
          <w:spacing w:val="-2"/>
        </w:rPr>
        <w:t>元将</w:t>
      </w:r>
      <w:r>
        <w:rPr>
          <w:rFonts w:ascii="宋体" w:hAnsi="宋体" w:cs="宋体" w:eastAsia="宋体" w:hint="default"/>
          <w:spacing w:val="-2"/>
        </w:rPr>
        <w:t>588,850</w:t>
      </w:r>
      <w:r>
        <w:rPr>
          <w:spacing w:val="-2"/>
        </w:rPr>
        <w:t>股增资国泰君安证券股份有限公司权</w:t>
      </w:r>
      <w:r>
        <w:rPr>
          <w:spacing w:val="-101"/>
        </w:rPr>
        <w:t> </w:t>
      </w:r>
      <w:r>
        <w:rPr>
          <w:spacing w:val="-2"/>
        </w:rPr>
        <w:t>利转让给北京汇泉国际投资有限公司，转让完成后公司仍拥有</w:t>
      </w:r>
      <w:r>
        <w:rPr>
          <w:rFonts w:ascii="宋体" w:hAnsi="宋体" w:cs="宋体" w:eastAsia="宋体" w:hint="default"/>
          <w:spacing w:val="-2"/>
        </w:rPr>
        <w:t>588,850</w:t>
      </w:r>
      <w:r>
        <w:rPr>
          <w:spacing w:val="-2"/>
        </w:rPr>
        <w:t>股增资国泰君安证券股</w:t>
      </w:r>
      <w:r>
        <w:rPr>
          <w:spacing w:val="-113"/>
        </w:rPr>
        <w:t> </w:t>
      </w:r>
      <w:r>
        <w:rPr/>
        <w:t>份有限公司的权利。本次交易金额未达到披露标准，未在指定媒体披露。截至报告期末，公</w:t>
      </w:r>
      <w:r>
        <w:rPr>
          <w:spacing w:val="-91"/>
        </w:rPr>
        <w:t> </w:t>
      </w:r>
      <w:r>
        <w:rPr>
          <w:spacing w:val="-91"/>
        </w:rPr>
      </w:r>
      <w:r>
        <w:rPr/>
        <w:t>司已经出让</w:t>
      </w:r>
      <w:r>
        <w:rPr>
          <w:rFonts w:ascii="宋体" w:hAnsi="宋体" w:cs="宋体" w:eastAsia="宋体" w:hint="default"/>
        </w:rPr>
        <w:t>588,850</w:t>
      </w:r>
      <w:r>
        <w:rPr/>
        <w:t>股增资权利。</w:t>
      </w:r>
    </w:p>
    <w:p>
      <w:pPr>
        <w:pStyle w:val="BodyText"/>
        <w:spacing w:line="357" w:lineRule="auto" w:before="77"/>
        <w:ind w:right="1133" w:firstLine="566"/>
        <w:jc w:val="both"/>
      </w:pPr>
      <w:r>
        <w:rPr>
          <w:spacing w:val="4"/>
        </w:rPr>
        <w:t>公司第七届第次董事会审议通过《关于转让贵州达众磨料磨具有限责任公司股权的议</w:t>
      </w:r>
      <w:r>
        <w:rPr/>
        <w:t> 案》同意公司以</w:t>
      </w:r>
      <w:r>
        <w:rPr>
          <w:rFonts w:ascii="宋体" w:hAnsi="宋体" w:cs="宋体" w:eastAsia="宋体" w:hint="default"/>
        </w:rPr>
        <w:t>920.95</w:t>
      </w:r>
      <w:r>
        <w:rPr/>
        <w:t>万元出售所持有的贵州达众磨料磨具有限责任公司（以下简称：“贵</w:t>
      </w:r>
    </w:p>
    <w:p>
      <w:pPr>
        <w:spacing w:after="0" w:line="357" w:lineRule="auto"/>
        <w:jc w:val="both"/>
        <w:sectPr>
          <w:footerReference w:type="default" r:id="rId22"/>
          <w:pgSz w:w="11910" w:h="16840"/>
          <w:pgMar w:footer="1340" w:header="877" w:top="1060" w:bottom="1540" w:left="980" w:right="0"/>
          <w:pgNumType w:start="34"/>
        </w:sectPr>
      </w:pPr>
    </w:p>
    <w:p>
      <w:pPr>
        <w:spacing w:line="240" w:lineRule="auto" w:before="6"/>
        <w:rPr>
          <w:rFonts w:ascii="宋体" w:hAnsi="宋体" w:cs="宋体" w:eastAsia="宋体" w:hint="default"/>
          <w:sz w:val="29"/>
          <w:szCs w:val="29"/>
        </w:rPr>
      </w:pPr>
    </w:p>
    <w:p>
      <w:pPr>
        <w:pStyle w:val="BodyText"/>
        <w:spacing w:line="357" w:lineRule="auto" w:before="26"/>
        <w:ind w:right="1125"/>
        <w:jc w:val="left"/>
      </w:pPr>
      <w:r>
        <w:rPr/>
        <w:t>州达众”）</w:t>
      </w:r>
      <w:r>
        <w:rPr>
          <w:rFonts w:ascii="宋体" w:hAnsi="宋体" w:cs="宋体" w:eastAsia="宋体" w:hint="default"/>
        </w:rPr>
        <w:t>6,171.99</w:t>
      </w:r>
      <w:r>
        <w:rPr/>
        <w:t>万股股份。公司所持有的贵州达众股权目前账面价值</w:t>
      </w:r>
      <w:r>
        <w:rPr>
          <w:rFonts w:ascii="宋体" w:hAnsi="宋体" w:cs="宋体" w:eastAsia="宋体" w:hint="default"/>
        </w:rPr>
        <w:t>1,932.55</w:t>
      </w:r>
      <w:r>
        <w:rPr/>
        <w:t>万元，本</w:t>
      </w:r>
      <w:r>
        <w:rPr>
          <w:spacing w:val="-88"/>
        </w:rPr>
        <w:t> </w:t>
      </w:r>
      <w:r>
        <w:rPr>
          <w:spacing w:val="-88"/>
        </w:rPr>
      </w:r>
      <w:r>
        <w:rPr/>
        <w:t>次股权转让预计可收回金额为</w:t>
      </w:r>
      <w:r>
        <w:rPr>
          <w:rFonts w:ascii="宋体" w:hAnsi="宋体" w:cs="宋体" w:eastAsia="宋体" w:hint="default"/>
        </w:rPr>
        <w:t>920.95</w:t>
      </w:r>
      <w:r>
        <w:rPr/>
        <w:t>万元，形成损失</w:t>
      </w:r>
      <w:r>
        <w:rPr>
          <w:rFonts w:ascii="宋体" w:hAnsi="宋体" w:cs="宋体" w:eastAsia="宋体" w:hint="default"/>
        </w:rPr>
        <w:t>1,011.60</w:t>
      </w:r>
      <w:r>
        <w:rPr/>
        <w:t>万元。</w:t>
      </w:r>
    </w:p>
    <w:p>
      <w:pPr>
        <w:spacing w:line="240" w:lineRule="auto" w:before="10"/>
        <w:rPr>
          <w:rFonts w:ascii="宋体" w:hAnsi="宋体" w:cs="宋体" w:eastAsia="宋体" w:hint="default"/>
          <w:sz w:val="21"/>
          <w:szCs w:val="21"/>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before="0"/>
        <w:ind w:right="1125"/>
        <w:jc w:val="left"/>
        <w:rPr>
          <w:b w:val="0"/>
          <w:bCs w:val="0"/>
        </w:rPr>
      </w:pPr>
      <w:r>
        <w:rPr/>
        <w:t>四、公司股权激励的实施情况及其影响</w:t>
      </w:r>
      <w:r>
        <w:rPr>
          <w:b w:val="0"/>
          <w:bCs w:val="0"/>
        </w:rPr>
      </w:r>
    </w:p>
    <w:p>
      <w:pPr>
        <w:spacing w:line="240" w:lineRule="auto" w:before="4"/>
        <w:rPr>
          <w:rFonts w:ascii="宋体" w:hAnsi="宋体" w:cs="宋体" w:eastAsia="宋体" w:hint="default"/>
          <w:b/>
          <w:bCs/>
          <w:sz w:val="26"/>
          <w:szCs w:val="26"/>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报告期内公司未实施股权激励。</w:t>
      </w:r>
    </w:p>
    <w:p>
      <w:pPr>
        <w:spacing w:line="240" w:lineRule="auto" w:before="4"/>
        <w:rPr>
          <w:rFonts w:ascii="宋体" w:hAnsi="宋体" w:cs="宋体" w:eastAsia="宋体" w:hint="default"/>
          <w:sz w:val="25"/>
          <w:szCs w:val="25"/>
        </w:rPr>
      </w:pPr>
    </w:p>
    <w:p>
      <w:pPr>
        <w:pStyle w:val="Heading2"/>
        <w:spacing w:line="240" w:lineRule="auto" w:before="0"/>
        <w:ind w:right="1125"/>
        <w:jc w:val="left"/>
        <w:rPr>
          <w:b w:val="0"/>
          <w:bCs w:val="0"/>
        </w:rPr>
      </w:pPr>
      <w:r>
        <w:rPr/>
        <w:t>五、重大关联交易</w:t>
      </w:r>
      <w:r>
        <w:rPr>
          <w:b w:val="0"/>
          <w:bCs w:val="0"/>
        </w:rPr>
      </w:r>
    </w:p>
    <w:p>
      <w:pPr>
        <w:spacing w:line="240" w:lineRule="auto" w:before="12"/>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7"/>
        <w:gridCol w:w="799"/>
        <w:gridCol w:w="797"/>
        <w:gridCol w:w="800"/>
        <w:gridCol w:w="799"/>
        <w:gridCol w:w="797"/>
        <w:gridCol w:w="800"/>
        <w:gridCol w:w="797"/>
        <w:gridCol w:w="799"/>
        <w:gridCol w:w="797"/>
        <w:gridCol w:w="794"/>
        <w:gridCol w:w="797"/>
      </w:tblGrid>
      <w:tr>
        <w:trPr>
          <w:trHeight w:val="1027"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5" w:right="32"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4"/>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大唐移动 通信设备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关联采购</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734.57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734.57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734.57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2012-062</w:t>
            </w: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大唐联诚 信息系统 技术有限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关联采购</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147.43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147.43</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电信科学 技术仪表 研究所</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关联采购</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71.18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71.18</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大唐电信 科技股份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关联采购</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39.65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39.65</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大唐软件 技术股份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关联采购</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1,657.78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1,657.78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1,657.78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2012-051</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北京大唐 志诚软件 技术有限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关联采购</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1,994.09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1,994.09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1,994.09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2012-015</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电信科学 技术研究 院</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43"/>
              <w:jc w:val="left"/>
              <w:rPr>
                <w:rFonts w:ascii="宋体" w:hAnsi="宋体" w:cs="宋体" w:eastAsia="宋体" w:hint="default"/>
                <w:sz w:val="18"/>
                <w:szCs w:val="18"/>
              </w:rPr>
            </w:pPr>
            <w:r>
              <w:rPr>
                <w:rFonts w:ascii="宋体" w:hAnsi="宋体" w:cs="宋体" w:eastAsia="宋体" w:hint="default"/>
                <w:sz w:val="18"/>
                <w:szCs w:val="18"/>
              </w:rPr>
              <w:t>控股母公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52.29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52.29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2012-090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9"/>
        <w:gridCol w:w="797"/>
        <w:gridCol w:w="800"/>
        <w:gridCol w:w="799"/>
        <w:gridCol w:w="797"/>
        <w:gridCol w:w="800"/>
        <w:gridCol w:w="797"/>
        <w:gridCol w:w="799"/>
        <w:gridCol w:w="797"/>
        <w:gridCol w:w="794"/>
        <w:gridCol w:w="797"/>
      </w:tblGrid>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电信科学 技术半导 体研究所</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1.83</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电信科学 技术第一 研究所</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大唐电信 科技产业 控股有限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196.24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196.24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196.24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2012-090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大唐移动 通信设备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4"/>
              <w:jc w:val="left"/>
              <w:rPr>
                <w:rFonts w:ascii="宋体" w:hAnsi="宋体" w:cs="宋体" w:eastAsia="宋体" w:hint="default"/>
                <w:sz w:val="18"/>
                <w:szCs w:val="18"/>
              </w:rPr>
            </w:pPr>
            <w:r>
              <w:rPr>
                <w:rFonts w:ascii="宋体" w:hAnsi="宋体" w:cs="宋体" w:eastAsia="宋体" w:hint="default"/>
                <w:sz w:val="18"/>
                <w:szCs w:val="18"/>
              </w:rPr>
              <w:t>销售商 品、提供 劳务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1,423.61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1,423.61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1,423.61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2012-062</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大唐电信 国际技术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14.20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14.20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大唐投资 管理（北 京）有限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6.73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6.73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6.73</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数据通信 科学技术 研究所</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29.64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29.64</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兴唐通信 科技有限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455.64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455.64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2012-090</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大唐联诚 信息系统 技术有限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90.26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90.26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0.02%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90.26</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2012-090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电信科学 技术第五 研究所</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6.14</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成都泰瑞 通信设备 检测有限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3.62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3.62</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北京大唐 实创投资 中心</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4.48</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262200" coordorigin="9206,15298" coordsize="2700,1540">
            <v:shape style="position:absolute;left:9206;top:15298;width:2700;height:1540" type="#_x0000_t75" stroked="false">
              <v:imagedata r:id="rId18"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37</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9"/>
        <w:gridCol w:w="797"/>
        <w:gridCol w:w="800"/>
        <w:gridCol w:w="799"/>
        <w:gridCol w:w="797"/>
        <w:gridCol w:w="800"/>
        <w:gridCol w:w="797"/>
        <w:gridCol w:w="799"/>
        <w:gridCol w:w="797"/>
        <w:gridCol w:w="794"/>
        <w:gridCol w:w="797"/>
      </w:tblGrid>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北京大唐 物业管理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1.28</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电信科学 技术仪表 研究所</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13.33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13.33</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北京畅通 达通信技 术有限公 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0.58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0.58</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大唐电信 集团财务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10.67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10.67</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电信科学 技术第四 研究所</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7.54</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西安通和 电信设备 检测有限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3.43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3.43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3.43</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大唐电信 科技股份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34.68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34.68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2012-090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西安大唐 电信有限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3.26</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盛耀无线 通讯科技</w:t>
            </w:r>
          </w:p>
          <w:p>
            <w:pPr>
              <w:pStyle w:val="TableParagraph"/>
              <w:spacing w:line="316" w:lineRule="auto" w:before="19"/>
              <w:ind w:left="24" w:right="41"/>
              <w:jc w:val="left"/>
              <w:rPr>
                <w:rFonts w:ascii="宋体" w:hAnsi="宋体" w:cs="宋体" w:eastAsia="宋体" w:hint="default"/>
                <w:sz w:val="18"/>
                <w:szCs w:val="18"/>
              </w:rPr>
            </w:pPr>
            <w:r>
              <w:rPr>
                <w:rFonts w:ascii="宋体" w:hAnsi="宋体" w:cs="宋体" w:eastAsia="宋体" w:hint="default"/>
                <w:sz w:val="18"/>
                <w:szCs w:val="18"/>
              </w:rPr>
              <w:t>（北京）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10.30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10.30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北京新华 瑞德电子 阅读技术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4.68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4.68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4.68</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大唐软件 技术股份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4"/>
              <w:jc w:val="left"/>
              <w:rPr>
                <w:rFonts w:ascii="宋体" w:hAnsi="宋体" w:cs="宋体" w:eastAsia="宋体" w:hint="default"/>
                <w:sz w:val="18"/>
                <w:szCs w:val="18"/>
              </w:rPr>
            </w:pPr>
            <w:r>
              <w:rPr>
                <w:rFonts w:ascii="宋体" w:hAnsi="宋体" w:cs="宋体" w:eastAsia="宋体" w:hint="default"/>
                <w:sz w:val="18"/>
                <w:szCs w:val="18"/>
              </w:rPr>
              <w:t>销售商 品、提供 劳务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814.78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814.78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814.78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2012-063</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北京大唐 志诚软件 技术有限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3.85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3.85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3.85</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3"/>
          <w:footerReference w:type="default" r:id="rId24"/>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600" coordorigin="9206,15298" coordsize="2700,1540">
            <v:shape style="position:absolute;left:9206;top:15298;width:2700;height:1540" type="#_x0000_t75" stroked="false">
              <v:imagedata r:id="rId18"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38</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9"/>
        <w:gridCol w:w="797"/>
        <w:gridCol w:w="788"/>
        <w:gridCol w:w="811"/>
        <w:gridCol w:w="797"/>
        <w:gridCol w:w="800"/>
        <w:gridCol w:w="797"/>
        <w:gridCol w:w="799"/>
        <w:gridCol w:w="797"/>
        <w:gridCol w:w="794"/>
        <w:gridCol w:w="797"/>
      </w:tblGrid>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联芯科技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7"/>
              <w:jc w:val="center"/>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54.81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54.81</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大唐微电 子技术有 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受同一控 制下的公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
              <w:jc w:val="center"/>
              <w:rPr>
                <w:rFonts w:ascii="宋体" w:hAnsi="宋体" w:cs="宋体" w:eastAsia="宋体" w:hint="default"/>
                <w:sz w:val="18"/>
                <w:szCs w:val="18"/>
              </w:rPr>
            </w:pPr>
            <w:r>
              <w:rPr>
                <w:rFonts w:ascii="宋体" w:hAnsi="宋体" w:cs="宋体" w:eastAsia="宋体" w:hint="default"/>
                <w:sz w:val="18"/>
                <w:szCs w:val="18"/>
              </w:rPr>
              <w:t>商业原则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161.07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161.07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47"/>
              <w:jc w:val="center"/>
              <w:rPr>
                <w:rFonts w:ascii="Times New Roman" w:hAnsi="Times New Roman" w:cs="Times New Roman" w:eastAsia="Times New Roman" w:hint="default"/>
                <w:sz w:val="18"/>
                <w:szCs w:val="18"/>
              </w:rPr>
            </w:pPr>
            <w:r>
              <w:rPr>
                <w:rFonts w:ascii="Times New Roman"/>
                <w:sz w:val="18"/>
              </w:rPr>
              <w:t>2012-090</w:t>
            </w:r>
          </w:p>
        </w:tc>
      </w:tr>
      <w:tr>
        <w:trPr>
          <w:trHeight w:val="401" w:hRule="exact"/>
        </w:trPr>
        <w:tc>
          <w:tcPr>
            <w:tcW w:w="31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8,054.14</w:t>
            </w:r>
          </w:p>
        </w:tc>
        <w:tc>
          <w:tcPr>
            <w:tcW w:w="7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1.86%</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1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92"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31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5"/>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92"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本单位关联交易属于正常业务范围，按照公开、公正、公平的原则进行交易</w:t>
            </w:r>
          </w:p>
        </w:tc>
      </w:tr>
      <w:tr>
        <w:trPr>
          <w:trHeight w:val="404" w:hRule="exact"/>
        </w:trPr>
        <w:tc>
          <w:tcPr>
            <w:tcW w:w="31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92"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31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5"/>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92"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31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5"/>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6392"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31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w:t>
            </w:r>
          </w:p>
        </w:tc>
        <w:tc>
          <w:tcPr>
            <w:tcW w:w="6392"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、资产收购、出售发生的关联交易</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40"/>
        <w:gridCol w:w="744"/>
        <w:gridCol w:w="737"/>
        <w:gridCol w:w="901"/>
        <w:gridCol w:w="578"/>
        <w:gridCol w:w="732"/>
        <w:gridCol w:w="735"/>
        <w:gridCol w:w="735"/>
        <w:gridCol w:w="732"/>
        <w:gridCol w:w="734"/>
        <w:gridCol w:w="740"/>
        <w:gridCol w:w="732"/>
        <w:gridCol w:w="730"/>
      </w:tblGrid>
      <w:tr>
        <w:trPr>
          <w:trHeight w:val="1339" w:hRule="exact"/>
        </w:trPr>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78" w:right="93"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93" w:right="9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66" w:right="82"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01"/>
              <w:jc w:val="both"/>
              <w:rPr>
                <w:rFonts w:ascii="宋体" w:hAnsi="宋体" w:cs="宋体" w:eastAsia="宋体" w:hint="default"/>
                <w:sz w:val="18"/>
                <w:szCs w:val="18"/>
              </w:rPr>
            </w:pPr>
            <w:r>
              <w:rPr>
                <w:rFonts w:ascii="宋体" w:hAnsi="宋体" w:cs="宋体" w:eastAsia="宋体" w:hint="default"/>
                <w:sz w:val="18"/>
                <w:szCs w:val="18"/>
              </w:rPr>
              <w:t>关联 交易 定价 原则</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91"/>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1" w:right="91"/>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19"/>
              <w:ind w:left="23" w:right="-20"/>
              <w:jc w:val="left"/>
              <w:rPr>
                <w:rFonts w:ascii="宋体" w:hAnsi="宋体" w:cs="宋体" w:eastAsia="宋体" w:hint="default"/>
                <w:sz w:val="18"/>
                <w:szCs w:val="18"/>
              </w:rPr>
            </w:pPr>
            <w:r>
              <w:rPr>
                <w:rFonts w:ascii="宋体" w:hAnsi="宋体" w:cs="宋体" w:eastAsia="宋体" w:hint="default"/>
                <w:sz w:val="18"/>
                <w:szCs w:val="18"/>
              </w:rPr>
              <w:t>（万元）</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1" w:right="89"/>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1" w:right="91"/>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92"/>
              <w:jc w:val="both"/>
              <w:rPr>
                <w:rFonts w:ascii="宋体" w:hAnsi="宋体" w:cs="宋体" w:eastAsia="宋体" w:hint="default"/>
                <w:sz w:val="18"/>
                <w:szCs w:val="18"/>
              </w:rPr>
            </w:pPr>
            <w:r>
              <w:rPr>
                <w:rFonts w:ascii="宋体" w:hAnsi="宋体" w:cs="宋体" w:eastAsia="宋体" w:hint="default"/>
                <w:sz w:val="18"/>
                <w:szCs w:val="18"/>
              </w:rPr>
              <w:t>转让资 产获得 的收益</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71" w:right="8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68" w:right="89"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96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164"/>
              <w:jc w:val="both"/>
              <w:rPr>
                <w:rFonts w:ascii="宋体" w:hAnsi="宋体" w:cs="宋体" w:eastAsia="宋体" w:hint="default"/>
                <w:sz w:val="18"/>
                <w:szCs w:val="18"/>
              </w:rPr>
            </w:pPr>
            <w:r>
              <w:rPr>
                <w:rFonts w:ascii="宋体" w:hAnsi="宋体" w:cs="宋体" w:eastAsia="宋体" w:hint="default"/>
                <w:sz w:val="18"/>
                <w:szCs w:val="18"/>
              </w:rPr>
              <w:t>大唐电 信科技 股份有 限公司</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168"/>
              <w:jc w:val="both"/>
              <w:rPr>
                <w:rFonts w:ascii="宋体" w:hAnsi="宋体" w:cs="宋体" w:eastAsia="宋体" w:hint="default"/>
                <w:sz w:val="18"/>
                <w:szCs w:val="18"/>
              </w:rPr>
            </w:pPr>
            <w:r>
              <w:rPr>
                <w:rFonts w:ascii="宋体" w:hAnsi="宋体" w:cs="宋体" w:eastAsia="宋体" w:hint="default"/>
                <w:sz w:val="18"/>
                <w:szCs w:val="18"/>
              </w:rPr>
              <w:t>受同一 控制下 的公司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股权收 购</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42"/>
              <w:jc w:val="both"/>
              <w:rPr>
                <w:rFonts w:ascii="宋体" w:hAnsi="宋体" w:cs="宋体" w:eastAsia="宋体" w:hint="default"/>
                <w:sz w:val="18"/>
                <w:szCs w:val="18"/>
              </w:rPr>
            </w:pPr>
            <w:r>
              <w:rPr>
                <w:rFonts w:ascii="宋体" w:hAnsi="宋体" w:cs="宋体" w:eastAsia="宋体" w:hint="default"/>
                <w:sz w:val="18"/>
                <w:szCs w:val="18"/>
              </w:rPr>
              <w:t>收购北京 大唐高鸿 数据网络 技术有限 公司少数 股东股权</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3" w:right="182"/>
              <w:jc w:val="left"/>
              <w:rPr>
                <w:rFonts w:ascii="宋体" w:hAnsi="宋体" w:cs="宋体" w:eastAsia="宋体" w:hint="default"/>
                <w:sz w:val="18"/>
                <w:szCs w:val="18"/>
              </w:rPr>
            </w:pPr>
            <w:r>
              <w:rPr>
                <w:rFonts w:ascii="宋体" w:hAnsi="宋体" w:cs="宋体" w:eastAsia="宋体" w:hint="default"/>
                <w:sz w:val="18"/>
                <w:szCs w:val="18"/>
              </w:rPr>
              <w:t>评估 价</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6,307.12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6,397.66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6,397.66</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6,431.6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4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1964"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4" w:right="164"/>
              <w:jc w:val="both"/>
              <w:rPr>
                <w:rFonts w:ascii="宋体" w:hAnsi="宋体" w:cs="宋体" w:eastAsia="宋体" w:hint="default"/>
                <w:sz w:val="18"/>
                <w:szCs w:val="18"/>
              </w:rPr>
            </w:pPr>
            <w:r>
              <w:rPr>
                <w:rFonts w:ascii="宋体" w:hAnsi="宋体" w:cs="宋体" w:eastAsia="宋体" w:hint="default"/>
                <w:sz w:val="18"/>
                <w:szCs w:val="18"/>
              </w:rPr>
              <w:t>西安大 唐电信 有限公 司</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168"/>
              <w:jc w:val="both"/>
              <w:rPr>
                <w:rFonts w:ascii="宋体" w:hAnsi="宋体" w:cs="宋体" w:eastAsia="宋体" w:hint="default"/>
                <w:sz w:val="18"/>
                <w:szCs w:val="18"/>
              </w:rPr>
            </w:pPr>
            <w:r>
              <w:rPr>
                <w:rFonts w:ascii="宋体" w:hAnsi="宋体" w:cs="宋体" w:eastAsia="宋体" w:hint="default"/>
                <w:sz w:val="18"/>
                <w:szCs w:val="18"/>
              </w:rPr>
              <w:t>受同一 控制下 的公司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股权收 购</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42"/>
              <w:jc w:val="both"/>
              <w:rPr>
                <w:rFonts w:ascii="宋体" w:hAnsi="宋体" w:cs="宋体" w:eastAsia="宋体" w:hint="default"/>
                <w:sz w:val="18"/>
                <w:szCs w:val="18"/>
              </w:rPr>
            </w:pPr>
            <w:r>
              <w:rPr>
                <w:rFonts w:ascii="宋体" w:hAnsi="宋体" w:cs="宋体" w:eastAsia="宋体" w:hint="default"/>
                <w:sz w:val="18"/>
                <w:szCs w:val="18"/>
              </w:rPr>
              <w:t>收购北京 大唐高鸿 数据网络 技术有限 公司少数 股东股权</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3" w:right="182"/>
              <w:jc w:val="left"/>
              <w:rPr>
                <w:rFonts w:ascii="宋体" w:hAnsi="宋体" w:cs="宋体" w:eastAsia="宋体" w:hint="default"/>
                <w:sz w:val="18"/>
                <w:szCs w:val="18"/>
              </w:rPr>
            </w:pPr>
            <w:r>
              <w:rPr>
                <w:rFonts w:ascii="宋体" w:hAnsi="宋体" w:cs="宋体" w:eastAsia="宋体" w:hint="default"/>
                <w:sz w:val="18"/>
                <w:szCs w:val="18"/>
              </w:rPr>
              <w:t>评估 价</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557.85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565.84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565.84</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568.4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4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713" w:hRule="exact"/>
        </w:trPr>
        <w:tc>
          <w:tcPr>
            <w:tcW w:w="312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25"/>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 大的原因</w:t>
            </w:r>
          </w:p>
        </w:tc>
        <w:tc>
          <w:tcPr>
            <w:tcW w:w="644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headerReference w:type="default" r:id="rId25"/>
          <w:footerReference w:type="default" r:id="rId26"/>
          <w:pgSz w:w="11910" w:h="16840"/>
          <w:pgMar w:header="877" w:footer="0" w:top="1060" w:bottom="0" w:left="980" w:right="0"/>
        </w:sectPr>
      </w:pPr>
    </w:p>
    <w:p>
      <w:pPr>
        <w:spacing w:line="240" w:lineRule="auto" w:before="6"/>
        <w:rPr>
          <w:rFonts w:ascii="宋体" w:hAnsi="宋体" w:cs="宋体" w:eastAsia="宋体" w:hint="default"/>
          <w:b/>
          <w:bCs/>
          <w:sz w:val="28"/>
          <w:szCs w:val="28"/>
        </w:rPr>
      </w:pPr>
      <w:r>
        <w:rPr/>
        <w:pict>
          <v:shape style="position:absolute;margin-left:110.523003pt;margin-top:481.149994pt;width:87.55pt;height:17.650pt;mso-position-horizontal-relative:page;mso-position-vertical-relative:page;z-index:-126210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（北京）</w:t>
                  </w:r>
                </w:p>
              </w:txbxContent>
            </v:textbox>
            <w10:wrap type="none"/>
          </v:shape>
        </w:pict>
      </w:r>
      <w:r>
        <w:rPr/>
        <w:pict>
          <v:group style="position:absolute;margin-left:460.320007pt;margin-top:764.919983pt;width:135pt;height:77pt;mso-position-horizontal-relative:page;mso-position-vertical-relative:page;z-index:-1262056" coordorigin="9206,15298" coordsize="2700,1540">
            <v:shape style="position:absolute;left:9206;top:15298;width:2700;height:1540" type="#_x0000_t75" stroked="false">
              <v:imagedata r:id="rId18"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39</w:t>
                    </w:r>
                  </w:p>
                </w:txbxContent>
              </v:textbox>
              <w10:wrap type="none"/>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120"/>
        <w:gridCol w:w="6447"/>
      </w:tblGrid>
      <w:tr>
        <w:trPr>
          <w:trHeight w:val="1028"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44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6"/>
              <w:jc w:val="both"/>
              <w:rPr>
                <w:rFonts w:ascii="宋体" w:hAnsi="宋体" w:cs="宋体" w:eastAsia="宋体" w:hint="default"/>
                <w:sz w:val="18"/>
                <w:szCs w:val="18"/>
              </w:rPr>
            </w:pPr>
            <w:r>
              <w:rPr>
                <w:rFonts w:ascii="宋体" w:hAnsi="宋体" w:cs="宋体" w:eastAsia="宋体" w:hint="default"/>
                <w:sz w:val="18"/>
                <w:szCs w:val="18"/>
              </w:rPr>
              <w:t>由于公司收购了少数股东持有的</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16.835%</w:t>
            </w:r>
            <w:r>
              <w:rPr>
                <w:rFonts w:ascii="宋体" w:hAnsi="宋体" w:cs="宋体" w:eastAsia="宋体" w:hint="default"/>
                <w:spacing w:val="-3"/>
                <w:sz w:val="18"/>
                <w:szCs w:val="18"/>
              </w:rPr>
              <w:t>高鸿有限的股权，是公司合并报表上的资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本公积减少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677.77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万元，少数股东权益减少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6,322.23</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万元，本年净利润增加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93.89 </w:t>
            </w:r>
            <w:r>
              <w:rPr>
                <w:rFonts w:ascii="宋体" w:hAnsi="宋体" w:cs="宋体" w:eastAsia="宋体" w:hint="default"/>
                <w:sz w:val="18"/>
                <w:szCs w:val="18"/>
              </w:rPr>
              <w:t>万元。</w:t>
            </w:r>
          </w:p>
        </w:tc>
      </w:tr>
    </w:tbl>
    <w:p>
      <w:pPr>
        <w:spacing w:line="240" w:lineRule="auto" w:before="3"/>
        <w:rPr>
          <w:rFonts w:ascii="宋体" w:hAnsi="宋体" w:cs="宋体" w:eastAsia="宋体" w:hint="default"/>
          <w:b/>
          <w:bCs/>
          <w:sz w:val="19"/>
          <w:szCs w:val="19"/>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、共同对外投资的重大关联交易</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6"/>
        <w:gridCol w:w="1066"/>
        <w:gridCol w:w="1066"/>
        <w:gridCol w:w="1061"/>
        <w:gridCol w:w="1064"/>
        <w:gridCol w:w="1056"/>
      </w:tblGrid>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75"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59" w:right="75" w:hanging="180"/>
              <w:jc w:val="left"/>
              <w:rPr>
                <w:rFonts w:ascii="宋体" w:hAnsi="宋体" w:cs="宋体" w:eastAsia="宋体" w:hint="default"/>
                <w:sz w:val="18"/>
                <w:szCs w:val="18"/>
              </w:rPr>
            </w:pPr>
            <w:r>
              <w:rPr>
                <w:rFonts w:ascii="宋体" w:hAnsi="宋体" w:cs="宋体" w:eastAsia="宋体" w:hint="default"/>
                <w:sz w:val="18"/>
                <w:szCs w:val="18"/>
              </w:rPr>
              <w:t>共同投资定 价原则</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59" w:right="74"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9" w:right="75"/>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6" w:right="77"/>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hanging="1"/>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的总资产（万</w:t>
            </w:r>
            <w:r>
              <w:rPr>
                <w:rFonts w:ascii="宋体" w:hAnsi="宋体" w:cs="宋体" w:eastAsia="宋体" w:hint="default"/>
                <w:sz w:val="18"/>
                <w:szCs w:val="18"/>
              </w:rPr>
              <w:t> 元）</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hanging="1"/>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的净资产（万</w:t>
            </w:r>
            <w:r>
              <w:rPr>
                <w:rFonts w:ascii="宋体" w:hAnsi="宋体" w:cs="宋体" w:eastAsia="宋体" w:hint="default"/>
                <w:sz w:val="18"/>
                <w:szCs w:val="18"/>
              </w:rPr>
              <w:t> 元）</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4"/>
                <w:sz w:val="18"/>
                <w:szCs w:val="18"/>
              </w:rPr>
              <w:t>的净利润（万</w:t>
            </w:r>
            <w:r>
              <w:rPr>
                <w:rFonts w:ascii="宋体" w:hAnsi="宋体" w:cs="宋体" w:eastAsia="宋体" w:hint="default"/>
                <w:sz w:val="18"/>
                <w:szCs w:val="18"/>
              </w:rPr>
              <w:t> 元）</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是否存在非经营性关联债权债务往来</w:t>
      </w:r>
    </w:p>
    <w:p>
      <w:pPr>
        <w:spacing w:before="117"/>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36"/>
        <w:gridCol w:w="1119"/>
        <w:gridCol w:w="1118"/>
        <w:gridCol w:w="1121"/>
        <w:gridCol w:w="1119"/>
        <w:gridCol w:w="1118"/>
        <w:gridCol w:w="1119"/>
        <w:gridCol w:w="1121"/>
      </w:tblGrid>
      <w:tr>
        <w:trPr>
          <w:trHeight w:val="1027" w:hRule="exact"/>
        </w:trPr>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65" w:right="101"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6"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6" w:right="101"/>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74" w:right="19" w:hanging="351"/>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6"/>
              <w:ind w:left="1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76" w:right="19" w:hanging="351"/>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大唐电信科技产业控 股有限公司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受同一控制 下的公司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11.36</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16.19</w:t>
            </w: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大唐移动通信设备有 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受同一控制 下的公司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14.23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72.33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86.57</w:t>
            </w: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大唐电信国际技术有 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受同一控制 下的公司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2.74</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0.36</w:t>
            </w:r>
          </w:p>
        </w:tc>
      </w:tr>
      <w:tr>
        <w:trPr>
          <w:trHeight w:val="715" w:hRule="exact"/>
        </w:trPr>
        <w:tc>
          <w:tcPr>
            <w:tcW w:w="1736"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4" w:right="612"/>
              <w:jc w:val="left"/>
              <w:rPr>
                <w:rFonts w:ascii="宋体" w:hAnsi="宋体" w:cs="宋体" w:eastAsia="宋体" w:hint="default"/>
                <w:sz w:val="18"/>
                <w:szCs w:val="18"/>
              </w:rPr>
            </w:pPr>
            <w:r>
              <w:rPr>
                <w:rFonts w:ascii="宋体" w:hAnsi="宋体" w:cs="宋体" w:eastAsia="宋体" w:hint="default"/>
                <w:sz w:val="18"/>
                <w:szCs w:val="18"/>
              </w:rPr>
              <w:t>大唐投资管理 有限公司</w:t>
            </w:r>
          </w:p>
        </w:tc>
        <w:tc>
          <w:tcPr>
            <w:tcW w:w="1119" w:type="dxa"/>
            <w:tcBorders>
              <w:top w:val="single" w:sz="4" w:space="0" w:color="000000"/>
              <w:left w:val="single" w:sz="10" w:space="0" w:color="FFFFFF"/>
              <w:bottom w:val="single" w:sz="4" w:space="0" w:color="000000"/>
              <w:right w:val="single" w:sz="4" w:space="0" w:color="000000"/>
            </w:tcBorders>
          </w:tcPr>
          <w:p>
            <w:pPr>
              <w:pStyle w:val="TableParagraph"/>
              <w:spacing w:line="316" w:lineRule="auto" w:before="49"/>
              <w:ind w:left="16" w:right="183"/>
              <w:jc w:val="left"/>
              <w:rPr>
                <w:rFonts w:ascii="宋体" w:hAnsi="宋体" w:cs="宋体" w:eastAsia="宋体" w:hint="default"/>
                <w:sz w:val="18"/>
                <w:szCs w:val="18"/>
              </w:rPr>
            </w:pPr>
            <w:r>
              <w:rPr>
                <w:rFonts w:ascii="宋体" w:hAnsi="宋体" w:cs="宋体" w:eastAsia="宋体" w:hint="default"/>
                <w:sz w:val="18"/>
                <w:szCs w:val="18"/>
              </w:rPr>
              <w:t>受同一控制 下的公司</w:t>
            </w:r>
          </w:p>
          <w:p>
            <w:pPr>
              <w:pStyle w:val="TableParagraph"/>
              <w:spacing w:line="352" w:lineRule="exact"/>
              <w:ind w:left="16" w:right="-29"/>
              <w:jc w:val="left"/>
              <w:rPr>
                <w:rFonts w:ascii="宋体" w:hAnsi="宋体" w:cs="宋体" w:eastAsia="宋体" w:hint="default"/>
                <w:sz w:val="20"/>
                <w:szCs w:val="20"/>
              </w:rPr>
            </w:pPr>
            <w:r>
              <w:rPr>
                <w:rFonts w:ascii="宋体" w:hAnsi="宋体" w:cs="宋体" w:eastAsia="宋体" w:hint="default"/>
                <w:position w:val="-6"/>
                <w:sz w:val="20"/>
                <w:szCs w:val="20"/>
              </w:rPr>
              <w:pict>
                <v:group style="width:53.2pt;height:17.650pt;mso-position-horizontal-relative:char;mso-position-vertical-relative:line" coordorigin="0,0" coordsize="1064,353">
                  <v:group style="position:absolute;left:0;top:0;width:1064;height:353" coordorigin="0,0" coordsize="1064,353">
                    <v:shape style="position:absolute;left:0;top:0;width:1064;height:353" coordorigin="0,0" coordsize="1064,353" path="m0,353l1064,353,1064,0,0,0,0,353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before="0"/>
              <w:ind w:right="0"/>
              <w:jc w:val="left"/>
              <w:rPr>
                <w:rFonts w:ascii="宋体" w:hAnsi="宋体" w:cs="宋体" w:eastAsia="宋体" w:hint="default"/>
                <w:sz w:val="27"/>
                <w:szCs w:val="27"/>
              </w:rPr>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1.06</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-1.06</w:t>
            </w: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数据通信科学技术研 究所</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受同一控制 下的公司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37.13</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-37.13</w:t>
            </w: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兴唐通信科技有限公 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受同一控制 下的公司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139.27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139.27</w:t>
            </w: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大唐联诚信息系统技 术有限公司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受同一控制 下的公司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33.5</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24.41</w:t>
            </w: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电信科学技术第五研 究所</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受同一控制 下的公司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0.2</w:t>
            </w: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北京大唐实创投资中 心</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受同一控制 下的公司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0.02</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0.69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0.7</w:t>
            </w: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电信科学技术仪表研 究所</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受同一控制 下的公司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0.08</w:t>
            </w: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大唐电信集团财务有 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受同一控制 下的公司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3.82</w:t>
            </w:r>
          </w:p>
        </w:tc>
      </w:tr>
    </w:tbl>
    <w:p>
      <w:pPr>
        <w:spacing w:after="0" w:line="240" w:lineRule="auto"/>
        <w:jc w:val="right"/>
        <w:rPr>
          <w:rFonts w:ascii="Times New Roman" w:hAnsi="Times New Roman" w:cs="Times New Roman" w:eastAsia="Times New Roman" w:hint="default"/>
          <w:sz w:val="18"/>
          <w:szCs w:val="18"/>
        </w:rPr>
        <w:sectPr>
          <w:headerReference w:type="default" r:id="rId27"/>
          <w:footerReference w:type="default" r:id="rId28"/>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36"/>
        <w:gridCol w:w="1119"/>
        <w:gridCol w:w="1118"/>
        <w:gridCol w:w="1121"/>
        <w:gridCol w:w="1119"/>
        <w:gridCol w:w="1118"/>
        <w:gridCol w:w="1119"/>
        <w:gridCol w:w="1121"/>
      </w:tblGrid>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电信科学技术第四研 究所</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受同一控制 下的公司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1.08</w:t>
            </w: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大唐电信科技股份有 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受同一控制 下的公司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w:t>
            </w: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西安大唐电信有限公 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受同一控制 下的公司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1.65</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2.15</w:t>
            </w: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盛耀无线通讯科技</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受同一控制 下的公司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4.42</w:t>
            </w: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大唐软件技术股份有 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受同一控制 下的公司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74.17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74.17</w:t>
            </w:r>
          </w:p>
        </w:tc>
      </w:tr>
      <w:tr>
        <w:trPr>
          <w:trHeight w:val="716"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北京大唐志诚软件技 术有限公司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受同一控制 下的公司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0.8</w:t>
            </w: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联芯科技有限公司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受同一控制 下的公司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19.86</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-19.86</w:t>
            </w: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大唐微电子技术有限 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受同一控制 下的公司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w w:val="95"/>
                <w:sz w:val="18"/>
              </w:rPr>
              <w:t>-11.98</w:t>
            </w:r>
            <w:r>
              <w:rPr>
                <w:rFonts w:ascii="Times New Roman"/>
                <w:spacing w:val="-1"/>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12.02</w:t>
            </w: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大唐电信科技股份有 限公司无线分公司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受同一控制 下的公司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-14.8</w:t>
            </w: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大唐移动通信设备有 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受同一控制 下的公司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商品采购</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752.63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752.63</w:t>
            </w: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大唐联诚信息系统技 术有限公司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受同一控制 下的公司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商品采购</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172.5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172.5</w:t>
            </w: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电信科学技术仪表研 究所</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受同一控制 下的公司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商品采购</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48.76</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14.53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63.29</w:t>
            </w: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大唐电信科技股份有 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受同一控制 下的公司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商品采购</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46.39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46.39</w:t>
            </w: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大唐软件技术股份有 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受同一控制 下的公司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商品采购</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1,018.03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1,018.03</w:t>
            </w: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北京大唐志诚软件技 术有限公司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受同一控制 下的公司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商品采购</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1,156.47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1,156.47</w:t>
            </w:r>
          </w:p>
        </w:tc>
      </w:tr>
      <w:tr>
        <w:trPr>
          <w:trHeight w:val="716" w:hRule="exact"/>
        </w:trPr>
        <w:tc>
          <w:tcPr>
            <w:tcW w:w="2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 务状况的影响</w:t>
            </w:r>
          </w:p>
        </w:tc>
        <w:tc>
          <w:tcPr>
            <w:tcW w:w="671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ind w:right="1131" w:firstLine="480"/>
        <w:jc w:val="both"/>
      </w:pPr>
      <w:r>
        <w:rPr>
          <w:rFonts w:ascii="宋体" w:hAnsi="宋体" w:cs="宋体" w:eastAsia="宋体" w:hint="default"/>
          <w:spacing w:val="-2"/>
        </w:rPr>
        <w:t>2011</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14</w:t>
      </w:r>
      <w:r>
        <w:rPr>
          <w:spacing w:val="-2"/>
        </w:rPr>
        <w:t>日公司控股股东电信科学技术研究院与公司签订了《大唐高鸿数据网络技术</w:t>
      </w:r>
      <w:r>
        <w:rPr/>
        <w:t> </w:t>
      </w:r>
      <w:r>
        <w:rPr>
          <w:spacing w:val="-2"/>
        </w:rPr>
        <w:t>股份有限公司非公开发行股票认购协议》并于</w:t>
      </w:r>
      <w:r>
        <w:rPr>
          <w:rFonts w:ascii="宋体" w:hAnsi="宋体" w:cs="宋体" w:eastAsia="宋体" w:hint="default"/>
          <w:spacing w:val="-2"/>
        </w:rPr>
        <w:t>2012</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12</w:t>
      </w:r>
      <w:r>
        <w:rPr>
          <w:spacing w:val="-2"/>
        </w:rPr>
        <w:t>日签订《大唐高鸿数据网络技术股</w:t>
      </w:r>
      <w:r>
        <w:rPr>
          <w:spacing w:val="-113"/>
        </w:rPr>
        <w:t> </w:t>
      </w:r>
      <w:r>
        <w:rPr>
          <w:spacing w:val="-113"/>
        </w:rPr>
      </w:r>
      <w:r>
        <w:rPr/>
        <w:t>份有限公司非公开发行股票认购协议之补充协议》，承诺以现金方式按照与其他发行对象相</w:t>
      </w:r>
    </w:p>
    <w:p>
      <w:pPr>
        <w:spacing w:after="0" w:line="357" w:lineRule="auto"/>
        <w:jc w:val="both"/>
        <w:sectPr>
          <w:footerReference w:type="default" r:id="rId29"/>
          <w:pgSz w:w="11910" w:h="16840"/>
          <w:pgMar w:footer="1340" w:header="877" w:top="1060" w:bottom="1540" w:left="980" w:right="0"/>
          <w:pgNumType w:start="40"/>
        </w:sectPr>
      </w:pPr>
    </w:p>
    <w:p>
      <w:pPr>
        <w:spacing w:line="240" w:lineRule="auto" w:before="6"/>
        <w:rPr>
          <w:rFonts w:ascii="宋体" w:hAnsi="宋体" w:cs="宋体" w:eastAsia="宋体" w:hint="default"/>
          <w:sz w:val="29"/>
          <w:szCs w:val="29"/>
        </w:rPr>
      </w:pPr>
    </w:p>
    <w:p>
      <w:pPr>
        <w:pStyle w:val="BodyText"/>
        <w:spacing w:line="357" w:lineRule="auto" w:before="26"/>
        <w:ind w:right="1116"/>
        <w:jc w:val="left"/>
      </w:pPr>
      <w:r>
        <w:rPr>
          <w:spacing w:val="-2"/>
        </w:rPr>
        <w:t>同的认购价格认购本次非公开发行股票，认购金额不低于人民币</w:t>
      </w:r>
      <w:r>
        <w:rPr>
          <w:rFonts w:ascii="宋体" w:hAnsi="宋体" w:cs="宋体" w:eastAsia="宋体" w:hint="default"/>
          <w:spacing w:val="-2"/>
        </w:rPr>
        <w:t>1</w:t>
      </w:r>
      <w:r>
        <w:rPr>
          <w:spacing w:val="-2"/>
        </w:rPr>
        <w:t>亿元。本次非公开发行股票</w:t>
      </w:r>
      <w:r>
        <w:rPr/>
        <w:t> </w:t>
      </w:r>
      <w:r>
        <w:rPr>
          <w:rFonts w:ascii="宋体" w:hAnsi="宋体" w:cs="宋体" w:eastAsia="宋体" w:hint="default"/>
          <w:spacing w:val="-2"/>
        </w:rPr>
        <w:t>18,304</w:t>
      </w:r>
      <w:r>
        <w:rPr>
          <w:spacing w:val="-2"/>
        </w:rPr>
        <w:t>万股，电信科学技术研究院按照与其他发行对象相同的价格现金认购</w:t>
      </w:r>
      <w:r>
        <w:rPr>
          <w:rFonts w:ascii="宋体" w:hAnsi="宋体" w:cs="宋体" w:eastAsia="宋体" w:hint="default"/>
          <w:spacing w:val="-2"/>
        </w:rPr>
        <w:t>2,940</w:t>
      </w:r>
      <w:r>
        <w:rPr>
          <w:spacing w:val="-2"/>
        </w:rPr>
        <w:t>万股，共计</w:t>
      </w:r>
    </w:p>
    <w:p>
      <w:pPr>
        <w:pStyle w:val="BodyText"/>
        <w:spacing w:line="240" w:lineRule="auto" w:before="36"/>
        <w:ind w:right="1125"/>
        <w:jc w:val="left"/>
      </w:pPr>
      <w:r>
        <w:rPr>
          <w:rFonts w:ascii="宋体" w:hAnsi="宋体" w:cs="宋体" w:eastAsia="宋体" w:hint="default"/>
        </w:rPr>
        <w:t>17,992.80</w:t>
      </w:r>
      <w:r>
        <w:rPr/>
        <w:t>万元。</w:t>
      </w:r>
    </w:p>
    <w:p>
      <w:pPr>
        <w:spacing w:line="240" w:lineRule="auto" w:before="12"/>
        <w:rPr>
          <w:rFonts w:ascii="宋体" w:hAnsi="宋体" w:cs="宋体" w:eastAsia="宋体" w:hint="default"/>
          <w:sz w:val="20"/>
          <w:szCs w:val="20"/>
        </w:rPr>
      </w:pPr>
    </w:p>
    <w:p>
      <w:pPr>
        <w:pStyle w:val="BodyText"/>
        <w:spacing w:line="357" w:lineRule="auto"/>
        <w:ind w:right="1129" w:firstLine="480"/>
        <w:jc w:val="both"/>
      </w:pPr>
      <w:r>
        <w:rPr>
          <w:rFonts w:ascii="宋体" w:hAnsi="宋体" w:cs="宋体" w:eastAsia="宋体" w:hint="default"/>
          <w:spacing w:val="-2"/>
        </w:rPr>
        <w:t>2012</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19</w:t>
      </w:r>
      <w:r>
        <w:rPr>
          <w:spacing w:val="-2"/>
        </w:rPr>
        <w:t>日，第六届董事会第二十七次会议审议了《关于公司向大唐电信科技产业控</w:t>
      </w:r>
      <w:r>
        <w:rPr/>
        <w:t> 股有限公司申请贰亿陆仟万元委托借款的议案》、《关于控股子公司北京大唐高鸿数据网络</w:t>
      </w:r>
      <w:r>
        <w:rPr>
          <w:spacing w:val="-91"/>
        </w:rPr>
        <w:t> </w:t>
      </w:r>
      <w:r>
        <w:rPr>
          <w:spacing w:val="-91"/>
        </w:rPr>
      </w:r>
      <w:r>
        <w:rPr/>
        <w:t>技术有限公司向控股股东电信科学技术研究院申请肆仟万元委托借款的议案》、《关于预计</w:t>
      </w:r>
      <w:r>
        <w:rPr>
          <w:spacing w:val="-91"/>
        </w:rPr>
        <w:t> </w:t>
      </w:r>
      <w:r>
        <w:rPr>
          <w:spacing w:val="-91"/>
        </w:rPr>
      </w:r>
      <w:r>
        <w:rPr>
          <w:rFonts w:ascii="宋体" w:hAnsi="宋体" w:cs="宋体" w:eastAsia="宋体" w:hint="default"/>
        </w:rPr>
        <w:t>2012</w:t>
      </w:r>
      <w:r>
        <w:rPr/>
        <w:t>年度与大唐电信集团财务有限公司发生存款交易的议案》、《关于与大唐电信集团财务</w:t>
      </w:r>
      <w:r>
        <w:rPr>
          <w:spacing w:val="-91"/>
        </w:rPr>
        <w:t> </w:t>
      </w:r>
      <w:r>
        <w:rPr>
          <w:spacing w:val="-91"/>
        </w:rPr>
      </w:r>
      <w:r>
        <w:rPr/>
        <w:t>有限公司签订</w:t>
      </w:r>
      <w:r>
        <w:rPr>
          <w:rFonts w:ascii="宋体" w:hAnsi="宋体" w:cs="宋体" w:eastAsia="宋体" w:hint="default"/>
        </w:rPr>
        <w:t>&lt;</w:t>
      </w:r>
      <w:r>
        <w:rPr/>
        <w:t>金融服务协议</w:t>
      </w:r>
      <w:r>
        <w:rPr>
          <w:rFonts w:ascii="宋体" w:hAnsi="宋体" w:cs="宋体" w:eastAsia="宋体" w:hint="default"/>
        </w:rPr>
        <w:t>&gt;</w:t>
      </w:r>
      <w:r>
        <w:rPr/>
        <w:t>的议案》，同意公司向大唐电信科技产业控股有限公司申请续</w:t>
      </w:r>
      <w:r>
        <w:rPr>
          <w:spacing w:val="-87"/>
        </w:rPr>
        <w:t> </w:t>
      </w:r>
      <w:r>
        <w:rPr>
          <w:spacing w:val="-87"/>
        </w:rPr>
      </w:r>
      <w:r>
        <w:rPr>
          <w:spacing w:val="-2"/>
        </w:rPr>
        <w:t>借</w:t>
      </w:r>
      <w:r>
        <w:rPr>
          <w:rFonts w:ascii="宋体" w:hAnsi="宋体" w:cs="宋体" w:eastAsia="宋体" w:hint="default"/>
          <w:spacing w:val="-2"/>
        </w:rPr>
        <w:t>2.6</w:t>
      </w:r>
      <w:r>
        <w:rPr>
          <w:spacing w:val="-2"/>
        </w:rPr>
        <w:t>亿元，借款利率为</w:t>
      </w:r>
      <w:r>
        <w:rPr>
          <w:rFonts w:ascii="宋体" w:hAnsi="宋体" w:cs="宋体" w:eastAsia="宋体" w:hint="default"/>
          <w:spacing w:val="-2"/>
        </w:rPr>
        <w:t>5.904%</w:t>
      </w:r>
      <w:r>
        <w:rPr>
          <w:spacing w:val="-2"/>
        </w:rPr>
        <w:t>，借款期限为一年，用于替换下属公司在商业银行的贷款，大</w:t>
      </w:r>
      <w:r>
        <w:rPr>
          <w:spacing w:val="-112"/>
        </w:rPr>
        <w:t> </w:t>
      </w:r>
      <w:r>
        <w:rPr>
          <w:spacing w:val="-112"/>
        </w:rPr>
      </w:r>
      <w:r>
        <w:rPr/>
        <w:t>唐电信科技产业控股有限公司将通过大唐电信集团财务有限公司以委托借款方式发放；公司</w:t>
      </w:r>
      <w:r>
        <w:rPr>
          <w:spacing w:val="-91"/>
        </w:rPr>
        <w:t> </w:t>
      </w:r>
      <w:r>
        <w:rPr>
          <w:spacing w:val="-91"/>
        </w:rPr>
      </w:r>
      <w:r>
        <w:rPr>
          <w:spacing w:val="6"/>
        </w:rPr>
        <w:t>控股子公司北京大唐高鸿数据网络技术有限公司向控股股东电信科学技术研究院申请续借</w:t>
      </w:r>
      <w:r>
        <w:rPr>
          <w:spacing w:val="-84"/>
        </w:rPr>
        <w:t> </w:t>
      </w:r>
      <w:r>
        <w:rPr>
          <w:spacing w:val="-84"/>
        </w:rPr>
      </w:r>
      <w:r>
        <w:rPr>
          <w:rFonts w:ascii="宋体" w:hAnsi="宋体" w:cs="宋体" w:eastAsia="宋体" w:hint="default"/>
          <w:spacing w:val="-2"/>
        </w:rPr>
        <w:t>4,000</w:t>
      </w:r>
      <w:r>
        <w:rPr>
          <w:spacing w:val="-2"/>
        </w:rPr>
        <w:t>万元，借款利率为</w:t>
      </w:r>
      <w:r>
        <w:rPr>
          <w:rFonts w:ascii="宋体" w:hAnsi="宋体" w:cs="宋体" w:eastAsia="宋体" w:hint="default"/>
          <w:spacing w:val="-2"/>
        </w:rPr>
        <w:t>5.904%</w:t>
      </w:r>
      <w:r>
        <w:rPr>
          <w:spacing w:val="-2"/>
        </w:rPr>
        <w:t>，借款期限为一年，用于补充流动资金，研究院将通过大唐电</w:t>
      </w:r>
      <w:r>
        <w:rPr>
          <w:spacing w:val="-110"/>
        </w:rPr>
        <w:t> </w:t>
      </w:r>
      <w:r>
        <w:rPr>
          <w:spacing w:val="-110"/>
        </w:rPr>
      </w:r>
      <w:r>
        <w:rPr/>
        <w:t>信集团财务有限公司以委托借款方式发放；同意与大唐电信集团财务有限公司签订《金融服</w:t>
      </w:r>
      <w:r>
        <w:rPr>
          <w:spacing w:val="-91"/>
        </w:rPr>
        <w:t> </w:t>
      </w:r>
      <w:r>
        <w:rPr>
          <w:spacing w:val="-91"/>
        </w:rPr>
      </w:r>
      <w:r>
        <w:rPr>
          <w:spacing w:val="-6"/>
        </w:rPr>
        <w:t>务协议》。</w:t>
      </w:r>
      <w:r>
        <w:rPr>
          <w:spacing w:val="-50"/>
        </w:rPr>
        <w:t> </w:t>
      </w:r>
      <w:r>
        <w:rPr/>
        <w:t>公司可以在财务公司开设存款账户，存款利率不低于公司按照人民银行规定在其</w:t>
      </w:r>
      <w:r>
        <w:rPr/>
        <w:t> </w:t>
      </w:r>
      <w:r>
        <w:rPr>
          <w:spacing w:val="-2"/>
        </w:rPr>
        <w:t>它国内金融机构取得的同期同档次存款利率，存款每日最高限额为</w:t>
      </w:r>
      <w:r>
        <w:rPr>
          <w:rFonts w:ascii="宋体" w:hAnsi="宋体" w:cs="宋体" w:eastAsia="宋体" w:hint="default"/>
          <w:spacing w:val="-2"/>
        </w:rPr>
        <w:t>1.5</w:t>
      </w:r>
      <w:r>
        <w:rPr>
          <w:spacing w:val="-2"/>
        </w:rPr>
        <w:t>亿元人民币，公司可以</w:t>
      </w:r>
      <w:r>
        <w:rPr>
          <w:spacing w:val="-117"/>
        </w:rPr>
        <w:t> </w:t>
      </w:r>
      <w:r>
        <w:rPr>
          <w:spacing w:val="-117"/>
        </w:rPr>
      </w:r>
      <w:r>
        <w:rPr/>
        <w:t>向财务公司贷款，贷款利率不高于公司按照人民银行规定在其它国内金融机构取得的同期同</w:t>
      </w:r>
      <w:r>
        <w:rPr>
          <w:spacing w:val="-91"/>
        </w:rPr>
        <w:t> </w:t>
      </w:r>
      <w:r>
        <w:rPr>
          <w:spacing w:val="-91"/>
        </w:rPr>
      </w:r>
      <w:r>
        <w:rPr/>
        <w:t>档次贷款利率，协议有效期为一年。以上事项已经公司</w:t>
      </w:r>
      <w:r>
        <w:rPr>
          <w:rFonts w:ascii="宋体" w:hAnsi="宋体" w:cs="宋体" w:eastAsia="宋体" w:hint="default"/>
        </w:rPr>
        <w:t>2011</w:t>
      </w:r>
      <w:r>
        <w:rPr/>
        <w:t>年度股东大会审议通过。</w:t>
      </w:r>
    </w:p>
    <w:p>
      <w:pPr>
        <w:pStyle w:val="BodyText"/>
        <w:spacing w:line="357" w:lineRule="auto" w:before="156"/>
        <w:ind w:right="1131" w:firstLine="480"/>
        <w:jc w:val="both"/>
      </w:pP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21</w:t>
      </w:r>
      <w:r>
        <w:rPr>
          <w:spacing w:val="-2"/>
        </w:rPr>
        <w:t>日，第七届董事会第一次会议审议了《关于公司向大唐电信集团财务有限公</w:t>
      </w:r>
      <w:r>
        <w:rPr/>
        <w:t> 司申请</w:t>
      </w:r>
      <w:r>
        <w:rPr>
          <w:rFonts w:ascii="宋体" w:hAnsi="宋体" w:cs="宋体" w:eastAsia="宋体" w:hint="default"/>
        </w:rPr>
        <w:t>1</w:t>
      </w:r>
      <w:r>
        <w:rPr/>
        <w:t>亿元综合授信的议案》、《关于公司控股子公司向大唐电信集团财务有限公司申请</w:t>
      </w:r>
      <w:r>
        <w:rPr>
          <w:rFonts w:ascii="宋体" w:hAnsi="宋体" w:cs="宋体" w:eastAsia="宋体" w:hint="default"/>
        </w:rPr>
        <w:t>1</w:t>
      </w:r>
      <w:r>
        <w:rPr>
          <w:rFonts w:ascii="宋体" w:hAnsi="宋体" w:cs="宋体" w:eastAsia="宋体" w:hint="default"/>
          <w:spacing w:val="-84"/>
        </w:rPr>
        <w:t> </w:t>
      </w:r>
      <w:r>
        <w:rPr/>
        <w:t>亿元综合授信的议案》、《关于与大唐电信集团财务有限公司签订</w:t>
      </w:r>
      <w:r>
        <w:rPr>
          <w:rFonts w:ascii="宋体" w:hAnsi="宋体" w:cs="宋体" w:eastAsia="宋体" w:hint="default"/>
        </w:rPr>
        <w:t>&lt;</w:t>
      </w:r>
      <w:r>
        <w:rPr/>
        <w:t>金融服务协议补充协议</w:t>
      </w:r>
      <w:r>
        <w:rPr>
          <w:rFonts w:ascii="宋体" w:hAnsi="宋体" w:cs="宋体" w:eastAsia="宋体" w:hint="default"/>
        </w:rPr>
        <w:t>&gt;</w:t>
      </w:r>
      <w:r>
        <w:rPr>
          <w:rFonts w:ascii="宋体" w:hAnsi="宋体" w:cs="宋体" w:eastAsia="宋体" w:hint="default"/>
          <w:spacing w:val="-84"/>
        </w:rPr>
        <w:t> </w:t>
      </w:r>
      <w:r>
        <w:rPr>
          <w:spacing w:val="-3"/>
        </w:rPr>
        <w:t>的议案》等，同意公司向大唐电信集团财务有限公司申请</w:t>
      </w:r>
      <w:r>
        <w:rPr>
          <w:rFonts w:ascii="宋体" w:hAnsi="宋体" w:cs="宋体" w:eastAsia="宋体" w:hint="default"/>
          <w:spacing w:val="-3"/>
        </w:rPr>
        <w:t>1</w:t>
      </w:r>
      <w:r>
        <w:rPr>
          <w:spacing w:val="-3"/>
        </w:rPr>
        <w:t>亿元综合授信，授信期限一年，利</w:t>
      </w:r>
      <w:r>
        <w:rPr>
          <w:spacing w:val="-80"/>
        </w:rPr>
        <w:t> </w:t>
      </w:r>
      <w:r>
        <w:rPr>
          <w:spacing w:val="-80"/>
        </w:rPr>
      </w:r>
      <w:r>
        <w:rPr/>
        <w:t>率根据中国人民银行统一颁布的同期同类贷款利率厘定，将不高于公司按照人民银行规定在</w:t>
      </w:r>
      <w:r>
        <w:rPr>
          <w:spacing w:val="-90"/>
        </w:rPr>
        <w:t> </w:t>
      </w:r>
      <w:r>
        <w:rPr>
          <w:spacing w:val="-90"/>
        </w:rPr>
      </w:r>
      <w:r>
        <w:rPr/>
        <w:t>其它国内金融机构取得的同期同档次贷款利率。同意公司控股子公司北京大唐高鸿数据网络</w:t>
      </w:r>
      <w:r>
        <w:rPr>
          <w:spacing w:val="-91"/>
        </w:rPr>
        <w:t> </w:t>
      </w:r>
      <w:r>
        <w:rPr>
          <w:spacing w:val="-91"/>
        </w:rPr>
      </w:r>
      <w:r>
        <w:rPr>
          <w:spacing w:val="-2"/>
        </w:rPr>
        <w:t>技术有限公司向大唐电信集团财务有限公司申请</w:t>
      </w:r>
      <w:r>
        <w:rPr>
          <w:rFonts w:ascii="宋体" w:hAnsi="宋体" w:cs="宋体" w:eastAsia="宋体" w:hint="default"/>
          <w:spacing w:val="-2"/>
        </w:rPr>
        <w:t>1</w:t>
      </w:r>
      <w:r>
        <w:rPr>
          <w:spacing w:val="-2"/>
        </w:rPr>
        <w:t>亿元综合授信，授信期限一年，利率根据中</w:t>
      </w:r>
      <w:r>
        <w:rPr/>
        <w:t> 国人民银行统一颁布的同期同类贷款利率厘定，将不高于公司按照人民银行规定在其它国内</w:t>
      </w:r>
      <w:r>
        <w:rPr>
          <w:spacing w:val="-91"/>
        </w:rPr>
        <w:t> </w:t>
      </w:r>
      <w:r>
        <w:rPr>
          <w:spacing w:val="-91"/>
        </w:rPr>
      </w:r>
      <w:r>
        <w:rPr/>
        <w:t>金融机构取得的同期同档次贷款利率。</w:t>
      </w:r>
    </w:p>
    <w:p>
      <w:pPr>
        <w:pStyle w:val="BodyText"/>
        <w:spacing w:line="460" w:lineRule="atLeast" w:before="10"/>
        <w:ind w:right="1138" w:firstLine="480"/>
        <w:jc w:val="both"/>
      </w:pP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6</w:t>
      </w:r>
      <w:r>
        <w:rPr/>
        <w:t>日，公司第七届第四次董事会审议通过《关于公司控股子公司北京大唐高鸿 数据网络技术有限公司向电信科学技术研究院申请不超过叁亿元委托贷款的议案》和《关于</w:t>
      </w:r>
      <w:r>
        <w:rPr>
          <w:spacing w:val="-91"/>
        </w:rPr>
        <w:t> </w:t>
      </w:r>
      <w:r>
        <w:rPr>
          <w:spacing w:val="-91"/>
        </w:rPr>
      </w:r>
      <w:r>
        <w:rPr/>
        <w:t>公司控股子公司大唐高鸿信息技术有限公司向电信科学技术研究院申请不超过贰亿元委托贷</w:t>
      </w:r>
    </w:p>
    <w:p>
      <w:pPr>
        <w:spacing w:after="0" w:line="460" w:lineRule="atLeast"/>
        <w:jc w:val="both"/>
        <w:sectPr>
          <w:pgSz w:w="11910" w:h="16840"/>
          <w:pgMar w:header="877" w:footer="1340" w:top="1060" w:bottom="1540" w:left="980" w:right="0"/>
        </w:sectPr>
      </w:pPr>
    </w:p>
    <w:p>
      <w:pPr>
        <w:spacing w:line="240" w:lineRule="auto" w:before="6"/>
        <w:rPr>
          <w:rFonts w:ascii="宋体" w:hAnsi="宋体" w:cs="宋体" w:eastAsia="宋体" w:hint="default"/>
          <w:sz w:val="29"/>
          <w:szCs w:val="29"/>
        </w:rPr>
      </w:pPr>
    </w:p>
    <w:p>
      <w:pPr>
        <w:pStyle w:val="BodyText"/>
        <w:spacing w:line="357" w:lineRule="auto" w:before="26"/>
        <w:ind w:left="412" w:right="1136"/>
        <w:jc w:val="both"/>
      </w:pPr>
      <w:r>
        <w:rPr/>
        <w:t>款的议案》同意公司控股子公司北京大唐高鸿数据网络技术有限公司向电信科学技术研究院</w:t>
      </w:r>
      <w:r>
        <w:rPr>
          <w:spacing w:val="-91"/>
        </w:rPr>
        <w:t> </w:t>
      </w:r>
      <w:r>
        <w:rPr>
          <w:spacing w:val="-91"/>
        </w:rPr>
      </w:r>
      <w:r>
        <w:rPr/>
        <w:t>申请不超过</w:t>
      </w:r>
      <w:r>
        <w:rPr>
          <w:rFonts w:ascii="宋体" w:hAnsi="宋体" w:cs="宋体" w:eastAsia="宋体" w:hint="default"/>
        </w:rPr>
        <w:t>30,000</w:t>
      </w:r>
      <w:r>
        <w:rPr/>
        <w:t>万元借款，借款利率不超过</w:t>
      </w:r>
      <w:r>
        <w:rPr>
          <w:rFonts w:ascii="宋体" w:hAnsi="宋体" w:cs="宋体" w:eastAsia="宋体" w:hint="default"/>
        </w:rPr>
        <w:t>6%</w:t>
      </w:r>
      <w:r>
        <w:rPr/>
        <w:t>，期限为一年，电信科学技术研究院以委托</w:t>
      </w:r>
      <w:r>
        <w:rPr>
          <w:spacing w:val="-89"/>
        </w:rPr>
        <w:t> </w:t>
      </w:r>
      <w:r>
        <w:rPr>
          <w:spacing w:val="-89"/>
        </w:rPr>
      </w:r>
      <w:r>
        <w:rPr/>
        <w:t>贷款的方式发放；同意公司控股子公司大唐高鸿信息技术有限公司向电信科学技术研究院申</w:t>
      </w:r>
      <w:r>
        <w:rPr>
          <w:spacing w:val="-91"/>
        </w:rPr>
        <w:t> </w:t>
      </w:r>
      <w:r>
        <w:rPr>
          <w:spacing w:val="-91"/>
        </w:rPr>
      </w:r>
      <w:r>
        <w:rPr/>
        <w:t>请不超过</w:t>
      </w:r>
      <w:r>
        <w:rPr>
          <w:rFonts w:ascii="宋体" w:hAnsi="宋体" w:cs="宋体" w:eastAsia="宋体" w:hint="default"/>
        </w:rPr>
        <w:t>20,000</w:t>
      </w:r>
      <w:r>
        <w:rPr/>
        <w:t>万元借款，利率不超过</w:t>
      </w:r>
      <w:r>
        <w:rPr>
          <w:rFonts w:ascii="宋体" w:hAnsi="宋体" w:cs="宋体" w:eastAsia="宋体" w:hint="default"/>
        </w:rPr>
        <w:t>6%</w:t>
      </w:r>
      <w:r>
        <w:rPr/>
        <w:t>，期限一年，电信科学技术研究院以委托贷款的方</w:t>
      </w:r>
      <w:r>
        <w:rPr>
          <w:spacing w:val="-90"/>
        </w:rPr>
        <w:t> </w:t>
      </w:r>
      <w:r>
        <w:rPr>
          <w:spacing w:val="-90"/>
        </w:rPr>
      </w:r>
      <w:r>
        <w:rPr/>
        <w:t>式发放。此事项已经</w:t>
      </w:r>
      <w:r>
        <w:rPr>
          <w:rFonts w:ascii="Times New Roman" w:hAnsi="Times New Roman" w:cs="Times New Roman" w:eastAsia="Times New Roman" w:hint="default"/>
        </w:rPr>
        <w:t>2012</w:t>
      </w:r>
      <w:r>
        <w:rPr/>
        <w:t>年第六次临时股东大会审议通过。</w:t>
      </w:r>
    </w:p>
    <w:p>
      <w:pPr>
        <w:pStyle w:val="BodyText"/>
        <w:spacing w:line="357" w:lineRule="auto" w:before="125"/>
        <w:ind w:left="412" w:right="1131" w:firstLine="425"/>
        <w:jc w:val="both"/>
      </w:pPr>
      <w:r>
        <w:rPr>
          <w:rFonts w:ascii="宋体" w:hAnsi="宋体" w:cs="宋体" w:eastAsia="宋体" w:hint="default"/>
          <w:spacing w:val="-1"/>
        </w:rPr>
        <w:t>2012</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6</w:t>
      </w:r>
      <w:r>
        <w:rPr>
          <w:spacing w:val="-1"/>
        </w:rPr>
        <w:t>日，公司第七届第九次董事会审议通过了《关于公司全资子公司北京大唐高</w:t>
      </w:r>
      <w:r>
        <w:rPr/>
        <w:t> </w:t>
      </w:r>
      <w:r>
        <w:rPr>
          <w:spacing w:val="-2"/>
        </w:rPr>
        <w:t>鸿数据网络技术有限公司向大唐电信科技产业控股有限公司申请借款</w:t>
      </w:r>
      <w:r>
        <w:rPr>
          <w:rFonts w:ascii="宋体" w:hAnsi="宋体" w:cs="宋体" w:eastAsia="宋体" w:hint="default"/>
          <w:spacing w:val="-2"/>
        </w:rPr>
        <w:t>1.5</w:t>
      </w:r>
      <w:r>
        <w:rPr>
          <w:spacing w:val="-2"/>
        </w:rPr>
        <w:t>亿元的议案》同意公</w:t>
      </w:r>
      <w:r>
        <w:rPr>
          <w:spacing w:val="-117"/>
        </w:rPr>
        <w:t> </w:t>
      </w:r>
      <w:r>
        <w:rPr>
          <w:spacing w:val="-117"/>
        </w:rPr>
      </w:r>
      <w:r>
        <w:rPr>
          <w:spacing w:val="6"/>
        </w:rPr>
        <w:t>司全资子公司北京大唐高鸿数据网络技术有限公司向大唐电信科技产业控股有限公司续借</w:t>
      </w:r>
      <w:r>
        <w:rPr>
          <w:spacing w:val="-84"/>
        </w:rPr>
        <w:t> </w:t>
      </w:r>
      <w:r>
        <w:rPr>
          <w:spacing w:val="-84"/>
        </w:rPr>
      </w:r>
      <w:r>
        <w:rPr>
          <w:rFonts w:ascii="宋体" w:hAnsi="宋体" w:cs="宋体" w:eastAsia="宋体" w:hint="default"/>
        </w:rPr>
        <w:t>5,000</w:t>
      </w:r>
      <w:r>
        <w:rPr/>
        <w:t>万元，借款时间为</w:t>
      </w:r>
      <w:r>
        <w:rPr>
          <w:rFonts w:ascii="宋体" w:hAnsi="宋体" w:cs="宋体" w:eastAsia="宋体" w:hint="default"/>
        </w:rPr>
        <w:t>1</w:t>
      </w:r>
      <w:r>
        <w:rPr/>
        <w:t>年，借款利率为</w:t>
      </w:r>
      <w:r>
        <w:rPr>
          <w:rFonts w:ascii="宋体" w:hAnsi="宋体" w:cs="宋体" w:eastAsia="宋体" w:hint="default"/>
        </w:rPr>
        <w:t>5.7%</w:t>
      </w:r>
      <w:r>
        <w:rPr/>
        <w:t>；同意公司全资子公司北京大唐高鸿数据网络</w:t>
      </w:r>
      <w:r>
        <w:rPr>
          <w:spacing w:val="-89"/>
        </w:rPr>
        <w:t> </w:t>
      </w:r>
      <w:r>
        <w:rPr>
          <w:spacing w:val="-89"/>
        </w:rPr>
      </w:r>
      <w:r>
        <w:rPr>
          <w:spacing w:val="-2"/>
        </w:rPr>
        <w:t>技术有限公司向大唐电信科技产业控股有限公司续借</w:t>
      </w:r>
      <w:r>
        <w:rPr>
          <w:rFonts w:ascii="宋体" w:hAnsi="宋体" w:cs="宋体" w:eastAsia="宋体" w:hint="default"/>
          <w:spacing w:val="-2"/>
        </w:rPr>
        <w:t>10,000</w:t>
      </w:r>
      <w:r>
        <w:rPr>
          <w:spacing w:val="-2"/>
        </w:rPr>
        <w:t>万元，借款时间为</w:t>
      </w:r>
      <w:r>
        <w:rPr>
          <w:rFonts w:ascii="宋体" w:hAnsi="宋体" w:cs="宋体" w:eastAsia="宋体" w:hint="default"/>
          <w:spacing w:val="-2"/>
        </w:rPr>
        <w:t>1</w:t>
      </w:r>
      <w:r>
        <w:rPr>
          <w:spacing w:val="-2"/>
        </w:rPr>
        <w:t>年，借款利率</w:t>
      </w:r>
      <w:r>
        <w:rPr>
          <w:spacing w:val="-113"/>
        </w:rPr>
        <w:t> </w:t>
      </w:r>
      <w:r>
        <w:rPr>
          <w:spacing w:val="-113"/>
        </w:rPr>
      </w:r>
      <w:r>
        <w:rPr/>
        <w:t>为</w:t>
      </w:r>
      <w:r>
        <w:rPr>
          <w:rFonts w:ascii="宋体" w:hAnsi="宋体" w:cs="宋体" w:eastAsia="宋体" w:hint="default"/>
        </w:rPr>
        <w:t>5.7%</w:t>
      </w:r>
      <w:r>
        <w:rPr/>
        <w:t>。</w:t>
      </w:r>
    </w:p>
    <w:p>
      <w:pPr>
        <w:pStyle w:val="BodyText"/>
        <w:spacing w:line="357" w:lineRule="auto" w:before="36"/>
        <w:ind w:left="412" w:right="1131" w:firstLine="425"/>
        <w:jc w:val="both"/>
      </w:pPr>
      <w:r>
        <w:rPr/>
        <w:t>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日，存放于大唐电信集团财务有限公司存款为</w:t>
      </w:r>
      <w:r>
        <w:rPr>
          <w:rFonts w:ascii="宋体" w:hAnsi="宋体" w:cs="宋体" w:eastAsia="宋体" w:hint="default"/>
        </w:rPr>
        <w:t>115,808,831.94</w:t>
      </w:r>
      <w:r>
        <w:rPr/>
        <w:t>元，报</w:t>
      </w:r>
      <w:r>
        <w:rPr>
          <w:spacing w:val="2"/>
        </w:rPr>
        <w:t> </w:t>
      </w:r>
      <w:r>
        <w:rPr/>
        <w:t>告期内扣除手续费后取得利息收入金额为</w:t>
      </w:r>
      <w:r>
        <w:rPr>
          <w:rFonts w:ascii="宋体" w:hAnsi="宋体" w:cs="宋体" w:eastAsia="宋体" w:hint="default"/>
        </w:rPr>
        <w:t>79,606.30</w:t>
      </w:r>
      <w:r>
        <w:rPr/>
        <w:t>元。</w:t>
      </w:r>
    </w:p>
    <w:tbl>
      <w:tblPr>
        <w:tblW w:w="0" w:type="auto"/>
        <w:jc w:val="left"/>
        <w:tblInd w:w="117" w:type="dxa"/>
        <w:tblLayout w:type="fixed"/>
        <w:tblCellMar>
          <w:top w:w="0" w:type="dxa"/>
          <w:left w:w="0" w:type="dxa"/>
          <w:bottom w:w="0" w:type="dxa"/>
          <w:right w:w="0" w:type="dxa"/>
        </w:tblCellMar>
        <w:tblLook w:val="01E0"/>
      </w:tblPr>
      <w:tblGrid>
        <w:gridCol w:w="3126"/>
        <w:gridCol w:w="1418"/>
        <w:gridCol w:w="1844"/>
        <w:gridCol w:w="1702"/>
        <w:gridCol w:w="991"/>
        <w:gridCol w:w="1140"/>
      </w:tblGrid>
      <w:tr>
        <w:trPr>
          <w:trHeight w:val="322" w:hRule="exact"/>
        </w:trPr>
        <w:tc>
          <w:tcPr>
            <w:tcW w:w="3126" w:type="dxa"/>
            <w:vMerge w:val="restart"/>
            <w:tcBorders>
              <w:top w:val="single" w:sz="4" w:space="0" w:color="000000"/>
              <w:left w:val="single" w:sz="4" w:space="0" w:color="000000"/>
              <w:right w:val="single" w:sz="4" w:space="0" w:color="000000"/>
            </w:tcBorders>
            <w:shd w:val="clear" w:color="auto" w:fill="C5E1FF"/>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关联方</w:t>
            </w:r>
          </w:p>
        </w:tc>
        <w:tc>
          <w:tcPr>
            <w:tcW w:w="1418" w:type="dxa"/>
            <w:vMerge w:val="restart"/>
            <w:tcBorders>
              <w:top w:val="single" w:sz="4" w:space="0" w:color="000000"/>
              <w:left w:val="single" w:sz="4" w:space="0" w:color="000000"/>
              <w:right w:val="single" w:sz="4" w:space="0" w:color="000000"/>
            </w:tcBorders>
            <w:shd w:val="clear" w:color="auto" w:fill="C5E1FF"/>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关联关系</w:t>
            </w:r>
          </w:p>
        </w:tc>
        <w:tc>
          <w:tcPr>
            <w:tcW w:w="5677" w:type="dxa"/>
            <w:gridSpan w:val="4"/>
            <w:tcBorders>
              <w:top w:val="single" w:sz="4" w:space="0" w:color="000000"/>
              <w:left w:val="single" w:sz="4" w:space="0" w:color="000000"/>
              <w:bottom w:val="single" w:sz="4" w:space="0" w:color="000000"/>
              <w:right w:val="single" w:sz="4" w:space="0" w:color="000000"/>
            </w:tcBorders>
            <w:shd w:val="clear" w:color="auto" w:fill="C5E1FF"/>
          </w:tcPr>
          <w:p>
            <w:pPr>
              <w:pStyle w:val="TableParagraph"/>
              <w:spacing w:line="271" w:lineRule="exact"/>
              <w:ind w:left="914" w:right="0"/>
              <w:jc w:val="left"/>
              <w:rPr>
                <w:rFonts w:ascii="宋体" w:hAnsi="宋体" w:cs="宋体" w:eastAsia="宋体" w:hint="default"/>
                <w:sz w:val="24"/>
                <w:szCs w:val="24"/>
              </w:rPr>
            </w:pPr>
            <w:r>
              <w:rPr>
                <w:rFonts w:ascii="宋体" w:hAnsi="宋体" w:cs="宋体" w:eastAsia="宋体" w:hint="default"/>
                <w:sz w:val="24"/>
                <w:szCs w:val="24"/>
              </w:rPr>
              <w:t>关联方向上市公司提供资金（万元）</w:t>
            </w:r>
          </w:p>
        </w:tc>
      </w:tr>
      <w:tr>
        <w:trPr>
          <w:trHeight w:val="634" w:hRule="exact"/>
        </w:trPr>
        <w:tc>
          <w:tcPr>
            <w:tcW w:w="3126" w:type="dxa"/>
            <w:vMerge/>
            <w:tcBorders>
              <w:left w:val="single" w:sz="4" w:space="0" w:color="000000"/>
              <w:bottom w:val="single" w:sz="4" w:space="0" w:color="000000"/>
              <w:right w:val="single" w:sz="4" w:space="0" w:color="000000"/>
            </w:tcBorders>
            <w:shd w:val="clear" w:color="auto" w:fill="C5E1FF"/>
          </w:tcPr>
          <w:p>
            <w:pPr/>
          </w:p>
        </w:tc>
        <w:tc>
          <w:tcPr>
            <w:tcW w:w="1418" w:type="dxa"/>
            <w:vMerge/>
            <w:tcBorders>
              <w:left w:val="single" w:sz="4" w:space="0" w:color="000000"/>
              <w:bottom w:val="single" w:sz="4" w:space="0" w:color="000000"/>
              <w:right w:val="single" w:sz="4" w:space="0" w:color="000000"/>
            </w:tcBorders>
            <w:shd w:val="clear" w:color="auto" w:fill="C5E1FF"/>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C5E1FF"/>
          </w:tcPr>
          <w:p>
            <w:pPr>
              <w:pStyle w:val="TableParagraph"/>
              <w:spacing w:line="240" w:lineRule="auto" w:before="113"/>
              <w:ind w:left="225" w:right="0"/>
              <w:jc w:val="left"/>
              <w:rPr>
                <w:rFonts w:ascii="宋体" w:hAnsi="宋体" w:cs="宋体" w:eastAsia="宋体" w:hint="default"/>
                <w:sz w:val="24"/>
                <w:szCs w:val="24"/>
              </w:rPr>
            </w:pPr>
            <w:r>
              <w:rPr>
                <w:rFonts w:ascii="宋体" w:hAnsi="宋体" w:cs="宋体" w:eastAsia="宋体" w:hint="default"/>
                <w:sz w:val="24"/>
                <w:szCs w:val="24"/>
              </w:rPr>
              <w:t>期初余额</w:t>
            </w:r>
          </w:p>
        </w:tc>
        <w:tc>
          <w:tcPr>
            <w:tcW w:w="1702" w:type="dxa"/>
            <w:tcBorders>
              <w:top w:val="single" w:sz="4" w:space="0" w:color="000000"/>
              <w:left w:val="single" w:sz="4" w:space="0" w:color="000000"/>
              <w:bottom w:val="single" w:sz="4" w:space="0" w:color="000000"/>
              <w:right w:val="single" w:sz="4" w:space="0" w:color="000000"/>
            </w:tcBorders>
            <w:shd w:val="clear" w:color="auto" w:fill="C5E1FF"/>
          </w:tcPr>
          <w:p>
            <w:pPr>
              <w:pStyle w:val="TableParagraph"/>
              <w:spacing w:line="240" w:lineRule="auto" w:before="113"/>
              <w:ind w:left="223" w:right="0"/>
              <w:jc w:val="left"/>
              <w:rPr>
                <w:rFonts w:ascii="宋体" w:hAnsi="宋体" w:cs="宋体" w:eastAsia="宋体" w:hint="default"/>
                <w:sz w:val="24"/>
                <w:szCs w:val="24"/>
              </w:rPr>
            </w:pPr>
            <w:r>
              <w:rPr>
                <w:rFonts w:ascii="宋体" w:hAnsi="宋体" w:cs="宋体" w:eastAsia="宋体" w:hint="default"/>
                <w:sz w:val="24"/>
                <w:szCs w:val="24"/>
              </w:rPr>
              <w:t>发生额</w:t>
            </w:r>
          </w:p>
        </w:tc>
        <w:tc>
          <w:tcPr>
            <w:tcW w:w="991" w:type="dxa"/>
            <w:tcBorders>
              <w:top w:val="single" w:sz="4" w:space="0" w:color="000000"/>
              <w:left w:val="single" w:sz="4" w:space="0" w:color="000000"/>
              <w:bottom w:val="single" w:sz="4" w:space="0" w:color="000000"/>
              <w:right w:val="single" w:sz="4" w:space="0" w:color="000000"/>
            </w:tcBorders>
            <w:shd w:val="clear" w:color="auto" w:fill="C5E1FF"/>
          </w:tcPr>
          <w:p>
            <w:pPr>
              <w:pStyle w:val="TableParagraph"/>
              <w:spacing w:line="270" w:lineRule="exact"/>
              <w:ind w:left="223" w:right="0"/>
              <w:jc w:val="left"/>
              <w:rPr>
                <w:rFonts w:ascii="宋体" w:hAnsi="宋体" w:cs="宋体" w:eastAsia="宋体" w:hint="default"/>
                <w:sz w:val="24"/>
                <w:szCs w:val="24"/>
              </w:rPr>
            </w:pPr>
            <w:r>
              <w:rPr>
                <w:rFonts w:ascii="宋体" w:hAnsi="宋体" w:cs="宋体" w:eastAsia="宋体" w:hint="default"/>
                <w:sz w:val="24"/>
                <w:szCs w:val="24"/>
              </w:rPr>
              <w:t>偿还</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额</w:t>
            </w:r>
          </w:p>
        </w:tc>
        <w:tc>
          <w:tcPr>
            <w:tcW w:w="1140" w:type="dxa"/>
            <w:tcBorders>
              <w:top w:val="single" w:sz="4" w:space="0" w:color="000000"/>
              <w:left w:val="single" w:sz="4" w:space="0" w:color="000000"/>
              <w:bottom w:val="single" w:sz="4" w:space="0" w:color="000000"/>
              <w:right w:val="single" w:sz="4" w:space="0" w:color="000000"/>
            </w:tcBorders>
            <w:shd w:val="clear" w:color="auto" w:fill="C5E1FF"/>
          </w:tcPr>
          <w:p>
            <w:pPr>
              <w:pStyle w:val="TableParagraph"/>
              <w:spacing w:line="270" w:lineRule="exact"/>
              <w:ind w:left="225" w:right="0"/>
              <w:jc w:val="left"/>
              <w:rPr>
                <w:rFonts w:ascii="宋体" w:hAnsi="宋体" w:cs="宋体" w:eastAsia="宋体" w:hint="default"/>
                <w:sz w:val="24"/>
                <w:szCs w:val="24"/>
              </w:rPr>
            </w:pPr>
            <w:r>
              <w:rPr>
                <w:rFonts w:ascii="宋体" w:hAnsi="宋体" w:cs="宋体" w:eastAsia="宋体" w:hint="default"/>
                <w:sz w:val="24"/>
                <w:szCs w:val="24"/>
              </w:rPr>
              <w:t>期末余</w:t>
            </w:r>
          </w:p>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额</w:t>
            </w:r>
          </w:p>
        </w:tc>
      </w:tr>
      <w:tr>
        <w:trPr>
          <w:trHeight w:val="404"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21"/>
                <w:szCs w:val="21"/>
              </w:rPr>
            </w:pPr>
            <w:r>
              <w:rPr>
                <w:rFonts w:ascii="宋体" w:hAnsi="宋体" w:cs="宋体" w:eastAsia="宋体" w:hint="default"/>
                <w:sz w:val="21"/>
                <w:szCs w:val="21"/>
              </w:rPr>
              <w:t>大唐电信集团财务有限公司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21"/>
                <w:szCs w:val="21"/>
              </w:rPr>
            </w:pPr>
            <w:r>
              <w:rPr>
                <w:rFonts w:ascii="宋体" w:hAnsi="宋体" w:cs="宋体" w:eastAsia="宋体" w:hint="default"/>
                <w:sz w:val="21"/>
                <w:szCs w:val="21"/>
              </w:rPr>
              <w:t>同一控制人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5"/>
                <w:sz w:val="18"/>
              </w:rPr>
              <w:t>4,000.00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w w:val="95"/>
                <w:sz w:val="18"/>
              </w:rPr>
              <w:t>4,000.00</w:t>
            </w:r>
          </w:p>
        </w:tc>
      </w:tr>
      <w:tr>
        <w:trPr>
          <w:trHeight w:val="401"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21"/>
                <w:szCs w:val="21"/>
              </w:rPr>
            </w:pPr>
            <w:r>
              <w:rPr>
                <w:rFonts w:ascii="宋体" w:hAnsi="宋体" w:cs="宋体" w:eastAsia="宋体" w:hint="default"/>
                <w:sz w:val="21"/>
                <w:szCs w:val="21"/>
              </w:rPr>
              <w:t>大唐电信集团财务有限公司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21"/>
                <w:szCs w:val="21"/>
              </w:rPr>
            </w:pPr>
            <w:r>
              <w:rPr>
                <w:rFonts w:ascii="宋体" w:hAnsi="宋体" w:cs="宋体" w:eastAsia="宋体" w:hint="default"/>
                <w:sz w:val="21"/>
                <w:szCs w:val="21"/>
              </w:rPr>
              <w:t>同一控制人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5"/>
                <w:sz w:val="18"/>
              </w:rPr>
              <w:t>8,000.00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w w:val="95"/>
                <w:sz w:val="18"/>
              </w:rPr>
              <w:t>8,000.00</w:t>
            </w:r>
          </w:p>
        </w:tc>
      </w:tr>
      <w:tr>
        <w:trPr>
          <w:trHeight w:val="403"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21"/>
                <w:szCs w:val="21"/>
              </w:rPr>
            </w:pPr>
            <w:r>
              <w:rPr>
                <w:rFonts w:ascii="宋体" w:hAnsi="宋体" w:cs="宋体" w:eastAsia="宋体" w:hint="default"/>
                <w:sz w:val="21"/>
                <w:szCs w:val="21"/>
              </w:rPr>
              <w:t>大唐电信集团财务有限公司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21"/>
                <w:szCs w:val="21"/>
              </w:rPr>
            </w:pPr>
            <w:r>
              <w:rPr>
                <w:rFonts w:ascii="宋体" w:hAnsi="宋体" w:cs="宋体" w:eastAsia="宋体" w:hint="default"/>
                <w:sz w:val="21"/>
                <w:szCs w:val="21"/>
              </w:rPr>
              <w:t>同一控制人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23,000.00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23,000.00</w:t>
            </w:r>
          </w:p>
        </w:tc>
      </w:tr>
      <w:tr>
        <w:trPr>
          <w:trHeight w:val="634"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大唐电信科技产业控股有限公</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宋体" w:hAnsi="宋体" w:cs="宋体" w:eastAsia="宋体" w:hint="default"/>
                <w:sz w:val="21"/>
                <w:szCs w:val="21"/>
              </w:rPr>
              <w:t>同一控制人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5,000.00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4"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大唐电信科技产业控股有限公</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宋体" w:hAnsi="宋体" w:cs="宋体" w:eastAsia="宋体" w:hint="default"/>
                <w:sz w:val="21"/>
                <w:szCs w:val="21"/>
              </w:rPr>
              <w:t>同一控制人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4"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大唐电信科技产业控股有限公</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宋体" w:hAnsi="宋体" w:cs="宋体" w:eastAsia="宋体" w:hint="default"/>
                <w:sz w:val="21"/>
                <w:szCs w:val="21"/>
              </w:rPr>
              <w:t>同一控制人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7,000.00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7,000.00</w:t>
            </w:r>
          </w:p>
        </w:tc>
      </w:tr>
      <w:tr>
        <w:trPr>
          <w:trHeight w:val="634"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大唐电信科技产业控股有限公</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宋体" w:hAnsi="宋体" w:cs="宋体" w:eastAsia="宋体" w:hint="default"/>
                <w:sz w:val="21"/>
                <w:szCs w:val="21"/>
              </w:rPr>
              <w:t>同一控制人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5,000.00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5,000.00</w:t>
            </w:r>
          </w:p>
        </w:tc>
      </w:tr>
      <w:tr>
        <w:trPr>
          <w:trHeight w:val="404"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sz w:val="21"/>
                <w:szCs w:val="21"/>
              </w:rPr>
              <w:t>电信科学技术研究院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sz w:val="21"/>
                <w:szCs w:val="21"/>
              </w:rPr>
              <w:t>控股股东</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4,000.00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4"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大唐电信科技产业控股有限公</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left"/>
              <w:rPr>
                <w:rFonts w:ascii="宋体" w:hAnsi="宋体" w:cs="宋体" w:eastAsia="宋体" w:hint="default"/>
                <w:sz w:val="21"/>
                <w:szCs w:val="21"/>
              </w:rPr>
            </w:pPr>
            <w:r>
              <w:rPr>
                <w:rFonts w:ascii="宋体" w:hAnsi="宋体" w:cs="宋体" w:eastAsia="宋体" w:hint="default"/>
                <w:sz w:val="21"/>
                <w:szCs w:val="21"/>
              </w:rPr>
              <w:t>同一控制人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21"/>
                <w:szCs w:val="21"/>
              </w:rPr>
            </w:pPr>
            <w:r>
              <w:rPr>
                <w:rFonts w:ascii="宋体" w:hAnsi="宋体" w:cs="宋体" w:eastAsia="宋体" w:hint="default"/>
                <w:sz w:val="21"/>
                <w:szCs w:val="21"/>
              </w:rPr>
              <w:t>大唐电信集团财务有限公司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21"/>
                <w:szCs w:val="21"/>
              </w:rPr>
            </w:pPr>
            <w:r>
              <w:rPr>
                <w:rFonts w:ascii="宋体" w:hAnsi="宋体" w:cs="宋体" w:eastAsia="宋体" w:hint="default"/>
                <w:sz w:val="21"/>
                <w:szCs w:val="21"/>
              </w:rPr>
              <w:t>同一控制人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1"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5" w:right="0"/>
              <w:jc w:val="left"/>
              <w:rPr>
                <w:rFonts w:ascii="宋体" w:hAnsi="宋体" w:cs="宋体" w:eastAsia="宋体" w:hint="default"/>
                <w:sz w:val="21"/>
                <w:szCs w:val="21"/>
              </w:rPr>
            </w:pPr>
            <w:r>
              <w:rPr>
                <w:rFonts w:ascii="宋体" w:hAnsi="宋体" w:cs="宋体" w:eastAsia="宋体" w:hint="default"/>
                <w:sz w:val="21"/>
                <w:szCs w:val="21"/>
              </w:rPr>
              <w:t>大唐电信集团财务有限公司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5" w:right="0"/>
              <w:jc w:val="left"/>
              <w:rPr>
                <w:rFonts w:ascii="宋体" w:hAnsi="宋体" w:cs="宋体" w:eastAsia="宋体" w:hint="default"/>
                <w:sz w:val="21"/>
                <w:szCs w:val="21"/>
              </w:rPr>
            </w:pPr>
            <w:r>
              <w:rPr>
                <w:rFonts w:ascii="宋体" w:hAnsi="宋体" w:cs="宋体" w:eastAsia="宋体" w:hint="default"/>
                <w:sz w:val="21"/>
                <w:szCs w:val="21"/>
              </w:rPr>
              <w:t>同一控制人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16,000.00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16,000.00</w:t>
            </w:r>
          </w:p>
        </w:tc>
      </w:tr>
      <w:tr>
        <w:trPr>
          <w:trHeight w:val="403"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21"/>
                <w:szCs w:val="21"/>
              </w:rPr>
            </w:pPr>
            <w:r>
              <w:rPr>
                <w:rFonts w:ascii="宋体" w:hAnsi="宋体" w:cs="宋体" w:eastAsia="宋体" w:hint="default"/>
                <w:sz w:val="21"/>
                <w:szCs w:val="21"/>
              </w:rPr>
              <w:t>大唐电信集团财务有限公司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宋体" w:hAnsi="宋体" w:cs="宋体" w:eastAsia="宋体" w:hint="default"/>
                <w:sz w:val="21"/>
                <w:szCs w:val="21"/>
              </w:rPr>
            </w:pPr>
            <w:r>
              <w:rPr>
                <w:rFonts w:ascii="宋体" w:hAnsi="宋体" w:cs="宋体" w:eastAsia="宋体" w:hint="default"/>
                <w:sz w:val="21"/>
                <w:szCs w:val="21"/>
              </w:rPr>
              <w:t>同一控制人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w w:val="95"/>
                <w:sz w:val="18"/>
              </w:rPr>
              <w:t>9,000.00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w w:val="95"/>
                <w:sz w:val="18"/>
              </w:rPr>
              <w:t>9,000.00</w:t>
            </w:r>
          </w:p>
        </w:tc>
      </w:tr>
      <w:tr>
        <w:trPr>
          <w:trHeight w:val="401" w:hRule="exact"/>
        </w:trPr>
        <w:tc>
          <w:tcPr>
            <w:tcW w:w="4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45,000.00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82,000.00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45,000.00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8"/>
              <w:jc w:val="right"/>
              <w:rPr>
                <w:rFonts w:ascii="Times New Roman" w:hAnsi="Times New Roman" w:cs="Times New Roman" w:eastAsia="Times New Roman" w:hint="default"/>
                <w:sz w:val="18"/>
                <w:szCs w:val="18"/>
              </w:rPr>
            </w:pPr>
            <w:r>
              <w:rPr>
                <w:rFonts w:ascii="Times New Roman"/>
                <w:spacing w:val="-1"/>
                <w:sz w:val="18"/>
              </w:rPr>
              <w:t>82,000.00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720" w:right="0"/>
        </w:sectPr>
      </w:pPr>
    </w:p>
    <w:p>
      <w:pPr>
        <w:spacing w:line="240" w:lineRule="auto" w:before="9"/>
        <w:rPr>
          <w:rFonts w:ascii="宋体" w:hAnsi="宋体" w:cs="宋体" w:eastAsia="宋体" w:hint="default"/>
          <w:sz w:val="25"/>
          <w:szCs w:val="25"/>
        </w:rPr>
      </w:pPr>
    </w:p>
    <w:p>
      <w:pPr>
        <w:spacing w:before="44"/>
        <w:ind w:left="152" w:right="1125"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7"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年度大唐电信集团财务有限公司 为公司提供金融服务的关联交易公告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关于向大唐电信科技产业控股有限公司申 请贰亿陆仟万元委托借款的关联交易公告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02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关于控股子公司北京大唐高鸿数据网络技 术有限公司向控股股东电信科学技术研究 院申请肆仟万元委托借款公告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4"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1"/>
        <w:rPr>
          <w:rFonts w:ascii="宋体" w:hAnsi="宋体" w:cs="宋体" w:eastAsia="宋体" w:hint="default"/>
          <w:sz w:val="18"/>
          <w:szCs w:val="18"/>
        </w:rPr>
      </w:pPr>
    </w:p>
    <w:p>
      <w:pPr>
        <w:pStyle w:val="Heading2"/>
        <w:spacing w:line="240" w:lineRule="auto"/>
        <w:ind w:right="1125"/>
        <w:jc w:val="left"/>
        <w:rPr>
          <w:b w:val="0"/>
          <w:bCs w:val="0"/>
        </w:rPr>
      </w:pPr>
      <w:r>
        <w:rPr/>
        <w:t>六、重大合同及其履行情况</w:t>
      </w:r>
      <w:r>
        <w:rPr>
          <w:b w:val="0"/>
          <w:bCs w:val="0"/>
        </w:rPr>
      </w:r>
    </w:p>
    <w:p>
      <w:pPr>
        <w:spacing w:line="240" w:lineRule="auto" w:before="9"/>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60" w:lineRule="auto" w:before="0"/>
        <w:ind w:left="152" w:right="9674" w:firstLine="0"/>
        <w:jc w:val="left"/>
        <w:rPr>
          <w:rFonts w:ascii="宋体" w:hAnsi="宋体" w:cs="宋体" w:eastAsia="宋体" w:hint="default"/>
          <w:sz w:val="18"/>
          <w:szCs w:val="18"/>
        </w:rPr>
      </w:pPr>
      <w:r>
        <w:rPr>
          <w:rFonts w:ascii="宋体" w:hAnsi="宋体" w:cs="宋体" w:eastAsia="宋体" w:hint="default"/>
          <w:sz w:val="18"/>
          <w:szCs w:val="18"/>
        </w:rPr>
        <w:t>托管情况说明 无</w:t>
      </w:r>
    </w:p>
    <w:p>
      <w:pPr>
        <w:spacing w:before="27"/>
        <w:ind w:left="152" w:right="1125"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1"/>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60" w:lineRule="auto" w:before="0"/>
        <w:ind w:left="152" w:right="9674" w:firstLine="0"/>
        <w:jc w:val="left"/>
        <w:rPr>
          <w:rFonts w:ascii="宋体" w:hAnsi="宋体" w:cs="宋体" w:eastAsia="宋体" w:hint="default"/>
          <w:sz w:val="18"/>
          <w:szCs w:val="18"/>
        </w:rPr>
      </w:pPr>
      <w:r>
        <w:rPr>
          <w:rFonts w:ascii="宋体" w:hAnsi="宋体" w:cs="宋体" w:eastAsia="宋体" w:hint="default"/>
          <w:sz w:val="18"/>
          <w:szCs w:val="18"/>
        </w:rPr>
        <w:t>承包情况说明 无</w:t>
      </w:r>
    </w:p>
    <w:p>
      <w:pPr>
        <w:spacing w:before="27"/>
        <w:ind w:left="152" w:right="1125"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1"/>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租赁情况说明</w:t>
      </w:r>
    </w:p>
    <w:p>
      <w:pPr>
        <w:pStyle w:val="BodyText"/>
        <w:spacing w:line="357" w:lineRule="auto" w:before="145"/>
        <w:ind w:right="1000" w:firstLine="480"/>
        <w:jc w:val="left"/>
      </w:pPr>
      <w:r>
        <w:rPr/>
        <w:t>本集团的原办公地点为北京市海淀区</w:t>
      </w:r>
      <w:r>
        <w:rPr>
          <w:rFonts w:ascii="宋体" w:hAnsi="宋体" w:cs="宋体" w:eastAsia="宋体" w:hint="default"/>
        </w:rPr>
        <w:t>40</w:t>
      </w:r>
      <w:r>
        <w:rPr/>
        <w:t>号研六楼，属电信科学技术研究院房产，委托电 信科学技术半导体研究所租赁经营。因市政建设被列入拆迁计划，原计划</w:t>
      </w:r>
      <w:r>
        <w:rPr>
          <w:rFonts w:ascii="宋体" w:hAnsi="宋体" w:cs="宋体" w:eastAsia="宋体" w:hint="default"/>
        </w:rPr>
        <w:t>2012</w:t>
      </w:r>
      <w:r>
        <w:rPr/>
        <w:t>年完成搬迁工</w:t>
      </w:r>
      <w:r>
        <w:rPr>
          <w:spacing w:val="-89"/>
        </w:rPr>
        <w:t> </w:t>
      </w:r>
      <w:r>
        <w:rPr>
          <w:spacing w:val="-89"/>
        </w:rPr>
      </w:r>
      <w:r>
        <w:rPr>
          <w:spacing w:val="-2"/>
        </w:rPr>
        <w:t>作，因此与电信科学技术半导体研究所商定</w:t>
      </w:r>
      <w:r>
        <w:rPr>
          <w:rFonts w:ascii="宋体" w:hAnsi="宋体" w:cs="宋体" w:eastAsia="宋体" w:hint="default"/>
          <w:spacing w:val="-2"/>
        </w:rPr>
        <w:t>2012</w:t>
      </w:r>
      <w:r>
        <w:rPr>
          <w:spacing w:val="-2"/>
        </w:rPr>
        <w:t>年暂不签订房屋租赁协议。但由于各种原因，</w:t>
      </w:r>
      <w:r>
        <w:rPr>
          <w:spacing w:val="-115"/>
        </w:rPr>
        <w:t> </w:t>
      </w:r>
      <w:r>
        <w:rPr>
          <w:spacing w:val="-115"/>
        </w:rPr>
      </w:r>
      <w:r>
        <w:rPr>
          <w:rFonts w:ascii="宋体" w:hAnsi="宋体" w:cs="宋体" w:eastAsia="宋体" w:hint="default"/>
        </w:rPr>
        <w:t>2012</w:t>
      </w:r>
      <w:r>
        <w:rPr/>
        <w:t>年未能完成搬迁，故补签了房租协议，并支付了上半年的租金。目前，</w:t>
      </w:r>
      <w:r>
        <w:rPr>
          <w:rFonts w:ascii="宋体" w:hAnsi="宋体" w:cs="宋体" w:eastAsia="宋体" w:hint="default"/>
        </w:rPr>
        <w:t>2012</w:t>
      </w:r>
      <w:r>
        <w:rPr/>
        <w:t>年下半年的</w:t>
      </w:r>
    </w:p>
    <w:p>
      <w:pPr>
        <w:spacing w:after="0" w:line="357" w:lineRule="auto"/>
        <w:jc w:val="left"/>
        <w:sectPr>
          <w:pgSz w:w="11910" w:h="16840"/>
          <w:pgMar w:header="877" w:footer="1340" w:top="1060" w:bottom="1540" w:left="980" w:right="0"/>
        </w:sectPr>
      </w:pPr>
    </w:p>
    <w:p>
      <w:pPr>
        <w:spacing w:line="240" w:lineRule="auto" w:before="6"/>
        <w:rPr>
          <w:rFonts w:ascii="宋体" w:hAnsi="宋体" w:cs="宋体" w:eastAsia="宋体" w:hint="default"/>
          <w:sz w:val="29"/>
          <w:szCs w:val="29"/>
        </w:rPr>
      </w:pPr>
    </w:p>
    <w:p>
      <w:pPr>
        <w:pStyle w:val="BodyText"/>
        <w:spacing w:line="240" w:lineRule="auto" w:before="26"/>
        <w:ind w:right="1125"/>
        <w:jc w:val="left"/>
      </w:pPr>
      <w:r>
        <w:rPr/>
        <w:t>租金尚未支付。</w:t>
      </w:r>
    </w:p>
    <w:p>
      <w:pPr>
        <w:spacing w:line="240" w:lineRule="auto" w:before="0"/>
        <w:rPr>
          <w:rFonts w:ascii="宋体" w:hAnsi="宋体" w:cs="宋体" w:eastAsia="宋体" w:hint="default"/>
          <w:sz w:val="24"/>
          <w:szCs w:val="24"/>
        </w:rPr>
      </w:pPr>
    </w:p>
    <w:p>
      <w:pPr>
        <w:spacing w:before="162"/>
        <w:ind w:left="152" w:right="1125"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1"/>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6"/>
        <w:gridCol w:w="940"/>
        <w:gridCol w:w="935"/>
        <w:gridCol w:w="1212"/>
        <w:gridCol w:w="1179"/>
        <w:gridCol w:w="1097"/>
        <w:gridCol w:w="1015"/>
        <w:gridCol w:w="803"/>
        <w:gridCol w:w="787"/>
      </w:tblGrid>
      <w:tr>
        <w:trPr>
          <w:trHeight w:val="40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81"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40"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08"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6"/>
              <w:ind w:left="424" w:right="146"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2"/>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19"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9"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4" w:right="146"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2"/>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2"/>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4"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北京大唐高鸿软件 技术有限公司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大唐高鸿信息技术 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大唐高鸿信息技术 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高鸿恒昌科技有限 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高鸿恒昌科技有限 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6"/>
              <w:jc w:val="center"/>
              <w:rPr>
                <w:rFonts w:ascii="宋体" w:hAnsi="宋体" w:cs="宋体" w:eastAsia="宋体" w:hint="default"/>
                <w:sz w:val="18"/>
                <w:szCs w:val="18"/>
              </w:rPr>
            </w:pPr>
            <w:r>
              <w:rPr>
                <w:rFonts w:ascii="宋体" w:hAnsi="宋体" w:cs="宋体" w:eastAsia="宋体" w:hint="default"/>
                <w:sz w:val="18"/>
                <w:szCs w:val="18"/>
              </w:rPr>
              <w:t>北京大唐高鸿数据</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tc>
        <w:tc>
          <w:tcPr>
            <w:tcW w:w="117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340" w:top="1060" w:bottom="16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606"/>
        <w:gridCol w:w="931"/>
        <w:gridCol w:w="944"/>
        <w:gridCol w:w="1219"/>
        <w:gridCol w:w="1172"/>
        <w:gridCol w:w="1091"/>
        <w:gridCol w:w="1017"/>
        <w:gridCol w:w="806"/>
        <w:gridCol w:w="787"/>
      </w:tblGrid>
      <w:tr>
        <w:trPr>
          <w:trHeight w:val="36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网络技术有限公司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17"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大唐高鸿信息技术 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大唐高鸿信息技术 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北京大唐高鸿软件 技术有限公司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21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高鸿恒昌科技有限 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高鸿恒昌科技有限 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大唐高鸿信息技术 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大唐高鸿信息技术 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北京大唐高鸿数据 网络技术有限公司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5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2"/>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63"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79,000</w:t>
            </w:r>
          </w:p>
        </w:tc>
        <w:tc>
          <w:tcPr>
            <w:tcW w:w="22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 w:right="71"/>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62,000</w:t>
            </w:r>
          </w:p>
        </w:tc>
      </w:tr>
      <w:tr>
        <w:trPr>
          <w:trHeight w:val="718" w:hRule="exact"/>
        </w:trPr>
        <w:tc>
          <w:tcPr>
            <w:tcW w:w="25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2"/>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63"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79,000</w:t>
            </w:r>
          </w:p>
        </w:tc>
        <w:tc>
          <w:tcPr>
            <w:tcW w:w="22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 w:right="71"/>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18,000</w:t>
            </w:r>
          </w:p>
        </w:tc>
      </w:tr>
      <w:tr>
        <w:trPr>
          <w:trHeight w:val="394"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8" w:hRule="exact"/>
        </w:trPr>
        <w:tc>
          <w:tcPr>
            <w:tcW w:w="25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63"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79,000</w:t>
            </w:r>
          </w:p>
        </w:tc>
        <w:tc>
          <w:tcPr>
            <w:tcW w:w="22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9" w:right="71"/>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62,000</w:t>
            </w:r>
          </w:p>
        </w:tc>
      </w:tr>
      <w:tr>
        <w:trPr>
          <w:trHeight w:val="715" w:hRule="exact"/>
        </w:trPr>
        <w:tc>
          <w:tcPr>
            <w:tcW w:w="25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2"/>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63"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79,000</w:t>
            </w:r>
          </w:p>
        </w:tc>
        <w:tc>
          <w:tcPr>
            <w:tcW w:w="22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1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18,000</w:t>
            </w:r>
          </w:p>
        </w:tc>
      </w:tr>
      <w:tr>
        <w:trPr>
          <w:trHeight w:val="406" w:hRule="exact"/>
        </w:trPr>
        <w:tc>
          <w:tcPr>
            <w:tcW w:w="47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4"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8.5%</w:t>
            </w:r>
          </w:p>
        </w:tc>
      </w:tr>
      <w:tr>
        <w:trPr>
          <w:trHeight w:val="398"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262008" coordorigin="9206,15298" coordsize="2700,1540">
            <v:shape style="position:absolute;left:9206;top:15298;width:2700;height:1540" type="#_x0000_t75" stroked="false">
              <v:imagedata r:id="rId18"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46</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681"/>
        <w:gridCol w:w="4891"/>
      </w:tblGrid>
      <w:tr>
        <w:trPr>
          <w:trHeight w:val="402" w:hRule="exact"/>
        </w:trPr>
        <w:tc>
          <w:tcPr>
            <w:tcW w:w="4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 w:right="128"/>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15,000</w:t>
            </w:r>
          </w:p>
        </w:tc>
      </w:tr>
      <w:tr>
        <w:trPr>
          <w:trHeight w:val="402" w:hRule="exact"/>
        </w:trPr>
        <w:tc>
          <w:tcPr>
            <w:tcW w:w="4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15,000</w:t>
            </w:r>
          </w:p>
        </w:tc>
      </w:tr>
      <w:tr>
        <w:trPr>
          <w:trHeight w:val="402" w:hRule="exact"/>
        </w:trPr>
        <w:tc>
          <w:tcPr>
            <w:tcW w:w="4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8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48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）违规对外担保情况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2"/>
        <w:gridCol w:w="868"/>
        <w:gridCol w:w="873"/>
        <w:gridCol w:w="868"/>
        <w:gridCol w:w="872"/>
        <w:gridCol w:w="870"/>
        <w:gridCol w:w="857"/>
        <w:gridCol w:w="881"/>
        <w:gridCol w:w="870"/>
        <w:gridCol w:w="860"/>
      </w:tblGrid>
      <w:tr>
        <w:trPr>
          <w:trHeight w:val="161" w:hRule="exact"/>
        </w:trPr>
        <w:tc>
          <w:tcPr>
            <w:tcW w:w="864" w:type="dxa"/>
            <w:vMerge w:val="restart"/>
            <w:tcBorders>
              <w:top w:val="single" w:sz="4" w:space="0" w:color="000000"/>
              <w:left w:val="single" w:sz="4" w:space="0" w:color="000000"/>
              <w:right w:val="single" w:sz="4" w:space="0" w:color="000000"/>
            </w:tcBorders>
            <w:shd w:val="clear" w:color="auto" w:fill="D2D2D2"/>
          </w:tcPr>
          <w:p>
            <w:pPr/>
          </w:p>
        </w:tc>
        <w:tc>
          <w:tcPr>
            <w:tcW w:w="872" w:type="dxa"/>
            <w:vMerge w:val="restart"/>
            <w:tcBorders>
              <w:top w:val="single" w:sz="4" w:space="0" w:color="000000"/>
              <w:left w:val="single" w:sz="4" w:space="0" w:color="000000"/>
              <w:right w:val="single" w:sz="4" w:space="0" w:color="000000"/>
            </w:tcBorders>
            <w:shd w:val="clear" w:color="auto" w:fill="D2D2D2"/>
          </w:tcPr>
          <w:p>
            <w:pPr/>
          </w:p>
        </w:tc>
        <w:tc>
          <w:tcPr>
            <w:tcW w:w="868" w:type="dxa"/>
            <w:tcBorders>
              <w:top w:val="single" w:sz="4" w:space="0" w:color="000000"/>
              <w:left w:val="single" w:sz="4" w:space="0" w:color="000000"/>
              <w:bottom w:val="nil" w:sz="6" w:space="0" w:color="auto"/>
              <w:right w:val="single" w:sz="4" w:space="0" w:color="000000"/>
            </w:tcBorders>
            <w:shd w:val="clear" w:color="auto" w:fill="D2D2D2"/>
          </w:tcPr>
          <w:p>
            <w:pPr/>
          </w:p>
        </w:tc>
        <w:tc>
          <w:tcPr>
            <w:tcW w:w="873" w:type="dxa"/>
            <w:tcBorders>
              <w:top w:val="single" w:sz="4" w:space="0" w:color="000000"/>
              <w:left w:val="single" w:sz="4" w:space="0" w:color="000000"/>
              <w:bottom w:val="nil" w:sz="6" w:space="0" w:color="auto"/>
              <w:right w:val="single" w:sz="4" w:space="0" w:color="000000"/>
            </w:tcBorders>
            <w:shd w:val="clear" w:color="auto" w:fill="D2D2D2"/>
          </w:tcPr>
          <w:p>
            <w:pPr/>
          </w:p>
        </w:tc>
        <w:tc>
          <w:tcPr>
            <w:tcW w:w="868" w:type="dxa"/>
            <w:vMerge w:val="restart"/>
            <w:tcBorders>
              <w:top w:val="single" w:sz="4" w:space="0" w:color="000000"/>
              <w:left w:val="single" w:sz="4" w:space="0" w:color="000000"/>
              <w:right w:val="single" w:sz="4" w:space="0" w:color="000000"/>
            </w:tcBorders>
            <w:shd w:val="clear" w:color="auto" w:fill="D2D2D2"/>
          </w:tcPr>
          <w:p>
            <w:pPr/>
          </w:p>
        </w:tc>
        <w:tc>
          <w:tcPr>
            <w:tcW w:w="872" w:type="dxa"/>
            <w:vMerge w:val="restart"/>
            <w:tcBorders>
              <w:top w:val="single" w:sz="4" w:space="0" w:color="000000"/>
              <w:left w:val="single" w:sz="4" w:space="0" w:color="000000"/>
              <w:right w:val="single" w:sz="4" w:space="0" w:color="000000"/>
            </w:tcBorders>
            <w:shd w:val="clear" w:color="auto" w:fill="D2D2D2"/>
          </w:tcPr>
          <w:p>
            <w:pP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3" w:right="20" w:hanging="3"/>
              <w:jc w:val="center"/>
              <w:rPr>
                <w:rFonts w:ascii="宋体" w:hAnsi="宋体" w:cs="宋体" w:eastAsia="宋体" w:hint="default"/>
                <w:sz w:val="18"/>
                <w:szCs w:val="18"/>
              </w:rPr>
            </w:pPr>
            <w:r>
              <w:rPr>
                <w:rFonts w:ascii="宋体" w:hAnsi="宋体" w:cs="宋体" w:eastAsia="宋体" w:hint="default"/>
                <w:sz w:val="18"/>
                <w:szCs w:val="18"/>
              </w:rPr>
              <w:t>截至年报 前违规担 </w:t>
            </w:r>
            <w:r>
              <w:rPr>
                <w:rFonts w:ascii="宋体" w:hAnsi="宋体" w:cs="宋体" w:eastAsia="宋体" w:hint="default"/>
                <w:spacing w:val="-18"/>
                <w:sz w:val="18"/>
                <w:szCs w:val="18"/>
              </w:rPr>
              <w:t>保余额（万</w:t>
            </w:r>
            <w:r>
              <w:rPr>
                <w:rFonts w:ascii="宋体" w:hAnsi="宋体" w:cs="宋体" w:eastAsia="宋体" w:hint="default"/>
                <w:sz w:val="18"/>
                <w:szCs w:val="18"/>
              </w:rPr>
              <w:t> 元）</w:t>
            </w:r>
          </w:p>
        </w:tc>
        <w:tc>
          <w:tcPr>
            <w:tcW w:w="857" w:type="dxa"/>
            <w:tcBorders>
              <w:top w:val="single" w:sz="4" w:space="0" w:color="000000"/>
              <w:left w:val="single" w:sz="4" w:space="0" w:color="000000"/>
              <w:bottom w:val="nil" w:sz="6" w:space="0" w:color="auto"/>
              <w:right w:val="single" w:sz="4" w:space="0" w:color="000000"/>
            </w:tcBorders>
            <w:shd w:val="clear" w:color="auto" w:fill="D2D2D2"/>
          </w:tcPr>
          <w:p>
            <w:pPr/>
          </w:p>
        </w:tc>
        <w:tc>
          <w:tcPr>
            <w:tcW w:w="881" w:type="dxa"/>
            <w:vMerge w:val="restart"/>
            <w:tcBorders>
              <w:top w:val="single" w:sz="4" w:space="0" w:color="000000"/>
              <w:left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864" w:type="dxa"/>
            <w:vMerge/>
            <w:tcBorders>
              <w:left w:val="single" w:sz="4" w:space="0" w:color="000000"/>
              <w:bottom w:val="nil" w:sz="6" w:space="0" w:color="auto"/>
              <w:right w:val="single" w:sz="4" w:space="0" w:color="000000"/>
            </w:tcBorders>
            <w:shd w:val="clear" w:color="auto" w:fill="D2D2D2"/>
          </w:tcPr>
          <w:p>
            <w:pPr/>
          </w:p>
        </w:tc>
        <w:tc>
          <w:tcPr>
            <w:tcW w:w="872" w:type="dxa"/>
            <w:vMerge/>
            <w:tcBorders>
              <w:left w:val="single" w:sz="4" w:space="0" w:color="000000"/>
              <w:bottom w:val="nil" w:sz="6" w:space="0" w:color="auto"/>
              <w:right w:val="single" w:sz="4" w:space="0" w:color="000000"/>
            </w:tcBorders>
            <w:shd w:val="clear" w:color="auto" w:fill="D2D2D2"/>
          </w:tcPr>
          <w:p>
            <w:pPr/>
          </w:p>
        </w:tc>
        <w:tc>
          <w:tcPr>
            <w:tcW w:w="8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8" w:right="67"/>
              <w:jc w:val="center"/>
              <w:rPr>
                <w:rFonts w:ascii="宋体" w:hAnsi="宋体" w:cs="宋体" w:eastAsia="宋体" w:hint="default"/>
                <w:sz w:val="18"/>
                <w:szCs w:val="18"/>
              </w:rPr>
            </w:pPr>
            <w:r>
              <w:rPr>
                <w:rFonts w:ascii="宋体" w:hAnsi="宋体" w:cs="宋体" w:eastAsia="宋体" w:hint="default"/>
                <w:sz w:val="18"/>
                <w:szCs w:val="18"/>
              </w:rPr>
              <w:t>违规担保 金额（万 元）</w:t>
            </w:r>
          </w:p>
        </w:tc>
        <w:tc>
          <w:tcPr>
            <w:tcW w:w="87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2" w:right="68"/>
              <w:jc w:val="center"/>
              <w:rPr>
                <w:rFonts w:ascii="Times New Roman" w:hAnsi="Times New Roman" w:cs="Times New Roman" w:eastAsia="Times New Roman" w:hint="default"/>
                <w:sz w:val="18"/>
                <w:szCs w:val="18"/>
              </w:rPr>
            </w:pPr>
            <w:r>
              <w:rPr>
                <w:rFonts w:ascii="宋体" w:hAnsi="宋体" w:cs="宋体" w:eastAsia="宋体" w:hint="default"/>
                <w:sz w:val="18"/>
                <w:szCs w:val="18"/>
              </w:rPr>
              <w:t>占期末净 资产的比 例</w:t>
            </w:r>
            <w:r>
              <w:rPr>
                <w:rFonts w:ascii="Times New Roman" w:hAnsi="Times New Roman" w:cs="Times New Roman" w:eastAsia="Times New Roman" w:hint="default"/>
                <w:sz w:val="18"/>
                <w:szCs w:val="18"/>
              </w:rPr>
              <w:t>(%)</w:t>
            </w:r>
          </w:p>
        </w:tc>
        <w:tc>
          <w:tcPr>
            <w:tcW w:w="868"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5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8" w:right="56"/>
              <w:jc w:val="center"/>
              <w:rPr>
                <w:rFonts w:ascii="Times New Roman" w:hAnsi="Times New Roman" w:cs="Times New Roman" w:eastAsia="Times New Roman" w:hint="default"/>
                <w:sz w:val="18"/>
                <w:szCs w:val="18"/>
              </w:rPr>
            </w:pPr>
            <w:r>
              <w:rPr>
                <w:rFonts w:ascii="宋体" w:hAnsi="宋体" w:cs="宋体" w:eastAsia="宋体" w:hint="default"/>
                <w:sz w:val="18"/>
                <w:szCs w:val="18"/>
              </w:rPr>
              <w:t>占期末净 资产的比 例</w:t>
            </w:r>
            <w:r>
              <w:rPr>
                <w:rFonts w:ascii="Times New Roman" w:hAnsi="Times New Roman" w:cs="Times New Roman" w:eastAsia="Times New Roman" w:hint="default"/>
                <w:sz w:val="18"/>
                <w:szCs w:val="18"/>
              </w:rPr>
              <w:t>(%)</w:t>
            </w:r>
          </w:p>
        </w:tc>
        <w:tc>
          <w:tcPr>
            <w:tcW w:w="881" w:type="dxa"/>
            <w:vMerge/>
            <w:tcBorders>
              <w:left w:val="single" w:sz="4" w:space="0" w:color="000000"/>
              <w:bottom w:val="nil" w:sz="6" w:space="0" w:color="auto"/>
              <w:right w:val="single" w:sz="4" w:space="0" w:color="000000"/>
            </w:tcBorders>
            <w:shd w:val="clear" w:color="auto" w:fill="D2D2D2"/>
          </w:tcPr>
          <w:p>
            <w:pPr/>
          </w:p>
        </w:tc>
        <w:tc>
          <w:tcPr>
            <w:tcW w:w="8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8" w:right="71"/>
              <w:jc w:val="center"/>
              <w:rPr>
                <w:rFonts w:ascii="宋体" w:hAnsi="宋体" w:cs="宋体" w:eastAsia="宋体" w:hint="default"/>
                <w:sz w:val="18"/>
                <w:szCs w:val="18"/>
              </w:rPr>
            </w:pPr>
            <w:r>
              <w:rPr>
                <w:rFonts w:ascii="宋体" w:hAnsi="宋体" w:cs="宋体" w:eastAsia="宋体" w:hint="default"/>
                <w:sz w:val="18"/>
                <w:szCs w:val="18"/>
              </w:rPr>
              <w:t>预计解除 金额（万 元）</w:t>
            </w:r>
          </w:p>
        </w:tc>
        <w:tc>
          <w:tcPr>
            <w:tcW w:w="8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2" w:right="56"/>
              <w:jc w:val="center"/>
              <w:rPr>
                <w:rFonts w:ascii="宋体" w:hAnsi="宋体" w:cs="宋体" w:eastAsia="宋体" w:hint="default"/>
                <w:sz w:val="18"/>
                <w:szCs w:val="18"/>
              </w:rPr>
            </w:pPr>
            <w:r>
              <w:rPr>
                <w:rFonts w:ascii="宋体" w:hAnsi="宋体" w:cs="宋体" w:eastAsia="宋体" w:hint="default"/>
                <w:sz w:val="18"/>
                <w:szCs w:val="18"/>
              </w:rPr>
              <w:t>预计解除 时间（月 份）</w:t>
            </w:r>
          </w:p>
        </w:tc>
      </w:tr>
      <w:tr>
        <w:trPr>
          <w:trHeight w:val="156" w:hRule="exact"/>
        </w:trPr>
        <w:tc>
          <w:tcPr>
            <w:tcW w:w="8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7" w:right="65" w:hanging="181"/>
              <w:jc w:val="left"/>
              <w:rPr>
                <w:rFonts w:ascii="宋体" w:hAnsi="宋体" w:cs="宋体" w:eastAsia="宋体" w:hint="default"/>
                <w:sz w:val="18"/>
                <w:szCs w:val="18"/>
              </w:rPr>
            </w:pPr>
            <w:r>
              <w:rPr>
                <w:rFonts w:ascii="宋体" w:hAnsi="宋体" w:cs="宋体" w:eastAsia="宋体" w:hint="default"/>
                <w:sz w:val="18"/>
                <w:szCs w:val="18"/>
              </w:rPr>
              <w:t>担保对象 名称</w:t>
            </w:r>
          </w:p>
        </w:tc>
        <w:tc>
          <w:tcPr>
            <w:tcW w:w="8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1" w:right="68"/>
              <w:jc w:val="left"/>
              <w:rPr>
                <w:rFonts w:ascii="宋体" w:hAnsi="宋体" w:cs="宋体" w:eastAsia="宋体" w:hint="default"/>
                <w:sz w:val="18"/>
                <w:szCs w:val="18"/>
              </w:rPr>
            </w:pPr>
            <w:r>
              <w:rPr>
                <w:rFonts w:ascii="宋体" w:hAnsi="宋体" w:cs="宋体" w:eastAsia="宋体" w:hint="default"/>
                <w:sz w:val="18"/>
                <w:szCs w:val="18"/>
              </w:rPr>
              <w:t>与上市公 司的关系</w:t>
            </w:r>
          </w:p>
        </w:tc>
        <w:tc>
          <w:tcPr>
            <w:tcW w:w="868" w:type="dxa"/>
            <w:vMerge/>
            <w:tcBorders>
              <w:left w:val="single" w:sz="4" w:space="0" w:color="000000"/>
              <w:right w:val="single" w:sz="4" w:space="0" w:color="000000"/>
            </w:tcBorders>
            <w:shd w:val="clear" w:color="auto" w:fill="D2D2D2"/>
          </w:tcPr>
          <w:p>
            <w:pPr/>
          </w:p>
        </w:tc>
        <w:tc>
          <w:tcPr>
            <w:tcW w:w="873" w:type="dxa"/>
            <w:vMerge/>
            <w:tcBorders>
              <w:left w:val="single" w:sz="4" w:space="0" w:color="000000"/>
              <w:right w:val="single" w:sz="4" w:space="0" w:color="000000"/>
            </w:tcBorders>
            <w:shd w:val="clear" w:color="auto" w:fill="D2D2D2"/>
          </w:tcPr>
          <w:p>
            <w:pPr/>
          </w:p>
        </w:tc>
        <w:tc>
          <w:tcPr>
            <w:tcW w:w="868" w:type="dxa"/>
            <w:vMerge/>
            <w:tcBorders>
              <w:left w:val="single" w:sz="4" w:space="0" w:color="000000"/>
              <w:bottom w:val="nil" w:sz="6" w:space="0" w:color="auto"/>
              <w:right w:val="single" w:sz="4" w:space="0" w:color="000000"/>
            </w:tcBorders>
            <w:shd w:val="clear" w:color="auto" w:fill="D2D2D2"/>
          </w:tcPr>
          <w:p>
            <w:pPr/>
          </w:p>
        </w:tc>
        <w:tc>
          <w:tcPr>
            <w:tcW w:w="872" w:type="dxa"/>
            <w:vMerge/>
            <w:tcBorders>
              <w:left w:val="single" w:sz="4" w:space="0" w:color="000000"/>
              <w:bottom w:val="nil" w:sz="6" w:space="0" w:color="auto"/>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57" w:type="dxa"/>
            <w:vMerge/>
            <w:tcBorders>
              <w:left w:val="single" w:sz="4" w:space="0" w:color="000000"/>
              <w:right w:val="single" w:sz="4" w:space="0" w:color="000000"/>
            </w:tcBorders>
            <w:shd w:val="clear" w:color="auto" w:fill="D2D2D2"/>
          </w:tcPr>
          <w:p>
            <w:pPr/>
          </w:p>
        </w:tc>
        <w:tc>
          <w:tcPr>
            <w:tcW w:w="88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60" w:right="69" w:hanging="180"/>
              <w:jc w:val="left"/>
              <w:rPr>
                <w:rFonts w:ascii="宋体" w:hAnsi="宋体" w:cs="宋体" w:eastAsia="宋体" w:hint="default"/>
                <w:sz w:val="18"/>
                <w:szCs w:val="18"/>
              </w:rPr>
            </w:pPr>
            <w:r>
              <w:rPr>
                <w:rFonts w:ascii="宋体" w:hAnsi="宋体" w:cs="宋体" w:eastAsia="宋体" w:hint="default"/>
                <w:sz w:val="18"/>
                <w:szCs w:val="18"/>
              </w:rPr>
              <w:t>预计解除 方式</w:t>
            </w:r>
          </w:p>
        </w:tc>
        <w:tc>
          <w:tcPr>
            <w:tcW w:w="870" w:type="dxa"/>
            <w:vMerge/>
            <w:tcBorders>
              <w:left w:val="single" w:sz="4" w:space="0" w:color="000000"/>
              <w:right w:val="single" w:sz="4" w:space="0" w:color="000000"/>
            </w:tcBorders>
            <w:shd w:val="clear" w:color="auto" w:fill="D2D2D2"/>
          </w:tcPr>
          <w:p>
            <w:pPr/>
          </w:p>
        </w:tc>
        <w:tc>
          <w:tcPr>
            <w:tcW w:w="860" w:type="dxa"/>
            <w:vMerge/>
            <w:tcBorders>
              <w:left w:val="single" w:sz="4" w:space="0" w:color="000000"/>
              <w:right w:val="single" w:sz="4" w:space="0" w:color="000000"/>
            </w:tcBorders>
            <w:shd w:val="clear" w:color="auto" w:fill="D2D2D2"/>
          </w:tcPr>
          <w:p>
            <w:pPr/>
          </w:p>
        </w:tc>
      </w:tr>
      <w:tr>
        <w:trPr>
          <w:trHeight w:val="394" w:hRule="exact"/>
        </w:trPr>
        <w:tc>
          <w:tcPr>
            <w:tcW w:w="864"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868" w:type="dxa"/>
            <w:vMerge/>
            <w:tcBorders>
              <w:left w:val="single" w:sz="4" w:space="0" w:color="000000"/>
              <w:right w:val="single" w:sz="4" w:space="0" w:color="000000"/>
            </w:tcBorders>
            <w:shd w:val="clear" w:color="auto" w:fill="D2D2D2"/>
          </w:tcPr>
          <w:p>
            <w:pPr/>
          </w:p>
        </w:tc>
        <w:tc>
          <w:tcPr>
            <w:tcW w:w="873" w:type="dxa"/>
            <w:vMerge/>
            <w:tcBorders>
              <w:left w:val="single" w:sz="4" w:space="0" w:color="000000"/>
              <w:right w:val="single" w:sz="4" w:space="0" w:color="000000"/>
            </w:tcBorders>
            <w:shd w:val="clear" w:color="auto" w:fill="D2D2D2"/>
          </w:tcPr>
          <w:p>
            <w:pPr/>
          </w:p>
        </w:tc>
        <w:tc>
          <w:tcPr>
            <w:tcW w:w="8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8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70" w:type="dxa"/>
            <w:vMerge/>
            <w:tcBorders>
              <w:left w:val="single" w:sz="4" w:space="0" w:color="000000"/>
              <w:right w:val="single" w:sz="4" w:space="0" w:color="000000"/>
            </w:tcBorders>
            <w:shd w:val="clear" w:color="auto" w:fill="D2D2D2"/>
          </w:tcPr>
          <w:p>
            <w:pPr/>
          </w:p>
        </w:tc>
        <w:tc>
          <w:tcPr>
            <w:tcW w:w="857" w:type="dxa"/>
            <w:vMerge/>
            <w:tcBorders>
              <w:left w:val="single" w:sz="4" w:space="0" w:color="000000"/>
              <w:right w:val="single" w:sz="4" w:space="0" w:color="000000"/>
            </w:tcBorders>
            <w:shd w:val="clear" w:color="auto" w:fill="D2D2D2"/>
          </w:tcPr>
          <w:p>
            <w:pPr/>
          </w:p>
        </w:tc>
        <w:tc>
          <w:tcPr>
            <w:tcW w:w="881"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60" w:type="dxa"/>
            <w:vMerge/>
            <w:tcBorders>
              <w:left w:val="single" w:sz="4" w:space="0" w:color="000000"/>
              <w:right w:val="single" w:sz="4" w:space="0" w:color="000000"/>
            </w:tcBorders>
            <w:shd w:val="clear" w:color="auto" w:fill="D2D2D2"/>
          </w:tcPr>
          <w:p>
            <w:pPr/>
          </w:p>
        </w:tc>
      </w:tr>
      <w:tr>
        <w:trPr>
          <w:trHeight w:val="156" w:hRule="exact"/>
        </w:trPr>
        <w:tc>
          <w:tcPr>
            <w:tcW w:w="864" w:type="dxa"/>
            <w:vMerge/>
            <w:tcBorders>
              <w:left w:val="single" w:sz="4" w:space="0" w:color="000000"/>
              <w:bottom w:val="nil" w:sz="6" w:space="0" w:color="auto"/>
              <w:right w:val="single" w:sz="4" w:space="0" w:color="000000"/>
            </w:tcBorders>
            <w:shd w:val="clear" w:color="auto" w:fill="D2D2D2"/>
          </w:tcPr>
          <w:p>
            <w:pPr/>
          </w:p>
        </w:tc>
        <w:tc>
          <w:tcPr>
            <w:tcW w:w="872" w:type="dxa"/>
            <w:vMerge/>
            <w:tcBorders>
              <w:left w:val="single" w:sz="4" w:space="0" w:color="000000"/>
              <w:bottom w:val="nil" w:sz="6" w:space="0" w:color="auto"/>
              <w:right w:val="single" w:sz="4" w:space="0" w:color="000000"/>
            </w:tcBorders>
            <w:shd w:val="clear" w:color="auto" w:fill="D2D2D2"/>
          </w:tcPr>
          <w:p>
            <w:pPr/>
          </w:p>
        </w:tc>
        <w:tc>
          <w:tcPr>
            <w:tcW w:w="868" w:type="dxa"/>
            <w:vMerge/>
            <w:tcBorders>
              <w:left w:val="single" w:sz="4" w:space="0" w:color="000000"/>
              <w:right w:val="single" w:sz="4" w:space="0" w:color="000000"/>
            </w:tcBorders>
            <w:shd w:val="clear" w:color="auto" w:fill="D2D2D2"/>
          </w:tcPr>
          <w:p>
            <w:pPr/>
          </w:p>
        </w:tc>
        <w:tc>
          <w:tcPr>
            <w:tcW w:w="873" w:type="dxa"/>
            <w:vMerge/>
            <w:tcBorders>
              <w:left w:val="single" w:sz="4" w:space="0" w:color="000000"/>
              <w:right w:val="single" w:sz="4" w:space="0" w:color="000000"/>
            </w:tcBorders>
            <w:shd w:val="clear" w:color="auto" w:fill="D2D2D2"/>
          </w:tcPr>
          <w:p>
            <w:pPr/>
          </w:p>
        </w:tc>
        <w:tc>
          <w:tcPr>
            <w:tcW w:w="868" w:type="dxa"/>
            <w:vMerge w:val="restart"/>
            <w:tcBorders>
              <w:top w:val="nil" w:sz="6" w:space="0" w:color="auto"/>
              <w:left w:val="single" w:sz="4" w:space="0" w:color="000000"/>
              <w:right w:val="single" w:sz="4" w:space="0" w:color="000000"/>
            </w:tcBorders>
            <w:shd w:val="clear" w:color="auto" w:fill="D2D2D2"/>
          </w:tcPr>
          <w:p>
            <w:pPr/>
          </w:p>
        </w:tc>
        <w:tc>
          <w:tcPr>
            <w:tcW w:w="872" w:type="dxa"/>
            <w:vMerge w:val="restart"/>
            <w:tcBorders>
              <w:top w:val="nil" w:sz="6" w:space="0" w:color="auto"/>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57" w:type="dxa"/>
            <w:vMerge/>
            <w:tcBorders>
              <w:left w:val="single" w:sz="4" w:space="0" w:color="000000"/>
              <w:right w:val="single" w:sz="4" w:space="0" w:color="000000"/>
            </w:tcBorders>
            <w:shd w:val="clear" w:color="auto" w:fill="D2D2D2"/>
          </w:tcPr>
          <w:p>
            <w:pPr/>
          </w:p>
        </w:tc>
        <w:tc>
          <w:tcPr>
            <w:tcW w:w="881" w:type="dxa"/>
            <w:vMerge/>
            <w:tcBorders>
              <w:left w:val="single" w:sz="4" w:space="0" w:color="000000"/>
              <w:bottom w:val="nil" w:sz="6" w:space="0" w:color="auto"/>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60" w:type="dxa"/>
            <w:vMerge/>
            <w:tcBorders>
              <w:left w:val="single" w:sz="4" w:space="0" w:color="000000"/>
              <w:right w:val="single" w:sz="4" w:space="0" w:color="000000"/>
            </w:tcBorders>
            <w:shd w:val="clear" w:color="auto" w:fill="D2D2D2"/>
          </w:tcPr>
          <w:p>
            <w:pPr/>
          </w:p>
        </w:tc>
      </w:tr>
      <w:tr>
        <w:trPr>
          <w:trHeight w:val="156" w:hRule="exact"/>
        </w:trPr>
        <w:tc>
          <w:tcPr>
            <w:tcW w:w="864" w:type="dxa"/>
            <w:vMerge w:val="restart"/>
            <w:tcBorders>
              <w:top w:val="nil" w:sz="6" w:space="0" w:color="auto"/>
              <w:left w:val="single" w:sz="4" w:space="0" w:color="000000"/>
              <w:right w:val="single" w:sz="4" w:space="0" w:color="000000"/>
            </w:tcBorders>
            <w:shd w:val="clear" w:color="auto" w:fill="D2D2D2"/>
          </w:tcPr>
          <w:p>
            <w:pPr/>
          </w:p>
        </w:tc>
        <w:tc>
          <w:tcPr>
            <w:tcW w:w="872" w:type="dxa"/>
            <w:vMerge w:val="restart"/>
            <w:tcBorders>
              <w:top w:val="nil" w:sz="6" w:space="0" w:color="auto"/>
              <w:left w:val="single" w:sz="4" w:space="0" w:color="000000"/>
              <w:right w:val="single" w:sz="4" w:space="0" w:color="000000"/>
            </w:tcBorders>
            <w:shd w:val="clear" w:color="auto" w:fill="D2D2D2"/>
          </w:tcPr>
          <w:p>
            <w:pPr/>
          </w:p>
        </w:tc>
        <w:tc>
          <w:tcPr>
            <w:tcW w:w="868" w:type="dxa"/>
            <w:vMerge/>
            <w:tcBorders>
              <w:left w:val="single" w:sz="4" w:space="0" w:color="000000"/>
              <w:bottom w:val="nil" w:sz="6" w:space="0" w:color="auto"/>
              <w:right w:val="single" w:sz="4" w:space="0" w:color="000000"/>
            </w:tcBorders>
            <w:shd w:val="clear" w:color="auto" w:fill="D2D2D2"/>
          </w:tcPr>
          <w:p>
            <w:pPr/>
          </w:p>
        </w:tc>
        <w:tc>
          <w:tcPr>
            <w:tcW w:w="873" w:type="dxa"/>
            <w:vMerge/>
            <w:tcBorders>
              <w:left w:val="single" w:sz="4" w:space="0" w:color="000000"/>
              <w:bottom w:val="nil" w:sz="6" w:space="0" w:color="auto"/>
              <w:right w:val="single" w:sz="4" w:space="0" w:color="000000"/>
            </w:tcBorders>
            <w:shd w:val="clear" w:color="auto" w:fill="D2D2D2"/>
          </w:tcPr>
          <w:p>
            <w:pPr/>
          </w:p>
        </w:tc>
        <w:tc>
          <w:tcPr>
            <w:tcW w:w="868"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57" w:type="dxa"/>
            <w:vMerge/>
            <w:tcBorders>
              <w:left w:val="single" w:sz="4" w:space="0" w:color="000000"/>
              <w:bottom w:val="nil" w:sz="6" w:space="0" w:color="auto"/>
              <w:right w:val="single" w:sz="4" w:space="0" w:color="000000"/>
            </w:tcBorders>
            <w:shd w:val="clear" w:color="auto" w:fill="D2D2D2"/>
          </w:tcPr>
          <w:p>
            <w:pPr/>
          </w:p>
        </w:tc>
        <w:tc>
          <w:tcPr>
            <w:tcW w:w="881" w:type="dxa"/>
            <w:vMerge w:val="restart"/>
            <w:tcBorders>
              <w:top w:val="nil" w:sz="6" w:space="0" w:color="auto"/>
              <w:left w:val="single" w:sz="4" w:space="0" w:color="000000"/>
              <w:right w:val="single" w:sz="4" w:space="0" w:color="000000"/>
            </w:tcBorders>
            <w:shd w:val="clear" w:color="auto" w:fill="D2D2D2"/>
          </w:tcPr>
          <w:p>
            <w:pPr/>
          </w:p>
        </w:tc>
        <w:tc>
          <w:tcPr>
            <w:tcW w:w="870" w:type="dxa"/>
            <w:vMerge/>
            <w:tcBorders>
              <w:left w:val="single" w:sz="4" w:space="0" w:color="000000"/>
              <w:bottom w:val="nil" w:sz="6" w:space="0" w:color="auto"/>
              <w:right w:val="single" w:sz="4" w:space="0" w:color="000000"/>
            </w:tcBorders>
            <w:shd w:val="clear" w:color="auto" w:fill="D2D2D2"/>
          </w:tcPr>
          <w:p>
            <w:pPr/>
          </w:p>
        </w:tc>
        <w:tc>
          <w:tcPr>
            <w:tcW w:w="86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868" w:type="dxa"/>
            <w:tcBorders>
              <w:top w:val="nil" w:sz="6" w:space="0" w:color="auto"/>
              <w:left w:val="single" w:sz="4" w:space="0" w:color="000000"/>
              <w:bottom w:val="single" w:sz="4" w:space="0" w:color="000000"/>
              <w:right w:val="single" w:sz="4" w:space="0" w:color="000000"/>
            </w:tcBorders>
            <w:shd w:val="clear" w:color="auto" w:fill="D2D2D2"/>
          </w:tcPr>
          <w:p>
            <w:pPr/>
          </w:p>
        </w:tc>
        <w:tc>
          <w:tcPr>
            <w:tcW w:w="873" w:type="dxa"/>
            <w:tcBorders>
              <w:top w:val="nil" w:sz="6" w:space="0" w:color="auto"/>
              <w:left w:val="single" w:sz="4" w:space="0" w:color="000000"/>
              <w:bottom w:val="single" w:sz="4" w:space="0" w:color="000000"/>
              <w:right w:val="single" w:sz="4" w:space="0" w:color="000000"/>
            </w:tcBorders>
            <w:shd w:val="clear" w:color="auto" w:fill="D2D2D2"/>
          </w:tcPr>
          <w:p>
            <w:pPr/>
          </w:p>
        </w:tc>
        <w:tc>
          <w:tcPr>
            <w:tcW w:w="868"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857" w:type="dxa"/>
            <w:tcBorders>
              <w:top w:val="nil" w:sz="6" w:space="0" w:color="auto"/>
              <w:left w:val="single" w:sz="4" w:space="0" w:color="000000"/>
              <w:bottom w:val="single" w:sz="4" w:space="0" w:color="000000"/>
              <w:right w:val="single" w:sz="4" w:space="0" w:color="000000"/>
            </w:tcBorders>
            <w:shd w:val="clear" w:color="auto" w:fill="D2D2D2"/>
          </w:tcPr>
          <w:p>
            <w:pPr/>
          </w:p>
        </w:tc>
        <w:tc>
          <w:tcPr>
            <w:tcW w:w="881"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0%</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5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0%</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
        <w:rPr>
          <w:rFonts w:ascii="宋体" w:hAnsi="宋体" w:cs="宋体" w:eastAsia="宋体" w:hint="default"/>
          <w:sz w:val="25"/>
          <w:szCs w:val="25"/>
        </w:rPr>
      </w:pPr>
    </w:p>
    <w:p>
      <w:pPr>
        <w:pStyle w:val="Heading2"/>
        <w:spacing w:line="240" w:lineRule="auto" w:before="0"/>
        <w:ind w:right="1125"/>
        <w:jc w:val="left"/>
        <w:rPr>
          <w:b w:val="0"/>
          <w:bCs w:val="0"/>
        </w:rPr>
      </w:pPr>
      <w:r>
        <w:rPr/>
        <w:t>七、承诺事项履行情况</w:t>
      </w:r>
      <w:r>
        <w:rPr>
          <w:b w:val="0"/>
          <w:bCs w:val="0"/>
        </w:rPr>
      </w:r>
    </w:p>
    <w:p>
      <w:pPr>
        <w:spacing w:line="240" w:lineRule="auto" w:before="12"/>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、公司或持股</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以上股东在报告期内或持续到报告期内的承诺事项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19"/>
        <w:gridCol w:w="425"/>
        <w:gridCol w:w="4395"/>
        <w:gridCol w:w="566"/>
        <w:gridCol w:w="427"/>
        <w:gridCol w:w="2338"/>
      </w:tblGrid>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24" w:hanging="89"/>
              <w:jc w:val="left"/>
              <w:rPr>
                <w:rFonts w:ascii="宋体" w:hAnsi="宋体" w:cs="宋体" w:eastAsia="宋体" w:hint="default"/>
                <w:sz w:val="18"/>
                <w:szCs w:val="18"/>
              </w:rPr>
            </w:pPr>
            <w:r>
              <w:rPr>
                <w:rFonts w:ascii="宋体" w:hAnsi="宋体" w:cs="宋体" w:eastAsia="宋体" w:hint="default"/>
                <w:sz w:val="18"/>
                <w:szCs w:val="18"/>
              </w:rPr>
              <w:t>承诺 方</w:t>
            </w:r>
          </w:p>
        </w:tc>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425" w:type="dxa"/>
            <w:tcBorders>
              <w:top w:val="single" w:sz="4" w:space="0" w:color="000000"/>
              <w:left w:val="single" w:sz="4" w:space="0" w:color="000000"/>
              <w:bottom w:val="single" w:sz="4" w:space="0" w:color="000000"/>
              <w:right w:val="single" w:sz="4" w:space="0" w:color="000000"/>
            </w:tcBorders>
          </w:tcPr>
          <w:p>
            <w:pPr/>
          </w:p>
        </w:tc>
        <w:tc>
          <w:tcPr>
            <w:tcW w:w="439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both"/>
              <w:rPr>
                <w:rFonts w:ascii="宋体" w:hAnsi="宋体" w:cs="宋体" w:eastAsia="宋体" w:hint="default"/>
                <w:sz w:val="18"/>
                <w:szCs w:val="18"/>
              </w:rPr>
            </w:pPr>
            <w:r>
              <w:rPr>
                <w:rFonts w:ascii="宋体" w:hAnsi="宋体" w:cs="宋体" w:eastAsia="宋体" w:hint="default"/>
                <w:sz w:val="18"/>
                <w:szCs w:val="18"/>
              </w:rPr>
              <w:t>收购报告书或权 益变动报告书中 所作承诺</w:t>
            </w:r>
          </w:p>
        </w:tc>
        <w:tc>
          <w:tcPr>
            <w:tcW w:w="425" w:type="dxa"/>
            <w:tcBorders>
              <w:top w:val="single" w:sz="4" w:space="0" w:color="000000"/>
              <w:left w:val="single" w:sz="4" w:space="0" w:color="000000"/>
              <w:bottom w:val="single" w:sz="4" w:space="0" w:color="000000"/>
              <w:right w:val="single" w:sz="4" w:space="0" w:color="000000"/>
            </w:tcBorders>
          </w:tcPr>
          <w:p>
            <w:pPr/>
          </w:p>
        </w:tc>
        <w:tc>
          <w:tcPr>
            <w:tcW w:w="439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425" w:type="dxa"/>
            <w:tcBorders>
              <w:top w:val="single" w:sz="4" w:space="0" w:color="000000"/>
              <w:left w:val="single" w:sz="4" w:space="0" w:color="000000"/>
              <w:bottom w:val="single" w:sz="4" w:space="0" w:color="000000"/>
              <w:right w:val="single" w:sz="4" w:space="0" w:color="000000"/>
            </w:tcBorders>
          </w:tcPr>
          <w:p>
            <w:pPr/>
          </w:p>
        </w:tc>
        <w:tc>
          <w:tcPr>
            <w:tcW w:w="439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223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316" w:lineRule="auto"/>
              <w:ind w:left="24" w:right="123"/>
              <w:jc w:val="both"/>
              <w:rPr>
                <w:rFonts w:ascii="宋体" w:hAnsi="宋体" w:cs="宋体" w:eastAsia="宋体" w:hint="default"/>
                <w:sz w:val="18"/>
                <w:szCs w:val="18"/>
              </w:rPr>
            </w:pPr>
            <w:r>
              <w:rPr>
                <w:rFonts w:ascii="宋体" w:hAnsi="宋体" w:cs="宋体" w:eastAsia="宋体" w:hint="default"/>
                <w:sz w:val="18"/>
                <w:szCs w:val="18"/>
              </w:rPr>
              <w:t>首次公开发行或 再融资时所作承 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316" w:lineRule="auto"/>
              <w:ind w:left="23" w:right="29"/>
              <w:jc w:val="both"/>
              <w:rPr>
                <w:rFonts w:ascii="宋体" w:hAnsi="宋体" w:cs="宋体" w:eastAsia="宋体" w:hint="default"/>
                <w:sz w:val="18"/>
                <w:szCs w:val="18"/>
              </w:rPr>
            </w:pPr>
            <w:r>
              <w:rPr>
                <w:rFonts w:ascii="宋体" w:hAnsi="宋体" w:cs="宋体" w:eastAsia="宋体" w:hint="default"/>
                <w:sz w:val="18"/>
                <w:szCs w:val="18"/>
              </w:rPr>
              <w:t>电信 科学 技术 研究 院</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）关于避免同业竞争的承诺：公司控股股东电信科学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技术研究院</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日和</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日出具了</w:t>
            </w:r>
          </w:p>
          <w:p>
            <w:pPr>
              <w:pStyle w:val="TableParagraph"/>
              <w:spacing w:line="314" w:lineRule="auto" w:before="13"/>
              <w:ind w:left="23" w:right="20"/>
              <w:jc w:val="both"/>
              <w:rPr>
                <w:rFonts w:ascii="宋体" w:hAnsi="宋体" w:cs="宋体" w:eastAsia="宋体" w:hint="default"/>
                <w:sz w:val="18"/>
                <w:szCs w:val="18"/>
              </w:rPr>
            </w:pPr>
            <w:r>
              <w:rPr>
                <w:rFonts w:ascii="宋体" w:hAnsi="宋体" w:cs="宋体" w:eastAsia="宋体" w:hint="default"/>
                <w:sz w:val="18"/>
                <w:szCs w:val="18"/>
              </w:rPr>
              <w:t>《关于避免与大唐高鸿数据网络技术股份有限公司存在 </w:t>
            </w:r>
            <w:r>
              <w:rPr>
                <w:rFonts w:ascii="宋体" w:hAnsi="宋体" w:cs="宋体" w:eastAsia="宋体" w:hint="default"/>
                <w:spacing w:val="-7"/>
                <w:sz w:val="18"/>
                <w:szCs w:val="18"/>
              </w:rPr>
              <w:t>同业竞争关系的承诺函》，承诺：目前电信院及下属除发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行人外的其它企业与发行人不存在同业竞争关系；同时 </w:t>
            </w:r>
            <w:r>
              <w:rPr>
                <w:rFonts w:ascii="宋体" w:hAnsi="宋体" w:cs="宋体" w:eastAsia="宋体" w:hint="default"/>
                <w:spacing w:val="-3"/>
                <w:sz w:val="18"/>
                <w:szCs w:val="18"/>
              </w:rPr>
              <w:t>电信院承诺：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在本院作为发行人控股股东或第一大股东</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期间，本院及下属除发行人以外的其他企业将不会直接</w:t>
            </w: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此项承诺尚在承诺期</w:t>
            </w:r>
          </w:p>
        </w:tc>
      </w:tr>
    </w:tbl>
    <w:p>
      <w:pPr>
        <w:spacing w:after="0" w:line="240" w:lineRule="auto"/>
        <w:jc w:val="left"/>
        <w:rPr>
          <w:rFonts w:ascii="宋体" w:hAnsi="宋体" w:cs="宋体" w:eastAsia="宋体" w:hint="default"/>
          <w:sz w:val="18"/>
          <w:szCs w:val="18"/>
        </w:rPr>
        <w:sectPr>
          <w:headerReference w:type="default" r:id="rId30"/>
          <w:footerReference w:type="default" r:id="rId31"/>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19"/>
        <w:gridCol w:w="425"/>
        <w:gridCol w:w="4395"/>
        <w:gridCol w:w="566"/>
        <w:gridCol w:w="427"/>
        <w:gridCol w:w="2338"/>
      </w:tblGrid>
      <w:tr>
        <w:trPr>
          <w:trHeight w:val="1299"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39"/>
              <w:jc w:val="both"/>
              <w:rPr>
                <w:rFonts w:ascii="宋体" w:hAnsi="宋体" w:cs="宋体" w:eastAsia="宋体" w:hint="default"/>
                <w:sz w:val="18"/>
                <w:szCs w:val="18"/>
              </w:rPr>
            </w:pPr>
            <w:r>
              <w:rPr>
                <w:rFonts w:ascii="宋体" w:hAnsi="宋体" w:cs="宋体" w:eastAsia="宋体" w:hint="default"/>
                <w:sz w:val="18"/>
                <w:szCs w:val="18"/>
              </w:rPr>
              <w:t>或间接参与经营任何与发行人及其控股子公司有竞争的 业务，也不会利用对发行人的控股关系做出任何有损发 行人及其控股子公司利益的行为。</w:t>
            </w:r>
            <w:r>
              <w:rPr>
                <w:rFonts w:ascii="Times New Roman" w:hAnsi="Times New Roman" w:cs="Times New Roman" w:eastAsia="Times New Roman" w:hint="default"/>
                <w:sz w:val="18"/>
                <w:szCs w:val="18"/>
              </w:rPr>
              <w:t>” </w:t>
            </w:r>
            <w:r>
              <w:rPr>
                <w:rFonts w:ascii="宋体" w:hAnsi="宋体" w:cs="宋体" w:eastAsia="宋体" w:hint="default"/>
                <w:sz w:val="18"/>
                <w:szCs w:val="18"/>
              </w:rPr>
              <w:t>此项承诺尚在承诺 期。</w:t>
            </w: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833"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3" w:right="29"/>
              <w:jc w:val="both"/>
              <w:rPr>
                <w:rFonts w:ascii="宋体" w:hAnsi="宋体" w:cs="宋体" w:eastAsia="宋体" w:hint="default"/>
                <w:sz w:val="18"/>
                <w:szCs w:val="18"/>
              </w:rPr>
            </w:pPr>
            <w:r>
              <w:rPr>
                <w:rFonts w:ascii="宋体" w:hAnsi="宋体" w:cs="宋体" w:eastAsia="宋体" w:hint="default"/>
                <w:sz w:val="18"/>
                <w:szCs w:val="18"/>
              </w:rPr>
              <w:t>电信 科学 技术 研究 院</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23" w:right="8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）关于锁定期及关联关系承诺：</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年公司非公开 发行股票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万股，公司控股股东电信科学技术研究</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院承诺认购的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万股股票限售期为三十六个月（可上</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市流通日：</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日），此项承诺已经完成，</w:t>
            </w:r>
            <w:r>
              <w:rPr>
                <w:rFonts w:ascii="宋体" w:hAnsi="宋体" w:cs="宋体" w:eastAsia="宋体" w:hint="default"/>
                <w:sz w:val="18"/>
                <w:szCs w:val="18"/>
              </w:rPr>
              <w:t> 但股份解除限售手续尚未办理完毕，</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年公司非公开 发行股票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18,304 </w:t>
            </w:r>
            <w:r>
              <w:rPr>
                <w:rFonts w:ascii="宋体" w:hAnsi="宋体" w:cs="宋体" w:eastAsia="宋体" w:hint="default"/>
                <w:sz w:val="18"/>
                <w:szCs w:val="18"/>
              </w:rPr>
              <w:t>万股，公司控股股东认购的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2,940 </w:t>
            </w:r>
            <w:r>
              <w:rPr>
                <w:rFonts w:ascii="宋体" w:hAnsi="宋体" w:cs="宋体" w:eastAsia="宋体" w:hint="default"/>
                <w:sz w:val="18"/>
                <w:szCs w:val="18"/>
              </w:rPr>
              <w:t>万股 股票限售期为三十六个月。</w:t>
            </w: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年公司非公开发行股票</w:t>
            </w:r>
          </w:p>
          <w:p>
            <w:pPr>
              <w:pStyle w:val="TableParagraph"/>
              <w:spacing w:line="307"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7,300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万股，公司控股股东电 信科学技术研究院承诺认购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万股股票限售期为三 十六个月（可上市流通日：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日），此项承</w:t>
            </w:r>
            <w:r>
              <w:rPr>
                <w:rFonts w:ascii="宋体" w:hAnsi="宋体" w:cs="宋体" w:eastAsia="宋体" w:hint="default"/>
                <w:sz w:val="18"/>
                <w:szCs w:val="18"/>
              </w:rPr>
              <w:t> </w:t>
            </w:r>
            <w:r>
              <w:rPr>
                <w:rFonts w:ascii="宋体" w:hAnsi="宋体" w:cs="宋体" w:eastAsia="宋体" w:hint="default"/>
                <w:spacing w:val="-5"/>
                <w:sz w:val="18"/>
                <w:szCs w:val="18"/>
              </w:rPr>
              <w:t>诺已经完成，但股份解除限售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手续尚未办理完毕，</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公司非公开发行股票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18,304 </w:t>
            </w:r>
            <w:r>
              <w:rPr>
                <w:rFonts w:ascii="宋体" w:hAnsi="宋体" w:cs="宋体" w:eastAsia="宋体" w:hint="default"/>
                <w:sz w:val="18"/>
                <w:szCs w:val="18"/>
              </w:rPr>
              <w:t>万股，公司控股股东认购的 </w:t>
            </w:r>
            <w:r>
              <w:rPr>
                <w:rFonts w:ascii="Times New Roman" w:hAnsi="Times New Roman" w:cs="Times New Roman" w:eastAsia="Times New Roman" w:hint="default"/>
                <w:sz w:val="18"/>
                <w:szCs w:val="18"/>
              </w:rPr>
              <w:t>2,940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万股股票限售期为三十 六个月尚在承诺期。</w:t>
            </w:r>
          </w:p>
        </w:tc>
      </w:tr>
      <w:tr>
        <w:trPr>
          <w:trHeight w:val="227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z w:val="18"/>
                <w:szCs w:val="18"/>
              </w:rPr>
              <w:t>其他对公司中小 股东所作承诺</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9"/>
              <w:jc w:val="both"/>
              <w:rPr>
                <w:rFonts w:ascii="宋体" w:hAnsi="宋体" w:cs="宋体" w:eastAsia="宋体" w:hint="default"/>
                <w:sz w:val="18"/>
                <w:szCs w:val="18"/>
              </w:rPr>
            </w:pPr>
            <w:r>
              <w:rPr>
                <w:rFonts w:ascii="宋体" w:hAnsi="宋体" w:cs="宋体" w:eastAsia="宋体" w:hint="default"/>
                <w:sz w:val="18"/>
                <w:szCs w:val="18"/>
              </w:rPr>
              <w:t>电信 科学 技术 研究 院</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）股改解限承诺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pacing w:val="-4"/>
                <w:sz w:val="18"/>
                <w:szCs w:val="18"/>
              </w:rPr>
              <w:t>日，控股股东电信科</w:t>
            </w:r>
            <w:r>
              <w:rPr>
                <w:rFonts w:ascii="宋体" w:hAnsi="宋体" w:cs="宋体" w:eastAsia="宋体" w:hint="default"/>
                <w:sz w:val="18"/>
                <w:szCs w:val="18"/>
              </w:rPr>
              <w:t> 学技术研究院针对解除限售股份的持有意图及减持计划 承诺</w:t>
            </w:r>
            <w:r>
              <w:rPr>
                <w:rFonts w:ascii="Times New Roman" w:hAnsi="Times New Roman" w:cs="Times New Roman" w:eastAsia="Times New Roman" w:hint="default"/>
                <w:sz w:val="18"/>
                <w:szCs w:val="18"/>
              </w:rPr>
              <w:t>——</w:t>
            </w:r>
            <w:r>
              <w:rPr>
                <w:rFonts w:ascii="宋体" w:hAnsi="宋体" w:cs="宋体" w:eastAsia="宋体" w:hint="default"/>
                <w:sz w:val="18"/>
                <w:szCs w:val="18"/>
              </w:rPr>
              <w:t>电信科学技术研究院承诺：如果电信科学技术 研究院计划未来通过证券交易系统出售所持公司解除限 </w:t>
            </w:r>
            <w:r>
              <w:rPr>
                <w:rFonts w:ascii="宋体" w:hAnsi="宋体" w:cs="宋体" w:eastAsia="宋体" w:hint="default"/>
                <w:spacing w:val="-4"/>
                <w:sz w:val="18"/>
                <w:szCs w:val="18"/>
              </w:rPr>
              <w:t>售流通股，并于第一笔减持起六个月内减持数量达到</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5% </w:t>
            </w:r>
            <w:r>
              <w:rPr>
                <w:rFonts w:ascii="宋体" w:hAnsi="宋体" w:cs="宋体" w:eastAsia="宋体" w:hint="default"/>
                <w:sz w:val="18"/>
                <w:szCs w:val="18"/>
              </w:rPr>
              <w:t>及以上的，电信科学技术研究院将于第一次减持前两个 交易日内通过上市公司对外披露出售提示性公告。</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2011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7"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此项承诺尚在承诺期</w:t>
            </w:r>
          </w:p>
        </w:tc>
      </w:tr>
      <w:tr>
        <w:trPr>
          <w:trHeight w:val="2897"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）关于增持的承诺：计划在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日起三</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个月内，当公司股票二级市场价格低于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股或公司</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本次发行价格低于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股时，除已承诺的拟认购不少</w:t>
            </w:r>
          </w:p>
          <w:p>
            <w:pPr>
              <w:pStyle w:val="TableParagraph"/>
              <w:spacing w:line="309" w:lineRule="auto" w:before="63"/>
              <w:ind w:left="23" w:right="19"/>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年非公开发行的股票外，电信院将通</w:t>
            </w:r>
            <w:r>
              <w:rPr>
                <w:rFonts w:ascii="宋体" w:hAnsi="宋体" w:cs="宋体" w:eastAsia="宋体" w:hint="default"/>
                <w:sz w:val="18"/>
                <w:szCs w:val="18"/>
              </w:rPr>
              <w:t> 过二级市场购买或认购公司非公开发行股票方式另将增 持公司股票不少于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万元；当公司股票在二级市场价</w:t>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格高于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股且公司本次发行价格高于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6.6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股时，</w:t>
            </w:r>
          </w:p>
          <w:p>
            <w:pPr>
              <w:pStyle w:val="TableParagraph"/>
              <w:spacing w:line="300" w:lineRule="auto" w:before="63"/>
              <w:ind w:left="23" w:right="17"/>
              <w:jc w:val="both"/>
              <w:rPr>
                <w:rFonts w:ascii="宋体" w:hAnsi="宋体" w:cs="宋体" w:eastAsia="宋体" w:hint="default"/>
                <w:sz w:val="18"/>
                <w:szCs w:val="18"/>
              </w:rPr>
            </w:pPr>
            <w:r>
              <w:rPr>
                <w:rFonts w:ascii="宋体" w:hAnsi="宋体" w:cs="宋体" w:eastAsia="宋体" w:hint="default"/>
                <w:sz w:val="18"/>
                <w:szCs w:val="18"/>
              </w:rPr>
              <w:t>除已承诺的拟认购不少于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亿元公司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年非公开发行 的股票外，无进一步增持计划。</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6"/>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已履行</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承诺是否及时履 行</w:t>
            </w:r>
          </w:p>
        </w:tc>
        <w:tc>
          <w:tcPr>
            <w:tcW w:w="81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3"/>
              <w:jc w:val="both"/>
              <w:rPr>
                <w:rFonts w:ascii="宋体" w:hAnsi="宋体" w:cs="宋体" w:eastAsia="宋体" w:hint="default"/>
                <w:sz w:val="18"/>
                <w:szCs w:val="18"/>
              </w:rPr>
            </w:pPr>
            <w:r>
              <w:rPr>
                <w:rFonts w:ascii="宋体" w:hAnsi="宋体" w:cs="宋体" w:eastAsia="宋体" w:hint="default"/>
                <w:sz w:val="18"/>
                <w:szCs w:val="18"/>
              </w:rPr>
              <w:t>未完成履行的具 体原因及下一步 计划</w:t>
            </w:r>
          </w:p>
        </w:tc>
        <w:tc>
          <w:tcPr>
            <w:tcW w:w="81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3"/>
              <w:jc w:val="both"/>
              <w:rPr>
                <w:rFonts w:ascii="宋体" w:hAnsi="宋体" w:cs="宋体" w:eastAsia="宋体" w:hint="default"/>
                <w:sz w:val="18"/>
                <w:szCs w:val="18"/>
              </w:rPr>
            </w:pPr>
            <w:r>
              <w:rPr>
                <w:rFonts w:ascii="宋体" w:hAnsi="宋体" w:cs="宋体" w:eastAsia="宋体" w:hint="default"/>
                <w:sz w:val="18"/>
                <w:szCs w:val="18"/>
              </w:rPr>
              <w:t>是否就导致的同 业竞争和关联交 易问题作出承诺</w:t>
            </w:r>
          </w:p>
        </w:tc>
        <w:tc>
          <w:tcPr>
            <w:tcW w:w="81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81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不存在同业竞争</w:t>
            </w:r>
            <w:r>
              <w:rPr>
                <w:rFonts w:ascii="宋体" w:hAnsi="宋体" w:cs="宋体" w:eastAsia="宋体" w:hint="default"/>
                <w:spacing w:val="-92"/>
                <w:sz w:val="18"/>
                <w:szCs w:val="18"/>
              </w:rPr>
              <w:t>，</w:t>
            </w:r>
            <w:r>
              <w:rPr>
                <w:rFonts w:ascii="宋体" w:hAnsi="宋体" w:cs="宋体" w:eastAsia="宋体" w:hint="default"/>
                <w:sz w:val="18"/>
                <w:szCs w:val="18"/>
              </w:rPr>
              <w:t>关于避免同</w:t>
            </w:r>
            <w:r>
              <w:rPr>
                <w:rFonts w:ascii="宋体" w:hAnsi="宋体" w:cs="宋体" w:eastAsia="宋体" w:hint="default"/>
                <w:spacing w:val="2"/>
                <w:sz w:val="18"/>
                <w:szCs w:val="18"/>
              </w:rPr>
              <w:t>业</w:t>
            </w:r>
            <w:r>
              <w:rPr>
                <w:rFonts w:ascii="宋体" w:hAnsi="宋体" w:cs="宋体" w:eastAsia="宋体" w:hint="default"/>
                <w:sz w:val="18"/>
                <w:szCs w:val="18"/>
              </w:rPr>
              <w:t>竞争的承诺</w:t>
            </w:r>
            <w:r>
              <w:rPr>
                <w:rFonts w:ascii="宋体" w:hAnsi="宋体" w:cs="宋体" w:eastAsia="宋体" w:hint="default"/>
                <w:spacing w:val="-92"/>
                <w:sz w:val="18"/>
                <w:szCs w:val="18"/>
              </w:rPr>
              <w:t>：</w:t>
            </w:r>
            <w:r>
              <w:rPr>
                <w:rFonts w:ascii="宋体" w:hAnsi="宋体" w:cs="宋体" w:eastAsia="宋体" w:hint="default"/>
                <w:sz w:val="18"/>
                <w:szCs w:val="18"/>
              </w:rPr>
              <w:t>公司控股股东电</w:t>
            </w:r>
            <w:r>
              <w:rPr>
                <w:rFonts w:ascii="宋体" w:hAnsi="宋体" w:cs="宋体" w:eastAsia="宋体" w:hint="default"/>
                <w:spacing w:val="2"/>
                <w:sz w:val="18"/>
                <w:szCs w:val="18"/>
              </w:rPr>
              <w:t>信</w:t>
            </w:r>
            <w:r>
              <w:rPr>
                <w:rFonts w:ascii="宋体" w:hAnsi="宋体" w:cs="宋体" w:eastAsia="宋体" w:hint="default"/>
                <w:sz w:val="18"/>
                <w:szCs w:val="18"/>
              </w:rPr>
              <w:t>科学技术研究院</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日和</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日出具了《关于避</w:t>
            </w:r>
            <w:r>
              <w:rPr>
                <w:rFonts w:ascii="宋体" w:hAnsi="宋体" w:cs="宋体" w:eastAsia="宋体" w:hint="default"/>
                <w:spacing w:val="-3"/>
                <w:sz w:val="18"/>
                <w:szCs w:val="18"/>
              </w:rPr>
              <w:t>免</w:t>
            </w:r>
            <w:r>
              <w:rPr>
                <w:rFonts w:ascii="宋体" w:hAnsi="宋体" w:cs="宋体" w:eastAsia="宋体" w:hint="default"/>
                <w:sz w:val="18"/>
                <w:szCs w:val="18"/>
              </w:rPr>
              <w:t>与大唐高鸿数据网络技术股份有限公司存在同业竞争关系的承诺</w:t>
            </w:r>
            <w:r>
              <w:rPr>
                <w:rFonts w:ascii="宋体" w:hAnsi="宋体" w:cs="宋体" w:eastAsia="宋体" w:hint="default"/>
                <w:spacing w:val="1"/>
                <w:sz w:val="18"/>
                <w:szCs w:val="18"/>
              </w:rPr>
              <w:t>函</w:t>
            </w:r>
            <w:r>
              <w:rPr>
                <w:rFonts w:ascii="宋体" w:hAnsi="宋体" w:cs="宋体" w:eastAsia="宋体" w:hint="default"/>
                <w:spacing w:val="-92"/>
                <w:sz w:val="18"/>
                <w:szCs w:val="18"/>
              </w:rPr>
              <w:t>》</w:t>
            </w:r>
            <w:r>
              <w:rPr>
                <w:rFonts w:ascii="宋体" w:hAnsi="宋体" w:cs="宋体" w:eastAsia="宋体" w:hint="default"/>
                <w:sz w:val="18"/>
                <w:szCs w:val="18"/>
              </w:rPr>
              <w:t>，承</w:t>
            </w:r>
          </w:p>
        </w:tc>
      </w:tr>
    </w:tbl>
    <w:p>
      <w:pPr>
        <w:spacing w:after="0" w:line="240" w:lineRule="auto"/>
        <w:jc w:val="left"/>
        <w:rPr>
          <w:rFonts w:ascii="宋体" w:hAnsi="宋体" w:cs="宋体" w:eastAsia="宋体" w:hint="default"/>
          <w:sz w:val="18"/>
          <w:szCs w:val="18"/>
        </w:rPr>
        <w:sectPr>
          <w:footerReference w:type="default" r:id="rId32"/>
          <w:pgSz w:w="11910" w:h="16840"/>
          <w:pgMar w:footer="1340" w:header="877" w:top="1060" w:bottom="1540" w:left="980" w:right="0"/>
          <w:pgNumType w:start="47"/>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8152"/>
      </w:tblGrid>
      <w:tr>
        <w:trPr>
          <w:trHeight w:val="1299"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5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3" w:right="21"/>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诺：目前电信院及下属除发行人外的其它企业与发行人不存在同业竞争关系；同时电信院承诺：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同时电</w:t>
            </w:r>
            <w:r>
              <w:rPr>
                <w:rFonts w:ascii="宋体" w:hAnsi="宋体" w:cs="宋体" w:eastAsia="宋体" w:hint="default"/>
                <w:spacing w:val="-85"/>
                <w:sz w:val="18"/>
                <w:szCs w:val="18"/>
              </w:rPr>
              <w:t> </w:t>
            </w:r>
            <w:r>
              <w:rPr>
                <w:rFonts w:ascii="宋体" w:hAnsi="宋体" w:cs="宋体" w:eastAsia="宋体" w:hint="default"/>
                <w:spacing w:val="-2"/>
                <w:sz w:val="18"/>
                <w:szCs w:val="18"/>
              </w:rPr>
              <w:t>信院承诺：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在本院作为发行人控股股东或第一大股东期间，本院及下属除发行人以外的其他企业将不会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直接或间接参与经营任何与发行人及其控股子公司有竞争的业务，也不会利用对发行人的控股关系做出</w:t>
            </w:r>
            <w:r>
              <w:rPr>
                <w:rFonts w:ascii="宋体" w:hAnsi="宋体" w:cs="宋体" w:eastAsia="宋体" w:hint="default"/>
                <w:sz w:val="18"/>
                <w:szCs w:val="18"/>
              </w:rPr>
              <w:t> 任何有损发行人及其控股子公司利益的行为。</w:t>
            </w:r>
            <w:r>
              <w:rPr>
                <w:rFonts w:ascii="Times New Roman" w:hAnsi="Times New Roman" w:cs="Times New Roman" w:eastAsia="Times New Roman" w:hint="default"/>
                <w:sz w:val="18"/>
                <w:szCs w:val="18"/>
              </w:rPr>
              <w:t>”</w:t>
            </w: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8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8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按期履行无违反承诺情形</w:t>
            </w:r>
          </w:p>
        </w:tc>
      </w:tr>
    </w:tbl>
    <w:p>
      <w:pPr>
        <w:spacing w:line="240" w:lineRule="auto" w:before="10"/>
        <w:rPr>
          <w:rFonts w:ascii="Times New Roman" w:hAnsi="Times New Roman" w:cs="Times New Roman" w:eastAsia="Times New Roman" w:hint="default"/>
          <w:sz w:val="21"/>
          <w:szCs w:val="21"/>
        </w:rPr>
      </w:pPr>
    </w:p>
    <w:p>
      <w:pPr>
        <w:spacing w:line="259" w:lineRule="auto"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pStyle w:val="Heading2"/>
        <w:spacing w:line="240" w:lineRule="auto" w:before="0"/>
        <w:ind w:right="1125"/>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中瑞岳华会计师事务所（特殊普通合伙）</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古小荣、徐宏轩</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2" w:right="6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3"/>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4"/>
        <w:ind w:right="1125" w:firstLine="566"/>
        <w:jc w:val="left"/>
      </w:pPr>
      <w:r>
        <w:rPr>
          <w:spacing w:val="-2"/>
        </w:rPr>
        <w:t>报告期内，公司第七届第九次董事会和</w:t>
      </w:r>
      <w:r>
        <w:rPr>
          <w:rFonts w:ascii="宋体" w:hAnsi="宋体" w:cs="宋体" w:eastAsia="宋体" w:hint="default"/>
          <w:spacing w:val="-2"/>
        </w:rPr>
        <w:t>2012</w:t>
      </w:r>
      <w:r>
        <w:rPr>
          <w:spacing w:val="-2"/>
        </w:rPr>
        <w:t>年第八次临时股东大会审议通过聘任中瑞岳</w:t>
      </w:r>
      <w:r>
        <w:rPr/>
        <w:t> 华会计师事务所（特殊普通合伙）为公司</w:t>
      </w:r>
      <w:r>
        <w:rPr>
          <w:rFonts w:ascii="宋体" w:hAnsi="宋体" w:cs="宋体" w:eastAsia="宋体" w:hint="default"/>
        </w:rPr>
        <w:t>2012</w:t>
      </w:r>
      <w:r>
        <w:rPr/>
        <w:t>年度内部控制审计会计师事务所。</w:t>
      </w:r>
    </w:p>
    <w:p>
      <w:pPr>
        <w:spacing w:line="240" w:lineRule="auto" w:before="11"/>
        <w:rPr>
          <w:rFonts w:ascii="宋体" w:hAnsi="宋体" w:cs="宋体" w:eastAsia="宋体" w:hint="default"/>
          <w:sz w:val="19"/>
          <w:szCs w:val="19"/>
        </w:rPr>
      </w:pPr>
    </w:p>
    <w:p>
      <w:pPr>
        <w:pStyle w:val="Heading2"/>
        <w:spacing w:line="240" w:lineRule="auto" w:before="0"/>
        <w:ind w:right="1125"/>
        <w:jc w:val="left"/>
        <w:rPr>
          <w:b w:val="0"/>
          <w:bCs w:val="0"/>
        </w:rPr>
      </w:pPr>
      <w:r>
        <w:rPr/>
        <w:t>九、处罚及整改情况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9674" w:firstLine="0"/>
        <w:jc w:val="left"/>
        <w:rPr>
          <w:rFonts w:ascii="宋体" w:hAnsi="宋体" w:cs="宋体" w:eastAsia="宋体" w:hint="default"/>
          <w:sz w:val="18"/>
          <w:szCs w:val="18"/>
        </w:rPr>
      </w:pPr>
      <w:r>
        <w:rPr>
          <w:rFonts w:ascii="宋体" w:hAnsi="宋体" w:cs="宋体" w:eastAsia="宋体" w:hint="default"/>
          <w:sz w:val="18"/>
          <w:szCs w:val="18"/>
        </w:rPr>
        <w:t>不涉及 整改情况说明</w:t>
      </w:r>
    </w:p>
    <w:p>
      <w:pPr>
        <w:spacing w:before="27"/>
        <w:ind w:left="152" w:right="1125"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以上的股东涉嫌违规买卖公司股票且公司已披露将收回涉嫌违规所得收益的情况</w:t>
      </w:r>
    </w:p>
    <w:p>
      <w:pPr>
        <w:spacing w:before="102"/>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before="0"/>
        <w:ind w:right="1125"/>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688" w:lineRule="exact" w:before="60"/>
        <w:ind w:left="633" w:right="1125" w:hanging="481"/>
        <w:jc w:val="left"/>
        <w:rPr>
          <w:rFonts w:ascii="宋体" w:hAnsi="宋体" w:cs="宋体" w:eastAsia="宋体" w:hint="default"/>
          <w:sz w:val="24"/>
          <w:szCs w:val="24"/>
        </w:rPr>
      </w:pPr>
      <w:r>
        <w:rPr>
          <w:rFonts w:ascii="宋体" w:hAnsi="宋体" w:cs="宋体" w:eastAsia="宋体" w:hint="default"/>
          <w:b/>
          <w:bCs/>
          <w:sz w:val="24"/>
          <w:szCs w:val="24"/>
        </w:rPr>
        <w:t>十一、其他重大事项的说明</w:t>
      </w:r>
      <w:r>
        <w:rPr>
          <w:rFonts w:ascii="宋体" w:hAnsi="宋体" w:cs="宋体" w:eastAsia="宋体" w:hint="default"/>
          <w:b/>
          <w:bCs/>
          <w:w w:val="99"/>
          <w:sz w:val="24"/>
          <w:szCs w:val="24"/>
        </w:rPr>
        <w:t> </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10</w:t>
      </w:r>
      <w:r>
        <w:rPr>
          <w:rFonts w:ascii="宋体" w:hAnsi="宋体" w:cs="宋体" w:eastAsia="宋体" w:hint="default"/>
          <w:sz w:val="24"/>
          <w:szCs w:val="24"/>
        </w:rPr>
        <w:t>月</w:t>
      </w:r>
      <w:r>
        <w:rPr>
          <w:rFonts w:ascii="宋体" w:hAnsi="宋体" w:cs="宋体" w:eastAsia="宋体" w:hint="default"/>
          <w:sz w:val="24"/>
          <w:szCs w:val="24"/>
        </w:rPr>
        <w:t>08</w:t>
      </w:r>
      <w:r>
        <w:rPr>
          <w:rFonts w:ascii="宋体" w:hAnsi="宋体" w:cs="宋体" w:eastAsia="宋体" w:hint="default"/>
          <w:sz w:val="24"/>
          <w:szCs w:val="24"/>
        </w:rPr>
        <w:t>日，大唐高鸿数据网络技术股份有限公司召开的</w:t>
      </w:r>
      <w:r>
        <w:rPr>
          <w:rFonts w:ascii="宋体" w:hAnsi="宋体" w:cs="宋体" w:eastAsia="宋体" w:hint="default"/>
          <w:sz w:val="24"/>
          <w:szCs w:val="24"/>
        </w:rPr>
        <w:t>2010</w:t>
      </w:r>
      <w:r>
        <w:rPr>
          <w:rFonts w:ascii="宋体" w:hAnsi="宋体" w:cs="宋体" w:eastAsia="宋体" w:hint="default"/>
          <w:sz w:val="24"/>
          <w:szCs w:val="24"/>
        </w:rPr>
        <w:t>年第二次临时股东大</w:t>
      </w:r>
    </w:p>
    <w:p>
      <w:pPr>
        <w:spacing w:after="0" w:line="688" w:lineRule="exact"/>
        <w:jc w:val="left"/>
        <w:rPr>
          <w:rFonts w:ascii="宋体" w:hAnsi="宋体" w:cs="宋体" w:eastAsia="宋体" w:hint="default"/>
          <w:sz w:val="24"/>
          <w:szCs w:val="24"/>
        </w:rPr>
        <w:sectPr>
          <w:pgSz w:w="11910" w:h="16840"/>
          <w:pgMar w:header="877" w:footer="1340" w:top="1060" w:bottom="1540" w:left="980" w:right="0"/>
        </w:sectPr>
      </w:pPr>
    </w:p>
    <w:p>
      <w:pPr>
        <w:spacing w:line="240" w:lineRule="auto" w:before="6"/>
        <w:rPr>
          <w:rFonts w:ascii="宋体" w:hAnsi="宋体" w:cs="宋体" w:eastAsia="宋体" w:hint="default"/>
          <w:sz w:val="29"/>
          <w:szCs w:val="29"/>
        </w:rPr>
      </w:pPr>
    </w:p>
    <w:p>
      <w:pPr>
        <w:pStyle w:val="BodyText"/>
        <w:spacing w:line="357" w:lineRule="auto" w:before="26"/>
        <w:ind w:right="1131"/>
        <w:jc w:val="both"/>
      </w:pPr>
      <w:r>
        <w:rPr/>
        <w:t>会审议通过了《关于公司申请发行短期融资券的议案》，同意公司申请发行总额不超过</w:t>
      </w:r>
      <w:r>
        <w:rPr>
          <w:rFonts w:ascii="宋体" w:hAnsi="宋体" w:cs="宋体" w:eastAsia="宋体" w:hint="default"/>
        </w:rPr>
        <w:t>3</w:t>
      </w:r>
      <w:r>
        <w:rPr>
          <w:rFonts w:ascii="宋体" w:hAnsi="宋体" w:cs="宋体" w:eastAsia="宋体" w:hint="default"/>
          <w:spacing w:val="31"/>
        </w:rPr>
        <w:t> </w:t>
      </w:r>
      <w:r>
        <w:rPr/>
        <w:t>亿</w:t>
      </w:r>
      <w:r>
        <w:rPr>
          <w:spacing w:val="-118"/>
        </w:rPr>
        <w:t> </w:t>
      </w:r>
      <w:r>
        <w:rPr/>
        <w:t>元的短期融资券。公司于</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6</w:t>
      </w:r>
      <w:r>
        <w:rPr/>
        <w:t>日收到中国银行间市场交易商协会发出的《接受注册通</w:t>
      </w:r>
      <w:r>
        <w:rPr>
          <w:spacing w:val="-90"/>
        </w:rPr>
        <w:t> </w:t>
      </w:r>
      <w:r>
        <w:rPr>
          <w:spacing w:val="-90"/>
        </w:rPr>
      </w:r>
      <w:r>
        <w:rPr/>
        <w:t>知书》（中市协注</w:t>
      </w:r>
      <w:r>
        <w:rPr>
          <w:rFonts w:ascii="宋体" w:hAnsi="宋体" w:cs="宋体" w:eastAsia="宋体" w:hint="default"/>
        </w:rPr>
        <w:t>[2011]CP84</w:t>
      </w:r>
      <w:r>
        <w:rPr/>
        <w:t>号）文件，交易商协会接受本公司短期融资券注册，并于</w:t>
      </w:r>
      <w:r>
        <w:rPr>
          <w:rFonts w:ascii="宋体" w:hAnsi="宋体" w:cs="宋体" w:eastAsia="宋体" w:hint="default"/>
        </w:rPr>
        <w:t>2011</w:t>
      </w:r>
      <w:r>
        <w:rPr>
          <w:rFonts w:ascii="宋体" w:hAnsi="宋体" w:cs="宋体" w:eastAsia="宋体" w:hint="default"/>
          <w:spacing w:val="-85"/>
        </w:rPr>
        <w:t> </w:t>
      </w:r>
      <w:r>
        <w:rPr/>
        <w:t>年</w:t>
      </w:r>
      <w:r>
        <w:rPr>
          <w:rFonts w:ascii="宋体" w:hAnsi="宋体" w:cs="宋体" w:eastAsia="宋体" w:hint="default"/>
        </w:rPr>
        <w:t>5</w:t>
      </w:r>
      <w:r>
        <w:rPr/>
        <w:t>月</w:t>
      </w:r>
      <w:r>
        <w:rPr>
          <w:rFonts w:ascii="宋体" w:hAnsi="宋体" w:cs="宋体" w:eastAsia="宋体" w:hint="default"/>
        </w:rPr>
        <w:t>23</w:t>
      </w:r>
      <w:r>
        <w:rPr/>
        <w:t>日完成</w:t>
      </w:r>
      <w:r>
        <w:rPr>
          <w:rFonts w:ascii="宋体" w:hAnsi="宋体" w:cs="宋体" w:eastAsia="宋体" w:hint="default"/>
        </w:rPr>
        <w:t>2011</w:t>
      </w:r>
      <w:r>
        <w:rPr/>
        <w:t>年度第一期短期融资券</w:t>
      </w:r>
      <w:r>
        <w:rPr>
          <w:rFonts w:ascii="宋体" w:hAnsi="宋体" w:cs="宋体" w:eastAsia="宋体" w:hint="default"/>
        </w:rPr>
        <w:t>1.5</w:t>
      </w:r>
      <w:r>
        <w:rPr/>
        <w:t>亿元发行。</w:t>
      </w:r>
    </w:p>
    <w:p>
      <w:pPr>
        <w:spacing w:line="528" w:lineRule="auto" w:before="36"/>
        <w:ind w:left="152" w:right="3434" w:firstLine="480"/>
        <w:jc w:val="left"/>
        <w:rPr>
          <w:rFonts w:ascii="宋体" w:hAnsi="宋体" w:cs="宋体" w:eastAsia="宋体" w:hint="default"/>
          <w:sz w:val="24"/>
          <w:szCs w:val="24"/>
        </w:rPr>
      </w:pPr>
      <w:r>
        <w:rPr>
          <w:rFonts w:ascii="宋体" w:hAnsi="宋体" w:cs="宋体" w:eastAsia="宋体" w:hint="default"/>
          <w:sz w:val="24"/>
          <w:szCs w:val="24"/>
        </w:rPr>
        <w:t>公司已于</w:t>
      </w:r>
      <w:r>
        <w:rPr>
          <w:rFonts w:ascii="宋体" w:hAnsi="宋体" w:cs="宋体" w:eastAsia="宋体" w:hint="default"/>
          <w:sz w:val="24"/>
          <w:szCs w:val="24"/>
        </w:rPr>
        <w:t>2012</w:t>
      </w:r>
      <w:r>
        <w:rPr>
          <w:rFonts w:ascii="宋体" w:hAnsi="宋体" w:cs="宋体" w:eastAsia="宋体" w:hint="default"/>
          <w:sz w:val="24"/>
          <w:szCs w:val="24"/>
        </w:rPr>
        <w:t>年</w:t>
      </w:r>
      <w:r>
        <w:rPr>
          <w:rFonts w:ascii="宋体" w:hAnsi="宋体" w:cs="宋体" w:eastAsia="宋体" w:hint="default"/>
          <w:sz w:val="24"/>
          <w:szCs w:val="24"/>
        </w:rPr>
        <w:t>5</w:t>
      </w:r>
      <w:r>
        <w:rPr>
          <w:rFonts w:ascii="宋体" w:hAnsi="宋体" w:cs="宋体" w:eastAsia="宋体" w:hint="default"/>
          <w:sz w:val="24"/>
          <w:szCs w:val="24"/>
        </w:rPr>
        <w:t>月</w:t>
      </w:r>
      <w:r>
        <w:rPr>
          <w:rFonts w:ascii="宋体" w:hAnsi="宋体" w:cs="宋体" w:eastAsia="宋体" w:hint="default"/>
          <w:sz w:val="24"/>
          <w:szCs w:val="24"/>
        </w:rPr>
        <w:t>23</w:t>
      </w:r>
      <w:r>
        <w:rPr>
          <w:rFonts w:ascii="宋体" w:hAnsi="宋体" w:cs="宋体" w:eastAsia="宋体" w:hint="default"/>
          <w:sz w:val="24"/>
          <w:szCs w:val="24"/>
        </w:rPr>
        <w:t>日归还本金</w:t>
      </w:r>
      <w:r>
        <w:rPr>
          <w:rFonts w:ascii="宋体" w:hAnsi="宋体" w:cs="宋体" w:eastAsia="宋体" w:hint="default"/>
          <w:sz w:val="24"/>
          <w:szCs w:val="24"/>
        </w:rPr>
        <w:t>1.5</w:t>
      </w:r>
      <w:r>
        <w:rPr>
          <w:rFonts w:ascii="宋体" w:hAnsi="宋体" w:cs="宋体" w:eastAsia="宋体" w:hint="default"/>
          <w:sz w:val="24"/>
          <w:szCs w:val="24"/>
        </w:rPr>
        <w:t>亿元，并支付利息</w:t>
      </w:r>
      <w:r>
        <w:rPr>
          <w:rFonts w:ascii="宋体" w:hAnsi="宋体" w:cs="宋体" w:eastAsia="宋体" w:hint="default"/>
          <w:sz w:val="24"/>
          <w:szCs w:val="24"/>
        </w:rPr>
        <w:t>870</w:t>
      </w:r>
      <w:r>
        <w:rPr>
          <w:rFonts w:ascii="宋体" w:hAnsi="宋体" w:cs="宋体" w:eastAsia="宋体" w:hint="default"/>
          <w:sz w:val="24"/>
          <w:szCs w:val="24"/>
        </w:rPr>
        <w:t>万元。 </w:t>
      </w:r>
      <w:r>
        <w:rPr>
          <w:rFonts w:ascii="宋体" w:hAnsi="宋体" w:cs="宋体" w:eastAsia="宋体" w:hint="default"/>
          <w:b/>
          <w:bCs/>
          <w:sz w:val="24"/>
          <w:szCs w:val="24"/>
        </w:rPr>
        <w:t>十二、公司子公司重要事项</w:t>
      </w:r>
      <w:r>
        <w:rPr>
          <w:rFonts w:ascii="宋体" w:hAnsi="宋体" w:cs="宋体" w:eastAsia="宋体" w:hint="default"/>
          <w:sz w:val="24"/>
          <w:szCs w:val="24"/>
        </w:rPr>
      </w:r>
    </w:p>
    <w:p>
      <w:pPr>
        <w:pStyle w:val="BodyText"/>
        <w:spacing w:line="357" w:lineRule="auto" w:before="89"/>
        <w:ind w:right="1125" w:firstLine="566"/>
        <w:jc w:val="left"/>
      </w:pPr>
      <w:r>
        <w:rPr/>
        <w:t>（</w:t>
      </w:r>
      <w:r>
        <w:rPr>
          <w:rFonts w:ascii="宋体" w:hAnsi="宋体" w:cs="宋体" w:eastAsia="宋体" w:hint="default"/>
        </w:rPr>
        <w:t>1</w:t>
      </w:r>
      <w:r>
        <w:rPr/>
        <w:t>）经公司第七届八次董事会审议通过并经</w:t>
      </w:r>
      <w:r>
        <w:rPr>
          <w:rFonts w:ascii="宋体" w:hAnsi="宋体" w:cs="宋体" w:eastAsia="宋体" w:hint="default"/>
        </w:rPr>
        <w:t>2012</w:t>
      </w:r>
      <w:r>
        <w:rPr/>
        <w:t>年第八次临时股东大会审议批准，公</w:t>
      </w:r>
      <w:r>
        <w:rPr>
          <w:spacing w:val="2"/>
        </w:rPr>
        <w:t> </w:t>
      </w:r>
      <w:r>
        <w:rPr/>
        <w:t>司全资子公司高鸿有限向母公司现金分红</w:t>
      </w:r>
      <w:r>
        <w:rPr>
          <w:rFonts w:ascii="宋体" w:hAnsi="宋体" w:cs="宋体" w:eastAsia="宋体" w:hint="default"/>
        </w:rPr>
        <w:t>2.3</w:t>
      </w:r>
      <w:r>
        <w:rPr/>
        <w:t>亿元。</w:t>
      </w:r>
    </w:p>
    <w:p>
      <w:pPr>
        <w:spacing w:line="528" w:lineRule="auto" w:before="36"/>
        <w:ind w:left="152" w:right="2508" w:firstLine="566"/>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）经公司全资子公司高鸿软件股东决议向母公司现金分红</w:t>
      </w:r>
      <w:r>
        <w:rPr>
          <w:rFonts w:ascii="宋体" w:hAnsi="宋体" w:cs="宋体" w:eastAsia="宋体" w:hint="default"/>
          <w:sz w:val="24"/>
          <w:szCs w:val="24"/>
        </w:rPr>
        <w:t>1,500</w:t>
      </w:r>
      <w:r>
        <w:rPr>
          <w:rFonts w:ascii="宋体" w:hAnsi="宋体" w:cs="宋体" w:eastAsia="宋体" w:hint="default"/>
          <w:sz w:val="24"/>
          <w:szCs w:val="24"/>
        </w:rPr>
        <w:t>万元。 </w:t>
      </w:r>
      <w:r>
        <w:rPr>
          <w:rFonts w:ascii="宋体" w:hAnsi="宋体" w:cs="宋体" w:eastAsia="宋体" w:hint="default"/>
          <w:b/>
          <w:bCs/>
          <w:sz w:val="24"/>
          <w:szCs w:val="24"/>
        </w:rPr>
        <w:t>十三、公司发行公司债券的情况</w:t>
      </w:r>
      <w:r>
        <w:rPr>
          <w:rFonts w:ascii="宋体" w:hAnsi="宋体" w:cs="宋体" w:eastAsia="宋体" w:hint="default"/>
          <w:sz w:val="24"/>
          <w:szCs w:val="24"/>
        </w:rPr>
      </w:r>
    </w:p>
    <w:p>
      <w:pPr>
        <w:spacing w:before="56"/>
        <w:ind w:left="152"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after="0"/>
        <w:jc w:val="both"/>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24" w:right="0"/>
        <w:jc w:val="left"/>
        <w:rPr>
          <w:b w:val="0"/>
          <w:bCs w:val="0"/>
        </w:rPr>
      </w:pPr>
      <w:bookmarkStart w:name="_TOC_250005" w:id="6"/>
      <w:r>
        <w:rPr/>
        <w:t>第六节</w:t>
      </w:r>
      <w:r>
        <w:rPr>
          <w:spacing w:val="-5"/>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left="412" w:right="0"/>
        <w:jc w:val="left"/>
        <w:rPr>
          <w:b w:val="0"/>
          <w:bCs w:val="0"/>
        </w:rPr>
      </w:pPr>
      <w:r>
        <w:rPr/>
        <w:t>一、股份变动情况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2009"/>
        <w:gridCol w:w="1034"/>
        <w:gridCol w:w="845"/>
        <w:gridCol w:w="1008"/>
        <w:gridCol w:w="908"/>
        <w:gridCol w:w="842"/>
        <w:gridCol w:w="842"/>
        <w:gridCol w:w="997"/>
        <w:gridCol w:w="965"/>
        <w:gridCol w:w="814"/>
      </w:tblGrid>
      <w:tr>
        <w:trPr>
          <w:trHeight w:val="401" w:hRule="exact"/>
        </w:trPr>
        <w:tc>
          <w:tcPr>
            <w:tcW w:w="20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9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0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103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tcBorders>
              <w:top w:val="single" w:sz="4" w:space="0" w:color="000000"/>
              <w:left w:val="single" w:sz="4" w:space="0" w:color="000000"/>
              <w:bottom w:val="nil" w:sz="6" w:space="0" w:color="auto"/>
              <w:right w:val="single" w:sz="4" w:space="0" w:color="000000"/>
            </w:tcBorders>
            <w:shd w:val="clear" w:color="auto" w:fill="D2D2D2"/>
          </w:tcPr>
          <w:p>
            <w:pPr/>
          </w:p>
        </w:tc>
        <w:tc>
          <w:tcPr>
            <w:tcW w:w="9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7" w:type="dxa"/>
            <w:tcBorders>
              <w:top w:val="single" w:sz="4" w:space="0" w:color="000000"/>
              <w:left w:val="single" w:sz="4" w:space="0" w:color="000000"/>
              <w:bottom w:val="nil" w:sz="6" w:space="0" w:color="auto"/>
              <w:right w:val="single" w:sz="4" w:space="0" w:color="000000"/>
            </w:tcBorders>
            <w:shd w:val="clear" w:color="auto" w:fill="D2D2D2"/>
          </w:tcPr>
          <w:p>
            <w:pPr/>
          </w:p>
        </w:tc>
        <w:tc>
          <w:tcPr>
            <w:tcW w:w="9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09" w:type="dxa"/>
            <w:vMerge/>
            <w:tcBorders>
              <w:left w:val="single" w:sz="4" w:space="0" w:color="000000"/>
              <w:bottom w:val="nil" w:sz="6" w:space="0" w:color="auto"/>
              <w:right w:val="single" w:sz="4" w:space="0" w:color="000000"/>
            </w:tcBorders>
            <w:shd w:val="clear" w:color="auto" w:fill="D2D2D2"/>
          </w:tcPr>
          <w:p>
            <w:pPr/>
          </w:p>
        </w:tc>
        <w:tc>
          <w:tcPr>
            <w:tcW w:w="10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1034"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1008" w:type="dxa"/>
            <w:vMerge/>
            <w:tcBorders>
              <w:left w:val="single" w:sz="4" w:space="0" w:color="000000"/>
              <w:bottom w:val="nil" w:sz="6" w:space="0" w:color="auto"/>
              <w:right w:val="single" w:sz="4" w:space="0" w:color="000000"/>
            </w:tcBorders>
            <w:shd w:val="clear" w:color="auto" w:fill="D2D2D2"/>
          </w:tcPr>
          <w:p>
            <w:pPr/>
          </w:p>
        </w:tc>
        <w:tc>
          <w:tcPr>
            <w:tcW w:w="908"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997" w:type="dxa"/>
            <w:vMerge/>
            <w:tcBorders>
              <w:left w:val="single" w:sz="4" w:space="0" w:color="000000"/>
              <w:bottom w:val="nil" w:sz="6" w:space="0" w:color="auto"/>
              <w:right w:val="single" w:sz="4" w:space="0" w:color="000000"/>
            </w:tcBorders>
            <w:shd w:val="clear" w:color="auto" w:fill="D2D2D2"/>
          </w:tcPr>
          <w:p>
            <w:pPr/>
          </w:p>
        </w:tc>
        <w:tc>
          <w:tcPr>
            <w:tcW w:w="96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09" w:type="dxa"/>
            <w:vMerge/>
            <w:tcBorders>
              <w:left w:val="single" w:sz="4" w:space="0" w:color="000000"/>
              <w:bottom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tcBorders>
              <w:top w:val="nil" w:sz="6" w:space="0" w:color="auto"/>
              <w:left w:val="single" w:sz="4" w:space="0" w:color="000000"/>
              <w:bottom w:val="single" w:sz="4" w:space="0" w:color="000000"/>
              <w:right w:val="single" w:sz="4" w:space="0" w:color="000000"/>
            </w:tcBorders>
            <w:shd w:val="clear" w:color="auto" w:fill="D2D2D2"/>
          </w:tcPr>
          <w:p>
            <w:pPr/>
          </w:p>
        </w:tc>
        <w:tc>
          <w:tcPr>
            <w:tcW w:w="9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7" w:type="dxa"/>
            <w:tcBorders>
              <w:top w:val="nil" w:sz="6" w:space="0" w:color="auto"/>
              <w:left w:val="single" w:sz="4" w:space="0" w:color="000000"/>
              <w:bottom w:val="single" w:sz="4" w:space="0" w:color="000000"/>
              <w:right w:val="single" w:sz="4" w:space="0" w:color="000000"/>
            </w:tcBorders>
            <w:shd w:val="clear" w:color="auto" w:fill="D2D2D2"/>
          </w:tcPr>
          <w:p>
            <w:pPr/>
          </w:p>
        </w:tc>
        <w:tc>
          <w:tcPr>
            <w:tcW w:w="9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12,112,413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183,040,000</w:t>
            </w:r>
          </w:p>
        </w:tc>
        <w:tc>
          <w:tcPr>
            <w:tcW w:w="90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90,298</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183,130,298</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195,242,711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37.84%</w:t>
            </w:r>
          </w:p>
        </w:tc>
      </w:tr>
      <w:tr>
        <w:trPr>
          <w:trHeight w:val="404"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34" w:type="dxa"/>
            <w:tcBorders>
              <w:top w:val="single" w:sz="4" w:space="0" w:color="000000"/>
              <w:left w:val="single" w:sz="10"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center"/>
              <w:rPr>
                <w:rFonts w:ascii="Times New Roman" w:hAnsi="Times New Roman" w:cs="Times New Roman" w:eastAsia="Times New Roman" w:hint="default"/>
                <w:sz w:val="18"/>
                <w:szCs w:val="18"/>
              </w:rPr>
            </w:pPr>
            <w:r>
              <w:rPr>
                <w:rFonts w:ascii="Times New Roman"/>
                <w:sz w:val="18"/>
              </w:rPr>
              <w:t>73,200,000</w:t>
            </w:r>
          </w:p>
        </w:tc>
        <w:tc>
          <w:tcPr>
            <w:tcW w:w="90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15.85%</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3,464,479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109,840,000</w:t>
            </w:r>
          </w:p>
        </w:tc>
        <w:tc>
          <w:tcPr>
            <w:tcW w:w="90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109,840,000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113,304,479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21.96%</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3,292,879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109,840,000</w:t>
            </w:r>
          </w:p>
        </w:tc>
        <w:tc>
          <w:tcPr>
            <w:tcW w:w="90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109,554,000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112,846,879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21.87%</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0.05%</w:t>
            </w:r>
          </w:p>
        </w:tc>
        <w:tc>
          <w:tcPr>
            <w:tcW w:w="100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457,600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0.09%</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34" w:type="dxa"/>
            <w:tcBorders>
              <w:top w:val="single" w:sz="4" w:space="0" w:color="000000"/>
              <w:left w:val="single" w:sz="10"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34" w:type="dxa"/>
            <w:tcBorders>
              <w:top w:val="single" w:sz="4" w:space="0" w:color="000000"/>
              <w:left w:val="single" w:sz="10"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034" w:type="dxa"/>
            <w:tcBorders>
              <w:top w:val="single" w:sz="4" w:space="0" w:color="000000"/>
              <w:left w:val="single" w:sz="10"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47,934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100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90,298</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90,298</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138,232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320,787,587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96.36%</w:t>
            </w:r>
          </w:p>
        </w:tc>
        <w:tc>
          <w:tcPr>
            <w:tcW w:w="100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-90,298</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-90,298</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320,697,289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62.16%</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320,787,587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96.36%</w:t>
            </w:r>
          </w:p>
        </w:tc>
        <w:tc>
          <w:tcPr>
            <w:tcW w:w="100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-90,298</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-90,298</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320,697,289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62.16%</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34" w:type="dxa"/>
            <w:tcBorders>
              <w:top w:val="single" w:sz="4" w:space="0" w:color="000000"/>
              <w:left w:val="single" w:sz="10"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34" w:type="dxa"/>
            <w:tcBorders>
              <w:top w:val="single" w:sz="4" w:space="0" w:color="000000"/>
              <w:left w:val="single" w:sz="10"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34" w:type="dxa"/>
            <w:tcBorders>
              <w:top w:val="single" w:sz="4" w:space="0" w:color="000000"/>
              <w:left w:val="single" w:sz="10"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332,900,000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183,040,000</w:t>
            </w:r>
          </w:p>
        </w:tc>
        <w:tc>
          <w:tcPr>
            <w:tcW w:w="90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183,040,000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515,940,000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spacing w:before="49"/>
        <w:ind w:left="41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pStyle w:val="BodyText"/>
        <w:spacing w:line="240" w:lineRule="auto" w:before="145"/>
        <w:ind w:left="979" w:right="0"/>
        <w:jc w:val="left"/>
      </w:pPr>
      <w:r>
        <w:rPr>
          <w:rFonts w:ascii="宋体" w:hAnsi="宋体" w:cs="宋体" w:eastAsia="宋体" w:hint="default"/>
        </w:rPr>
        <w:t>1.</w:t>
      </w:r>
      <w:r>
        <w:rPr/>
        <w:t>发行新股情况，报告期内公司新增非公开发行股份</w:t>
      </w:r>
      <w:r>
        <w:rPr>
          <w:rFonts w:ascii="宋体" w:hAnsi="宋体" w:cs="宋体" w:eastAsia="宋体" w:hint="default"/>
        </w:rPr>
        <w:t>18,304</w:t>
      </w:r>
      <w:r>
        <w:rPr/>
        <w:t>万股。</w:t>
      </w:r>
    </w:p>
    <w:p>
      <w:pPr>
        <w:pStyle w:val="BodyText"/>
        <w:spacing w:line="357" w:lineRule="auto" w:before="154"/>
        <w:ind w:left="412" w:right="1049" w:firstLine="566"/>
        <w:jc w:val="both"/>
      </w:pPr>
      <w:r>
        <w:rPr>
          <w:rFonts w:ascii="宋体" w:hAnsi="宋体" w:cs="宋体" w:eastAsia="宋体" w:hint="default"/>
        </w:rPr>
        <w:t>2.</w:t>
      </w:r>
      <w:r>
        <w:rPr/>
        <w:t>根据深圳市罗湖区人民法院民事判决书</w:t>
      </w:r>
      <w:r>
        <w:rPr>
          <w:rFonts w:ascii="宋体" w:hAnsi="宋体" w:cs="宋体" w:eastAsia="宋体" w:hint="default"/>
        </w:rPr>
        <w:t>2010</w:t>
      </w:r>
      <w:r>
        <w:rPr/>
        <w:t>深罗法民</w:t>
      </w:r>
      <w:r>
        <w:rPr>
          <w:rFonts w:ascii="宋体" w:hAnsi="宋体" w:cs="宋体" w:eastAsia="宋体" w:hint="default"/>
        </w:rPr>
        <w:t>2</w:t>
      </w:r>
      <w:r>
        <w:rPr/>
        <w:t>初字第</w:t>
      </w:r>
      <w:r>
        <w:rPr>
          <w:rFonts w:ascii="宋体" w:hAnsi="宋体" w:cs="宋体" w:eastAsia="宋体" w:hint="default"/>
        </w:rPr>
        <w:t>6846</w:t>
      </w:r>
      <w:r>
        <w:rPr/>
        <w:t>号至</w:t>
      </w:r>
      <w:r>
        <w:rPr>
          <w:rFonts w:ascii="宋体" w:hAnsi="宋体" w:cs="宋体" w:eastAsia="宋体" w:hint="default"/>
        </w:rPr>
        <w:t>6849</w:t>
      </w:r>
      <w:r>
        <w:rPr/>
        <w:t>号，将中</w:t>
      </w:r>
      <w:r>
        <w:rPr>
          <w:spacing w:val="2"/>
        </w:rPr>
        <w:t> </w:t>
      </w:r>
      <w:r>
        <w:rPr/>
        <w:t>国磨料磨具进出口深圳公司招待所持有的</w:t>
      </w:r>
      <w:r>
        <w:rPr>
          <w:rFonts w:ascii="宋体" w:hAnsi="宋体" w:cs="宋体" w:eastAsia="宋体" w:hint="default"/>
        </w:rPr>
        <w:t>286,000</w:t>
      </w:r>
      <w:r>
        <w:rPr/>
        <w:t>股限售股份分别判定给李振坤</w:t>
      </w:r>
      <w:r>
        <w:rPr>
          <w:rFonts w:ascii="宋体" w:hAnsi="宋体" w:cs="宋体" w:eastAsia="宋体" w:hint="default"/>
        </w:rPr>
        <w:t>138,913</w:t>
      </w:r>
      <w:r>
        <w:rPr/>
        <w:t>股，</w:t>
      </w:r>
      <w:r>
        <w:rPr>
          <w:spacing w:val="-84"/>
        </w:rPr>
        <w:t> </w:t>
      </w:r>
      <w:r>
        <w:rPr/>
        <w:t>吕忠智</w:t>
      </w:r>
      <w:r>
        <w:rPr>
          <w:rFonts w:ascii="宋体" w:hAnsi="宋体" w:cs="宋体" w:eastAsia="宋体" w:hint="default"/>
        </w:rPr>
        <w:t>85,800</w:t>
      </w:r>
      <w:r>
        <w:rPr/>
        <w:t>股，郭爱伟</w:t>
      </w:r>
      <w:r>
        <w:rPr>
          <w:rFonts w:ascii="宋体" w:hAnsi="宋体" w:cs="宋体" w:eastAsia="宋体" w:hint="default"/>
        </w:rPr>
        <w:t>12,261</w:t>
      </w:r>
      <w:r>
        <w:rPr/>
        <w:t>股和秦俭</w:t>
      </w:r>
      <w:r>
        <w:rPr>
          <w:rFonts w:ascii="宋体" w:hAnsi="宋体" w:cs="宋体" w:eastAsia="宋体" w:hint="default"/>
        </w:rPr>
        <w:t>49,026</w:t>
      </w:r>
      <w:r>
        <w:rPr/>
        <w:t>股，以上股份共计</w:t>
      </w:r>
      <w:r>
        <w:rPr>
          <w:rFonts w:ascii="宋体" w:hAnsi="宋体" w:cs="宋体" w:eastAsia="宋体" w:hint="default"/>
        </w:rPr>
        <w:t>286,000</w:t>
      </w:r>
      <w:r>
        <w:rPr/>
        <w:t>股尚未解除限售。</w:t>
      </w:r>
    </w:p>
    <w:p>
      <w:pPr>
        <w:pStyle w:val="BodyText"/>
        <w:spacing w:line="357" w:lineRule="auto" w:before="36"/>
        <w:ind w:left="412" w:right="1131" w:firstLine="566"/>
        <w:jc w:val="both"/>
      </w:pPr>
      <w:r>
        <w:rPr>
          <w:rFonts w:ascii="宋体" w:hAnsi="宋体" w:cs="宋体" w:eastAsia="宋体" w:hint="default"/>
          <w:spacing w:val="-2"/>
        </w:rPr>
        <w:t>3.2011</w:t>
      </w:r>
      <w:r>
        <w:rPr>
          <w:spacing w:val="-2"/>
        </w:rPr>
        <w:t>年，公司高级管理人员持股为</w:t>
      </w:r>
      <w:r>
        <w:rPr>
          <w:rFonts w:ascii="宋体" w:hAnsi="宋体" w:cs="宋体" w:eastAsia="宋体" w:hint="default"/>
          <w:spacing w:val="-2"/>
        </w:rPr>
        <w:t>55,709</w:t>
      </w:r>
      <w:r>
        <w:rPr>
          <w:spacing w:val="-2"/>
        </w:rPr>
        <w:t>股，报告期内，公司聘任张新中先生任公司</w:t>
      </w:r>
      <w:r>
        <w:rPr/>
        <w:t> 副总经理，张新中先生原持有公司股份</w:t>
      </w:r>
      <w:r>
        <w:rPr>
          <w:rFonts w:ascii="宋体" w:hAnsi="宋体" w:cs="宋体" w:eastAsia="宋体" w:hint="default"/>
        </w:rPr>
        <w:t>11,700</w:t>
      </w:r>
      <w:r>
        <w:rPr/>
        <w:t>股，报告期内，公司董事长、总经理付景林先</w:t>
      </w:r>
      <w:r>
        <w:rPr>
          <w:spacing w:val="-89"/>
        </w:rPr>
        <w:t> </w:t>
      </w:r>
      <w:r>
        <w:rPr>
          <w:spacing w:val="-89"/>
        </w:rPr>
      </w:r>
      <w:r>
        <w:rPr>
          <w:spacing w:val="5"/>
        </w:rPr>
        <w:t>生通过二级市场增持公司股票</w:t>
      </w:r>
      <w:r>
        <w:rPr>
          <w:rFonts w:ascii="宋体" w:hAnsi="宋体" w:cs="宋体" w:eastAsia="宋体" w:hint="default"/>
          <w:spacing w:val="5"/>
        </w:rPr>
        <w:t>40,000</w:t>
      </w:r>
      <w:r>
        <w:rPr>
          <w:spacing w:val="5"/>
        </w:rPr>
        <w:t>股，副总经理侯玉成先生通过二级市场增持公司股票</w:t>
      </w:r>
      <w:r>
        <w:rPr>
          <w:spacing w:val="-85"/>
        </w:rPr>
        <w:t> </w:t>
      </w:r>
      <w:r>
        <w:rPr>
          <w:spacing w:val="-85"/>
        </w:rPr>
      </w:r>
      <w:r>
        <w:rPr>
          <w:rFonts w:ascii="宋体" w:hAnsi="宋体" w:cs="宋体" w:eastAsia="宋体" w:hint="default"/>
        </w:rPr>
        <w:t>20,000</w:t>
      </w:r>
      <w:r>
        <w:rPr/>
        <w:t>股，副总经理、董事会秘书王芊先生通过二级市场增持公司股票</w:t>
      </w:r>
      <w:r>
        <w:rPr>
          <w:rFonts w:ascii="宋体" w:hAnsi="宋体" w:cs="宋体" w:eastAsia="宋体" w:hint="default"/>
        </w:rPr>
        <w:t>13,400</w:t>
      </w:r>
      <w:r>
        <w:rPr/>
        <w:t>股，公司副总</w:t>
      </w:r>
    </w:p>
    <w:p>
      <w:pPr>
        <w:spacing w:after="0" w:line="357" w:lineRule="auto"/>
        <w:jc w:val="both"/>
        <w:sectPr>
          <w:pgSz w:w="11910" w:h="16840"/>
          <w:pgMar w:header="877" w:footer="1340" w:top="1060" w:bottom="1540" w:left="720" w:right="0"/>
        </w:sectPr>
      </w:pPr>
    </w:p>
    <w:p>
      <w:pPr>
        <w:spacing w:line="240" w:lineRule="auto" w:before="6"/>
        <w:rPr>
          <w:rFonts w:ascii="宋体" w:hAnsi="宋体" w:cs="宋体" w:eastAsia="宋体" w:hint="default"/>
          <w:sz w:val="29"/>
          <w:szCs w:val="29"/>
        </w:rPr>
      </w:pPr>
    </w:p>
    <w:p>
      <w:pPr>
        <w:pStyle w:val="BodyText"/>
        <w:spacing w:line="357" w:lineRule="auto" w:before="26"/>
        <w:ind w:right="1131"/>
        <w:jc w:val="both"/>
      </w:pPr>
      <w:r>
        <w:rPr/>
        <w:t>经理刘雪峰先生通过二级市场增持公司股票</w:t>
      </w:r>
      <w:r>
        <w:rPr>
          <w:rFonts w:ascii="宋体" w:hAnsi="宋体" w:cs="宋体" w:eastAsia="宋体" w:hint="default"/>
        </w:rPr>
        <w:t>10,000</w:t>
      </w:r>
      <w:r>
        <w:rPr/>
        <w:t>股，公司副总经理赵德胜先生通过二级市</w:t>
      </w:r>
      <w:r>
        <w:rPr>
          <w:spacing w:val="-89"/>
        </w:rPr>
        <w:t> </w:t>
      </w:r>
      <w:r>
        <w:rPr>
          <w:spacing w:val="-89"/>
        </w:rPr>
      </w:r>
      <w:r>
        <w:rPr/>
        <w:t>场增持公司股票</w:t>
      </w:r>
      <w:r>
        <w:rPr>
          <w:rFonts w:ascii="宋体" w:hAnsi="宋体" w:cs="宋体" w:eastAsia="宋体" w:hint="default"/>
        </w:rPr>
        <w:t>15,000</w:t>
      </w:r>
      <w:r>
        <w:rPr/>
        <w:t>股，公司副总经理张新中先生通过二级市场增持公司股票</w:t>
      </w:r>
      <w:r>
        <w:rPr>
          <w:rFonts w:ascii="宋体" w:hAnsi="宋体" w:cs="宋体" w:eastAsia="宋体" w:hint="default"/>
        </w:rPr>
        <w:t>18,600</w:t>
      </w:r>
      <w:r>
        <w:rPr/>
        <w:t>股。</w:t>
      </w:r>
      <w:r>
        <w:rPr>
          <w:spacing w:val="-86"/>
        </w:rPr>
        <w:t> </w:t>
      </w:r>
      <w:r>
        <w:rPr/>
        <w:t>截至报告期末，公司高级管理人员持股为</w:t>
      </w:r>
      <w:r>
        <w:rPr>
          <w:rFonts w:ascii="宋体" w:hAnsi="宋体" w:cs="宋体" w:eastAsia="宋体" w:hint="default"/>
        </w:rPr>
        <w:t>184,409</w:t>
      </w:r>
      <w:r>
        <w:rPr/>
        <w:t>股，其中公司监事姚印杰先生持有的</w:t>
      </w:r>
      <w:r>
        <w:rPr>
          <w:rFonts w:ascii="宋体" w:hAnsi="宋体" w:cs="宋体" w:eastAsia="宋体" w:hint="default"/>
        </w:rPr>
        <w:t>100</w:t>
      </w:r>
      <w:r>
        <w:rPr/>
        <w:t>股</w:t>
      </w:r>
      <w:r>
        <w:rPr>
          <w:spacing w:val="-85"/>
        </w:rPr>
        <w:t> </w:t>
      </w:r>
      <w:r>
        <w:rPr>
          <w:spacing w:val="3"/>
        </w:rPr>
        <w:t>全部为无限售条件流通股，故本报告期末公司高级管理人员持有限售条件流通股为</w:t>
      </w:r>
      <w:r>
        <w:rPr>
          <w:rFonts w:ascii="宋体" w:hAnsi="宋体" w:cs="宋体" w:eastAsia="宋体" w:hint="default"/>
          <w:spacing w:val="3"/>
        </w:rPr>
        <w:t>138,232</w:t>
      </w:r>
      <w:r>
        <w:rPr>
          <w:rFonts w:ascii="宋体" w:hAnsi="宋体" w:cs="宋体" w:eastAsia="宋体" w:hint="default"/>
          <w:spacing w:val="-116"/>
        </w:rPr>
        <w:t> </w:t>
      </w:r>
      <w:r>
        <w:rPr/>
        <w:t>股。</w:t>
      </w:r>
    </w:p>
    <w:p>
      <w:pPr>
        <w:spacing w:before="125"/>
        <w:ind w:left="152" w:right="0" w:firstLine="0"/>
        <w:jc w:val="both"/>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240" w:lineRule="auto" w:before="8"/>
        <w:rPr>
          <w:rFonts w:ascii="宋体" w:hAnsi="宋体" w:cs="宋体" w:eastAsia="宋体" w:hint="default"/>
          <w:sz w:val="14"/>
          <w:szCs w:val="14"/>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4"/>
        <w:ind w:right="1132" w:firstLine="566"/>
        <w:jc w:val="both"/>
      </w:pPr>
      <w:r>
        <w:rPr>
          <w:spacing w:val="3"/>
        </w:rPr>
        <w:t>公司根据</w:t>
      </w:r>
      <w:r>
        <w:rPr>
          <w:rFonts w:ascii="宋体" w:hAnsi="宋体" w:cs="宋体" w:eastAsia="宋体" w:hint="default"/>
          <w:spacing w:val="3"/>
        </w:rPr>
        <w:t>2011</w:t>
      </w:r>
      <w:r>
        <w:rPr>
          <w:spacing w:val="3"/>
        </w:rPr>
        <w:t>年第三次临时股东大会决议和</w:t>
      </w:r>
      <w:r>
        <w:rPr>
          <w:rFonts w:ascii="宋体" w:hAnsi="宋体" w:cs="宋体" w:eastAsia="宋体" w:hint="default"/>
          <w:spacing w:val="3"/>
        </w:rPr>
        <w:t>2012</w:t>
      </w:r>
      <w:r>
        <w:rPr>
          <w:spacing w:val="3"/>
        </w:rPr>
        <w:t>年第二次临时股东大会决议中国证券</w:t>
      </w:r>
      <w:r>
        <w:rPr/>
        <w:t> </w:t>
      </w:r>
      <w:r>
        <w:rPr>
          <w:spacing w:val="-5"/>
        </w:rPr>
        <w:t>监督管理委员会《关于核准大唐高鸿数据网络技术股份有限公司非公开发行股票的批复》（证</w:t>
      </w:r>
      <w:r>
        <w:rPr>
          <w:spacing w:val="-118"/>
        </w:rPr>
        <w:t> </w:t>
      </w:r>
      <w:r>
        <w:rPr>
          <w:spacing w:val="-118"/>
        </w:rPr>
      </w:r>
      <w:r>
        <w:rPr>
          <w:spacing w:val="-2"/>
        </w:rPr>
        <w:t>监许可</w:t>
      </w:r>
      <w:r>
        <w:rPr>
          <w:rFonts w:ascii="宋体" w:hAnsi="宋体" w:cs="宋体" w:eastAsia="宋体" w:hint="default"/>
          <w:spacing w:val="-2"/>
        </w:rPr>
        <w:t>[2012]690</w:t>
      </w:r>
      <w:r>
        <w:rPr>
          <w:spacing w:val="-2"/>
        </w:rPr>
        <w:t>号）的批复，</w:t>
      </w:r>
      <w:r>
        <w:rPr>
          <w:rFonts w:ascii="宋体" w:hAnsi="宋体" w:cs="宋体" w:eastAsia="宋体" w:hint="default"/>
          <w:spacing w:val="-2"/>
        </w:rPr>
        <w:t>2012</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21</w:t>
      </w:r>
      <w:r>
        <w:rPr>
          <w:spacing w:val="-2"/>
        </w:rPr>
        <w:t>日我公司采取非公开发行股票方式向电信科学技</w:t>
      </w:r>
      <w:r>
        <w:rPr>
          <w:spacing w:val="-104"/>
        </w:rPr>
        <w:t> </w:t>
      </w:r>
      <w:r>
        <w:rPr/>
        <w:t>术研究院及其他特定对象以发行价</w:t>
      </w:r>
      <w:r>
        <w:rPr>
          <w:rFonts w:ascii="宋体" w:hAnsi="宋体" w:cs="宋体" w:eastAsia="宋体" w:hint="default"/>
        </w:rPr>
        <w:t>6.12</w:t>
      </w:r>
      <w:r>
        <w:rPr/>
        <w:t>元</w:t>
      </w:r>
      <w:r>
        <w:rPr>
          <w:rFonts w:ascii="宋体" w:hAnsi="宋体" w:cs="宋体" w:eastAsia="宋体" w:hint="default"/>
        </w:rPr>
        <w:t>/</w:t>
      </w:r>
      <w:r>
        <w:rPr/>
        <w:t>股，发行股份</w:t>
      </w:r>
      <w:r>
        <w:rPr>
          <w:rFonts w:ascii="宋体" w:hAnsi="宋体" w:cs="宋体" w:eastAsia="宋体" w:hint="default"/>
        </w:rPr>
        <w:t>18,304</w:t>
      </w:r>
      <w:r>
        <w:rPr/>
        <w:t>万股。</w:t>
      </w:r>
    </w:p>
    <w:p>
      <w:pPr>
        <w:spacing w:before="46"/>
        <w:ind w:left="152" w:right="0" w:firstLine="0"/>
        <w:jc w:val="both"/>
        <w:rPr>
          <w:rFonts w:ascii="宋体" w:hAnsi="宋体" w:cs="宋体" w:eastAsia="宋体" w:hint="default"/>
          <w:sz w:val="18"/>
          <w:szCs w:val="18"/>
        </w:rPr>
      </w:pPr>
      <w:r>
        <w:rPr>
          <w:rFonts w:ascii="宋体" w:hAnsi="宋体" w:cs="宋体" w:eastAsia="宋体" w:hint="default"/>
          <w:sz w:val="18"/>
          <w:szCs w:val="18"/>
        </w:rPr>
        <w:t>股份变动的过户情况</w:t>
      </w:r>
    </w:p>
    <w:p>
      <w:pPr>
        <w:pStyle w:val="BodyText"/>
        <w:spacing w:line="357" w:lineRule="auto" w:before="145"/>
        <w:ind w:right="1126" w:firstLine="566"/>
        <w:jc w:val="both"/>
      </w:pPr>
      <w:r>
        <w:rPr/>
        <w:t>根据深圳市罗湖区人民法院民事判决书</w:t>
      </w:r>
      <w:r>
        <w:rPr>
          <w:rFonts w:ascii="宋体" w:hAnsi="宋体" w:cs="宋体" w:eastAsia="宋体" w:hint="default"/>
        </w:rPr>
        <w:t>2010</w:t>
      </w:r>
      <w:r>
        <w:rPr/>
        <w:t>深罗法民</w:t>
      </w:r>
      <w:r>
        <w:rPr>
          <w:rFonts w:ascii="宋体" w:hAnsi="宋体" w:cs="宋体" w:eastAsia="宋体" w:hint="default"/>
        </w:rPr>
        <w:t>2</w:t>
      </w:r>
      <w:r>
        <w:rPr/>
        <w:t>初字第</w:t>
      </w:r>
      <w:r>
        <w:rPr>
          <w:rFonts w:ascii="宋体" w:hAnsi="宋体" w:cs="宋体" w:eastAsia="宋体" w:hint="default"/>
        </w:rPr>
        <w:t>6846</w:t>
      </w:r>
      <w:r>
        <w:rPr/>
        <w:t>号至</w:t>
      </w:r>
      <w:r>
        <w:rPr>
          <w:rFonts w:ascii="宋体" w:hAnsi="宋体" w:cs="宋体" w:eastAsia="宋体" w:hint="default"/>
        </w:rPr>
        <w:t>6849</w:t>
      </w:r>
      <w:r>
        <w:rPr/>
        <w:t>号，将中国</w:t>
      </w:r>
      <w:r>
        <w:rPr>
          <w:spacing w:val="2"/>
        </w:rPr>
        <w:t> </w:t>
      </w:r>
      <w:r>
        <w:rPr/>
        <w:t>磨料磨具进出口深圳公司招待所持有的</w:t>
      </w:r>
      <w:r>
        <w:rPr>
          <w:rFonts w:ascii="宋体" w:hAnsi="宋体" w:cs="宋体" w:eastAsia="宋体" w:hint="default"/>
        </w:rPr>
        <w:t>286,000</w:t>
      </w:r>
      <w:r>
        <w:rPr/>
        <w:t>股限售股份分别判定给李振坤</w:t>
      </w:r>
      <w:r>
        <w:rPr>
          <w:rFonts w:ascii="宋体" w:hAnsi="宋体" w:cs="宋体" w:eastAsia="宋体" w:hint="default"/>
        </w:rPr>
        <w:t>138,913</w:t>
      </w:r>
      <w:r>
        <w:rPr/>
        <w:t>股，吕</w:t>
      </w:r>
      <w:r>
        <w:rPr>
          <w:spacing w:val="-85"/>
        </w:rPr>
        <w:t> </w:t>
      </w:r>
      <w:r>
        <w:rPr>
          <w:spacing w:val="-85"/>
        </w:rPr>
      </w:r>
      <w:r>
        <w:rPr>
          <w:spacing w:val="-2"/>
        </w:rPr>
        <w:t>忠智</w:t>
      </w:r>
      <w:r>
        <w:rPr>
          <w:rFonts w:ascii="宋体" w:hAnsi="宋体" w:cs="宋体" w:eastAsia="宋体" w:hint="default"/>
          <w:spacing w:val="-2"/>
        </w:rPr>
        <w:t>85,800</w:t>
      </w:r>
      <w:r>
        <w:rPr>
          <w:spacing w:val="-2"/>
        </w:rPr>
        <w:t>股，郭爱伟</w:t>
      </w:r>
      <w:r>
        <w:rPr>
          <w:rFonts w:ascii="宋体" w:hAnsi="宋体" w:cs="宋体" w:eastAsia="宋体" w:hint="default"/>
          <w:spacing w:val="-2"/>
        </w:rPr>
        <w:t>12,261</w:t>
      </w:r>
      <w:r>
        <w:rPr>
          <w:spacing w:val="-2"/>
        </w:rPr>
        <w:t>股和秦俭</w:t>
      </w:r>
      <w:r>
        <w:rPr>
          <w:rFonts w:ascii="宋体" w:hAnsi="宋体" w:cs="宋体" w:eastAsia="宋体" w:hint="default"/>
          <w:spacing w:val="-2"/>
        </w:rPr>
        <w:t>49,026</w:t>
      </w:r>
      <w:r>
        <w:rPr>
          <w:spacing w:val="-2"/>
        </w:rPr>
        <w:t>股，以上股份共计</w:t>
      </w:r>
      <w:r>
        <w:rPr>
          <w:rFonts w:ascii="宋体" w:hAnsi="宋体" w:cs="宋体" w:eastAsia="宋体" w:hint="default"/>
          <w:spacing w:val="-2"/>
        </w:rPr>
        <w:t>286,000</w:t>
      </w:r>
      <w:r>
        <w:rPr>
          <w:spacing w:val="-2"/>
        </w:rPr>
        <w:t>股，报告期内过户完</w:t>
      </w:r>
      <w:r>
        <w:rPr>
          <w:spacing w:val="-96"/>
        </w:rPr>
        <w:t> </w:t>
      </w:r>
      <w:r>
        <w:rPr>
          <w:spacing w:val="-96"/>
        </w:rPr>
      </w:r>
      <w:r>
        <w:rPr/>
        <w:t>毕，但是尚未解除限售。</w:t>
      </w:r>
    </w:p>
    <w:p>
      <w:pPr>
        <w:spacing w:before="47"/>
        <w:ind w:left="152" w:right="0" w:firstLine="0"/>
        <w:jc w:val="both"/>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7"/>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57" w:lineRule="auto" w:before="132"/>
        <w:ind w:right="1049" w:firstLine="566"/>
        <w:jc w:val="both"/>
      </w:pPr>
      <w:r>
        <w:rPr>
          <w:rFonts w:ascii="宋体" w:hAnsi="宋体" w:cs="宋体" w:eastAsia="宋体" w:hint="default"/>
        </w:rPr>
        <w:t>2012</w:t>
      </w:r>
      <w:r>
        <w:rPr/>
        <w:t>年的基本每股收益和稀释每股收益以变动前的股份计算均为</w:t>
      </w:r>
      <w:r>
        <w:rPr>
          <w:rFonts w:ascii="宋体" w:hAnsi="宋体" w:cs="宋体" w:eastAsia="宋体" w:hint="default"/>
        </w:rPr>
        <w:t>0.0751</w:t>
      </w:r>
      <w:r>
        <w:rPr/>
        <w:t>元</w:t>
      </w:r>
      <w:r>
        <w:rPr>
          <w:rFonts w:ascii="宋体" w:hAnsi="宋体" w:cs="宋体" w:eastAsia="宋体" w:hint="default"/>
        </w:rPr>
        <w:t>/</w:t>
      </w:r>
      <w:r>
        <w:rPr/>
        <w:t>股，变动后</w:t>
      </w:r>
      <w:r>
        <w:rPr>
          <w:spacing w:val="2"/>
        </w:rPr>
        <w:t> </w:t>
      </w:r>
      <w:r>
        <w:rPr>
          <w:spacing w:val="-2"/>
        </w:rPr>
        <w:t>的均为</w:t>
      </w:r>
      <w:r>
        <w:rPr>
          <w:rFonts w:ascii="宋体" w:hAnsi="宋体" w:cs="宋体" w:eastAsia="宋体" w:hint="default"/>
          <w:spacing w:val="-2"/>
        </w:rPr>
        <w:t>0.0718</w:t>
      </w:r>
      <w:r>
        <w:rPr>
          <w:spacing w:val="-2"/>
        </w:rPr>
        <w:t>元</w:t>
      </w:r>
      <w:r>
        <w:rPr>
          <w:rFonts w:ascii="宋体" w:hAnsi="宋体" w:cs="宋体" w:eastAsia="宋体" w:hint="default"/>
          <w:spacing w:val="-2"/>
        </w:rPr>
        <w:t>/</w:t>
      </w:r>
      <w:r>
        <w:rPr>
          <w:spacing w:val="-2"/>
        </w:rPr>
        <w:t>股；</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日归属于公司普通股股东的每股净资产以变动前的股份计</w:t>
      </w:r>
      <w:r>
        <w:rPr>
          <w:spacing w:val="-107"/>
        </w:rPr>
        <w:t> </w:t>
      </w:r>
      <w:r>
        <w:rPr/>
        <w:t>算为</w:t>
      </w:r>
      <w:r>
        <w:rPr>
          <w:rFonts w:ascii="宋体" w:hAnsi="宋体" w:cs="宋体" w:eastAsia="宋体" w:hint="default"/>
        </w:rPr>
        <w:t>3.12</w:t>
      </w:r>
      <w:r>
        <w:rPr/>
        <w:t>元</w:t>
      </w:r>
      <w:r>
        <w:rPr>
          <w:rFonts w:ascii="宋体" w:hAnsi="宋体" w:cs="宋体" w:eastAsia="宋体" w:hint="default"/>
        </w:rPr>
        <w:t>/</w:t>
      </w:r>
      <w:r>
        <w:rPr/>
        <w:t>股，变动后为</w:t>
      </w:r>
      <w:r>
        <w:rPr>
          <w:rFonts w:ascii="宋体" w:hAnsi="宋体" w:cs="宋体" w:eastAsia="宋体" w:hint="default"/>
        </w:rPr>
        <w:t>4.10</w:t>
      </w:r>
      <w:r>
        <w:rPr/>
        <w:t>元</w:t>
      </w:r>
      <w:r>
        <w:rPr>
          <w:rFonts w:ascii="宋体" w:hAnsi="宋体" w:cs="宋体" w:eastAsia="宋体" w:hint="default"/>
        </w:rPr>
        <w:t>/</w:t>
      </w:r>
      <w:r>
        <w:rPr/>
        <w:t>股；</w:t>
      </w:r>
      <w:r>
        <w:rPr>
          <w:rFonts w:ascii="宋体" w:hAnsi="宋体" w:cs="宋体" w:eastAsia="宋体" w:hint="default"/>
        </w:rPr>
        <w:t>2012</w:t>
      </w:r>
      <w:r>
        <w:rPr/>
        <w:t>年的净资产收益率以变动前的股份计算为</w:t>
      </w:r>
      <w:r>
        <w:rPr>
          <w:rFonts w:ascii="宋体" w:hAnsi="宋体" w:cs="宋体" w:eastAsia="宋体" w:hint="default"/>
        </w:rPr>
        <w:t>2.43%</w:t>
      </w:r>
      <w:r>
        <w:rPr/>
        <w:t>， 变动后为</w:t>
      </w:r>
      <w:r>
        <w:rPr>
          <w:rFonts w:ascii="宋体" w:hAnsi="宋体" w:cs="宋体" w:eastAsia="宋体" w:hint="default"/>
        </w:rPr>
        <w:t>2.23%</w:t>
      </w:r>
      <w:r>
        <w:rPr/>
        <w:t>。</w:t>
      </w:r>
    </w:p>
    <w:p>
      <w:pPr>
        <w:spacing w:line="360" w:lineRule="auto" w:before="46"/>
        <w:ind w:left="152" w:right="6794"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 无</w:t>
      </w:r>
    </w:p>
    <w:p>
      <w:pPr>
        <w:spacing w:line="240" w:lineRule="auto" w:before="5"/>
        <w:rPr>
          <w:rFonts w:ascii="宋体" w:hAnsi="宋体" w:cs="宋体" w:eastAsia="宋体" w:hint="default"/>
          <w:sz w:val="18"/>
          <w:szCs w:val="18"/>
        </w:rPr>
      </w:pPr>
    </w:p>
    <w:p>
      <w:pPr>
        <w:pStyle w:val="Heading2"/>
        <w:spacing w:line="240" w:lineRule="auto" w:before="0"/>
        <w:ind w:right="0"/>
        <w:jc w:val="both"/>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、报告期末近三年历次证券发行情况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9" w:right="46"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9" w:right="48" w:hanging="452"/>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50"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5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183,040,000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4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183,040,000</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8"/>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3"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前三年历次证券发行情况的说明</w:t>
      </w:r>
    </w:p>
    <w:p>
      <w:pPr>
        <w:pStyle w:val="BodyText"/>
        <w:spacing w:line="357" w:lineRule="auto" w:before="145"/>
        <w:ind w:right="1125" w:firstLine="566"/>
        <w:jc w:val="left"/>
      </w:pPr>
      <w:r>
        <w:rPr>
          <w:spacing w:val="3"/>
        </w:rPr>
        <w:t>公司根据</w:t>
      </w:r>
      <w:r>
        <w:rPr>
          <w:rFonts w:ascii="宋体" w:hAnsi="宋体" w:cs="宋体" w:eastAsia="宋体" w:hint="default"/>
          <w:spacing w:val="3"/>
        </w:rPr>
        <w:t>2011</w:t>
      </w:r>
      <w:r>
        <w:rPr>
          <w:spacing w:val="3"/>
        </w:rPr>
        <w:t>年第三次临时股东大会决议和</w:t>
      </w:r>
      <w:r>
        <w:rPr>
          <w:rFonts w:ascii="宋体" w:hAnsi="宋体" w:cs="宋体" w:eastAsia="宋体" w:hint="default"/>
          <w:spacing w:val="3"/>
        </w:rPr>
        <w:t>2012</w:t>
      </w:r>
      <w:r>
        <w:rPr>
          <w:spacing w:val="3"/>
        </w:rPr>
        <w:t>年第二次临时股东大会决议及中国证</w:t>
      </w:r>
      <w:r>
        <w:rPr/>
        <w:t> 券监督管理委员会《关于核准大唐高鸿数据网络技术股份有限公司非公开发行股票的批复》</w:t>
      </w:r>
    </w:p>
    <w:p>
      <w:pPr>
        <w:pStyle w:val="BodyText"/>
        <w:spacing w:line="357" w:lineRule="auto" w:before="36"/>
        <w:ind w:right="1124"/>
        <w:jc w:val="both"/>
      </w:pPr>
      <w:r>
        <w:rPr>
          <w:spacing w:val="-2"/>
        </w:rPr>
        <w:t>（证监许可</w:t>
      </w:r>
      <w:r>
        <w:rPr>
          <w:rFonts w:ascii="宋体" w:hAnsi="宋体" w:cs="宋体" w:eastAsia="宋体" w:hint="default"/>
          <w:spacing w:val="-2"/>
        </w:rPr>
        <w:t>[2012]690</w:t>
      </w:r>
      <w:r>
        <w:rPr>
          <w:spacing w:val="-2"/>
        </w:rPr>
        <w:t>号）的批复，非公开发行股票不超过</w:t>
      </w:r>
      <w:r>
        <w:rPr>
          <w:rFonts w:ascii="宋体" w:hAnsi="宋体" w:cs="宋体" w:eastAsia="宋体" w:hint="default"/>
          <w:spacing w:val="-2"/>
        </w:rPr>
        <w:t>20,000</w:t>
      </w:r>
      <w:r>
        <w:rPr>
          <w:spacing w:val="-2"/>
        </w:rPr>
        <w:t>万股。</w:t>
      </w:r>
      <w:r>
        <w:rPr>
          <w:rFonts w:ascii="宋体" w:hAnsi="宋体" w:cs="宋体" w:eastAsia="宋体" w:hint="default"/>
          <w:spacing w:val="-2"/>
        </w:rPr>
        <w:t>2012</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21</w:t>
      </w:r>
      <w:r>
        <w:rPr>
          <w:spacing w:val="-2"/>
        </w:rPr>
        <w:t>日我公</w:t>
      </w:r>
      <w:r>
        <w:rPr>
          <w:spacing w:val="-99"/>
        </w:rPr>
        <w:t> </w:t>
      </w:r>
      <w:r>
        <w:rPr/>
        <w:t>司采取非公开发行股票方式向电信科学技术研究院及其他特定对象发行股份</w:t>
      </w:r>
      <w:r>
        <w:rPr>
          <w:rFonts w:ascii="宋体" w:hAnsi="宋体" w:cs="宋体" w:eastAsia="宋体" w:hint="default"/>
        </w:rPr>
        <w:t>18,304</w:t>
      </w:r>
      <w:r>
        <w:rPr/>
        <w:t>万股，发</w:t>
      </w:r>
      <w:r>
        <w:rPr>
          <w:spacing w:val="-89"/>
        </w:rPr>
        <w:t> </w:t>
      </w:r>
      <w:r>
        <w:rPr>
          <w:spacing w:val="-89"/>
        </w:rPr>
      </w:r>
      <w:r>
        <w:rPr>
          <w:spacing w:val="-2"/>
        </w:rPr>
        <w:t>行价</w:t>
      </w:r>
      <w:r>
        <w:rPr>
          <w:rFonts w:ascii="宋体" w:hAnsi="宋体" w:cs="宋体" w:eastAsia="宋体" w:hint="default"/>
          <w:spacing w:val="-2"/>
        </w:rPr>
        <w:t>6.12</w:t>
      </w:r>
      <w:r>
        <w:rPr>
          <w:spacing w:val="-2"/>
        </w:rPr>
        <w:t>元</w:t>
      </w:r>
      <w:r>
        <w:rPr>
          <w:rFonts w:ascii="宋体" w:hAnsi="宋体" w:cs="宋体" w:eastAsia="宋体" w:hint="default"/>
          <w:spacing w:val="-2"/>
        </w:rPr>
        <w:t>/</w:t>
      </w:r>
      <w:r>
        <w:rPr>
          <w:spacing w:val="-2"/>
        </w:rPr>
        <w:t>股，共募集资金人民币</w:t>
      </w:r>
      <w:r>
        <w:rPr>
          <w:rFonts w:ascii="宋体" w:hAnsi="宋体" w:cs="宋体" w:eastAsia="宋体" w:hint="default"/>
          <w:spacing w:val="-2"/>
        </w:rPr>
        <w:t>1,120,204,800.00</w:t>
      </w:r>
      <w:r>
        <w:rPr>
          <w:spacing w:val="-2"/>
        </w:rPr>
        <w:t>元。</w:t>
      </w:r>
      <w:r>
        <w:rPr>
          <w:rFonts w:ascii="宋体" w:hAnsi="宋体" w:cs="宋体" w:eastAsia="宋体" w:hint="default"/>
          <w:spacing w:val="-2"/>
        </w:rPr>
        <w:t>2012</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22</w:t>
      </w:r>
      <w:r>
        <w:rPr>
          <w:spacing w:val="-2"/>
        </w:rPr>
        <w:t>日，主承销商将上述</w:t>
      </w:r>
      <w:r>
        <w:rPr>
          <w:spacing w:val="-92"/>
        </w:rPr>
        <w:t> </w:t>
      </w:r>
      <w:r>
        <w:rPr>
          <w:spacing w:val="-92"/>
        </w:rPr>
      </w:r>
      <w:r>
        <w:rPr/>
        <w:t>认购款项扣除承销保荐费后的余额划转至公司指定的账户内。</w:t>
      </w: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23</w:t>
      </w:r>
      <w:r>
        <w:rPr/>
        <w:t>日，中瑞岳华会</w:t>
      </w:r>
      <w:r>
        <w:rPr>
          <w:spacing w:val="-88"/>
        </w:rPr>
        <w:t> </w:t>
      </w:r>
      <w:r>
        <w:rPr>
          <w:spacing w:val="-88"/>
        </w:rPr>
      </w:r>
      <w:r>
        <w:rPr/>
        <w:t>计师事务所（特殊普通合伙）出具了中瑞岳华验字</w:t>
      </w:r>
      <w:r>
        <w:rPr>
          <w:rFonts w:ascii="宋体" w:hAnsi="宋体" w:cs="宋体" w:eastAsia="宋体" w:hint="default"/>
        </w:rPr>
        <w:t>[2012]</w:t>
      </w:r>
      <w:r>
        <w:rPr/>
        <w:t>第</w:t>
      </w:r>
      <w:r>
        <w:rPr>
          <w:rFonts w:ascii="宋体" w:hAnsi="宋体" w:cs="宋体" w:eastAsia="宋体" w:hint="default"/>
        </w:rPr>
        <w:t>0335</w:t>
      </w:r>
      <w:r>
        <w:rPr/>
        <w:t>号《验资报告》。根据该验</w:t>
      </w:r>
      <w:r>
        <w:rPr>
          <w:spacing w:val="-90"/>
        </w:rPr>
        <w:t> </w:t>
      </w:r>
      <w:r>
        <w:rPr>
          <w:spacing w:val="-90"/>
        </w:rPr>
      </w:r>
      <w:r>
        <w:rPr/>
        <w:t>资报告，截至</w:t>
      </w: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23</w:t>
      </w:r>
      <w:r>
        <w:rPr/>
        <w:t>日，本次发行募集资金总额为</w:t>
      </w:r>
      <w:r>
        <w:rPr>
          <w:rFonts w:ascii="宋体" w:hAnsi="宋体" w:cs="宋体" w:eastAsia="宋体" w:hint="default"/>
        </w:rPr>
        <w:t>1,120,204,800.00</w:t>
      </w:r>
      <w:r>
        <w:rPr/>
        <w:t>元，扣除发行费</w:t>
      </w:r>
      <w:r>
        <w:rPr>
          <w:spacing w:val="-79"/>
        </w:rPr>
        <w:t> </w:t>
      </w:r>
      <w:r>
        <w:rPr>
          <w:spacing w:val="-79"/>
        </w:rPr>
      </w:r>
      <w:r>
        <w:rPr/>
        <w:t>用</w:t>
      </w:r>
      <w:r>
        <w:rPr>
          <w:rFonts w:ascii="宋体" w:hAnsi="宋体" w:cs="宋体" w:eastAsia="宋体" w:hint="default"/>
        </w:rPr>
        <w:t>40,770,000.00</w:t>
      </w:r>
      <w:r>
        <w:rPr/>
        <w:t>元，实际募集资金净额为</w:t>
      </w:r>
      <w:r>
        <w:rPr>
          <w:rFonts w:ascii="宋体" w:hAnsi="宋体" w:cs="宋体" w:eastAsia="宋体" w:hint="default"/>
        </w:rPr>
        <w:t>1,079,434,800.00</w:t>
      </w:r>
      <w:r>
        <w:rPr/>
        <w:t>元。</w:t>
      </w:r>
    </w:p>
    <w:p>
      <w:pPr>
        <w:spacing w:line="240" w:lineRule="auto" w:before="10"/>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ind w:right="996" w:firstLine="566"/>
        <w:jc w:val="left"/>
      </w:pPr>
      <w:r>
        <w:rPr/>
        <w:t>本次发行完成后公司总股本由原来的</w:t>
      </w:r>
      <w:r>
        <w:rPr>
          <w:rFonts w:ascii="宋体" w:hAnsi="宋体" w:cs="宋体" w:eastAsia="宋体" w:hint="default"/>
        </w:rPr>
        <w:t>33,290</w:t>
      </w:r>
      <w:r>
        <w:rPr/>
        <w:t>万股股份增加为</w:t>
      </w:r>
      <w:r>
        <w:rPr>
          <w:rFonts w:ascii="宋体" w:hAnsi="宋体" w:cs="宋体" w:eastAsia="宋体" w:hint="default"/>
        </w:rPr>
        <w:t>51,594</w:t>
      </w:r>
      <w:r>
        <w:rPr/>
        <w:t>万股，公司控股股东 电信科学技术研究院在本次非公开发行股票过程中，认购</w:t>
      </w:r>
      <w:r>
        <w:rPr>
          <w:rFonts w:ascii="宋体" w:hAnsi="宋体" w:cs="宋体" w:eastAsia="宋体" w:hint="default"/>
        </w:rPr>
        <w:t>2,940</w:t>
      </w:r>
      <w:r>
        <w:rPr/>
        <w:t>万股，本次股票发行完成后， </w:t>
      </w:r>
      <w:r>
        <w:rPr>
          <w:spacing w:val="-2"/>
        </w:rPr>
        <w:t>电信科学技术研究院仍为公司控股股东。本次非公开发行股票成功后，公司总资产有所增加，</w:t>
      </w:r>
      <w:r>
        <w:rPr/>
        <w:t> 资产负债率明显降低。公司总资产为</w:t>
      </w:r>
      <w:r>
        <w:rPr>
          <w:rFonts w:ascii="宋体" w:hAnsi="宋体" w:cs="宋体" w:eastAsia="宋体" w:hint="default"/>
        </w:rPr>
        <w:t>3,590,483,941.93</w:t>
      </w:r>
      <w:r>
        <w:rPr/>
        <w:t>元，负债为</w:t>
      </w:r>
      <w:r>
        <w:rPr>
          <w:rFonts w:ascii="宋体" w:hAnsi="宋体" w:cs="宋体" w:eastAsia="宋体" w:hint="default"/>
        </w:rPr>
        <w:t>1,441,001,342.12</w:t>
      </w:r>
      <w:r>
        <w:rPr/>
        <w:t>元。</w:t>
      </w:r>
    </w:p>
    <w:p>
      <w:pPr>
        <w:spacing w:line="240" w:lineRule="auto" w:before="11"/>
        <w:rPr>
          <w:rFonts w:ascii="宋体" w:hAnsi="宋体" w:cs="宋体" w:eastAsia="宋体" w:hint="default"/>
          <w:sz w:val="19"/>
          <w:szCs w:val="19"/>
        </w:rPr>
      </w:pPr>
    </w:p>
    <w:p>
      <w:pPr>
        <w:pStyle w:val="Heading2"/>
        <w:spacing w:line="240" w:lineRule="auto" w:before="0"/>
        <w:ind w:right="0"/>
        <w:jc w:val="both"/>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4"/>
        <w:gridCol w:w="1363"/>
        <w:gridCol w:w="1379"/>
        <w:gridCol w:w="997"/>
        <w:gridCol w:w="994"/>
        <w:gridCol w:w="991"/>
        <w:gridCol w:w="994"/>
        <w:gridCol w:w="108"/>
        <w:gridCol w:w="458"/>
        <w:gridCol w:w="922"/>
      </w:tblGrid>
      <w:tr>
        <w:trPr>
          <w:trHeight w:val="406" w:hRule="exact"/>
        </w:trPr>
        <w:tc>
          <w:tcPr>
            <w:tcW w:w="27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7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74,884</w:t>
            </w:r>
          </w:p>
        </w:tc>
        <w:tc>
          <w:tcPr>
            <w:tcW w:w="408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2" w:right="0"/>
              <w:jc w:val="left"/>
              <w:rPr>
                <w:rFonts w:ascii="Times New Roman" w:hAnsi="Times New Roman" w:cs="Times New Roman" w:eastAsia="Times New Roman" w:hint="default"/>
                <w:sz w:val="18"/>
                <w:szCs w:val="18"/>
              </w:rPr>
            </w:pPr>
            <w:r>
              <w:rPr>
                <w:rFonts w:ascii="Times New Roman"/>
                <w:sz w:val="18"/>
              </w:rPr>
              <w:t>72,957</w:t>
            </w:r>
          </w:p>
        </w:tc>
      </w:tr>
      <w:tr>
        <w:trPr>
          <w:trHeight w:val="394"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209" w:hRule="exact"/>
        </w:trPr>
        <w:tc>
          <w:tcPr>
            <w:tcW w:w="1364" w:type="dxa"/>
            <w:vMerge w:val="restart"/>
            <w:tcBorders>
              <w:top w:val="single" w:sz="4" w:space="0" w:color="000000"/>
              <w:left w:val="single" w:sz="4" w:space="0" w:color="000000"/>
              <w:right w:val="single" w:sz="4" w:space="0" w:color="000000"/>
            </w:tcBorders>
            <w:shd w:val="clear" w:color="auto" w:fill="D2D2D2"/>
          </w:tcPr>
          <w:p>
            <w:pPr/>
          </w:p>
        </w:tc>
        <w:tc>
          <w:tcPr>
            <w:tcW w:w="1363" w:type="dxa"/>
            <w:vMerge w:val="restart"/>
            <w:tcBorders>
              <w:top w:val="single" w:sz="4" w:space="0" w:color="000000"/>
              <w:left w:val="single" w:sz="4" w:space="0" w:color="000000"/>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
        </w:tc>
        <w:tc>
          <w:tcPr>
            <w:tcW w:w="997"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40" w:right="4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4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76"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9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1" w:right="43"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1"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488" w:type="dxa"/>
            <w:gridSpan w:val="3"/>
            <w:vMerge/>
            <w:tcBorders>
              <w:left w:val="single" w:sz="4" w:space="0" w:color="000000"/>
              <w:bottom w:val="single" w:sz="4" w:space="0" w:color="000000"/>
              <w:right w:val="single" w:sz="4" w:space="0" w:color="000000"/>
            </w:tcBorders>
            <w:shd w:val="clear" w:color="auto" w:fill="D2D2D2"/>
          </w:tcPr>
          <w:p>
            <w:pPr/>
          </w:p>
        </w:tc>
      </w:tr>
      <w:tr>
        <w:trPr>
          <w:trHeight w:val="181" w:hRule="exact"/>
        </w:trPr>
        <w:tc>
          <w:tcPr>
            <w:tcW w:w="13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70"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7"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56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98" w:right="96"/>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9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997"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566" w:type="dxa"/>
            <w:gridSpan w:val="2"/>
            <w:vMerge/>
            <w:tcBorders>
              <w:left w:val="single" w:sz="4" w:space="0" w:color="000000"/>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79" w:hRule="exact"/>
        </w:trPr>
        <w:tc>
          <w:tcPr>
            <w:tcW w:w="1364" w:type="dxa"/>
            <w:vMerge w:val="restart"/>
            <w:tcBorders>
              <w:top w:val="nil" w:sz="6" w:space="0" w:color="auto"/>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
        </w:tc>
        <w:tc>
          <w:tcPr>
            <w:tcW w:w="1379" w:type="dxa"/>
            <w:vMerge w:val="restart"/>
            <w:tcBorders>
              <w:top w:val="nil" w:sz="6" w:space="0" w:color="auto"/>
              <w:left w:val="single" w:sz="4" w:space="0" w:color="000000"/>
              <w:right w:val="single" w:sz="4" w:space="0" w:color="000000"/>
            </w:tcBorders>
            <w:shd w:val="clear" w:color="auto" w:fill="D2D2D2"/>
          </w:tcPr>
          <w:p>
            <w:pPr/>
          </w:p>
        </w:tc>
        <w:tc>
          <w:tcPr>
            <w:tcW w:w="997"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566" w:type="dxa"/>
            <w:gridSpan w:val="2"/>
            <w:vMerge/>
            <w:tcBorders>
              <w:left w:val="single" w:sz="4" w:space="0" w:color="000000"/>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364"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997"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566" w:type="dxa"/>
            <w:gridSpan w:val="2"/>
            <w:vMerge/>
            <w:tcBorders>
              <w:left w:val="single" w:sz="4" w:space="0" w:color="000000"/>
              <w:bottom w:val="single" w:sz="4" w:space="0" w:color="000000"/>
              <w:right w:val="single" w:sz="4" w:space="0" w:color="000000"/>
            </w:tcBorders>
            <w:shd w:val="clear" w:color="auto" w:fill="D2D2D2"/>
          </w:tcPr>
          <w:p>
            <w:pPr/>
          </w:p>
        </w:tc>
        <w:tc>
          <w:tcPr>
            <w:tcW w:w="9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电信科学技术研 究院</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13.04%</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67,264,023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29,416,400</w:t>
            </w:r>
          </w:p>
        </w:tc>
        <w:tc>
          <w:tcPr>
            <w:tcW w:w="991"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38,000,000</w:t>
            </w:r>
          </w:p>
        </w:tc>
        <w:tc>
          <w:tcPr>
            <w:tcW w:w="994"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29,264,023</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景顺长城基金公 司</w:t>
            </w:r>
            <w:r>
              <w:rPr>
                <w:rFonts w:ascii="Times New Roman" w:hAnsi="Times New Roman" w:cs="Times New Roman" w:eastAsia="Times New Roman" w:hint="default"/>
                <w:sz w:val="18"/>
                <w:szCs w:val="18"/>
              </w:rPr>
              <w:t>(</w:t>
            </w:r>
            <w:r>
              <w:rPr>
                <w:rFonts w:ascii="宋体" w:hAnsi="宋体" w:cs="宋体" w:eastAsia="宋体" w:hint="default"/>
                <w:sz w:val="18"/>
                <w:szCs w:val="18"/>
              </w:rPr>
              <w:t>信托产品</w:t>
            </w:r>
            <w:r>
              <w:rPr>
                <w:rFonts w:ascii="Times New Roman" w:hAnsi="Times New Roman" w:cs="Times New Roman" w:eastAsia="Times New Roman" w:hint="default"/>
                <w:sz w:val="18"/>
                <w:szCs w:val="18"/>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5.76%</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29,730,000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29,730,000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29,730,000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8.466003pt;margin-top:469.389984pt;width:355.3pt;height:15.6pt;mso-position-horizontal-relative:page;mso-position-vertical-relative:page;z-index:-1261984"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有）</w:t>
                  </w:r>
                </w:p>
              </w:txbxContent>
            </v:textbox>
            <w10:wrap type="none"/>
          </v:shape>
        </w:pict>
      </w:r>
      <w:r>
        <w:rPr/>
        <w:pict>
          <v:group style="position:absolute;margin-left:194.690002pt;margin-top:469.389984pt;width:339.05pt;height:15.6pt;mso-position-horizontal-relative:page;mso-position-vertical-relative:page;z-index:-1261960" coordorigin="3894,9388" coordsize="6781,312">
            <v:shape style="position:absolute;left:3894;top:9388;width:6781;height:312" coordorigin="3894,9388" coordsize="6781,312" path="m3894,9700l10675,9700,10675,9388,3894,9388,3894,970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003"/>
        <w:gridCol w:w="994"/>
        <w:gridCol w:w="737"/>
        <w:gridCol w:w="254"/>
        <w:gridCol w:w="994"/>
        <w:gridCol w:w="120"/>
        <w:gridCol w:w="446"/>
        <w:gridCol w:w="922"/>
      </w:tblGrid>
      <w:tr>
        <w:trPr>
          <w:trHeight w:val="713" w:hRule="exact"/>
        </w:trPr>
        <w:tc>
          <w:tcPr>
            <w:tcW w:w="1364" w:type="dxa"/>
            <w:tcBorders>
              <w:top w:val="nil" w:sz="6" w:space="0" w:color="auto"/>
              <w:left w:val="nil" w:sz="6" w:space="0" w:color="auto"/>
              <w:bottom w:val="nil" w:sz="6" w:space="0" w:color="auto"/>
              <w:right w:val="single" w:sz="4" w:space="0" w:color="000000"/>
            </w:tcBorders>
          </w:tcPr>
          <w:p>
            <w:pPr>
              <w:pStyle w:val="TableParagraph"/>
              <w:spacing w:line="319"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泰达宏利基金公 司（信托产品）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29,410,000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29,410,000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65"/>
              <w:jc w:val="both"/>
              <w:rPr>
                <w:rFonts w:ascii="宋体" w:hAnsi="宋体" w:cs="宋体" w:eastAsia="宋体" w:hint="default"/>
                <w:sz w:val="18"/>
                <w:szCs w:val="18"/>
              </w:rPr>
            </w:pPr>
            <w:r>
              <w:rPr>
                <w:rFonts w:ascii="宋体" w:hAnsi="宋体" w:cs="宋体" w:eastAsia="宋体" w:hint="default"/>
                <w:sz w:val="18"/>
                <w:szCs w:val="18"/>
              </w:rPr>
              <w:t>华安基金公司－ 中行－东莞信托 有限公司汇信华 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号集合信托 计划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24,500,000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24,500,000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中国华电集团资 本控股有限公司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19,600,000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19,600,000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9"/>
              <w:jc w:val="both"/>
              <w:rPr>
                <w:rFonts w:ascii="宋体" w:hAnsi="宋体" w:cs="宋体" w:eastAsia="宋体" w:hint="default"/>
                <w:sz w:val="18"/>
                <w:szCs w:val="18"/>
              </w:rPr>
            </w:pPr>
            <w:r>
              <w:rPr>
                <w:rFonts w:ascii="宋体" w:hAnsi="宋体" w:cs="宋体" w:eastAsia="宋体" w:hint="default"/>
                <w:sz w:val="18"/>
                <w:szCs w:val="18"/>
              </w:rPr>
              <w:t>深圳市平安创新 资本投资有限公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18,000,000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18,000,000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华能资本服务有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16,000,000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16,000,000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9"/>
              <w:jc w:val="left"/>
              <w:rPr>
                <w:rFonts w:ascii="宋体" w:hAnsi="宋体" w:cs="宋体" w:eastAsia="宋体" w:hint="default"/>
                <w:sz w:val="18"/>
                <w:szCs w:val="18"/>
              </w:rPr>
            </w:pPr>
            <w:r>
              <w:rPr>
                <w:rFonts w:ascii="宋体" w:hAnsi="宋体" w:cs="宋体" w:eastAsia="宋体" w:hint="default"/>
                <w:sz w:val="18"/>
                <w:szCs w:val="18"/>
              </w:rPr>
              <w:t>中钢投资有限公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8,200,000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8,200,000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87"/>
              <w:jc w:val="both"/>
              <w:rPr>
                <w:rFonts w:ascii="宋体" w:hAnsi="宋体" w:cs="宋体" w:eastAsia="宋体" w:hint="default"/>
                <w:sz w:val="18"/>
                <w:szCs w:val="18"/>
              </w:rPr>
            </w:pPr>
            <w:r>
              <w:rPr>
                <w:rFonts w:ascii="宋体" w:hAnsi="宋体" w:cs="宋体" w:eastAsia="宋体" w:hint="default"/>
                <w:sz w:val="18"/>
                <w:szCs w:val="18"/>
              </w:rPr>
              <w:t>中关村兴业</w:t>
            </w:r>
            <w:r>
              <w:rPr>
                <w:rFonts w:ascii="Times New Roman" w:hAnsi="Times New Roman" w:cs="Times New Roman" w:eastAsia="Times New Roman" w:hint="default"/>
                <w:sz w:val="18"/>
                <w:szCs w:val="18"/>
              </w:rPr>
              <w:t>(</w:t>
            </w:r>
            <w:r>
              <w:rPr>
                <w:rFonts w:ascii="宋体" w:hAnsi="宋体" w:cs="宋体" w:eastAsia="宋体" w:hint="default"/>
                <w:sz w:val="18"/>
                <w:szCs w:val="18"/>
              </w:rPr>
              <w:t>北 京</w:t>
            </w:r>
            <w:r>
              <w:rPr>
                <w:rFonts w:ascii="Times New Roman" w:hAnsi="Times New Roman" w:cs="Times New Roman" w:eastAsia="Times New Roman" w:hint="default"/>
                <w:sz w:val="18"/>
                <w:szCs w:val="18"/>
              </w:rPr>
              <w:t>)</w:t>
            </w:r>
            <w:r>
              <w:rPr>
                <w:rFonts w:ascii="宋体" w:hAnsi="宋体" w:cs="宋体" w:eastAsia="宋体" w:hint="default"/>
                <w:sz w:val="18"/>
                <w:szCs w:val="18"/>
              </w:rPr>
              <w:t>创业投资有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8,200,000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8,200,000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贵州电网公司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4,475,617</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4,475,617</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629" w:hRule="exact"/>
        </w:trPr>
        <w:tc>
          <w:tcPr>
            <w:tcW w:w="2732" w:type="dxa"/>
            <w:gridSpan w:val="2"/>
            <w:tcBorders>
              <w:top w:val="single" w:sz="4" w:space="0" w:color="000000"/>
              <w:left w:val="single" w:sz="4" w:space="0" w:color="000000"/>
              <w:bottom w:val="nil" w:sz="6" w:space="0" w:color="auto"/>
              <w:right w:val="single" w:sz="13" w:space="0" w:color="FFFFFF"/>
            </w:tcBorders>
            <w:shd w:val="clear" w:color="auto" w:fill="D2D2D2"/>
          </w:tcPr>
          <w:p>
            <w:pPr/>
          </w:p>
        </w:tc>
        <w:tc>
          <w:tcPr>
            <w:tcW w:w="6839" w:type="dxa"/>
            <w:gridSpan w:val="9"/>
            <w:vMerge w:val="restart"/>
            <w:tcBorders>
              <w:top w:val="single" w:sz="4" w:space="0" w:color="000000"/>
              <w:left w:val="single" w:sz="22" w:space="0" w:color="D2D2D2"/>
              <w:right w:val="single" w:sz="4" w:space="0" w:color="000000"/>
            </w:tcBorders>
          </w:tcPr>
          <w:p>
            <w:pPr>
              <w:pStyle w:val="TableParagraph"/>
              <w:spacing w:line="309" w:lineRule="auto" w:before="49"/>
              <w:ind w:left="1" w:right="20"/>
              <w:jc w:val="both"/>
              <w:rPr>
                <w:rFonts w:ascii="宋体" w:hAnsi="宋体" w:cs="宋体" w:eastAsia="宋体" w:hint="default"/>
                <w:sz w:val="18"/>
                <w:szCs w:val="18"/>
              </w:rPr>
            </w:pPr>
            <w:r>
              <w:rPr>
                <w:rFonts w:ascii="宋体" w:hAnsi="宋体" w:cs="宋体" w:eastAsia="宋体" w:hint="default"/>
                <w:spacing w:val="-3"/>
                <w:sz w:val="18"/>
                <w:szCs w:val="18"/>
              </w:rPr>
              <w:t>公司报告期内，非公开发行新股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18304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万股，因认购公司非公开发行股份成为公司前十 </w:t>
            </w:r>
            <w:r>
              <w:rPr>
                <w:rFonts w:ascii="宋体" w:hAnsi="宋体" w:cs="宋体" w:eastAsia="宋体" w:hint="default"/>
                <w:spacing w:val="-2"/>
                <w:sz w:val="18"/>
                <w:szCs w:val="18"/>
              </w:rPr>
              <w:t>名股东的有：景顺长城基金公司－兴业－昆仑信托有限责任公司景城一号信托、泰达宏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利基金公司－工行－泰达宏利－国民信托－丰盈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号资产管理合同、华安基金公司－中</w:t>
            </w:r>
          </w:p>
          <w:p>
            <w:pPr>
              <w:pStyle w:val="TableParagraph"/>
              <w:spacing w:line="309" w:lineRule="auto" w:before="5"/>
              <w:ind w:left="1" w:right="-36"/>
              <w:jc w:val="both"/>
              <w:rPr>
                <w:rFonts w:ascii="宋体" w:hAnsi="宋体" w:cs="宋体" w:eastAsia="宋体" w:hint="default"/>
                <w:sz w:val="18"/>
                <w:szCs w:val="18"/>
              </w:rPr>
            </w:pPr>
            <w:r>
              <w:rPr>
                <w:rFonts w:ascii="宋体" w:hAnsi="宋体" w:cs="宋体" w:eastAsia="宋体" w:hint="default"/>
                <w:sz w:val="18"/>
                <w:szCs w:val="18"/>
              </w:rPr>
              <w:t>行－东莞信托有限公司汇信华安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号集合信托计划、中国华电集团资本控股有限公司、 深圳市平安创新资本投资有限公司、华能资本服务有限公司、中钢投资有限公司、中关 村兴业</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创业投资有限公司。</w:t>
            </w:r>
          </w:p>
        </w:tc>
      </w:tr>
      <w:tr>
        <w:trPr>
          <w:trHeight w:val="703" w:hRule="exact"/>
        </w:trPr>
        <w:tc>
          <w:tcPr>
            <w:tcW w:w="2732" w:type="dxa"/>
            <w:gridSpan w:val="2"/>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316" w:lineRule="auto" w:before="49"/>
              <w:ind w:left="24" w:right="164"/>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名股东的情况（如</w:t>
            </w:r>
          </w:p>
        </w:tc>
        <w:tc>
          <w:tcPr>
            <w:tcW w:w="6839" w:type="dxa"/>
            <w:gridSpan w:val="9"/>
            <w:vMerge/>
            <w:tcBorders>
              <w:left w:val="single" w:sz="22" w:space="0" w:color="D2D2D2"/>
              <w:right w:val="single" w:sz="4" w:space="0" w:color="000000"/>
            </w:tcBorders>
          </w:tcPr>
          <w:p>
            <w:pPr/>
          </w:p>
        </w:tc>
      </w:tr>
      <w:tr>
        <w:trPr>
          <w:trHeight w:val="629" w:hRule="exact"/>
        </w:trPr>
        <w:tc>
          <w:tcPr>
            <w:tcW w:w="2732" w:type="dxa"/>
            <w:gridSpan w:val="2"/>
            <w:tcBorders>
              <w:top w:val="nil" w:sz="6" w:space="0" w:color="auto"/>
              <w:left w:val="single" w:sz="4" w:space="0" w:color="000000"/>
              <w:bottom w:val="single" w:sz="4" w:space="0" w:color="000000"/>
              <w:right w:val="single" w:sz="13" w:space="0" w:color="FFFFFF"/>
            </w:tcBorders>
            <w:shd w:val="clear" w:color="auto" w:fill="D2D2D2"/>
          </w:tcPr>
          <w:p>
            <w:pPr/>
          </w:p>
        </w:tc>
        <w:tc>
          <w:tcPr>
            <w:tcW w:w="6839" w:type="dxa"/>
            <w:gridSpan w:val="9"/>
            <w:vMerge/>
            <w:tcBorders>
              <w:left w:val="single" w:sz="22" w:space="0" w:color="D2D2D2"/>
              <w:bottom w:val="nil" w:sz="6" w:space="0" w:color="auto"/>
              <w:right w:val="single" w:sz="4" w:space="0" w:color="000000"/>
            </w:tcBorders>
          </w:tcPr>
          <w:p>
            <w:pPr/>
          </w:p>
        </w:tc>
      </w:tr>
      <w:tr>
        <w:trPr>
          <w:trHeight w:val="715" w:hRule="exact"/>
        </w:trPr>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7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39" w:type="dxa"/>
            <w:gridSpan w:val="9"/>
            <w:tcBorders>
              <w:top w:val="single" w:sz="4" w:space="0" w:color="000000"/>
              <w:left w:val="single" w:sz="10" w:space="0" w:color="D2D2D2"/>
              <w:bottom w:val="single" w:sz="4" w:space="0" w:color="000000"/>
              <w:right w:val="single" w:sz="4" w:space="0" w:color="000000"/>
            </w:tcBorders>
          </w:tcPr>
          <w:p>
            <w:pPr>
              <w:pStyle w:val="TableParagraph"/>
              <w:spacing w:line="297" w:lineRule="auto" w:before="56"/>
              <w:ind w:left="16" w:right="-15"/>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名股东中，</w:t>
            </w:r>
            <w:r>
              <w:rPr>
                <w:rFonts w:ascii="宋体" w:hAnsi="宋体" w:cs="宋体" w:eastAsia="宋体" w:hint="default"/>
                <w:spacing w:val="-43"/>
                <w:sz w:val="18"/>
                <w:szCs w:val="18"/>
              </w:rPr>
              <w:t> </w:t>
            </w:r>
            <w:r>
              <w:rPr>
                <w:rFonts w:ascii="宋体" w:hAnsi="宋体" w:cs="宋体" w:eastAsia="宋体" w:hint="default"/>
                <w:sz w:val="18"/>
                <w:szCs w:val="18"/>
              </w:rPr>
              <w:t>中规定的一致行</w:t>
            </w:r>
          </w:p>
          <w:p>
            <w:pPr>
              <w:pStyle w:val="TableParagraph"/>
              <w:spacing w:line="314" w:lineRule="auto" w:before="51"/>
              <w:ind w:left="1276" w:right="51" w:firstLine="93"/>
              <w:jc w:val="left"/>
              <w:rPr>
                <w:rFonts w:ascii="宋体" w:hAnsi="宋体" w:cs="宋体" w:eastAsia="宋体" w:hint="default"/>
                <w:sz w:val="18"/>
                <w:szCs w:val="18"/>
              </w:rPr>
            </w:pPr>
            <w:r>
              <w:rPr>
                <w:rFonts w:ascii="宋体" w:hAnsi="宋体" w:cs="宋体" w:eastAsia="宋体" w:hint="default"/>
                <w:sz w:val="18"/>
                <w:szCs w:val="18"/>
              </w:rPr>
              <w:t>未知是否存在关联关系，也未知是否属于《上市公司收购管理办法》 动人。</w:t>
            </w:r>
          </w:p>
        </w:tc>
      </w:tr>
      <w:tr>
        <w:trPr>
          <w:trHeight w:val="402"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273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73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2"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37"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737" w:type="dxa"/>
            <w:gridSpan w:val="5"/>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732" w:type="dxa"/>
            <w:gridSpan w:val="2"/>
            <w:vMerge/>
            <w:tcBorders>
              <w:left w:val="single" w:sz="4" w:space="0" w:color="000000"/>
              <w:bottom w:val="nil" w:sz="6" w:space="0" w:color="auto"/>
              <w:right w:val="single" w:sz="4" w:space="0" w:color="000000"/>
            </w:tcBorders>
            <w:shd w:val="clear" w:color="auto" w:fill="D2D2D2"/>
          </w:tcPr>
          <w:p>
            <w:pPr/>
          </w:p>
        </w:tc>
        <w:tc>
          <w:tcPr>
            <w:tcW w:w="4102" w:type="dxa"/>
            <w:gridSpan w:val="4"/>
            <w:vMerge/>
            <w:tcBorders>
              <w:left w:val="single" w:sz="4" w:space="0" w:color="000000"/>
              <w:bottom w:val="nil" w:sz="6" w:space="0" w:color="auto"/>
              <w:right w:val="single" w:sz="4" w:space="0" w:color="000000"/>
            </w:tcBorders>
            <w:shd w:val="clear" w:color="auto" w:fill="D2D2D2"/>
          </w:tcPr>
          <w:p>
            <w:pPr/>
          </w:p>
        </w:tc>
        <w:tc>
          <w:tcPr>
            <w:tcW w:w="136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73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0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gridSpan w:val="3"/>
            <w:vMerge/>
            <w:tcBorders>
              <w:left w:val="single" w:sz="4" w:space="0" w:color="000000"/>
              <w:bottom w:val="single" w:sz="4" w:space="0" w:color="000000"/>
              <w:right w:val="single" w:sz="4" w:space="0" w:color="000000"/>
            </w:tcBorders>
            <w:shd w:val="clear" w:color="auto" w:fill="D2D2D2"/>
          </w:tcPr>
          <w:p>
            <w:pPr/>
          </w:p>
        </w:tc>
        <w:tc>
          <w:tcPr>
            <w:tcW w:w="1368" w:type="dxa"/>
            <w:gridSpan w:val="2"/>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41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29264023</w:t>
            </w:r>
          </w:p>
        </w:tc>
        <w:tc>
          <w:tcPr>
            <w:tcW w:w="13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5" w:right="0"/>
              <w:jc w:val="left"/>
              <w:rPr>
                <w:rFonts w:ascii="Times New Roman" w:hAnsi="Times New Roman" w:cs="Times New Roman" w:eastAsia="Times New Roman" w:hint="default"/>
                <w:sz w:val="18"/>
                <w:szCs w:val="18"/>
              </w:rPr>
            </w:pPr>
            <w:r>
              <w:rPr>
                <w:rFonts w:ascii="Times New Roman"/>
                <w:sz w:val="18"/>
              </w:rPr>
              <w:t>29,264,023</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贵州电网公司</w:t>
            </w:r>
          </w:p>
        </w:tc>
        <w:tc>
          <w:tcPr>
            <w:tcW w:w="41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4,475,617</w:t>
            </w:r>
          </w:p>
        </w:tc>
        <w:tc>
          <w:tcPr>
            <w:tcW w:w="13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4,475,617</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孙宗华</w:t>
            </w:r>
          </w:p>
        </w:tc>
        <w:tc>
          <w:tcPr>
            <w:tcW w:w="41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1,667,810</w:t>
            </w:r>
          </w:p>
        </w:tc>
        <w:tc>
          <w:tcPr>
            <w:tcW w:w="13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6" w:right="0"/>
              <w:jc w:val="left"/>
              <w:rPr>
                <w:rFonts w:ascii="Times New Roman" w:hAnsi="Times New Roman" w:cs="Times New Roman" w:eastAsia="Times New Roman" w:hint="default"/>
                <w:sz w:val="18"/>
                <w:szCs w:val="18"/>
              </w:rPr>
            </w:pPr>
            <w:r>
              <w:rPr>
                <w:rFonts w:ascii="Times New Roman"/>
                <w:sz w:val="18"/>
              </w:rPr>
              <w:t>1,667,810</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北京市天创房地产开发有限公司</w:t>
            </w:r>
          </w:p>
        </w:tc>
        <w:tc>
          <w:tcPr>
            <w:tcW w:w="41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857,887</w:t>
            </w:r>
          </w:p>
        </w:tc>
        <w:tc>
          <w:tcPr>
            <w:tcW w:w="13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857,887</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吴敬佳</w:t>
            </w:r>
          </w:p>
        </w:tc>
        <w:tc>
          <w:tcPr>
            <w:tcW w:w="41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879,500</w:t>
            </w:r>
          </w:p>
        </w:tc>
        <w:tc>
          <w:tcPr>
            <w:tcW w:w="13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1" w:right="0"/>
              <w:jc w:val="left"/>
              <w:rPr>
                <w:rFonts w:ascii="Times New Roman" w:hAnsi="Times New Roman" w:cs="Times New Roman" w:eastAsia="Times New Roman" w:hint="default"/>
                <w:sz w:val="18"/>
                <w:szCs w:val="18"/>
              </w:rPr>
            </w:pPr>
            <w:r>
              <w:rPr>
                <w:rFonts w:ascii="Times New Roman"/>
                <w:sz w:val="18"/>
              </w:rPr>
              <w:t>879,500</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洪国明</w:t>
            </w:r>
          </w:p>
        </w:tc>
        <w:tc>
          <w:tcPr>
            <w:tcW w:w="41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832,700</w:t>
            </w:r>
          </w:p>
        </w:tc>
        <w:tc>
          <w:tcPr>
            <w:tcW w:w="13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832,700</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王文清</w:t>
            </w:r>
          </w:p>
        </w:tc>
        <w:tc>
          <w:tcPr>
            <w:tcW w:w="41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783,018</w:t>
            </w:r>
          </w:p>
        </w:tc>
        <w:tc>
          <w:tcPr>
            <w:tcW w:w="13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1" w:right="0"/>
              <w:jc w:val="left"/>
              <w:rPr>
                <w:rFonts w:ascii="Times New Roman" w:hAnsi="Times New Roman" w:cs="Times New Roman" w:eastAsia="Times New Roman" w:hint="default"/>
                <w:sz w:val="18"/>
                <w:szCs w:val="18"/>
              </w:rPr>
            </w:pPr>
            <w:r>
              <w:rPr>
                <w:rFonts w:ascii="Times New Roman"/>
                <w:sz w:val="18"/>
              </w:rPr>
              <w:t>783,018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731"/>
        <w:gridCol w:w="4102"/>
        <w:gridCol w:w="1369"/>
        <w:gridCol w:w="1368"/>
      </w:tblGrid>
      <w:tr>
        <w:trPr>
          <w:trHeight w:val="401"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于金凤</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679,143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679,143</w:t>
            </w:r>
          </w:p>
        </w:tc>
      </w:tr>
      <w:tr>
        <w:trPr>
          <w:trHeight w:val="403"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张丽华</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627,400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627,400</w:t>
            </w:r>
          </w:p>
        </w:tc>
      </w:tr>
      <w:tr>
        <w:trPr>
          <w:trHeight w:val="401"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胡基勇</w:t>
            </w:r>
          </w:p>
        </w:tc>
        <w:tc>
          <w:tcPr>
            <w:tcW w:w="4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626,196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626,196</w:t>
            </w:r>
          </w:p>
        </w:tc>
      </w:tr>
      <w:tr>
        <w:trPr>
          <w:trHeight w:val="1339" w:hRule="exact"/>
        </w:trPr>
        <w:tc>
          <w:tcPr>
            <w:tcW w:w="2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22" w:right="8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8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7" w:lineRule="auto"/>
              <w:ind w:left="23" w:right="22"/>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名股东中，未知是否存在关联关系，也未知是否属于《上市公司收购管理办法》 </w:t>
            </w:r>
            <w:r>
              <w:rPr>
                <w:rFonts w:ascii="宋体" w:hAnsi="宋体" w:cs="宋体" w:eastAsia="宋体" w:hint="default"/>
                <w:spacing w:val="-2"/>
                <w:sz w:val="18"/>
                <w:szCs w:val="18"/>
              </w:rPr>
              <w:t>中规定的一致行动人，无限售条件的第一大股东电信科学技术研究院暨全部股东的第一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大股东电信科学技术研究院为公司控股股东。</w:t>
            </w:r>
          </w:p>
        </w:tc>
      </w:tr>
      <w:tr>
        <w:trPr>
          <w:trHeight w:val="715" w:hRule="exact"/>
        </w:trPr>
        <w:tc>
          <w:tcPr>
            <w:tcW w:w="2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8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44"/>
        <w:ind w:left="0" w:right="1140" w:firstLine="0"/>
        <w:jc w:val="right"/>
        <w:rPr>
          <w:rFonts w:ascii="宋体" w:hAnsi="宋体" w:cs="宋体" w:eastAsia="宋体" w:hint="default"/>
          <w:sz w:val="18"/>
          <w:szCs w:val="18"/>
        </w:rPr>
      </w:pPr>
      <w:r>
        <w:rPr/>
        <w:pict>
          <v:shape style="position:absolute;margin-left:56.459999pt;margin-top:-230.068283pt;width:479.1pt;height:465.3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1"/>
                    <w:gridCol w:w="1095"/>
                    <w:gridCol w:w="888"/>
                    <w:gridCol w:w="1800"/>
                    <w:gridCol w:w="1801"/>
                    <w:gridCol w:w="1802"/>
                  </w:tblGrid>
                  <w:tr>
                    <w:trPr>
                      <w:trHeight w:val="713" w:hRule="exact"/>
                    </w:trPr>
                    <w:tc>
                      <w:tcPr>
                        <w:tcW w:w="2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42"/>
                          <w:jc w:val="right"/>
                          <w:rPr>
                            <w:rFonts w:ascii="宋体" w:hAnsi="宋体" w:cs="宋体" w:eastAsia="宋体" w:hint="default"/>
                            <w:sz w:val="18"/>
                            <w:szCs w:val="18"/>
                          </w:rPr>
                        </w:pPr>
                        <w:r>
                          <w:rPr>
                            <w:rFonts w:ascii="宋体" w:hAnsi="宋体" w:cs="宋体" w:eastAsia="宋体" w:hint="default"/>
                            <w:sz w:val="18"/>
                            <w:szCs w:val="18"/>
                          </w:rPr>
                          <w:t>控股股东名称</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91" w:right="65"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900" w:hRule="exact"/>
                    </w:trPr>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526"/>
                          <w:jc w:val="righ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真才基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40001101-6</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6523270000</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34"/>
                          <w:jc w:val="left"/>
                          <w:rPr>
                            <w:rFonts w:ascii="宋体" w:hAnsi="宋体" w:cs="宋体" w:eastAsia="宋体" w:hint="default"/>
                            <w:sz w:val="18"/>
                            <w:szCs w:val="18"/>
                          </w:rPr>
                        </w:pPr>
                        <w:r>
                          <w:rPr>
                            <w:rFonts w:ascii="宋体" w:hAnsi="宋体" w:cs="宋体" w:eastAsia="宋体" w:hint="default"/>
                            <w:spacing w:val="-6"/>
                            <w:sz w:val="18"/>
                            <w:szCs w:val="18"/>
                          </w:rPr>
                          <w:t>通信设备、电子计算机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及外部设备、电子软 </w:t>
                        </w:r>
                        <w:r>
                          <w:rPr>
                            <w:rFonts w:ascii="宋体" w:hAnsi="宋体" w:cs="宋体" w:eastAsia="宋体" w:hint="default"/>
                            <w:spacing w:val="-6"/>
                            <w:sz w:val="18"/>
                            <w:szCs w:val="18"/>
                          </w:rPr>
                          <w:t>件、广播电视设备、光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纤及光电缆、电子元器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件、其他电子设备、仪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器仪表的开发、生产、 </w:t>
                        </w:r>
                        <w:r>
                          <w:rPr>
                            <w:rFonts w:ascii="宋体" w:hAnsi="宋体" w:cs="宋体" w:eastAsia="宋体" w:hint="default"/>
                            <w:spacing w:val="-6"/>
                            <w:sz w:val="18"/>
                            <w:szCs w:val="18"/>
                          </w:rPr>
                          <w:t>销售、系统集成（国家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有专项专营规定的除 外）</w:t>
                        </w:r>
                      </w:p>
                    </w:tc>
                  </w:tr>
                  <w:tr>
                    <w:trPr>
                      <w:trHeight w:val="4659" w:hRule="exact"/>
                    </w:trPr>
                    <w:tc>
                      <w:tcPr>
                        <w:tcW w:w="2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7"/>
                          <w:ind w:left="22" w:right="19"/>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电信科学技术研究院未来发展战略 </w:t>
                        </w:r>
                        <w:r>
                          <w:rPr>
                            <w:rFonts w:ascii="宋体" w:hAnsi="宋体" w:cs="宋体" w:eastAsia="宋体" w:hint="default"/>
                            <w:spacing w:val="-2"/>
                            <w:sz w:val="18"/>
                            <w:szCs w:val="18"/>
                          </w:rPr>
                          <w:t>电信科学技术研究院制定实施企业“十二五”战略规划，以提升企业的核心竞争力和盈利能力</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为中心任务，加快发展无线移动通信、集成电路设计与制造等主导产业板块，培育战略性新兴</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4"/>
                            <w:sz w:val="18"/>
                            <w:szCs w:val="18"/>
                          </w:rPr>
                          <w:t>产业为代表的先导产业板块，建设完善的高效协同技术创新体系、资本运作体系和软实力体系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加快实现国际市场重点突破和资本市场有效突破。力争到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年末，将电信科学技术研究院 </w:t>
                        </w:r>
                        <w:r>
                          <w:rPr>
                            <w:rFonts w:ascii="宋体" w:hAnsi="宋体" w:cs="宋体" w:eastAsia="宋体" w:hint="default"/>
                            <w:spacing w:val="-2"/>
                            <w:sz w:val="18"/>
                            <w:szCs w:val="18"/>
                          </w:rPr>
                          <w:t>打造成为我国电子信息通信领域内国家重点培育、拥有自主知识产权、具有综合创新能力的大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型高科技现代中央企业。</w:t>
                        </w:r>
                      </w:p>
                      <w:p>
                        <w:pPr>
                          <w:pStyle w:val="TableParagraph"/>
                          <w:spacing w:line="328" w:lineRule="auto" w:before="58"/>
                          <w:ind w:left="23"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电信科学技术研究院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年合并财务数据 按照经立信会计师事务所（特殊普通合伙）审计并出具无保留意见的审计报告《信会师审字 </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721417</w:t>
                        </w:r>
                        <w:r>
                          <w:rPr>
                            <w:rFonts w:ascii="Times New Roman" w:hAnsi="Times New Roman" w:cs="Times New Roman" w:eastAsia="Times New Roman" w:hint="default"/>
                            <w:spacing w:val="8"/>
                            <w:sz w:val="18"/>
                            <w:szCs w:val="18"/>
                          </w:rPr>
                          <w:t> </w:t>
                        </w:r>
                        <w:r>
                          <w:rPr>
                            <w:rFonts w:ascii="宋体" w:hAnsi="宋体" w:cs="宋体" w:eastAsia="宋体" w:hint="default"/>
                            <w:spacing w:val="-14"/>
                            <w:sz w:val="18"/>
                            <w:szCs w:val="18"/>
                          </w:rPr>
                          <w:t>号》，</w:t>
                        </w:r>
                        <w:r>
                          <w:rPr>
                            <w:rFonts w:ascii="Times New Roman" w:hAnsi="Times New Roman" w:cs="Times New Roman" w:eastAsia="Times New Roman" w:hint="default"/>
                            <w:spacing w:val="-14"/>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年度电信科学技术研究院实现营业总收入</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1,485,646</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万元，利润总</w:t>
                        </w:r>
                      </w:p>
                      <w:p>
                        <w:pPr>
                          <w:pStyle w:val="TableParagraph"/>
                          <w:spacing w:line="238" w:lineRule="exact"/>
                          <w:ind w:left="2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52,346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万元，净利润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37,994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年末资产总额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2,507,483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万元，负债总额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1,180,314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万元，所有者权益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1,327,169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年度经营现金净流量</w:t>
                        </w:r>
                        <w:r>
                          <w:rPr>
                            <w:rFonts w:ascii="宋体" w:hAnsi="宋体" w:cs="宋体" w:eastAsia="宋体" w:hint="default"/>
                            <w:spacing w:val="-49"/>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投资现金净流量</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筹资活动净流量</w:t>
                        </w:r>
                        <w:r>
                          <w:rPr>
                            <w:rFonts w:ascii="宋体" w:hAnsi="宋体" w:cs="宋体" w:eastAsia="宋体" w:hint="default"/>
                            <w:spacing w:val="-49"/>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1025" w:hRule="exact"/>
                    </w:trPr>
                    <w:tc>
                      <w:tcPr>
                        <w:tcW w:w="2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6"/>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23" w:right="19"/>
                          <w:jc w:val="left"/>
                          <w:rPr>
                            <w:rFonts w:ascii="宋体" w:hAnsi="宋体" w:cs="宋体" w:eastAsia="宋体" w:hint="default"/>
                            <w:sz w:val="18"/>
                            <w:szCs w:val="18"/>
                          </w:rPr>
                        </w:pPr>
                        <w:r>
                          <w:rPr>
                            <w:rFonts w:ascii="宋体" w:hAnsi="宋体" w:cs="宋体" w:eastAsia="宋体" w:hint="default"/>
                            <w:spacing w:val="-2"/>
                            <w:sz w:val="18"/>
                            <w:szCs w:val="18"/>
                          </w:rPr>
                          <w:t>电信科学技术研究院直接持有境内上市公司大唐电信科技股份有限公司（</w:t>
                        </w:r>
                        <w:r>
                          <w:rPr>
                            <w:rFonts w:ascii="Times New Roman" w:hAnsi="Times New Roman" w:cs="Times New Roman" w:eastAsia="Times New Roman" w:hint="default"/>
                            <w:spacing w:val="-2"/>
                            <w:sz w:val="18"/>
                            <w:szCs w:val="18"/>
                          </w:rPr>
                          <w:t>600198</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29.61%</w:t>
                        </w:r>
                        <w:r>
                          <w:rPr>
                            <w:rFonts w:ascii="宋体" w:hAnsi="宋体" w:cs="宋体" w:eastAsia="宋体" w:hint="default"/>
                            <w:spacing w:val="-2"/>
                            <w:sz w:val="18"/>
                            <w:szCs w:val="18"/>
                          </w:rPr>
                          <w:t>的股</w:t>
                        </w:r>
                        <w:r>
                          <w:rPr>
                            <w:rFonts w:ascii="宋体" w:hAnsi="宋体" w:cs="宋体" w:eastAsia="宋体" w:hint="default"/>
                            <w:spacing w:val="-66"/>
                            <w:sz w:val="18"/>
                            <w:szCs w:val="18"/>
                          </w:rPr>
                          <w:t> </w:t>
                        </w:r>
                        <w:r>
                          <w:rPr>
                            <w:rFonts w:ascii="宋体" w:hAnsi="宋体" w:cs="宋体" w:eastAsia="宋体" w:hint="default"/>
                            <w:sz w:val="18"/>
                            <w:szCs w:val="18"/>
                          </w:rPr>
                          <w:t>权</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spacing w:before="44"/>
        <w:ind w:left="152" w:right="1125" w:firstLine="0"/>
        <w:jc w:val="left"/>
        <w:rPr>
          <w:rFonts w:ascii="宋体" w:hAnsi="宋体" w:cs="宋体" w:eastAsia="宋体" w:hint="default"/>
          <w:sz w:val="18"/>
          <w:szCs w:val="18"/>
        </w:rPr>
      </w:pPr>
      <w:r>
        <w:rPr>
          <w:rFonts w:ascii="宋体" w:hAnsi="宋体" w:cs="宋体" w:eastAsia="宋体" w:hint="default"/>
          <w:sz w:val="18"/>
          <w:szCs w:val="18"/>
        </w:rPr>
        <w:t>报告期控股股东变更</w:t>
      </w:r>
    </w:p>
    <w:p>
      <w:pPr>
        <w:spacing w:line="544" w:lineRule="auto" w:before="117"/>
        <w:ind w:left="152" w:right="8541" w:firstLine="0"/>
        <w:jc w:val="left"/>
        <w:rPr>
          <w:rFonts w:ascii="宋体" w:hAnsi="宋体" w:cs="宋体" w:eastAsia="宋体" w:hint="default"/>
          <w:sz w:val="18"/>
          <w:szCs w:val="18"/>
        </w:rPr>
      </w:pPr>
      <w:r>
        <w:rPr/>
        <w:pict>
          <v:shape style="position:absolute;margin-left:56.400002pt;margin-top:84.281746pt;width:479.15pt;height:158.950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2"/>
                    <w:gridCol w:w="1095"/>
                    <w:gridCol w:w="888"/>
                    <w:gridCol w:w="1800"/>
                    <w:gridCol w:w="1801"/>
                    <w:gridCol w:w="1802"/>
                  </w:tblGrid>
                  <w:tr>
                    <w:trPr>
                      <w:trHeight w:val="713"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6"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91" w:right="65"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5"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6"/>
                          <w:jc w:val="left"/>
                          <w:rPr>
                            <w:rFonts w:ascii="宋体" w:hAnsi="宋体" w:cs="宋体" w:eastAsia="宋体" w:hint="default"/>
                            <w:sz w:val="18"/>
                            <w:szCs w:val="18"/>
                          </w:rPr>
                        </w:pPr>
                        <w:r>
                          <w:rPr>
                            <w:rFonts w:ascii="宋体" w:hAnsi="宋体" w:cs="宋体" w:eastAsia="宋体" w:hint="default"/>
                            <w:sz w:val="18"/>
                            <w:szCs w:val="18"/>
                          </w:rPr>
                          <w:t>国务院国有资产监督管理 委员会</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88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9"/>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6"/>
                          <w:jc w:val="both"/>
                          <w:rPr>
                            <w:rFonts w:ascii="宋体" w:hAnsi="宋体" w:cs="宋体" w:eastAsia="宋体" w:hint="default"/>
                            <w:sz w:val="18"/>
                            <w:szCs w:val="18"/>
                          </w:rPr>
                        </w:pPr>
                        <w:r>
                          <w:rPr>
                            <w:rFonts w:ascii="宋体" w:hAnsi="宋体" w:cs="宋体" w:eastAsia="宋体" w:hint="default"/>
                            <w:sz w:val="18"/>
                            <w:szCs w:val="18"/>
                          </w:rPr>
                          <w:t>实际控制人报告期内控制 的其他境内外上市公司的 股权情况</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100"/>
          <w:sz w:val="21"/>
          <w:szCs w:val="21"/>
        </w:rPr>
        <w:t> </w:t>
      </w:r>
      <w:r>
        <w:rPr>
          <w:rFonts w:ascii="宋体" w:hAnsi="宋体" w:cs="宋体" w:eastAsia="宋体" w:hint="default"/>
          <w:sz w:val="18"/>
          <w:szCs w:val="18"/>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before="44"/>
        <w:ind w:left="152" w:right="1125" w:firstLine="0"/>
        <w:jc w:val="left"/>
        <w:rPr>
          <w:rFonts w:ascii="宋体" w:hAnsi="宋体" w:cs="宋体" w:eastAsia="宋体" w:hint="default"/>
          <w:sz w:val="18"/>
          <w:szCs w:val="18"/>
        </w:rPr>
      </w:pPr>
      <w:r>
        <w:rPr>
          <w:rFonts w:ascii="宋体" w:hAnsi="宋体" w:cs="宋体" w:eastAsia="宋体" w:hint="default"/>
          <w:sz w:val="18"/>
          <w:szCs w:val="18"/>
        </w:rPr>
        <w:t>报告期实际控制人变更</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公司与实际控制人之间的产权及控制关系的方框图</w:t>
      </w:r>
    </w:p>
    <w:p>
      <w:pPr>
        <w:spacing w:line="240" w:lineRule="auto" w:before="11"/>
        <w:rPr>
          <w:rFonts w:ascii="宋体" w:hAnsi="宋体" w:cs="宋体" w:eastAsia="宋体" w:hint="default"/>
          <w:sz w:val="20"/>
          <w:szCs w:val="20"/>
        </w:rPr>
      </w:pPr>
    </w:p>
    <w:p>
      <w:pPr>
        <w:spacing w:line="2958" w:lineRule="exact"/>
        <w:ind w:left="2066"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3689747" cy="187852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33" cstate="print"/>
                    <a:stretch>
                      <a:fillRect/>
                    </a:stretch>
                  </pic:blipFill>
                  <pic:spPr>
                    <a:xfrm>
                      <a:off x="0" y="0"/>
                      <a:ext cx="3689747" cy="1878520"/>
                    </a:xfrm>
                    <a:prstGeom prst="rect">
                      <a:avLst/>
                    </a:prstGeom>
                  </pic:spPr>
                </pic:pic>
              </a:graphicData>
            </a:graphic>
          </wp:inline>
        </w:drawing>
      </w:r>
      <w:r>
        <w:rPr>
          <w:rFonts w:ascii="宋体" w:hAnsi="宋体" w:cs="宋体" w:eastAsia="宋体" w:hint="default"/>
          <w:position w:val="-58"/>
          <w:sz w:val="20"/>
          <w:szCs w:val="20"/>
        </w:rPr>
      </w:r>
    </w:p>
    <w:p>
      <w:pPr>
        <w:spacing w:line="240" w:lineRule="auto" w:before="10"/>
        <w:rPr>
          <w:rFonts w:ascii="宋体" w:hAnsi="宋体" w:cs="宋体" w:eastAsia="宋体" w:hint="default"/>
          <w:sz w:val="18"/>
          <w:szCs w:val="18"/>
        </w:rPr>
      </w:pPr>
    </w:p>
    <w:p>
      <w:pPr>
        <w:pStyle w:val="BodyText"/>
        <w:spacing w:line="240" w:lineRule="auto"/>
        <w:ind w:right="1125"/>
        <w:jc w:val="left"/>
      </w:pPr>
      <w:r>
        <w:rPr/>
        <w:t>实际控制人通过信托或其他资产管理方式控制公司</w:t>
      </w:r>
    </w:p>
    <w:p>
      <w:pPr>
        <w:spacing w:line="240" w:lineRule="auto" w:before="8"/>
        <w:rPr>
          <w:rFonts w:ascii="宋体" w:hAnsi="宋体" w:cs="宋体" w:eastAsia="宋体" w:hint="default"/>
          <w:sz w:val="18"/>
          <w:szCs w:val="18"/>
        </w:rPr>
      </w:pPr>
    </w:p>
    <w:p>
      <w:pPr>
        <w:spacing w:before="0"/>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before="0"/>
        <w:ind w:right="1125"/>
        <w:jc w:val="left"/>
        <w:rPr>
          <w:b w:val="0"/>
          <w:bCs w:val="0"/>
        </w:rPr>
      </w:pPr>
      <w:r>
        <w:rPr/>
        <w:t>四、公司股东及其一致行动人在报告期提出或实施股份增持计划的情况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319" w:right="21" w:hanging="296"/>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一致行 动人姓名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0" w:right="46" w:hanging="540"/>
              <w:jc w:val="left"/>
              <w:rPr>
                <w:rFonts w:ascii="宋体" w:hAnsi="宋体" w:cs="宋体" w:eastAsia="宋体" w:hint="default"/>
                <w:sz w:val="18"/>
                <w:szCs w:val="18"/>
              </w:rPr>
            </w:pPr>
            <w:r>
              <w:rPr>
                <w:rFonts w:ascii="宋体" w:hAnsi="宋体" w:cs="宋体" w:eastAsia="宋体" w:hint="default"/>
                <w:sz w:val="18"/>
                <w:szCs w:val="18"/>
              </w:rPr>
              <w:t>计划增持股份数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33" w:right="48" w:hanging="286"/>
              <w:jc w:val="left"/>
              <w:rPr>
                <w:rFonts w:ascii="宋体" w:hAnsi="宋体" w:cs="宋体" w:eastAsia="宋体" w:hint="default"/>
                <w:sz w:val="18"/>
                <w:szCs w:val="18"/>
              </w:rPr>
            </w:pPr>
            <w:r>
              <w:rPr>
                <w:rFonts w:ascii="宋体" w:hAnsi="宋体" w:cs="宋体" w:eastAsia="宋体" w:hint="default"/>
                <w:sz w:val="18"/>
                <w:szCs w:val="18"/>
              </w:rPr>
              <w:t>计划增持股份比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7" w:right="46" w:hanging="540"/>
              <w:jc w:val="left"/>
              <w:rPr>
                <w:rFonts w:ascii="宋体" w:hAnsi="宋体" w:cs="宋体" w:eastAsia="宋体" w:hint="default"/>
                <w:sz w:val="18"/>
                <w:szCs w:val="18"/>
              </w:rPr>
            </w:pPr>
            <w:r>
              <w:rPr>
                <w:rFonts w:ascii="宋体" w:hAnsi="宋体" w:cs="宋体" w:eastAsia="宋体" w:hint="default"/>
                <w:sz w:val="18"/>
                <w:szCs w:val="18"/>
              </w:rPr>
              <w:t>实际增持股份数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33" w:right="48" w:hanging="286"/>
              <w:jc w:val="left"/>
              <w:rPr>
                <w:rFonts w:ascii="宋体" w:hAnsi="宋体" w:cs="宋体" w:eastAsia="宋体" w:hint="default"/>
                <w:sz w:val="18"/>
                <w:szCs w:val="18"/>
              </w:rPr>
            </w:pPr>
            <w:r>
              <w:rPr>
                <w:rFonts w:ascii="宋体" w:hAnsi="宋体" w:cs="宋体" w:eastAsia="宋体" w:hint="default"/>
                <w:sz w:val="18"/>
                <w:szCs w:val="18"/>
              </w:rPr>
              <w:t>实际增持股份比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股份增持计划初 次披露日期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 w:right="48"/>
              <w:jc w:val="left"/>
              <w:rPr>
                <w:rFonts w:ascii="宋体" w:hAnsi="宋体" w:cs="宋体" w:eastAsia="宋体" w:hint="default"/>
                <w:sz w:val="18"/>
                <w:szCs w:val="18"/>
              </w:rPr>
            </w:pPr>
            <w:r>
              <w:rPr>
                <w:rFonts w:ascii="宋体" w:hAnsi="宋体" w:cs="宋体" w:eastAsia="宋体" w:hint="default"/>
                <w:sz w:val="18"/>
                <w:szCs w:val="18"/>
              </w:rPr>
              <w:t>股份增持计划实 施结束披露日期</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电信科学技术研 究院</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29,416,400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pStyle w:val="BodyText"/>
        <w:spacing w:line="357" w:lineRule="auto" w:before="39"/>
        <w:ind w:right="1125" w:firstLine="566"/>
        <w:jc w:val="left"/>
      </w:pPr>
      <w:r>
        <w:rPr>
          <w:spacing w:val="-2"/>
        </w:rPr>
        <w:t>公司于</w:t>
      </w:r>
      <w:r>
        <w:rPr>
          <w:rFonts w:ascii="宋体" w:hAnsi="宋体" w:cs="宋体" w:eastAsia="宋体" w:hint="default"/>
          <w:spacing w:val="-2"/>
        </w:rPr>
        <w:t>2012</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15</w:t>
      </w:r>
      <w:r>
        <w:rPr>
          <w:spacing w:val="-2"/>
        </w:rPr>
        <w:t>日接到控股股东电信院的通知，承诺“计划在未来三个月内，当公</w:t>
      </w:r>
      <w:r>
        <w:rPr/>
        <w:t> 司股票二级市场价格低于</w:t>
      </w:r>
      <w:r>
        <w:rPr>
          <w:rFonts w:ascii="宋体" w:hAnsi="宋体" w:cs="宋体" w:eastAsia="宋体" w:hint="default"/>
        </w:rPr>
        <w:t>6.6</w:t>
      </w:r>
      <w:r>
        <w:rPr/>
        <w:t>元</w:t>
      </w:r>
      <w:r>
        <w:rPr>
          <w:rFonts w:ascii="宋体" w:hAnsi="宋体" w:cs="宋体" w:eastAsia="宋体" w:hint="default"/>
        </w:rPr>
        <w:t>/</w:t>
      </w:r>
      <w:r>
        <w:rPr/>
        <w:t>股或公司本次发行价格低于</w:t>
      </w:r>
      <w:r>
        <w:rPr>
          <w:rFonts w:ascii="宋体" w:hAnsi="宋体" w:cs="宋体" w:eastAsia="宋体" w:hint="default"/>
        </w:rPr>
        <w:t>6.6</w:t>
      </w:r>
      <w:r>
        <w:rPr/>
        <w:t>元</w:t>
      </w:r>
      <w:r>
        <w:rPr>
          <w:rFonts w:ascii="宋体" w:hAnsi="宋体" w:cs="宋体" w:eastAsia="宋体" w:hint="default"/>
        </w:rPr>
        <w:t>/</w:t>
      </w:r>
      <w:r>
        <w:rPr/>
        <w:t>股时，除已承诺的拟认购</w:t>
      </w:r>
    </w:p>
    <w:p>
      <w:pPr>
        <w:spacing w:after="0" w:line="357" w:lineRule="auto"/>
        <w:jc w:val="left"/>
        <w:sectPr>
          <w:pgSz w:w="11910" w:h="16840"/>
          <w:pgMar w:header="877" w:footer="1340" w:top="1060" w:bottom="1540" w:left="980" w:right="0"/>
        </w:sectPr>
      </w:pPr>
    </w:p>
    <w:p>
      <w:pPr>
        <w:spacing w:line="240" w:lineRule="auto" w:before="6"/>
        <w:rPr>
          <w:rFonts w:ascii="宋体" w:hAnsi="宋体" w:cs="宋体" w:eastAsia="宋体" w:hint="default"/>
          <w:sz w:val="29"/>
          <w:szCs w:val="29"/>
        </w:rPr>
      </w:pPr>
    </w:p>
    <w:p>
      <w:pPr>
        <w:pStyle w:val="BodyText"/>
        <w:spacing w:line="357" w:lineRule="auto" w:before="26"/>
        <w:ind w:right="1129"/>
        <w:jc w:val="both"/>
      </w:pPr>
      <w:r>
        <w:rPr>
          <w:spacing w:val="-2"/>
        </w:rPr>
        <w:t>不少于</w:t>
      </w:r>
      <w:r>
        <w:rPr>
          <w:rFonts w:ascii="宋体" w:hAnsi="宋体" w:cs="宋体" w:eastAsia="宋体" w:hint="default"/>
          <w:spacing w:val="-2"/>
        </w:rPr>
        <w:t>1</w:t>
      </w:r>
      <w:r>
        <w:rPr>
          <w:spacing w:val="-2"/>
        </w:rPr>
        <w:t>亿元公司</w:t>
      </w:r>
      <w:r>
        <w:rPr>
          <w:rFonts w:ascii="宋体" w:hAnsi="宋体" w:cs="宋体" w:eastAsia="宋体" w:hint="default"/>
          <w:spacing w:val="-2"/>
        </w:rPr>
        <w:t>2012</w:t>
      </w:r>
      <w:r>
        <w:rPr>
          <w:spacing w:val="-2"/>
        </w:rPr>
        <w:t>年非公开发行的股票外，电信院将通过二级市场购买或认购公司非公开</w:t>
      </w:r>
      <w:r>
        <w:rPr>
          <w:spacing w:val="-117"/>
        </w:rPr>
        <w:t> </w:t>
      </w:r>
      <w:r>
        <w:rPr>
          <w:spacing w:val="-117"/>
        </w:rPr>
      </w:r>
      <w:r>
        <w:rPr/>
        <w:t>发行股票方式另将增持公司股票不少于</w:t>
      </w:r>
      <w:r>
        <w:rPr>
          <w:rFonts w:ascii="宋体" w:hAnsi="宋体" w:cs="宋体" w:eastAsia="宋体" w:hint="default"/>
        </w:rPr>
        <w:t>8000</w:t>
      </w:r>
      <w:r>
        <w:rPr/>
        <w:t>万元；当公司股票在二级市场价格高于</w:t>
      </w:r>
      <w:r>
        <w:rPr>
          <w:rFonts w:ascii="宋体" w:hAnsi="宋体" w:cs="宋体" w:eastAsia="宋体" w:hint="default"/>
        </w:rPr>
        <w:t>6.6</w:t>
      </w:r>
      <w:r>
        <w:rPr/>
        <w:t>元</w:t>
      </w:r>
      <w:r>
        <w:rPr>
          <w:rFonts w:ascii="宋体" w:hAnsi="宋体" w:cs="宋体" w:eastAsia="宋体" w:hint="default"/>
        </w:rPr>
        <w:t>/</w:t>
      </w:r>
      <w:r>
        <w:rPr/>
        <w:t>股</w:t>
      </w:r>
      <w:r>
        <w:rPr>
          <w:spacing w:val="-87"/>
        </w:rPr>
        <w:t> </w:t>
      </w:r>
      <w:r>
        <w:rPr>
          <w:spacing w:val="-2"/>
        </w:rPr>
        <w:t>且公司本次发行价格高于</w:t>
      </w:r>
      <w:r>
        <w:rPr>
          <w:rFonts w:ascii="宋体" w:hAnsi="宋体" w:cs="宋体" w:eastAsia="宋体" w:hint="default"/>
          <w:spacing w:val="-2"/>
        </w:rPr>
        <w:t>6.6</w:t>
      </w:r>
      <w:r>
        <w:rPr>
          <w:spacing w:val="-2"/>
        </w:rPr>
        <w:t>元</w:t>
      </w:r>
      <w:r>
        <w:rPr>
          <w:rFonts w:ascii="宋体" w:hAnsi="宋体" w:cs="宋体" w:eastAsia="宋体" w:hint="default"/>
          <w:spacing w:val="-2"/>
        </w:rPr>
        <w:t>/</w:t>
      </w:r>
      <w:r>
        <w:rPr>
          <w:spacing w:val="-2"/>
        </w:rPr>
        <w:t>股时，除已承诺的拟认购不少于</w:t>
      </w:r>
      <w:r>
        <w:rPr>
          <w:rFonts w:ascii="宋体" w:hAnsi="宋体" w:cs="宋体" w:eastAsia="宋体" w:hint="default"/>
          <w:spacing w:val="-2"/>
        </w:rPr>
        <w:t>1</w:t>
      </w:r>
      <w:r>
        <w:rPr>
          <w:spacing w:val="-2"/>
        </w:rPr>
        <w:t>亿元公司</w:t>
      </w:r>
      <w:r>
        <w:rPr>
          <w:rFonts w:ascii="宋体" w:hAnsi="宋体" w:cs="宋体" w:eastAsia="宋体" w:hint="default"/>
          <w:spacing w:val="-2"/>
        </w:rPr>
        <w:t>2012</w:t>
      </w:r>
      <w:r>
        <w:rPr>
          <w:spacing w:val="-2"/>
        </w:rPr>
        <w:t>年非公开发行</w:t>
      </w:r>
      <w:r>
        <w:rPr>
          <w:spacing w:val="-112"/>
        </w:rPr>
        <w:t> </w:t>
      </w:r>
      <w:r>
        <w:rPr>
          <w:spacing w:val="3"/>
        </w:rPr>
        <w:t>的股票外，无进一步增持计划。”</w:t>
      </w:r>
      <w:r>
        <w:rPr>
          <w:spacing w:val="34"/>
        </w:rPr>
        <w:t> </w:t>
      </w:r>
      <w:r>
        <w:rPr>
          <w:spacing w:val="2"/>
        </w:rPr>
        <w:t>公司控股股东为履行上述承诺，于</w:t>
      </w:r>
      <w:r>
        <w:rPr>
          <w:rFonts w:ascii="宋体" w:hAnsi="宋体" w:cs="宋体" w:eastAsia="宋体" w:hint="default"/>
          <w:spacing w:val="2"/>
        </w:rPr>
        <w:t>2012</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21</w:t>
      </w:r>
      <w:r>
        <w:rPr>
          <w:spacing w:val="2"/>
        </w:rPr>
        <w:t>日出资</w:t>
      </w:r>
      <w:r>
        <w:rPr>
          <w:spacing w:val="-114"/>
        </w:rPr>
        <w:t> </w:t>
      </w:r>
      <w:r>
        <w:rPr>
          <w:spacing w:val="-114"/>
        </w:rPr>
      </w:r>
      <w:r>
        <w:rPr>
          <w:rFonts w:ascii="宋体" w:hAnsi="宋体" w:cs="宋体" w:eastAsia="宋体" w:hint="default"/>
        </w:rPr>
        <w:t>17,992.8</w:t>
      </w:r>
      <w:r>
        <w:rPr/>
        <w:t>万元，以</w:t>
      </w:r>
      <w:r>
        <w:rPr>
          <w:rFonts w:ascii="宋体" w:hAnsi="宋体" w:cs="宋体" w:eastAsia="宋体" w:hint="default"/>
        </w:rPr>
        <w:t>6.12</w:t>
      </w:r>
      <w:r>
        <w:rPr/>
        <w:t>元</w:t>
      </w:r>
      <w:r>
        <w:rPr>
          <w:rFonts w:ascii="宋体" w:hAnsi="宋体" w:cs="宋体" w:eastAsia="宋体" w:hint="default"/>
        </w:rPr>
        <w:t>/</w:t>
      </w:r>
      <w:r>
        <w:rPr/>
        <w:t>股的价格认购公司</w:t>
      </w:r>
      <w:r>
        <w:rPr>
          <w:rFonts w:ascii="宋体" w:hAnsi="宋体" w:cs="宋体" w:eastAsia="宋体" w:hint="default"/>
        </w:rPr>
        <w:t>2012</w:t>
      </w:r>
      <w:r>
        <w:rPr/>
        <w:t>年非公开发行的</w:t>
      </w:r>
      <w:r>
        <w:rPr>
          <w:rFonts w:ascii="宋体" w:hAnsi="宋体" w:cs="宋体" w:eastAsia="宋体" w:hint="default"/>
        </w:rPr>
        <w:t>2,940</w:t>
      </w:r>
      <w:r>
        <w:rPr/>
        <w:t>万股股票，另于</w:t>
      </w:r>
      <w:r>
        <w:rPr>
          <w:rFonts w:ascii="宋体" w:hAnsi="宋体" w:cs="宋体" w:eastAsia="宋体" w:hint="default"/>
        </w:rPr>
        <w:t>2012</w:t>
      </w:r>
      <w:r>
        <w:rPr>
          <w:rFonts w:ascii="宋体" w:hAnsi="宋体" w:cs="宋体" w:eastAsia="宋体" w:hint="default"/>
          <w:spacing w:val="-90"/>
        </w:rPr>
        <w:t> </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11</w:t>
      </w:r>
      <w:r>
        <w:rPr>
          <w:spacing w:val="-2"/>
        </w:rPr>
        <w:t>日出资</w:t>
      </w:r>
      <w:r>
        <w:rPr>
          <w:rFonts w:ascii="宋体" w:hAnsi="宋体" w:cs="宋体" w:eastAsia="宋体" w:hint="default"/>
          <w:spacing w:val="-2"/>
        </w:rPr>
        <w:t>9.97</w:t>
      </w:r>
      <w:r>
        <w:rPr>
          <w:spacing w:val="-2"/>
        </w:rPr>
        <w:t>万元通过公开市场以</w:t>
      </w:r>
      <w:r>
        <w:rPr>
          <w:rFonts w:ascii="宋体" w:hAnsi="宋体" w:cs="宋体" w:eastAsia="宋体" w:hint="default"/>
          <w:spacing w:val="-2"/>
        </w:rPr>
        <w:t>6.08</w:t>
      </w:r>
      <w:r>
        <w:rPr>
          <w:spacing w:val="-2"/>
        </w:rPr>
        <w:t>元</w:t>
      </w:r>
      <w:r>
        <w:rPr>
          <w:rFonts w:ascii="宋体" w:hAnsi="宋体" w:cs="宋体" w:eastAsia="宋体" w:hint="default"/>
          <w:spacing w:val="-2"/>
        </w:rPr>
        <w:t>/</w:t>
      </w:r>
      <w:r>
        <w:rPr>
          <w:spacing w:val="-2"/>
        </w:rPr>
        <w:t>股的价格购入公司</w:t>
      </w:r>
      <w:r>
        <w:rPr>
          <w:rFonts w:ascii="宋体" w:hAnsi="宋体" w:cs="宋体" w:eastAsia="宋体" w:hint="default"/>
          <w:spacing w:val="-2"/>
        </w:rPr>
        <w:t>1.64</w:t>
      </w:r>
      <w:r>
        <w:rPr>
          <w:spacing w:val="-2"/>
        </w:rPr>
        <w:t>万股股票。至此，公</w:t>
      </w:r>
      <w:r>
        <w:rPr>
          <w:spacing w:val="-105"/>
        </w:rPr>
        <w:t> </w:t>
      </w:r>
      <w:r>
        <w:rPr>
          <w:spacing w:val="-105"/>
        </w:rPr>
      </w:r>
      <w:r>
        <w:rPr/>
        <w:t>司控股股东在承诺期限内购买合计</w:t>
      </w:r>
      <w:r>
        <w:rPr>
          <w:rFonts w:ascii="宋体" w:hAnsi="宋体" w:cs="宋体" w:eastAsia="宋体" w:hint="default"/>
        </w:rPr>
        <w:t>18,002.77</w:t>
      </w:r>
      <w:r>
        <w:rPr/>
        <w:t>万元的公司股票，承诺履行完毕。</w:t>
      </w:r>
    </w:p>
    <w:p>
      <w:pPr>
        <w:spacing w:after="0" w:line="357" w:lineRule="auto"/>
        <w:jc w:val="both"/>
        <w:sectPr>
          <w:pgSz w:w="11910" w:h="16840"/>
          <w:pgMar w:header="877" w:footer="1340" w:top="1060" w:bottom="1540" w:left="980" w:right="0"/>
        </w:sectPr>
      </w:pPr>
    </w:p>
    <w:p>
      <w:pPr>
        <w:spacing w:line="240" w:lineRule="auto" w:before="0"/>
        <w:rPr>
          <w:rFonts w:ascii="宋体" w:hAnsi="宋体" w:cs="宋体" w:eastAsia="宋体" w:hint="default"/>
          <w:sz w:val="20"/>
          <w:szCs w:val="20"/>
        </w:rPr>
      </w:pPr>
      <w:r>
        <w:rPr/>
        <w:pict>
          <v:shape style="position:absolute;margin-left:101.300003pt;margin-top:296.929993pt;width:85.35pt;height:23.4pt;mso-position-horizontal-relative:page;mso-position-vertical-relative:page;z-index:-126186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副总经理、</w:t>
                  </w:r>
                </w:p>
              </w:txbxContent>
            </v:textbox>
            <w10:wrap type="none"/>
          </v:shape>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1679" w:right="1125"/>
        <w:jc w:val="left"/>
        <w:rPr>
          <w:b w:val="0"/>
          <w:bCs w:val="0"/>
        </w:rPr>
      </w:pPr>
      <w:bookmarkStart w:name="_TOC_250004" w:id="7"/>
      <w:r>
        <w:rPr/>
        <w:t>第七节</w:t>
      </w:r>
      <w:r>
        <w:rPr>
          <w:spacing w:val="-8"/>
        </w:rPr>
        <w:t> </w:t>
      </w:r>
      <w:r>
        <w:rPr/>
        <w:t>董事、监事、高级管理人员和员工情况</w:t>
      </w:r>
      <w:bookmarkEnd w:id="7"/>
      <w:r>
        <w:rPr>
          <w:b w:val="0"/>
          <w:bCs w:val="0"/>
        </w:rPr>
      </w:r>
    </w:p>
    <w:p>
      <w:pPr>
        <w:spacing w:line="240" w:lineRule="auto" w:before="13"/>
        <w:rPr>
          <w:rFonts w:ascii="宋体" w:hAnsi="宋体" w:cs="宋体" w:eastAsia="宋体" w:hint="default"/>
          <w:b/>
          <w:bCs/>
          <w:sz w:val="38"/>
          <w:szCs w:val="38"/>
        </w:rPr>
      </w:pPr>
    </w:p>
    <w:p>
      <w:pPr>
        <w:pStyle w:val="Heading2"/>
        <w:spacing w:line="240" w:lineRule="auto" w:before="0"/>
        <w:ind w:right="1125"/>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69"/>
        <w:gridCol w:w="871"/>
        <w:gridCol w:w="869"/>
        <w:gridCol w:w="872"/>
        <w:gridCol w:w="869"/>
        <w:gridCol w:w="871"/>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7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付景林</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18"/>
                <w:sz w:val="18"/>
                <w:szCs w:val="18"/>
              </w:rPr>
              <w:t>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30,500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70,500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侯玉成</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115"/>
              <w:jc w:val="both"/>
              <w:rPr>
                <w:rFonts w:ascii="宋体" w:hAnsi="宋体" w:cs="宋体" w:eastAsia="宋体" w:hint="default"/>
                <w:sz w:val="18"/>
                <w:szCs w:val="18"/>
              </w:rPr>
            </w:pPr>
            <w:r>
              <w:rPr>
                <w:rFonts w:ascii="宋体" w:hAnsi="宋体" w:cs="宋体" w:eastAsia="宋体" w:hint="default"/>
                <w:sz w:val="18"/>
                <w:szCs w:val="18"/>
              </w:rPr>
              <w:t>董事会秘 书兼财务 负责人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43pt;height:23.4pt;mso-position-horizontal-relative:char;mso-position-vertical-relative:line" coordorigin="0,0" coordsize="860,468">
                  <v:group style="position:absolute;left:0;top:0;width:860;height:468" coordorigin="0,0" coordsize="860,468">
                    <v:shape style="position:absolute;left:0;top:0;width:860;height:468" coordorigin="0,0" coordsize="860,468" path="m0,468l859,468,859,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10,109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23,509</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刘雪峰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赵德胜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张新中</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11,700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姚印杰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陈玉强</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67,409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117,200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184,609</w:t>
            </w:r>
          </w:p>
        </w:tc>
      </w:tr>
    </w:tbl>
    <w:p>
      <w:pPr>
        <w:spacing w:line="240" w:lineRule="auto" w:before="1"/>
        <w:rPr>
          <w:rFonts w:ascii="宋体" w:hAnsi="宋体" w:cs="宋体" w:eastAsia="宋体" w:hint="default"/>
          <w:b/>
          <w:bCs/>
          <w:sz w:val="18"/>
          <w:szCs w:val="18"/>
        </w:rPr>
      </w:pPr>
    </w:p>
    <w:p>
      <w:pPr>
        <w:pStyle w:val="Heading2"/>
        <w:spacing w:line="240" w:lineRule="auto"/>
        <w:ind w:right="1125"/>
        <w:jc w:val="left"/>
        <w:rPr>
          <w:b w:val="0"/>
          <w:bCs w:val="0"/>
        </w:rPr>
      </w:pPr>
      <w:r>
        <w:rPr/>
        <w:t>二、任职情况</w:t>
      </w:r>
      <w:r>
        <w:rPr>
          <w:b w:val="0"/>
          <w:bCs w:val="0"/>
        </w:rPr>
      </w:r>
    </w:p>
    <w:p>
      <w:pPr>
        <w:spacing w:line="240" w:lineRule="auto" w:before="4"/>
        <w:rPr>
          <w:rFonts w:ascii="宋体" w:hAnsi="宋体" w:cs="宋体" w:eastAsia="宋体" w:hint="default"/>
          <w:b/>
          <w:bCs/>
          <w:sz w:val="26"/>
          <w:szCs w:val="26"/>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pStyle w:val="BodyText"/>
        <w:spacing w:line="357" w:lineRule="auto" w:before="135"/>
        <w:ind w:right="1127" w:firstLine="566"/>
        <w:jc w:val="both"/>
      </w:pPr>
      <w:r>
        <w:rPr>
          <w:rFonts w:ascii="宋体" w:hAnsi="宋体" w:cs="宋体" w:eastAsia="宋体" w:hint="default"/>
        </w:rPr>
        <w:t>1.</w:t>
      </w:r>
      <w:r>
        <w:rPr/>
        <w:t>付景林先生，</w:t>
      </w:r>
      <w:r>
        <w:rPr>
          <w:rFonts w:ascii="宋体" w:hAnsi="宋体" w:cs="宋体" w:eastAsia="宋体" w:hint="default"/>
        </w:rPr>
        <w:t>2003</w:t>
      </w:r>
      <w:r>
        <w:rPr/>
        <w:t>年</w:t>
      </w:r>
      <w:r>
        <w:rPr>
          <w:rFonts w:ascii="宋体" w:hAnsi="宋体" w:cs="宋体" w:eastAsia="宋体" w:hint="default"/>
        </w:rPr>
        <w:t>4</w:t>
      </w:r>
      <w:r>
        <w:rPr/>
        <w:t>月至今，任本公司董事长、总经理。兼任全资子公司北京大唐</w:t>
      </w:r>
      <w:r>
        <w:rPr>
          <w:spacing w:val="2"/>
        </w:rPr>
        <w:t> </w:t>
      </w:r>
      <w:r>
        <w:rPr/>
        <w:t>高鸿数据网络技术有限公司执行董事、控股子公司大唐高鸿信息技术有限公司董事长。</w:t>
      </w:r>
    </w:p>
    <w:p>
      <w:pPr>
        <w:pStyle w:val="BodyText"/>
        <w:spacing w:line="357" w:lineRule="auto" w:before="36"/>
        <w:ind w:right="1129" w:firstLine="566"/>
        <w:jc w:val="both"/>
      </w:pPr>
      <w:r>
        <w:rPr>
          <w:rFonts w:ascii="宋体" w:hAnsi="宋体" w:cs="宋体" w:eastAsia="宋体" w:hint="default"/>
        </w:rPr>
        <w:t>2.</w:t>
      </w:r>
      <w:r>
        <w:rPr/>
        <w:t>郑金良先生，公司副董事长。</w:t>
      </w:r>
      <w:r>
        <w:rPr>
          <w:rFonts w:ascii="宋体" w:hAnsi="宋体" w:cs="宋体" w:eastAsia="宋体" w:hint="default"/>
        </w:rPr>
        <w:t>2001</w:t>
      </w:r>
      <w:r>
        <w:rPr/>
        <w:t>年</w:t>
      </w:r>
      <w:r>
        <w:rPr>
          <w:rFonts w:ascii="宋体" w:hAnsi="宋体" w:cs="宋体" w:eastAsia="宋体" w:hint="default"/>
        </w:rPr>
        <w:t>7</w:t>
      </w:r>
      <w:r>
        <w:rPr/>
        <w:t>月至</w:t>
      </w:r>
      <w:r>
        <w:rPr>
          <w:rFonts w:ascii="宋体" w:hAnsi="宋体" w:cs="宋体" w:eastAsia="宋体" w:hint="default"/>
        </w:rPr>
        <w:t>2005</w:t>
      </w:r>
      <w:r>
        <w:rPr/>
        <w:t>年</w:t>
      </w:r>
      <w:r>
        <w:rPr>
          <w:rFonts w:ascii="宋体" w:hAnsi="宋体" w:cs="宋体" w:eastAsia="宋体" w:hint="default"/>
        </w:rPr>
        <w:t>12</w:t>
      </w:r>
      <w:r>
        <w:rPr/>
        <w:t>月任北京电子控股有限责任公司 法务人员，曾任电信科学技术研究院法律事务部法律事务总经理助理。</w:t>
      </w:r>
      <w:r>
        <w:rPr>
          <w:rFonts w:ascii="宋体" w:hAnsi="宋体" w:cs="宋体" w:eastAsia="宋体" w:hint="default"/>
        </w:rPr>
        <w:t>2008</w:t>
      </w:r>
      <w:r>
        <w:rPr/>
        <w:t>年至今任大唐科</w:t>
      </w:r>
      <w:r>
        <w:rPr>
          <w:spacing w:val="-90"/>
        </w:rPr>
        <w:t> </w:t>
      </w:r>
      <w:r>
        <w:rPr>
          <w:spacing w:val="-90"/>
        </w:rPr>
      </w:r>
      <w:r>
        <w:rPr/>
        <w:t>技产业控股有限公司法律事务部副总经理。</w:t>
      </w:r>
    </w:p>
    <w:p>
      <w:pPr>
        <w:pStyle w:val="BodyText"/>
        <w:spacing w:line="240" w:lineRule="auto" w:before="36"/>
        <w:ind w:left="719" w:right="0"/>
        <w:jc w:val="left"/>
        <w:rPr>
          <w:rFonts w:ascii="宋体" w:hAnsi="宋体" w:cs="宋体" w:eastAsia="宋体" w:hint="default"/>
        </w:rPr>
      </w:pPr>
      <w:r>
        <w:rPr>
          <w:rFonts w:ascii="宋体" w:hAnsi="宋体" w:cs="宋体" w:eastAsia="宋体" w:hint="default"/>
        </w:rPr>
        <w:t>3.</w:t>
      </w:r>
      <w:r>
        <w:rPr/>
        <w:t>蔡荣生先生，公司独立董事。</w:t>
      </w:r>
      <w:r>
        <w:rPr>
          <w:rFonts w:ascii="宋体" w:hAnsi="宋体" w:cs="宋体" w:eastAsia="宋体" w:hint="default"/>
        </w:rPr>
        <w:t>1987</w:t>
      </w:r>
      <w:r>
        <w:rPr/>
        <w:t>年至</w:t>
      </w:r>
      <w:r>
        <w:rPr>
          <w:rFonts w:ascii="宋体" w:hAnsi="宋体" w:cs="宋体" w:eastAsia="宋体" w:hint="default"/>
        </w:rPr>
        <w:t>1989</w:t>
      </w:r>
      <w:r>
        <w:rPr/>
        <w:t>年任长春一汽助理工程师，</w:t>
      </w:r>
      <w:r>
        <w:rPr>
          <w:rFonts w:ascii="宋体" w:hAnsi="宋体" w:cs="宋体" w:eastAsia="宋体" w:hint="default"/>
        </w:rPr>
        <w:t>1992</w:t>
      </w:r>
      <w:r>
        <w:rPr/>
        <w:t>年至</w:t>
      </w:r>
      <w:r>
        <w:rPr>
          <w:rFonts w:ascii="宋体" w:hAnsi="宋体" w:cs="宋体" w:eastAsia="宋体" w:hint="default"/>
        </w:rPr>
        <w:t>2003</w:t>
      </w:r>
    </w:p>
    <w:p>
      <w:pPr>
        <w:spacing w:after="0" w:line="240" w:lineRule="auto"/>
        <w:jc w:val="left"/>
        <w:rPr>
          <w:rFonts w:ascii="宋体" w:hAnsi="宋体" w:cs="宋体" w:eastAsia="宋体" w:hint="default"/>
        </w:rPr>
        <w:sectPr>
          <w:pgSz w:w="11910" w:h="16840"/>
          <w:pgMar w:header="877" w:footer="1340" w:top="1060" w:bottom="1540" w:left="980" w:right="0"/>
        </w:sectPr>
      </w:pPr>
    </w:p>
    <w:p>
      <w:pPr>
        <w:spacing w:line="240" w:lineRule="auto" w:before="6"/>
        <w:rPr>
          <w:rFonts w:ascii="宋体" w:hAnsi="宋体" w:cs="宋体" w:eastAsia="宋体" w:hint="default"/>
          <w:sz w:val="29"/>
          <w:szCs w:val="29"/>
        </w:rPr>
      </w:pPr>
    </w:p>
    <w:p>
      <w:pPr>
        <w:pStyle w:val="BodyText"/>
        <w:spacing w:line="357" w:lineRule="auto" w:before="26"/>
        <w:ind w:right="1125"/>
        <w:jc w:val="left"/>
      </w:pPr>
      <w:r>
        <w:rPr/>
        <w:t>年任中共中央台湾办公室、国务院台湾事务办公室副处长，</w:t>
      </w:r>
      <w:r>
        <w:rPr>
          <w:rFonts w:ascii="宋体" w:hAnsi="宋体" w:cs="宋体" w:eastAsia="宋体" w:hint="default"/>
        </w:rPr>
        <w:t>2003</w:t>
      </w:r>
      <w:r>
        <w:rPr/>
        <w:t>年至今，任中国人民大学教</w:t>
      </w:r>
      <w:r>
        <w:rPr>
          <w:spacing w:val="-88"/>
        </w:rPr>
        <w:t> </w:t>
      </w:r>
      <w:r>
        <w:rPr>
          <w:spacing w:val="-88"/>
        </w:rPr>
      </w:r>
      <w:r>
        <w:rPr/>
        <w:t>授、博士生导师、处长。</w:t>
      </w:r>
    </w:p>
    <w:p>
      <w:pPr>
        <w:pStyle w:val="BodyText"/>
        <w:spacing w:line="357" w:lineRule="auto" w:before="36"/>
        <w:ind w:right="1132" w:firstLine="566"/>
        <w:jc w:val="both"/>
      </w:pPr>
      <w:r>
        <w:rPr>
          <w:rFonts w:ascii="宋体" w:hAnsi="宋体" w:cs="宋体" w:eastAsia="宋体" w:hint="default"/>
          <w:spacing w:val="-2"/>
        </w:rPr>
        <w:t>4.</w:t>
      </w:r>
      <w:r>
        <w:rPr>
          <w:spacing w:val="-2"/>
        </w:rPr>
        <w:t>刘剑文先生，公司独立董事。曾任武汉大学法学院副院长、律师进修学院副院长、中</w:t>
      </w:r>
      <w:r>
        <w:rPr/>
        <w:t> 国财税法网创立人等。现任北京大学法学院教授、博士生导师，北京大学财税法研究中心主</w:t>
      </w:r>
      <w:r>
        <w:rPr>
          <w:spacing w:val="-91"/>
        </w:rPr>
        <w:t> </w:t>
      </w:r>
      <w:r>
        <w:rPr>
          <w:spacing w:val="-91"/>
        </w:rPr>
      </w:r>
      <w:r>
        <w:rPr/>
        <w:t>任。</w:t>
      </w:r>
    </w:p>
    <w:p>
      <w:pPr>
        <w:pStyle w:val="BodyText"/>
        <w:spacing w:line="357" w:lineRule="auto" w:before="36"/>
        <w:ind w:right="1132" w:firstLine="566"/>
        <w:jc w:val="both"/>
      </w:pPr>
      <w:r>
        <w:rPr>
          <w:rFonts w:ascii="宋体" w:hAnsi="宋体" w:cs="宋体" w:eastAsia="宋体" w:hint="default"/>
          <w:spacing w:val="-2"/>
        </w:rPr>
        <w:t>5.</w:t>
      </w:r>
      <w:r>
        <w:rPr>
          <w:spacing w:val="-2"/>
        </w:rPr>
        <w:t>吕廷杰先生，公司独立董事。现任北京邮电大学经济管理学院院长；教授、博士生导</w:t>
      </w:r>
      <w:r>
        <w:rPr/>
        <w:t> 师；教育部“信息管理与信息经济学重点实验室”学术委员会主任；北京邮电大学电子商务</w:t>
      </w:r>
      <w:r>
        <w:rPr>
          <w:spacing w:val="-90"/>
        </w:rPr>
        <w:t> </w:t>
      </w:r>
      <w:r>
        <w:rPr>
          <w:spacing w:val="-90"/>
        </w:rPr>
      </w:r>
      <w:r>
        <w:rPr/>
        <w:t>研究中心主任。</w:t>
      </w:r>
    </w:p>
    <w:p>
      <w:pPr>
        <w:pStyle w:val="BodyText"/>
        <w:spacing w:line="240" w:lineRule="auto" w:before="37"/>
        <w:ind w:left="719" w:right="1125"/>
        <w:jc w:val="left"/>
      </w:pPr>
      <w:r>
        <w:rPr>
          <w:rFonts w:ascii="宋体" w:hAnsi="宋体" w:cs="宋体" w:eastAsia="宋体" w:hint="default"/>
        </w:rPr>
        <w:t>6.</w:t>
      </w:r>
      <w:r>
        <w:rPr/>
        <w:t>孙琪先生，公司独立董事。北京市纵横律师事务所专职律师。</w:t>
      </w:r>
    </w:p>
    <w:p>
      <w:pPr>
        <w:pStyle w:val="BodyText"/>
        <w:spacing w:line="357" w:lineRule="auto" w:before="154"/>
        <w:ind w:right="996" w:firstLine="566"/>
        <w:jc w:val="left"/>
      </w:pPr>
      <w:r>
        <w:rPr>
          <w:rFonts w:ascii="宋体" w:hAnsi="宋体" w:cs="宋体" w:eastAsia="宋体" w:hint="default"/>
        </w:rPr>
        <w:t>7.</w:t>
      </w:r>
      <w:r>
        <w:rPr/>
        <w:t>张晓岚女士，公司独立董事。曾任陕西财经学院副院长，</w:t>
      </w:r>
      <w:r>
        <w:rPr>
          <w:spacing w:val="38"/>
        </w:rPr>
        <w:t> </w:t>
      </w:r>
      <w:r>
        <w:rPr/>
        <w:t>西安交通大学副校长、校</w:t>
      </w:r>
      <w:r>
        <w:rPr/>
        <w:t> </w:t>
      </w:r>
      <w:r>
        <w:rPr>
          <w:spacing w:val="-2"/>
        </w:rPr>
        <w:t>党委常委、西安交通大学产业集团董事、董事长、西安交通大学教育投资公司董事、董事长。</w:t>
      </w:r>
      <w:r>
        <w:rPr/>
        <w:t> 现任上海对外贸易学院会计学教授，兼任西安交通大学会计学教授、博士生导师。</w:t>
      </w:r>
    </w:p>
    <w:p>
      <w:pPr>
        <w:pStyle w:val="BodyText"/>
        <w:spacing w:line="357" w:lineRule="auto" w:before="36"/>
        <w:ind w:right="1129" w:firstLine="566"/>
        <w:jc w:val="both"/>
      </w:pPr>
      <w:r>
        <w:rPr>
          <w:rFonts w:ascii="宋体" w:hAnsi="宋体" w:cs="宋体" w:eastAsia="宋体" w:hint="default"/>
          <w:spacing w:val="-2"/>
        </w:rPr>
        <w:t>8.</w:t>
      </w:r>
      <w:r>
        <w:rPr>
          <w:spacing w:val="-2"/>
        </w:rPr>
        <w:t>郭光莉女士，公司监事会主席，</w:t>
      </w:r>
      <w:r>
        <w:rPr>
          <w:rFonts w:ascii="宋体" w:hAnsi="宋体" w:cs="宋体" w:eastAsia="宋体" w:hint="default"/>
          <w:spacing w:val="-2"/>
        </w:rPr>
        <w:t>2004</w:t>
      </w:r>
      <w:r>
        <w:rPr>
          <w:spacing w:val="-2"/>
        </w:rPr>
        <w:t>年至</w:t>
      </w:r>
      <w:r>
        <w:rPr>
          <w:rFonts w:ascii="宋体" w:hAnsi="宋体" w:cs="宋体" w:eastAsia="宋体" w:hint="default"/>
          <w:spacing w:val="-2"/>
        </w:rPr>
        <w:t>2008</w:t>
      </w:r>
      <w:r>
        <w:rPr>
          <w:spacing w:val="-2"/>
        </w:rPr>
        <w:t>年</w:t>
      </w:r>
      <w:r>
        <w:rPr>
          <w:rFonts w:ascii="宋体" w:hAnsi="宋体" w:cs="宋体" w:eastAsia="宋体" w:hint="default"/>
          <w:spacing w:val="-2"/>
        </w:rPr>
        <w:t>10</w:t>
      </w:r>
      <w:r>
        <w:rPr>
          <w:spacing w:val="-2"/>
        </w:rPr>
        <w:t>月，任大唐电信科技股份有限公司</w:t>
      </w:r>
      <w:r>
        <w:rPr/>
        <w:t> </w:t>
      </w:r>
      <w:r>
        <w:rPr>
          <w:spacing w:val="-2"/>
        </w:rPr>
        <w:t>财务部副总经理，财务部总经理，</w:t>
      </w:r>
      <w:r>
        <w:rPr>
          <w:rFonts w:ascii="宋体" w:hAnsi="宋体" w:cs="宋体" w:eastAsia="宋体" w:hint="default"/>
          <w:spacing w:val="-2"/>
        </w:rPr>
        <w:t>2008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月，任大唐电信科技产业控股有限公司</w:t>
      </w:r>
      <w:r>
        <w:rPr>
          <w:spacing w:val="-108"/>
        </w:rPr>
        <w:t> </w:t>
      </w:r>
      <w:r>
        <w:rPr>
          <w:spacing w:val="-108"/>
        </w:rPr>
      </w:r>
      <w:r>
        <w:rPr>
          <w:spacing w:val="-2"/>
        </w:rPr>
        <w:t>财务资产部副总经理、财务资产部总经理，</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月至今，任电信科学技术研究院副总会计</w:t>
      </w:r>
      <w:r>
        <w:rPr>
          <w:spacing w:val="-114"/>
        </w:rPr>
        <w:t> </w:t>
      </w:r>
      <w:r>
        <w:rPr>
          <w:spacing w:val="-114"/>
        </w:rPr>
      </w:r>
      <w:r>
        <w:rPr/>
        <w:t>师兼大唐电信科技产业控股有限公司财务资产部总经理。</w:t>
      </w:r>
    </w:p>
    <w:p>
      <w:pPr>
        <w:pStyle w:val="BodyText"/>
        <w:spacing w:line="357" w:lineRule="auto" w:before="36"/>
        <w:ind w:right="1129" w:firstLine="566"/>
        <w:jc w:val="both"/>
      </w:pPr>
      <w:r>
        <w:rPr>
          <w:rFonts w:ascii="宋体" w:hAnsi="宋体" w:cs="宋体" w:eastAsia="宋体" w:hint="default"/>
        </w:rPr>
        <w:t>9.</w:t>
      </w:r>
      <w:r>
        <w:rPr>
          <w:rFonts w:ascii="宋体" w:hAnsi="宋体" w:cs="宋体" w:eastAsia="宋体" w:hint="default"/>
          <w:spacing w:val="56"/>
        </w:rPr>
        <w:t> </w:t>
      </w:r>
      <w:r>
        <w:rPr/>
        <w:t>姚印杰先生，公司职工监事，</w:t>
      </w:r>
      <w:r>
        <w:rPr>
          <w:rFonts w:ascii="宋体" w:hAnsi="宋体" w:cs="宋体" w:eastAsia="宋体" w:hint="default"/>
        </w:rPr>
        <w:t>2003</w:t>
      </w:r>
      <w:r>
        <w:rPr/>
        <w:t>年</w:t>
      </w:r>
      <w:r>
        <w:rPr>
          <w:rFonts w:ascii="宋体" w:hAnsi="宋体" w:cs="宋体" w:eastAsia="宋体" w:hint="default"/>
        </w:rPr>
        <w:t>3</w:t>
      </w:r>
      <w:r>
        <w:rPr/>
        <w:t>月至</w:t>
      </w:r>
      <w:r>
        <w:rPr>
          <w:rFonts w:ascii="宋体" w:hAnsi="宋体" w:cs="宋体" w:eastAsia="宋体" w:hint="default"/>
        </w:rPr>
        <w:t>2008</w:t>
      </w:r>
      <w:r>
        <w:rPr/>
        <w:t>年</w:t>
      </w:r>
      <w:r>
        <w:rPr>
          <w:rFonts w:ascii="宋体" w:hAnsi="宋体" w:cs="宋体" w:eastAsia="宋体" w:hint="default"/>
        </w:rPr>
        <w:t>9</w:t>
      </w:r>
      <w:r>
        <w:rPr/>
        <w:t>月任北京宝哲体育用品有限公司 </w:t>
      </w:r>
      <w:r>
        <w:rPr>
          <w:spacing w:val="-2"/>
        </w:rPr>
        <w:t>财务部经理，主持财务部日常工作。</w:t>
      </w:r>
      <w:r>
        <w:rPr>
          <w:rFonts w:ascii="宋体" w:hAnsi="宋体" w:cs="宋体" w:eastAsia="宋体" w:hint="default"/>
          <w:spacing w:val="-2"/>
        </w:rPr>
        <w:t>2008</w:t>
      </w:r>
      <w:r>
        <w:rPr>
          <w:spacing w:val="-2"/>
        </w:rPr>
        <w:t>年</w:t>
      </w:r>
      <w:r>
        <w:rPr>
          <w:rFonts w:ascii="宋体" w:hAnsi="宋体" w:cs="宋体" w:eastAsia="宋体" w:hint="default"/>
          <w:spacing w:val="-2"/>
        </w:rPr>
        <w:t>10</w:t>
      </w:r>
      <w:r>
        <w:rPr>
          <w:spacing w:val="-2"/>
        </w:rPr>
        <w:t>月至</w:t>
      </w:r>
      <w:r>
        <w:rPr>
          <w:rFonts w:ascii="宋体" w:hAnsi="宋体" w:cs="宋体" w:eastAsia="宋体" w:hint="default"/>
          <w:spacing w:val="-2"/>
        </w:rPr>
        <w:t>2010</w:t>
      </w:r>
      <w:r>
        <w:rPr>
          <w:spacing w:val="-2"/>
        </w:rPr>
        <w:t>年</w:t>
      </w:r>
      <w:r>
        <w:rPr>
          <w:rFonts w:ascii="宋体" w:hAnsi="宋体" w:cs="宋体" w:eastAsia="宋体" w:hint="default"/>
          <w:spacing w:val="-2"/>
        </w:rPr>
        <w:t>3</w:t>
      </w:r>
      <w:r>
        <w:rPr>
          <w:spacing w:val="-2"/>
        </w:rPr>
        <w:t>月任高鸿恒昌科技有限公司北京分</w:t>
      </w:r>
      <w:r>
        <w:rPr>
          <w:spacing w:val="-109"/>
        </w:rPr>
        <w:t> </w:t>
      </w:r>
      <w:r>
        <w:rPr>
          <w:spacing w:val="3"/>
        </w:rPr>
        <w:t>公司财务部经理。</w:t>
      </w:r>
      <w:r>
        <w:rPr>
          <w:rFonts w:ascii="宋体" w:hAnsi="宋体" w:cs="宋体" w:eastAsia="宋体" w:hint="default"/>
          <w:spacing w:val="3"/>
        </w:rPr>
        <w:t>2010</w:t>
      </w:r>
      <w:r>
        <w:rPr>
          <w:spacing w:val="3"/>
        </w:rPr>
        <w:t>年</w:t>
      </w:r>
      <w:r>
        <w:rPr>
          <w:rFonts w:ascii="宋体" w:hAnsi="宋体" w:cs="宋体" w:eastAsia="宋体" w:hint="default"/>
          <w:spacing w:val="3"/>
        </w:rPr>
        <w:t>3</w:t>
      </w:r>
      <w:r>
        <w:rPr>
          <w:spacing w:val="3"/>
        </w:rPr>
        <w:t>月至今任公司控股子公司大唐高鸿信息技术有限公司财务部总经</w:t>
      </w:r>
      <w:r>
        <w:rPr>
          <w:spacing w:val="-110"/>
        </w:rPr>
        <w:t> </w:t>
      </w:r>
      <w:r>
        <w:rPr>
          <w:spacing w:val="-110"/>
        </w:rPr>
      </w:r>
      <w:r>
        <w:rPr/>
        <w:t>理。未在其他单位任职或兼职。</w:t>
      </w:r>
    </w:p>
    <w:p>
      <w:pPr>
        <w:pStyle w:val="BodyText"/>
        <w:spacing w:line="357" w:lineRule="auto" w:before="36"/>
        <w:ind w:right="996" w:firstLine="566"/>
        <w:jc w:val="left"/>
      </w:pPr>
      <w:r>
        <w:rPr>
          <w:rFonts w:ascii="宋体" w:hAnsi="宋体" w:cs="宋体" w:eastAsia="宋体" w:hint="default"/>
          <w:spacing w:val="-2"/>
        </w:rPr>
        <w:t>10.</w:t>
      </w:r>
      <w:r>
        <w:rPr>
          <w:spacing w:val="-2"/>
        </w:rPr>
        <w:t>翁冠男先生，公司职工监事，先后任公司产品中心软件工程师、产品中心副总经理、</w:t>
      </w:r>
      <w:r>
        <w:rPr/>
        <w:t> </w:t>
      </w:r>
      <w:r>
        <w:rPr>
          <w:spacing w:val="-2"/>
        </w:rPr>
        <w:t>产品发展部副总经理、视讯产品事业部副总经理、宽带产品事业部副总经理、国际部总经理、</w:t>
      </w:r>
      <w:r>
        <w:rPr/>
        <w:t> 电子商务事业部总经理，现任公司总经理助理兼任公司控股子公司大唐高鸿通信技术有限公</w:t>
      </w:r>
      <w:r>
        <w:rPr>
          <w:spacing w:val="-91"/>
        </w:rPr>
        <w:t> </w:t>
      </w:r>
      <w:r>
        <w:rPr>
          <w:spacing w:val="-91"/>
        </w:rPr>
      </w:r>
      <w:r>
        <w:rPr/>
        <w:t>司总经理。未在其他单位任职或兼职。</w:t>
      </w:r>
    </w:p>
    <w:p>
      <w:pPr>
        <w:pStyle w:val="BodyText"/>
        <w:spacing w:line="357" w:lineRule="auto" w:before="36"/>
        <w:ind w:right="1131" w:firstLine="566"/>
        <w:jc w:val="both"/>
      </w:pPr>
      <w:r>
        <w:rPr>
          <w:rFonts w:ascii="宋体" w:hAnsi="宋体" w:cs="宋体" w:eastAsia="宋体" w:hint="default"/>
        </w:rPr>
        <w:t>11.</w:t>
      </w:r>
      <w:r>
        <w:rPr>
          <w:rFonts w:ascii="宋体" w:hAnsi="宋体" w:cs="宋体" w:eastAsia="宋体" w:hint="default"/>
          <w:spacing w:val="-47"/>
        </w:rPr>
        <w:t> </w:t>
      </w:r>
      <w:r>
        <w:rPr/>
        <w:t>侯玉成先生，公司副总经理，教授级高级工程师。曾任大唐电信科技股份有限公司 产品管理部副总经理、投资与技术发展部副总经理、产品规划与技术管理部副总经理，大唐</w:t>
      </w:r>
      <w:r>
        <w:rPr>
          <w:spacing w:val="-91"/>
        </w:rPr>
        <w:t> </w:t>
      </w:r>
      <w:r>
        <w:rPr>
          <w:spacing w:val="-91"/>
        </w:rPr>
      </w:r>
      <w:r>
        <w:rPr>
          <w:spacing w:val="-2"/>
        </w:rPr>
        <w:t>高鸿数据网络技术股份有限公司总经理助理，经营规划委员会主任。</w:t>
      </w:r>
      <w:r>
        <w:rPr>
          <w:rFonts w:ascii="宋体" w:hAnsi="宋体" w:cs="宋体" w:eastAsia="宋体" w:hint="default"/>
          <w:spacing w:val="-2"/>
        </w:rPr>
        <w:t>2009</w:t>
      </w:r>
      <w:r>
        <w:rPr>
          <w:spacing w:val="-2"/>
        </w:rPr>
        <w:t>年</w:t>
      </w:r>
      <w:r>
        <w:rPr>
          <w:rFonts w:ascii="宋体" w:hAnsi="宋体" w:cs="宋体" w:eastAsia="宋体" w:hint="default"/>
          <w:spacing w:val="-2"/>
        </w:rPr>
        <w:t>5</w:t>
      </w:r>
      <w:r>
        <w:rPr>
          <w:spacing w:val="-2"/>
        </w:rPr>
        <w:t>月至今公司副总</w:t>
      </w:r>
      <w:r>
        <w:rPr>
          <w:spacing w:val="-115"/>
        </w:rPr>
        <w:t> </w:t>
      </w:r>
      <w:r>
        <w:rPr/>
        <w:t>经理兼任公司全资子公司北京大唐高鸿软件技术有限公司董事长、公司控股子公司北京大唐</w:t>
      </w:r>
      <w:r>
        <w:rPr>
          <w:spacing w:val="-91"/>
        </w:rPr>
        <w:t> </w:t>
      </w:r>
      <w:r>
        <w:rPr>
          <w:spacing w:val="-91"/>
        </w:rPr>
      </w:r>
      <w:r>
        <w:rPr/>
        <w:t>融合通信技术有限公司董事长。未在其它单位任职或兼职。</w:t>
      </w:r>
    </w:p>
    <w:p>
      <w:pPr>
        <w:spacing w:after="0" w:line="357" w:lineRule="auto"/>
        <w:jc w:val="both"/>
        <w:sectPr>
          <w:pgSz w:w="11910" w:h="16840"/>
          <w:pgMar w:header="877" w:footer="1340" w:top="1060" w:bottom="1540" w:left="980" w:right="0"/>
        </w:sectPr>
      </w:pPr>
    </w:p>
    <w:p>
      <w:pPr>
        <w:spacing w:line="240" w:lineRule="auto" w:before="6"/>
        <w:rPr>
          <w:rFonts w:ascii="宋体" w:hAnsi="宋体" w:cs="宋体" w:eastAsia="宋体" w:hint="default"/>
          <w:sz w:val="29"/>
          <w:szCs w:val="29"/>
        </w:rPr>
      </w:pPr>
      <w:r>
        <w:rPr/>
        <w:pict>
          <v:group style="position:absolute;margin-left:460.320007pt;margin-top:764.919983pt;width:135pt;height:77pt;mso-position-horizontal-relative:page;mso-position-vertical-relative:page;z-index:-1261816" coordorigin="9206,15298" coordsize="2700,1540">
            <v:shape style="position:absolute;left:9206;top:15298;width:2700;height:1540" type="#_x0000_t75" stroked="false">
              <v:imagedata r:id="rId18"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59</w:t>
                    </w:r>
                  </w:p>
                </w:txbxContent>
              </v:textbox>
              <w10:wrap type="none"/>
            </v:shape>
            <w10:wrap type="none"/>
          </v:group>
        </w:pict>
      </w:r>
    </w:p>
    <w:p>
      <w:pPr>
        <w:pStyle w:val="BodyText"/>
        <w:spacing w:line="357" w:lineRule="auto" w:before="26"/>
        <w:ind w:right="1004" w:firstLine="566"/>
        <w:jc w:val="left"/>
      </w:pPr>
      <w:r>
        <w:rPr>
          <w:rFonts w:ascii="宋体" w:hAnsi="宋体" w:cs="宋体" w:eastAsia="宋体" w:hint="default"/>
        </w:rPr>
        <w:t>12.</w:t>
      </w:r>
      <w:r>
        <w:rPr/>
        <w:t>王芊先生，公司副总经理、董事会秘书兼财务负责人。</w:t>
      </w:r>
      <w:r>
        <w:rPr>
          <w:rFonts w:ascii="宋体" w:hAnsi="宋体" w:cs="宋体" w:eastAsia="宋体" w:hint="default"/>
        </w:rPr>
        <w:t>2001</w:t>
      </w:r>
      <w:r>
        <w:rPr/>
        <w:t>年至</w:t>
      </w:r>
      <w:r>
        <w:rPr>
          <w:rFonts w:ascii="宋体" w:hAnsi="宋体" w:cs="宋体" w:eastAsia="宋体" w:hint="default"/>
        </w:rPr>
        <w:t>2003</w:t>
      </w:r>
      <w:r>
        <w:rPr/>
        <w:t>年大唐电信科</w:t>
      </w:r>
      <w:r>
        <w:rPr>
          <w:spacing w:val="2"/>
        </w:rPr>
        <w:t> </w:t>
      </w:r>
      <w:r>
        <w:rPr/>
        <w:t>技股份有限公司投资部经理。</w:t>
      </w:r>
      <w:r>
        <w:rPr>
          <w:rFonts w:ascii="宋体" w:hAnsi="宋体" w:cs="宋体" w:eastAsia="宋体" w:hint="default"/>
        </w:rPr>
        <w:t>2003</w:t>
      </w:r>
      <w:r>
        <w:rPr/>
        <w:t>年任公司投资发展部总经理。</w:t>
      </w:r>
      <w:r>
        <w:rPr>
          <w:rFonts w:ascii="宋体" w:hAnsi="宋体" w:cs="宋体" w:eastAsia="宋体" w:hint="default"/>
        </w:rPr>
        <w:t>2004</w:t>
      </w:r>
      <w:r>
        <w:rPr/>
        <w:t>年至</w:t>
      </w:r>
      <w:r>
        <w:rPr>
          <w:rFonts w:ascii="宋体" w:hAnsi="宋体" w:cs="宋体" w:eastAsia="宋体" w:hint="default"/>
        </w:rPr>
        <w:t>2005</w:t>
      </w:r>
      <w:r>
        <w:rPr/>
        <w:t>年任公司董事</w:t>
      </w:r>
      <w:r>
        <w:rPr>
          <w:spacing w:val="-89"/>
        </w:rPr>
        <w:t> </w:t>
      </w:r>
      <w:r>
        <w:rPr>
          <w:spacing w:val="-89"/>
        </w:rPr>
      </w:r>
      <w:r>
        <w:rPr/>
        <w:t>会秘书兼投资发展部总经理，</w:t>
      </w:r>
      <w:r>
        <w:rPr>
          <w:rFonts w:ascii="宋体" w:hAnsi="宋体" w:cs="宋体" w:eastAsia="宋体" w:hint="default"/>
        </w:rPr>
        <w:t>2006</w:t>
      </w:r>
      <w:r>
        <w:rPr/>
        <w:t>年至</w:t>
      </w:r>
      <w:r>
        <w:rPr>
          <w:rFonts w:ascii="宋体" w:hAnsi="宋体" w:cs="宋体" w:eastAsia="宋体" w:hint="default"/>
        </w:rPr>
        <w:t>2008</w:t>
      </w:r>
      <w:r>
        <w:rPr/>
        <w:t>年</w:t>
      </w:r>
      <w:r>
        <w:rPr>
          <w:rFonts w:ascii="宋体" w:hAnsi="宋体" w:cs="宋体" w:eastAsia="宋体" w:hint="default"/>
        </w:rPr>
        <w:t>8</w:t>
      </w:r>
      <w:r>
        <w:rPr/>
        <w:t>月任公司董事会秘书，</w:t>
      </w:r>
      <w:r>
        <w:rPr>
          <w:rFonts w:ascii="宋体" w:hAnsi="宋体" w:cs="宋体" w:eastAsia="宋体" w:hint="default"/>
        </w:rPr>
        <w:t>2008</w:t>
      </w:r>
      <w:r>
        <w:rPr/>
        <w:t>年</w:t>
      </w:r>
      <w:r>
        <w:rPr>
          <w:rFonts w:ascii="宋体" w:hAnsi="宋体" w:cs="宋体" w:eastAsia="宋体" w:hint="default"/>
        </w:rPr>
        <w:t>8</w:t>
      </w:r>
      <w:r>
        <w:rPr/>
        <w:t>月至</w:t>
      </w:r>
      <w:r>
        <w:rPr>
          <w:rFonts w:ascii="宋体" w:hAnsi="宋体" w:cs="宋体" w:eastAsia="宋体" w:hint="default"/>
        </w:rPr>
        <w:t>2010</w:t>
      </w:r>
      <w:r>
        <w:rPr/>
        <w:t>年任</w:t>
      </w:r>
      <w:r>
        <w:rPr>
          <w:spacing w:val="-85"/>
        </w:rPr>
        <w:t> </w:t>
      </w:r>
      <w:r>
        <w:rPr>
          <w:spacing w:val="-2"/>
        </w:rPr>
        <w:t>公司董事会秘书兼财务负责人。</w:t>
      </w:r>
      <w:r>
        <w:rPr>
          <w:rFonts w:ascii="宋体" w:hAnsi="宋体" w:cs="宋体" w:eastAsia="宋体" w:hint="default"/>
          <w:spacing w:val="-2"/>
        </w:rPr>
        <w:t>2011</w:t>
      </w:r>
      <w:r>
        <w:rPr>
          <w:spacing w:val="-2"/>
        </w:rPr>
        <w:t>年至</w:t>
      </w:r>
      <w:r>
        <w:rPr>
          <w:rFonts w:ascii="宋体" w:hAnsi="宋体" w:cs="宋体" w:eastAsia="宋体" w:hint="default"/>
          <w:spacing w:val="-2"/>
        </w:rPr>
        <w:t>2012</w:t>
      </w:r>
      <w:r>
        <w:rPr>
          <w:spacing w:val="-2"/>
        </w:rPr>
        <w:t>年任公司副总经理、董事会秘书兼财务负责人，</w:t>
      </w:r>
      <w:r>
        <w:rPr>
          <w:spacing w:val="-111"/>
        </w:rPr>
        <w:t> </w:t>
      </w:r>
      <w:r>
        <w:rPr>
          <w:spacing w:val="-111"/>
        </w:rPr>
      </w:r>
      <w:r>
        <w:rPr/>
        <w:t>兼任控股子公司大唐高鸿通信技术有限公司董事长。未在其它单位任职或兼职。</w:t>
      </w:r>
    </w:p>
    <w:p>
      <w:pPr>
        <w:pStyle w:val="BodyText"/>
        <w:spacing w:line="357" w:lineRule="auto" w:before="36"/>
        <w:ind w:right="1128" w:firstLine="566"/>
        <w:jc w:val="both"/>
      </w:pPr>
      <w:r>
        <w:rPr>
          <w:rFonts w:ascii="宋体" w:hAnsi="宋体" w:cs="宋体" w:eastAsia="宋体" w:hint="default"/>
        </w:rPr>
        <w:t>13.</w:t>
      </w:r>
      <w:r>
        <w:rPr/>
        <w:t>刘雪峰先生，公司副总经理。</w:t>
      </w:r>
      <w:r>
        <w:rPr>
          <w:rFonts w:ascii="宋体" w:hAnsi="宋体" w:cs="宋体" w:eastAsia="宋体" w:hint="default"/>
        </w:rPr>
        <w:t>1998</w:t>
      </w:r>
      <w:r>
        <w:rPr/>
        <w:t>年</w:t>
      </w:r>
      <w:r>
        <w:rPr>
          <w:rFonts w:ascii="宋体" w:hAnsi="宋体" w:cs="宋体" w:eastAsia="宋体" w:hint="default"/>
        </w:rPr>
        <w:t>7</w:t>
      </w:r>
      <w:r>
        <w:rPr/>
        <w:t>月至</w:t>
      </w:r>
      <w:r>
        <w:rPr>
          <w:rFonts w:ascii="宋体" w:hAnsi="宋体" w:cs="宋体" w:eastAsia="宋体" w:hint="default"/>
        </w:rPr>
        <w:t>2003</w:t>
      </w:r>
      <w:r>
        <w:rPr/>
        <w:t>年</w:t>
      </w:r>
      <w:r>
        <w:rPr>
          <w:rFonts w:ascii="宋体" w:hAnsi="宋体" w:cs="宋体" w:eastAsia="宋体" w:hint="default"/>
        </w:rPr>
        <w:t>5</w:t>
      </w:r>
      <w:r>
        <w:rPr/>
        <w:t>月，大唐电信科技股份有限公司 </w:t>
      </w:r>
      <w:r>
        <w:rPr>
          <w:spacing w:val="-2"/>
        </w:rPr>
        <w:t>市场部副总经理，</w:t>
      </w:r>
      <w:r>
        <w:rPr>
          <w:rFonts w:ascii="宋体" w:hAnsi="宋体" w:cs="宋体" w:eastAsia="宋体" w:hint="default"/>
          <w:spacing w:val="-2"/>
        </w:rPr>
        <w:t>2003</w:t>
      </w:r>
      <w:r>
        <w:rPr>
          <w:spacing w:val="-2"/>
        </w:rPr>
        <w:t>年</w:t>
      </w:r>
      <w:r>
        <w:rPr>
          <w:rFonts w:ascii="宋体" w:hAnsi="宋体" w:cs="宋体" w:eastAsia="宋体" w:hint="default"/>
          <w:spacing w:val="-2"/>
        </w:rPr>
        <w:t>5</w:t>
      </w:r>
      <w:r>
        <w:rPr>
          <w:spacing w:val="-2"/>
        </w:rPr>
        <w:t>月至</w:t>
      </w:r>
      <w:r>
        <w:rPr>
          <w:rFonts w:ascii="宋体" w:hAnsi="宋体" w:cs="宋体" w:eastAsia="宋体" w:hint="default"/>
          <w:spacing w:val="-2"/>
        </w:rPr>
        <w:t>2005</w:t>
      </w:r>
      <w:r>
        <w:rPr>
          <w:spacing w:val="-2"/>
        </w:rPr>
        <w:t>年</w:t>
      </w:r>
      <w:r>
        <w:rPr>
          <w:rFonts w:ascii="宋体" w:hAnsi="宋体" w:cs="宋体" w:eastAsia="宋体" w:hint="default"/>
          <w:spacing w:val="-2"/>
        </w:rPr>
        <w:t>9</w:t>
      </w:r>
      <w:r>
        <w:rPr>
          <w:spacing w:val="-2"/>
        </w:rPr>
        <w:t>月，任本公司总经理助理，</w:t>
      </w:r>
      <w:r>
        <w:rPr>
          <w:rFonts w:ascii="宋体" w:hAnsi="宋体" w:cs="宋体" w:eastAsia="宋体" w:hint="default"/>
          <w:spacing w:val="-2"/>
        </w:rPr>
        <w:t>2005</w:t>
      </w:r>
      <w:r>
        <w:rPr>
          <w:spacing w:val="-2"/>
        </w:rPr>
        <w:t>年</w:t>
      </w:r>
      <w:r>
        <w:rPr>
          <w:rFonts w:ascii="宋体" w:hAnsi="宋体" w:cs="宋体" w:eastAsia="宋体" w:hint="default"/>
          <w:spacing w:val="-2"/>
        </w:rPr>
        <w:t>9</w:t>
      </w:r>
      <w:r>
        <w:rPr>
          <w:spacing w:val="-2"/>
        </w:rPr>
        <w:t>月至今，任本公司</w:t>
      </w:r>
      <w:r>
        <w:rPr>
          <w:spacing w:val="-105"/>
        </w:rPr>
        <w:t> </w:t>
      </w:r>
      <w:r>
        <w:rPr>
          <w:spacing w:val="-105"/>
        </w:rPr>
      </w:r>
      <w:r>
        <w:rPr/>
        <w:t>副总经理，兼任控股子公司北京大唐高鸿科技发展有限公司董事长。未在其它单位任职或兼</w:t>
      </w:r>
      <w:r>
        <w:rPr>
          <w:spacing w:val="-91"/>
        </w:rPr>
        <w:t> </w:t>
      </w:r>
      <w:r>
        <w:rPr>
          <w:spacing w:val="-91"/>
        </w:rPr>
      </w:r>
      <w:r>
        <w:rPr/>
        <w:t>职。</w:t>
      </w:r>
    </w:p>
    <w:p>
      <w:pPr>
        <w:pStyle w:val="BodyText"/>
        <w:spacing w:line="357" w:lineRule="auto" w:before="36"/>
        <w:ind w:right="1128" w:firstLine="566"/>
        <w:jc w:val="both"/>
      </w:pPr>
      <w:r>
        <w:rPr>
          <w:rFonts w:ascii="宋体" w:hAnsi="宋体" w:cs="宋体" w:eastAsia="宋体" w:hint="default"/>
        </w:rPr>
        <w:t>14.</w:t>
      </w:r>
      <w:r>
        <w:rPr/>
        <w:t>赵德胜先生，公司副总经理。</w:t>
      </w:r>
      <w:r>
        <w:rPr>
          <w:rFonts w:ascii="宋体" w:hAnsi="宋体" w:cs="宋体" w:eastAsia="宋体" w:hint="default"/>
        </w:rPr>
        <w:t>2002</w:t>
      </w:r>
      <w:r>
        <w:rPr/>
        <w:t>年至</w:t>
      </w:r>
      <w:r>
        <w:rPr>
          <w:rFonts w:ascii="宋体" w:hAnsi="宋体" w:cs="宋体" w:eastAsia="宋体" w:hint="default"/>
        </w:rPr>
        <w:t>2003</w:t>
      </w:r>
      <w:r>
        <w:rPr/>
        <w:t>年，任北京大唐高鸿数据网络技术有限</w:t>
      </w:r>
      <w:r>
        <w:rPr>
          <w:spacing w:val="2"/>
        </w:rPr>
        <w:t> </w:t>
      </w:r>
      <w:r>
        <w:rPr/>
        <w:t>公司副总经理，</w:t>
      </w:r>
      <w:r>
        <w:rPr>
          <w:rFonts w:ascii="宋体" w:hAnsi="宋体" w:cs="宋体" w:eastAsia="宋体" w:hint="default"/>
        </w:rPr>
        <w:t>2003</w:t>
      </w:r>
      <w:r>
        <w:rPr/>
        <w:t>年至今任本公司副总经理，兼任控股子公司大唐高鸿信息技术有限公司</w:t>
      </w:r>
      <w:r>
        <w:rPr>
          <w:spacing w:val="-88"/>
        </w:rPr>
        <w:t> </w:t>
      </w:r>
      <w:r>
        <w:rPr>
          <w:spacing w:val="-88"/>
        </w:rPr>
      </w:r>
      <w:r>
        <w:rPr/>
        <w:t>之子公司高鸿恒昌科技有限公司董事长。未在其它单位任职或兼职。</w:t>
      </w:r>
    </w:p>
    <w:p>
      <w:pPr>
        <w:pStyle w:val="BodyText"/>
        <w:spacing w:line="357" w:lineRule="auto" w:before="36"/>
        <w:ind w:right="1128" w:firstLine="566"/>
        <w:jc w:val="both"/>
      </w:pPr>
      <w:r>
        <w:rPr>
          <w:rFonts w:ascii="宋体" w:hAnsi="宋体" w:cs="宋体" w:eastAsia="宋体" w:hint="default"/>
          <w:spacing w:val="-2"/>
        </w:rPr>
        <w:t>15.</w:t>
      </w:r>
      <w:r>
        <w:rPr>
          <w:spacing w:val="-2"/>
        </w:rPr>
        <w:t>张新中先生，公司副总经理。</w:t>
      </w:r>
      <w:r>
        <w:rPr>
          <w:rFonts w:ascii="宋体" w:hAnsi="宋体" w:cs="宋体" w:eastAsia="宋体" w:hint="default"/>
          <w:spacing w:val="-2"/>
        </w:rPr>
        <w:t>2000</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2003</w:t>
      </w:r>
      <w:r>
        <w:rPr>
          <w:spacing w:val="-2"/>
        </w:rPr>
        <w:t>年</w:t>
      </w:r>
      <w:r>
        <w:rPr>
          <w:rFonts w:ascii="宋体" w:hAnsi="宋体" w:cs="宋体" w:eastAsia="宋体" w:hint="default"/>
          <w:spacing w:val="-2"/>
        </w:rPr>
        <w:t>12</w:t>
      </w:r>
      <w:r>
        <w:rPr>
          <w:spacing w:val="-2"/>
        </w:rPr>
        <w:t>月先后担任公司测试部测试工程</w:t>
      </w:r>
      <w:r>
        <w:rPr/>
        <w:t> 师、部门总经理。</w:t>
      </w:r>
      <w:r>
        <w:rPr>
          <w:rFonts w:ascii="宋体" w:hAnsi="宋体" w:cs="宋体" w:eastAsia="宋体" w:hint="default"/>
        </w:rPr>
        <w:t>2003</w:t>
      </w:r>
      <w:r>
        <w:rPr/>
        <w:t>年</w:t>
      </w:r>
      <w:r>
        <w:rPr>
          <w:rFonts w:ascii="宋体" w:hAnsi="宋体" w:cs="宋体" w:eastAsia="宋体" w:hint="default"/>
        </w:rPr>
        <w:t>12</w:t>
      </w:r>
      <w:r>
        <w:rPr/>
        <w:t>月至</w:t>
      </w:r>
      <w:r>
        <w:rPr>
          <w:rFonts w:ascii="宋体" w:hAnsi="宋体" w:cs="宋体" w:eastAsia="宋体" w:hint="default"/>
        </w:rPr>
        <w:t>2004</w:t>
      </w:r>
      <w:r>
        <w:rPr/>
        <w:t>年</w:t>
      </w:r>
      <w:r>
        <w:rPr>
          <w:rFonts w:ascii="宋体" w:hAnsi="宋体" w:cs="宋体" w:eastAsia="宋体" w:hint="default"/>
        </w:rPr>
        <w:t>12</w:t>
      </w:r>
      <w:r>
        <w:rPr/>
        <w:t>月担任公司工程服务部总经理。</w:t>
      </w:r>
      <w:r>
        <w:rPr>
          <w:rFonts w:ascii="宋体" w:hAnsi="宋体" w:cs="宋体" w:eastAsia="宋体" w:hint="default"/>
        </w:rPr>
        <w:t>2004</w:t>
      </w:r>
      <w:r>
        <w:rPr/>
        <w:t>年</w:t>
      </w:r>
      <w:r>
        <w:rPr>
          <w:rFonts w:ascii="宋体" w:hAnsi="宋体" w:cs="宋体" w:eastAsia="宋体" w:hint="default"/>
        </w:rPr>
        <w:t>12</w:t>
      </w:r>
      <w:r>
        <w:rPr/>
        <w:t>月至</w:t>
      </w:r>
      <w:r>
        <w:rPr>
          <w:rFonts w:ascii="宋体" w:hAnsi="宋体" w:cs="宋体" w:eastAsia="宋体" w:hint="default"/>
        </w:rPr>
        <w:t>2007</w:t>
      </w:r>
      <w:r>
        <w:rPr>
          <w:rFonts w:ascii="宋体" w:hAnsi="宋体" w:cs="宋体" w:eastAsia="宋体" w:hint="default"/>
          <w:spacing w:val="-88"/>
        </w:rPr>
        <w:t> </w:t>
      </w:r>
      <w:r>
        <w:rPr/>
        <w:t>年</w:t>
      </w:r>
      <w:r>
        <w:rPr>
          <w:rFonts w:ascii="宋体" w:hAnsi="宋体" w:cs="宋体" w:eastAsia="宋体" w:hint="default"/>
        </w:rPr>
        <w:t>12</w:t>
      </w:r>
      <w:r>
        <w:rPr/>
        <w:t>月，先后担任公司宽带产品事业部部门副总经理、部门执行总经理和部门总经理。</w:t>
      </w:r>
      <w:r>
        <w:rPr>
          <w:rFonts w:ascii="宋体" w:hAnsi="宋体" w:cs="宋体" w:eastAsia="宋体" w:hint="default"/>
        </w:rPr>
        <w:t>2007</w:t>
      </w:r>
      <w:r>
        <w:rPr>
          <w:rFonts w:ascii="宋体" w:hAnsi="宋体" w:cs="宋体" w:eastAsia="宋体" w:hint="default"/>
          <w:spacing w:val="-89"/>
        </w:rPr>
        <w:t> </w:t>
      </w:r>
      <w:r>
        <w:rPr/>
        <w:t>年</w:t>
      </w:r>
      <w:r>
        <w:rPr>
          <w:rFonts w:ascii="宋体" w:hAnsi="宋体" w:cs="宋体" w:eastAsia="宋体" w:hint="default"/>
        </w:rPr>
        <w:t>12</w:t>
      </w:r>
      <w:r>
        <w:rPr/>
        <w:t>月至</w:t>
      </w:r>
      <w:r>
        <w:rPr>
          <w:rFonts w:ascii="宋体" w:hAnsi="宋体" w:cs="宋体" w:eastAsia="宋体" w:hint="default"/>
        </w:rPr>
        <w:t>2011</w:t>
      </w:r>
      <w:r>
        <w:rPr/>
        <w:t>年</w:t>
      </w:r>
      <w:r>
        <w:rPr>
          <w:rFonts w:ascii="宋体" w:hAnsi="宋体" w:cs="宋体" w:eastAsia="宋体" w:hint="default"/>
        </w:rPr>
        <w:t>7</w:t>
      </w:r>
      <w:r>
        <w:rPr/>
        <w:t>月，先后担任公司市场营销部部门执行总经理和部门总经理。</w:t>
      </w:r>
      <w:r>
        <w:rPr>
          <w:rFonts w:ascii="宋体" w:hAnsi="宋体" w:cs="宋体" w:eastAsia="宋体" w:hint="default"/>
        </w:rPr>
        <w:t>2011</w:t>
      </w:r>
      <w:r>
        <w:rPr/>
        <w:t>年</w:t>
      </w:r>
      <w:r>
        <w:rPr>
          <w:rFonts w:ascii="宋体" w:hAnsi="宋体" w:cs="宋体" w:eastAsia="宋体" w:hint="default"/>
        </w:rPr>
        <w:t>8</w:t>
      </w:r>
      <w:r>
        <w:rPr/>
        <w:t>月至</w:t>
      </w:r>
      <w:r>
        <w:rPr>
          <w:spacing w:val="-84"/>
        </w:rPr>
        <w:t> </w:t>
      </w:r>
      <w:r>
        <w:rPr>
          <w:spacing w:val="3"/>
        </w:rPr>
        <w:t>今，担任公司电子商务事业部总经理。</w:t>
      </w:r>
      <w:r>
        <w:rPr>
          <w:rFonts w:ascii="宋体" w:hAnsi="宋体" w:cs="宋体" w:eastAsia="宋体" w:hint="default"/>
          <w:spacing w:val="3"/>
        </w:rPr>
        <w:t>2011</w:t>
      </w:r>
      <w:r>
        <w:rPr>
          <w:spacing w:val="3"/>
        </w:rPr>
        <w:t>年</w:t>
      </w:r>
      <w:r>
        <w:rPr>
          <w:rFonts w:ascii="宋体" w:hAnsi="宋体" w:cs="宋体" w:eastAsia="宋体" w:hint="default"/>
          <w:spacing w:val="3"/>
        </w:rPr>
        <w:t>1</w:t>
      </w:r>
      <w:r>
        <w:rPr>
          <w:spacing w:val="3"/>
        </w:rPr>
        <w:t>月至</w:t>
      </w:r>
      <w:r>
        <w:rPr>
          <w:rFonts w:ascii="宋体" w:hAnsi="宋体" w:cs="宋体" w:eastAsia="宋体" w:hint="default"/>
          <w:spacing w:val="3"/>
        </w:rPr>
        <w:t>2012</w:t>
      </w:r>
      <w:r>
        <w:rPr>
          <w:spacing w:val="3"/>
        </w:rPr>
        <w:t>年</w:t>
      </w:r>
      <w:r>
        <w:rPr>
          <w:rFonts w:ascii="宋体" w:hAnsi="宋体" w:cs="宋体" w:eastAsia="宋体" w:hint="default"/>
          <w:spacing w:val="3"/>
        </w:rPr>
        <w:t>5</w:t>
      </w:r>
      <w:r>
        <w:rPr>
          <w:spacing w:val="3"/>
        </w:rPr>
        <w:t>月任公司总经理助理。</w:t>
      </w:r>
      <w:r>
        <w:rPr>
          <w:rFonts w:ascii="宋体" w:hAnsi="宋体" w:cs="宋体" w:eastAsia="宋体" w:hint="default"/>
          <w:spacing w:val="3"/>
        </w:rPr>
        <w:t>2012</w:t>
      </w:r>
      <w:r>
        <w:rPr>
          <w:spacing w:val="3"/>
        </w:rPr>
        <w:t>年</w:t>
      </w:r>
      <w:r>
        <w:rPr>
          <w:rFonts w:ascii="宋体" w:hAnsi="宋体" w:cs="宋体" w:eastAsia="宋体" w:hint="default"/>
          <w:spacing w:val="3"/>
        </w:rPr>
        <w:t>5</w:t>
      </w:r>
      <w:r>
        <w:rPr>
          <w:rFonts w:ascii="宋体" w:hAnsi="宋体" w:cs="宋体" w:eastAsia="宋体" w:hint="default"/>
        </w:rPr>
        <w:t> </w:t>
      </w:r>
      <w:r>
        <w:rPr/>
        <w:t>月至今任公司副总经理。未在其它单位任职或兼职。</w:t>
      </w:r>
    </w:p>
    <w:p>
      <w:pPr>
        <w:pStyle w:val="BodyText"/>
        <w:spacing w:line="357" w:lineRule="auto" w:before="36"/>
        <w:ind w:right="1131" w:firstLine="566"/>
        <w:jc w:val="both"/>
      </w:pPr>
      <w:r>
        <w:rPr>
          <w:rFonts w:ascii="宋体" w:hAnsi="宋体" w:cs="宋体" w:eastAsia="宋体" w:hint="default"/>
        </w:rPr>
        <w:t>16.</w:t>
      </w:r>
      <w:r>
        <w:rPr/>
        <w:t>李士昌先生，</w:t>
      </w:r>
      <w:r>
        <w:rPr>
          <w:rFonts w:ascii="宋体" w:hAnsi="宋体" w:cs="宋体" w:eastAsia="宋体" w:hint="default"/>
        </w:rPr>
        <w:t>2004</w:t>
      </w:r>
      <w:r>
        <w:rPr/>
        <w:t>年</w:t>
      </w:r>
      <w:r>
        <w:rPr>
          <w:rFonts w:ascii="宋体" w:hAnsi="宋体" w:cs="宋体" w:eastAsia="宋体" w:hint="default"/>
        </w:rPr>
        <w:t>5</w:t>
      </w:r>
      <w:r>
        <w:rPr/>
        <w:t>月至</w:t>
      </w:r>
      <w:r>
        <w:rPr>
          <w:rFonts w:ascii="宋体" w:hAnsi="宋体" w:cs="宋体" w:eastAsia="宋体" w:hint="default"/>
        </w:rPr>
        <w:t>2006</w:t>
      </w:r>
      <w:r>
        <w:rPr/>
        <w:t>年</w:t>
      </w:r>
      <w:r>
        <w:rPr>
          <w:rFonts w:ascii="宋体" w:hAnsi="宋体" w:cs="宋体" w:eastAsia="宋体" w:hint="default"/>
        </w:rPr>
        <w:t>8</w:t>
      </w:r>
      <w:r>
        <w:rPr/>
        <w:t>月任北京七星华电科技产业集团战略发展部，战 略规划项目经理；</w:t>
      </w:r>
      <w:r>
        <w:rPr>
          <w:rFonts w:ascii="宋体" w:hAnsi="宋体" w:cs="宋体" w:eastAsia="宋体" w:hint="default"/>
        </w:rPr>
        <w:t>2006</w:t>
      </w:r>
      <w:r>
        <w:rPr/>
        <w:t>年</w:t>
      </w:r>
      <w:r>
        <w:rPr>
          <w:rFonts w:ascii="宋体" w:hAnsi="宋体" w:cs="宋体" w:eastAsia="宋体" w:hint="default"/>
        </w:rPr>
        <w:t>9</w:t>
      </w:r>
      <w:r>
        <w:rPr/>
        <w:t>月至</w:t>
      </w:r>
      <w:r>
        <w:rPr>
          <w:rFonts w:ascii="宋体" w:hAnsi="宋体" w:cs="宋体" w:eastAsia="宋体" w:hint="default"/>
        </w:rPr>
        <w:t>2011</w:t>
      </w:r>
      <w:r>
        <w:rPr/>
        <w:t>年</w:t>
      </w:r>
      <w:r>
        <w:rPr>
          <w:rFonts w:ascii="宋体" w:hAnsi="宋体" w:cs="宋体" w:eastAsia="宋体" w:hint="default"/>
        </w:rPr>
        <w:t>4</w:t>
      </w:r>
      <w:r>
        <w:rPr/>
        <w:t>月任大唐电信科技产业控股有限公司战略发展部，战</w:t>
      </w:r>
      <w:r>
        <w:rPr>
          <w:spacing w:val="-91"/>
        </w:rPr>
        <w:t> </w:t>
      </w:r>
      <w:r>
        <w:rPr>
          <w:spacing w:val="-91"/>
        </w:rPr>
      </w:r>
      <w:r>
        <w:rPr/>
        <w:t>略规划经理、对外合作经理；</w:t>
      </w:r>
      <w:r>
        <w:rPr>
          <w:rFonts w:ascii="宋体" w:hAnsi="宋体" w:cs="宋体" w:eastAsia="宋体" w:hint="default"/>
        </w:rPr>
        <w:t>2011</w:t>
      </w:r>
      <w:r>
        <w:rPr/>
        <w:t>年</w:t>
      </w:r>
      <w:r>
        <w:rPr>
          <w:rFonts w:ascii="宋体" w:hAnsi="宋体" w:cs="宋体" w:eastAsia="宋体" w:hint="default"/>
        </w:rPr>
        <w:t>4</w:t>
      </w:r>
      <w:r>
        <w:rPr/>
        <w:t>月至</w:t>
      </w:r>
      <w:r>
        <w:rPr>
          <w:rFonts w:ascii="宋体" w:hAnsi="宋体" w:cs="宋体" w:eastAsia="宋体" w:hint="default"/>
        </w:rPr>
        <w:t>2012</w:t>
      </w:r>
      <w:r>
        <w:rPr/>
        <w:t>年</w:t>
      </w:r>
      <w:r>
        <w:rPr>
          <w:rFonts w:ascii="宋体" w:hAnsi="宋体" w:cs="宋体" w:eastAsia="宋体" w:hint="default"/>
        </w:rPr>
        <w:t>9</w:t>
      </w:r>
      <w:r>
        <w:rPr/>
        <w:t>月任大唐电信科技产业控股有限公司战略</w:t>
      </w:r>
      <w:r>
        <w:rPr>
          <w:spacing w:val="-90"/>
        </w:rPr>
        <w:t> </w:t>
      </w:r>
      <w:r>
        <w:rPr>
          <w:spacing w:val="-90"/>
        </w:rPr>
      </w:r>
      <w:r>
        <w:rPr/>
        <w:t>发展部总经理助理。</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10</w:t>
      </w:r>
      <w:r>
        <w:rPr/>
        <w:t>日起任公司副总经理，未在其它单位任职或兼职。</w:t>
      </w:r>
    </w:p>
    <w:p>
      <w:pPr>
        <w:spacing w:before="46"/>
        <w:ind w:left="152" w:right="1125"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5"/>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郑金良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92"/>
              <w:jc w:val="both"/>
              <w:rPr>
                <w:rFonts w:ascii="宋体" w:hAnsi="宋体" w:cs="宋体" w:eastAsia="宋体" w:hint="default"/>
                <w:sz w:val="18"/>
                <w:szCs w:val="18"/>
              </w:rPr>
            </w:pPr>
            <w:r>
              <w:rPr>
                <w:rFonts w:ascii="宋体" w:hAnsi="宋体" w:cs="宋体" w:eastAsia="宋体" w:hint="default"/>
                <w:sz w:val="18"/>
                <w:szCs w:val="18"/>
              </w:rPr>
              <w:t>大唐电信科技产业控股有限公司（公司 控股股东电信科学技术研究院的控股子 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30"/>
              <w:jc w:val="left"/>
              <w:rPr>
                <w:rFonts w:ascii="宋体" w:hAnsi="宋体" w:cs="宋体" w:eastAsia="宋体" w:hint="default"/>
                <w:sz w:val="18"/>
                <w:szCs w:val="18"/>
              </w:rPr>
            </w:pPr>
            <w:r>
              <w:rPr>
                <w:rFonts w:ascii="宋体" w:hAnsi="宋体" w:cs="宋体" w:eastAsia="宋体" w:hint="default"/>
                <w:sz w:val="18"/>
                <w:szCs w:val="18"/>
              </w:rPr>
              <w:t>法律事务部 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郭光莉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副总会计师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在股东单位任</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公司副董事长郑金良先生在公司控股股东电信科学技术研究院控股子公司大唐电信科技产业控股有限公司</w:t>
            </w:r>
          </w:p>
        </w:tc>
      </w:tr>
    </w:tbl>
    <w:p>
      <w:pPr>
        <w:spacing w:after="0" w:line="240" w:lineRule="auto"/>
        <w:jc w:val="left"/>
        <w:rPr>
          <w:rFonts w:ascii="宋体" w:hAnsi="宋体" w:cs="宋体" w:eastAsia="宋体" w:hint="default"/>
          <w:sz w:val="18"/>
          <w:szCs w:val="18"/>
        </w:rPr>
        <w:sectPr>
          <w:headerReference w:type="default" r:id="rId34"/>
          <w:footerReference w:type="default" r:id="rId35"/>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9"/>
        <w:gridCol w:w="8370"/>
      </w:tblGrid>
      <w:tr>
        <w:trPr>
          <w:trHeight w:val="675"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职情况的说明</w:t>
            </w:r>
          </w:p>
        </w:tc>
        <w:tc>
          <w:tcPr>
            <w:tcW w:w="8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52"/>
              <w:jc w:val="left"/>
              <w:rPr>
                <w:rFonts w:ascii="宋体" w:hAnsi="宋体" w:cs="宋体" w:eastAsia="宋体" w:hint="default"/>
                <w:sz w:val="18"/>
                <w:szCs w:val="18"/>
              </w:rPr>
            </w:pPr>
            <w:r>
              <w:rPr>
                <w:rFonts w:ascii="宋体" w:hAnsi="宋体" w:cs="宋体" w:eastAsia="宋体" w:hint="default"/>
                <w:sz w:val="18"/>
                <w:szCs w:val="18"/>
              </w:rPr>
              <w:t>任法律事务部副总经理；公司监事会主席郭光莉女士在公司控股股东电信科学技术研究院控股子公司大唐 电信科技产业控股有限公司任公司财务资产部总经理、电信科学技术研究院副总会计师。</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2758"/>
        <w:gridCol w:w="1671"/>
        <w:gridCol w:w="1195"/>
        <w:gridCol w:w="1325"/>
        <w:gridCol w:w="1594"/>
      </w:tblGrid>
      <w:tr>
        <w:trPr>
          <w:trHeight w:val="341"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5"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在其他单位担任的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 w:right="0"/>
              <w:jc w:val="left"/>
              <w:rPr>
                <w:rFonts w:ascii="宋体" w:hAnsi="宋体" w:cs="宋体" w:eastAsia="宋体" w:hint="default"/>
                <w:sz w:val="18"/>
                <w:szCs w:val="18"/>
              </w:rPr>
            </w:pPr>
            <w:r>
              <w:rPr>
                <w:rFonts w:ascii="宋体" w:hAnsi="宋体" w:cs="宋体" w:eastAsia="宋体" w:hint="default"/>
                <w:sz w:val="18"/>
                <w:szCs w:val="18"/>
              </w:rPr>
              <w:t>在其他单位是否领</w:t>
            </w:r>
          </w:p>
        </w:tc>
      </w:tr>
      <w:tr>
        <w:trPr>
          <w:trHeight w:val="33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刘剑文</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北京大学</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法学院教授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刘剑文</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浙江海亮股份有限公司</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刘剑文</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积成电子股份有限公司</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刘剑文</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南通富士通微电子股份有限公司</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北京邮电大学</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经济管理学院院长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孙琪</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北京纵横律师事务所</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专职律师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张晓岚</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上海对外贸易学院</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会计学教授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张晓岚</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西安交通大学</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会计学教授博士生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蔡荣生</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中国人民大学</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教授博士生导师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3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蔡荣生</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黑龙江交通发展股份有限公司</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1"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在其他单位任</w:t>
            </w:r>
          </w:p>
        </w:tc>
        <w:tc>
          <w:tcPr>
            <w:tcW w:w="85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以上人员均为公司独立董事</w:t>
            </w:r>
          </w:p>
        </w:tc>
      </w:tr>
    </w:tbl>
    <w:p>
      <w:pPr>
        <w:spacing w:line="240" w:lineRule="auto" w:before="1"/>
        <w:rPr>
          <w:rFonts w:ascii="宋体" w:hAnsi="宋体" w:cs="宋体" w:eastAsia="宋体" w:hint="default"/>
          <w:sz w:val="18"/>
          <w:szCs w:val="18"/>
        </w:rPr>
      </w:pPr>
    </w:p>
    <w:p>
      <w:pPr>
        <w:pStyle w:val="Heading2"/>
        <w:spacing w:line="240" w:lineRule="auto"/>
        <w:ind w:right="1125"/>
        <w:jc w:val="left"/>
        <w:rPr>
          <w:b w:val="0"/>
          <w:bCs w:val="0"/>
        </w:rPr>
      </w:pPr>
      <w:r>
        <w:rPr/>
        <w:t>三、董事、监事、高级管理人员报酬情况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357" w:lineRule="auto" w:before="145"/>
        <w:ind w:right="1131" w:firstLine="566"/>
        <w:jc w:val="both"/>
      </w:pPr>
      <w:r>
        <w:rPr>
          <w:spacing w:val="-2"/>
        </w:rPr>
        <w:t>董事、监事和高级管理人员报酬确定依据：经公司</w:t>
      </w:r>
      <w:r>
        <w:rPr>
          <w:rFonts w:ascii="宋体" w:hAnsi="宋体" w:cs="宋体" w:eastAsia="宋体" w:hint="default"/>
          <w:spacing w:val="-2"/>
        </w:rPr>
        <w:t>2007</w:t>
      </w:r>
      <w:r>
        <w:rPr>
          <w:spacing w:val="-2"/>
        </w:rPr>
        <w:t>年度股东大会批准，不在公司任</w:t>
      </w:r>
      <w:r>
        <w:rPr/>
        <w:t> </w:t>
      </w:r>
      <w:r>
        <w:rPr>
          <w:spacing w:val="-2"/>
        </w:rPr>
        <w:t>职的董事（不含独立董事）、监事，公司按税前</w:t>
      </w:r>
      <w:r>
        <w:rPr>
          <w:rFonts w:ascii="宋体" w:hAnsi="宋体" w:cs="宋体" w:eastAsia="宋体" w:hint="default"/>
          <w:spacing w:val="-2"/>
        </w:rPr>
        <w:t>5000</w:t>
      </w:r>
      <w:r>
        <w:rPr>
          <w:spacing w:val="-2"/>
        </w:rPr>
        <w:t>元人民币</w:t>
      </w:r>
      <w:r>
        <w:rPr>
          <w:rFonts w:ascii="宋体" w:hAnsi="宋体" w:cs="宋体" w:eastAsia="宋体" w:hint="default"/>
          <w:spacing w:val="-2"/>
        </w:rPr>
        <w:t>/</w:t>
      </w:r>
      <w:r>
        <w:rPr>
          <w:spacing w:val="-2"/>
        </w:rPr>
        <w:t>月向其支付工作津贴。经公司</w:t>
      </w:r>
      <w:r>
        <w:rPr>
          <w:spacing w:val="-116"/>
        </w:rPr>
        <w:t> </w:t>
      </w:r>
      <w:r>
        <w:rPr>
          <w:spacing w:val="-116"/>
        </w:rPr>
      </w:r>
      <w:r>
        <w:rPr>
          <w:rFonts w:ascii="宋体" w:hAnsi="宋体" w:cs="宋体" w:eastAsia="宋体" w:hint="default"/>
          <w:spacing w:val="-2"/>
        </w:rPr>
        <w:t>2006</w:t>
      </w:r>
      <w:r>
        <w:rPr>
          <w:spacing w:val="-2"/>
        </w:rPr>
        <w:t>年度股东大会批准，独立董事每年领取</w:t>
      </w:r>
      <w:r>
        <w:rPr>
          <w:rFonts w:ascii="宋体" w:hAnsi="宋体" w:cs="宋体" w:eastAsia="宋体" w:hint="default"/>
          <w:spacing w:val="-2"/>
        </w:rPr>
        <w:t>6</w:t>
      </w:r>
      <w:r>
        <w:rPr>
          <w:spacing w:val="-2"/>
        </w:rPr>
        <w:t>万元津贴。在公司任职的高管人员的报酬按岗位</w:t>
      </w:r>
      <w:r>
        <w:rPr>
          <w:spacing w:val="-116"/>
        </w:rPr>
        <w:t> </w:t>
      </w:r>
      <w:r>
        <w:rPr>
          <w:spacing w:val="-116"/>
        </w:rPr>
      </w:r>
      <w:r>
        <w:rPr/>
        <w:t>及公司经营情况确定。确定依据：《董事会薪酬与考核委员会实施细则》，公司根据经营业</w:t>
      </w:r>
      <w:r>
        <w:rPr>
          <w:spacing w:val="-91"/>
        </w:rPr>
        <w:t> </w:t>
      </w:r>
      <w:r>
        <w:rPr>
          <w:spacing w:val="-91"/>
        </w:rPr>
      </w:r>
      <w:r>
        <w:rPr/>
        <w:t>绩、职位贡献等因素确定公司董事、监事、高级管理人员的报酬。公司董事、监事、高级管</w:t>
      </w:r>
      <w:r>
        <w:rPr>
          <w:spacing w:val="-90"/>
        </w:rPr>
        <w:t> </w:t>
      </w:r>
      <w:r>
        <w:rPr>
          <w:spacing w:val="-90"/>
        </w:rPr>
      </w:r>
      <w:r>
        <w:rPr/>
        <w:t>理人员报酬按月支付。</w:t>
      </w:r>
    </w:p>
    <w:p>
      <w:pPr>
        <w:spacing w:before="46"/>
        <w:ind w:left="152" w:right="1125"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0"/>
              <w:jc w:val="right"/>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71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付景林</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617,600.00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617,600.00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郑金良</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9"/>
              <w:jc w:val="righ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刘剑文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9"/>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9"/>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36,956.00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36,956.00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孙琪</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9"/>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36,956.00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36,956.00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张晓岚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9"/>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36,956.00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36,956.00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蔡荣生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39"/>
              <w:jc w:val="righ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tc>
      </w:tr>
    </w:tbl>
    <w:p>
      <w:pPr>
        <w:spacing w:after="0" w:line="240" w:lineRule="auto"/>
        <w:jc w:val="right"/>
        <w:rPr>
          <w:rFonts w:ascii="Times New Roman" w:hAnsi="Times New Roman" w:cs="Times New Roman" w:eastAsia="Times New Roman" w:hint="default"/>
          <w:sz w:val="18"/>
          <w:szCs w:val="18"/>
        </w:rPr>
        <w:sectPr>
          <w:footerReference w:type="default" r:id="rId36"/>
          <w:pgSz w:w="11910" w:h="16840"/>
          <w:pgMar w:footer="1340" w:header="877" w:top="1060" w:bottom="1540" w:left="980" w:right="0"/>
          <w:pgNumType w:start="6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刘汝林</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张天西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张翼志</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郭光莉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姚印杰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208,535.00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208,535.00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翁冠男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293,500.00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栗娜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207,905.00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207,905.00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侯玉成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525,000.00</w:t>
            </w:r>
          </w:p>
        </w:tc>
      </w:tr>
      <w:tr>
        <w:trPr>
          <w:trHeight w:val="102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9"/>
              <w:jc w:val="both"/>
              <w:rPr>
                <w:rFonts w:ascii="宋体" w:hAnsi="宋体" w:cs="宋体" w:eastAsia="宋体" w:hint="default"/>
                <w:sz w:val="18"/>
                <w:szCs w:val="18"/>
              </w:rPr>
            </w:pPr>
            <w:r>
              <w:rPr>
                <w:rFonts w:ascii="宋体" w:hAnsi="宋体" w:cs="宋体" w:eastAsia="宋体" w:hint="default"/>
                <w:sz w:val="18"/>
                <w:szCs w:val="18"/>
              </w:rPr>
              <w:t>副总经理、董 事会秘书、财 务负责人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525,000.00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刘雪峰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508,000.00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508,000.00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赵德胜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488,000.00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张新中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315,600.00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315,600.00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李士昌</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陈玉强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330,000.00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孟汉峰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155,200.00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155,200.00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4,511,673.00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4,391,673.00</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5"/>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before="0"/>
        <w:ind w:right="1125"/>
        <w:jc w:val="left"/>
        <w:rPr>
          <w:b w:val="0"/>
          <w:bCs w:val="0"/>
        </w:rPr>
      </w:pPr>
      <w:r>
        <w:rPr/>
        <w:t>四、公司董事、监事、高级管理人员离职和解聘情况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刘汝林</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张天西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到期换届</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张翼志</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到期换届</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陈玉强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到期换届</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孟汉峰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工作调整</w:t>
            </w:r>
          </w:p>
        </w:tc>
      </w:tr>
    </w:tbl>
    <w:p>
      <w:pPr>
        <w:spacing w:line="240" w:lineRule="auto" w:before="1"/>
        <w:rPr>
          <w:rFonts w:ascii="宋体" w:hAnsi="宋体" w:cs="宋体" w:eastAsia="宋体" w:hint="default"/>
          <w:b/>
          <w:bCs/>
          <w:sz w:val="18"/>
          <w:szCs w:val="18"/>
        </w:rPr>
      </w:pPr>
    </w:p>
    <w:p>
      <w:pPr>
        <w:pStyle w:val="Heading2"/>
        <w:spacing w:line="240" w:lineRule="auto"/>
        <w:ind w:right="1125"/>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ind w:right="1125"/>
        <w:jc w:val="left"/>
        <w:rPr>
          <w:b w:val="0"/>
          <w:bCs w:val="0"/>
        </w:rPr>
      </w:pPr>
      <w:r>
        <w:rPr/>
        <w:t>六、公司员工情况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ind w:right="1124" w:firstLine="566"/>
        <w:jc w:val="both"/>
      </w:pPr>
      <w:r>
        <w:rPr/>
        <w:t>截止</w:t>
      </w:r>
      <w:r>
        <w:rPr>
          <w:rFonts w:ascii="宋体" w:hAnsi="宋体" w:cs="宋体" w:eastAsia="宋体" w:hint="default"/>
        </w:rPr>
        <w:t>2012</w:t>
      </w:r>
      <w:r>
        <w:rPr/>
        <w:t>年末，公司本部及各控股子公司共有在册员工</w:t>
      </w:r>
      <w:r>
        <w:rPr>
          <w:rFonts w:ascii="宋体" w:hAnsi="宋体" w:cs="宋体" w:eastAsia="宋体" w:hint="default"/>
        </w:rPr>
        <w:t>732</w:t>
      </w:r>
      <w:r>
        <w:rPr/>
        <w:t>人，其中财务人员</w:t>
      </w:r>
      <w:r>
        <w:rPr>
          <w:rFonts w:ascii="宋体" w:hAnsi="宋体" w:cs="宋体" w:eastAsia="宋体" w:hint="default"/>
        </w:rPr>
        <w:t>38</w:t>
      </w:r>
      <w:r>
        <w:rPr/>
        <w:t>人，行</w:t>
      </w:r>
      <w:r>
        <w:rPr>
          <w:spacing w:val="2"/>
        </w:rPr>
        <w:t> </w:t>
      </w:r>
      <w:r>
        <w:rPr/>
        <w:t>政人员</w:t>
      </w:r>
      <w:r>
        <w:rPr>
          <w:rFonts w:ascii="宋体" w:hAnsi="宋体" w:cs="宋体" w:eastAsia="宋体" w:hint="default"/>
        </w:rPr>
        <w:t>101</w:t>
      </w:r>
      <w:r>
        <w:rPr/>
        <w:t>人，销售人员</w:t>
      </w:r>
      <w:r>
        <w:rPr>
          <w:rFonts w:ascii="宋体" w:hAnsi="宋体" w:cs="宋体" w:eastAsia="宋体" w:hint="default"/>
        </w:rPr>
        <w:t>327</w:t>
      </w:r>
      <w:r>
        <w:rPr/>
        <w:t>人，技术人员</w:t>
      </w:r>
      <w:r>
        <w:rPr>
          <w:rFonts w:ascii="宋体" w:hAnsi="宋体" w:cs="宋体" w:eastAsia="宋体" w:hint="default"/>
        </w:rPr>
        <w:t>257</w:t>
      </w:r>
      <w:r>
        <w:rPr/>
        <w:t>人，生产人员</w:t>
      </w:r>
      <w:r>
        <w:rPr>
          <w:rFonts w:ascii="宋体" w:hAnsi="宋体" w:cs="宋体" w:eastAsia="宋体" w:hint="default"/>
        </w:rPr>
        <w:t>9</w:t>
      </w:r>
      <w:r>
        <w:rPr/>
        <w:t>人。员工薪酬采取基薪加绩效考</w:t>
      </w:r>
      <w:r>
        <w:rPr>
          <w:spacing w:val="-89"/>
        </w:rPr>
        <w:t> </w:t>
      </w:r>
      <w:r>
        <w:rPr>
          <w:spacing w:val="-89"/>
        </w:rPr>
      </w:r>
      <w:r>
        <w:rPr/>
        <w:t>核方式。公司没有需承担费用的离退休职工。</w:t>
      </w:r>
    </w:p>
    <w:p>
      <w:pPr>
        <w:pStyle w:val="BodyText"/>
        <w:spacing w:line="240" w:lineRule="auto" w:before="36"/>
        <w:ind w:left="719" w:right="1125"/>
        <w:jc w:val="left"/>
      </w:pPr>
      <w:r>
        <w:rPr/>
        <w:t>公司员工专业构成饼状图：</w:t>
      </w:r>
    </w:p>
    <w:p>
      <w:pPr>
        <w:spacing w:line="240" w:lineRule="auto" w:before="12"/>
        <w:rPr>
          <w:rFonts w:ascii="宋体" w:hAnsi="宋体" w:cs="宋体" w:eastAsia="宋体" w:hint="default"/>
          <w:sz w:val="15"/>
          <w:szCs w:val="15"/>
        </w:rPr>
      </w:pPr>
    </w:p>
    <w:p>
      <w:pPr>
        <w:spacing w:line="2930" w:lineRule="exact"/>
        <w:ind w:left="153"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4601203" cy="1860803"/>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37" cstate="print"/>
                    <a:stretch>
                      <a:fillRect/>
                    </a:stretch>
                  </pic:blipFill>
                  <pic:spPr>
                    <a:xfrm>
                      <a:off x="0" y="0"/>
                      <a:ext cx="4601203" cy="1860803"/>
                    </a:xfrm>
                    <a:prstGeom prst="rect">
                      <a:avLst/>
                    </a:prstGeom>
                  </pic:spPr>
                </pic:pic>
              </a:graphicData>
            </a:graphic>
          </wp:inline>
        </w:drawing>
      </w:r>
      <w:r>
        <w:rPr>
          <w:rFonts w:ascii="宋体" w:hAnsi="宋体" w:cs="宋体" w:eastAsia="宋体" w:hint="default"/>
          <w:position w:val="-58"/>
          <w:sz w:val="20"/>
          <w:szCs w:val="20"/>
        </w:rPr>
      </w:r>
    </w:p>
    <w:p>
      <w:pPr>
        <w:pStyle w:val="BodyText"/>
        <w:spacing w:line="240" w:lineRule="auto" w:before="136"/>
        <w:ind w:left="719" w:right="1125"/>
        <w:jc w:val="left"/>
      </w:pPr>
      <w:r>
        <w:rPr/>
        <w:t>公司员工教育程度饼状图：</w:t>
      </w:r>
    </w:p>
    <w:p>
      <w:pPr>
        <w:spacing w:line="240" w:lineRule="auto" w:before="6"/>
        <w:rPr>
          <w:rFonts w:ascii="宋体" w:hAnsi="宋体" w:cs="宋体" w:eastAsia="宋体" w:hint="default"/>
          <w:sz w:val="18"/>
          <w:szCs w:val="18"/>
        </w:rPr>
      </w:pPr>
    </w:p>
    <w:p>
      <w:pPr>
        <w:spacing w:line="2827" w:lineRule="exact"/>
        <w:ind w:left="153" w:right="0" w:firstLine="0"/>
        <w:rPr>
          <w:rFonts w:ascii="宋体" w:hAnsi="宋体" w:cs="宋体" w:eastAsia="宋体" w:hint="default"/>
          <w:sz w:val="20"/>
          <w:szCs w:val="20"/>
        </w:rPr>
      </w:pPr>
      <w:r>
        <w:rPr>
          <w:rFonts w:ascii="宋体" w:hAnsi="宋体" w:cs="宋体" w:eastAsia="宋体" w:hint="default"/>
          <w:position w:val="-56"/>
          <w:sz w:val="20"/>
          <w:szCs w:val="20"/>
        </w:rPr>
        <w:drawing>
          <wp:inline distT="0" distB="0" distL="0" distR="0">
            <wp:extent cx="4751231" cy="1795272"/>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38" cstate="print"/>
                    <a:stretch>
                      <a:fillRect/>
                    </a:stretch>
                  </pic:blipFill>
                  <pic:spPr>
                    <a:xfrm>
                      <a:off x="0" y="0"/>
                      <a:ext cx="4751231" cy="1795272"/>
                    </a:xfrm>
                    <a:prstGeom prst="rect">
                      <a:avLst/>
                    </a:prstGeom>
                  </pic:spPr>
                </pic:pic>
              </a:graphicData>
            </a:graphic>
          </wp:inline>
        </w:drawing>
      </w:r>
      <w:r>
        <w:rPr>
          <w:rFonts w:ascii="宋体" w:hAnsi="宋体" w:cs="宋体" w:eastAsia="宋体" w:hint="default"/>
          <w:position w:val="-56"/>
          <w:sz w:val="20"/>
          <w:szCs w:val="20"/>
        </w:rPr>
      </w:r>
    </w:p>
    <w:p>
      <w:pPr>
        <w:spacing w:after="0" w:line="2827" w:lineRule="exact"/>
        <w:rPr>
          <w:rFonts w:ascii="宋体" w:hAnsi="宋体" w:cs="宋体" w:eastAsia="宋体" w:hint="default"/>
          <w:sz w:val="20"/>
          <w:szCs w:val="20"/>
        </w:rPr>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036"/>
        <w:jc w:val="center"/>
        <w:rPr>
          <w:b w:val="0"/>
          <w:bCs w:val="0"/>
        </w:rPr>
      </w:pPr>
      <w:bookmarkStart w:name="_TOC_250003"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2"/>
          <w:szCs w:val="22"/>
        </w:rPr>
      </w:pPr>
    </w:p>
    <w:p>
      <w:pPr>
        <w:pStyle w:val="Heading2"/>
        <w:spacing w:line="240" w:lineRule="auto"/>
        <w:ind w:left="573" w:right="1125" w:hanging="421"/>
        <w:jc w:val="left"/>
        <w:rPr>
          <w:b w:val="0"/>
          <w:bCs w:val="0"/>
        </w:rPr>
      </w:pPr>
      <w:r>
        <w:rPr/>
        <w:t>一、公司治理的基本状况</w:t>
      </w:r>
      <w:r>
        <w:rPr>
          <w:b w:val="0"/>
          <w:bCs w:val="0"/>
        </w:rPr>
      </w:r>
    </w:p>
    <w:p>
      <w:pPr>
        <w:spacing w:line="240" w:lineRule="auto" w:before="9"/>
        <w:rPr>
          <w:rFonts w:ascii="宋体" w:hAnsi="宋体" w:cs="宋体" w:eastAsia="宋体" w:hint="default"/>
          <w:b/>
          <w:bCs/>
          <w:sz w:val="34"/>
          <w:szCs w:val="34"/>
        </w:rPr>
      </w:pPr>
    </w:p>
    <w:p>
      <w:pPr>
        <w:pStyle w:val="BodyText"/>
        <w:spacing w:line="357" w:lineRule="auto"/>
        <w:ind w:left="573" w:right="1125"/>
        <w:jc w:val="left"/>
      </w:pPr>
      <w:r>
        <w:rPr>
          <w:rFonts w:ascii="宋体" w:hAnsi="宋体" w:cs="宋体" w:eastAsia="宋体" w:hint="default"/>
        </w:rPr>
        <w:t>1.</w:t>
      </w:r>
      <w:r>
        <w:rPr/>
        <w:t>内控工作情况 </w:t>
      </w:r>
      <w:r>
        <w:rPr>
          <w:spacing w:val="-1"/>
        </w:rPr>
        <w:t>公司于</w:t>
      </w:r>
      <w:r>
        <w:rPr>
          <w:rFonts w:ascii="宋体" w:hAnsi="宋体" w:cs="宋体" w:eastAsia="宋体" w:hint="default"/>
          <w:spacing w:val="-1"/>
        </w:rPr>
        <w:t>1998</w:t>
      </w:r>
      <w:r>
        <w:rPr>
          <w:spacing w:val="-1"/>
        </w:rPr>
        <w:t>年在深圳证券交易所上市，</w:t>
      </w:r>
      <w:r>
        <w:rPr>
          <w:rFonts w:ascii="宋体" w:hAnsi="宋体" w:cs="宋体" w:eastAsia="宋体" w:hint="default"/>
          <w:spacing w:val="-1"/>
        </w:rPr>
        <w:t>2003</w:t>
      </w:r>
      <w:r>
        <w:rPr>
          <w:spacing w:val="-1"/>
        </w:rPr>
        <w:t>年</w:t>
      </w:r>
      <w:r>
        <w:rPr>
          <w:rFonts w:ascii="宋体" w:hAnsi="宋体" w:cs="宋体" w:eastAsia="宋体" w:hint="default"/>
          <w:spacing w:val="-1"/>
        </w:rPr>
        <w:t>5</w:t>
      </w:r>
      <w:r>
        <w:rPr>
          <w:spacing w:val="-1"/>
        </w:rPr>
        <w:t>月实施完成了以股权转让和资产整体置换</w:t>
      </w:r>
    </w:p>
    <w:p>
      <w:pPr>
        <w:pStyle w:val="BodyText"/>
        <w:spacing w:line="240" w:lineRule="auto" w:before="36"/>
        <w:ind w:right="0"/>
        <w:jc w:val="both"/>
      </w:pPr>
      <w:r>
        <w:rPr>
          <w:spacing w:val="-5"/>
        </w:rPr>
        <w:t>为主要内容的重大资产重组，</w:t>
      </w:r>
      <w:r>
        <w:rPr>
          <w:rFonts w:ascii="宋体" w:hAnsi="宋体" w:cs="宋体" w:eastAsia="宋体" w:hint="default"/>
          <w:spacing w:val="-5"/>
        </w:rPr>
        <w:t>2006</w:t>
      </w:r>
      <w:r>
        <w:rPr>
          <w:spacing w:val="-5"/>
        </w:rPr>
        <w:t>年</w:t>
      </w:r>
      <w:r>
        <w:rPr>
          <w:rFonts w:ascii="宋体" w:hAnsi="宋体" w:cs="宋体" w:eastAsia="宋体" w:hint="default"/>
          <w:spacing w:val="-5"/>
        </w:rPr>
        <w:t>6</w:t>
      </w:r>
      <w:r>
        <w:rPr>
          <w:spacing w:val="-5"/>
        </w:rPr>
        <w:t>月实施完成了股权分置改革。公司严格按照《公司法》、</w:t>
      </w:r>
    </w:p>
    <w:p>
      <w:pPr>
        <w:pStyle w:val="BodyText"/>
        <w:spacing w:line="357" w:lineRule="auto" w:before="154"/>
        <w:ind w:right="1139"/>
        <w:jc w:val="both"/>
      </w:pPr>
      <w:r>
        <w:rPr/>
        <w:t>《证券法》和中国证监会有关规章、规范的要求，完善公司法人治理结构，健全现代企业制</w:t>
      </w:r>
      <w:r>
        <w:rPr>
          <w:spacing w:val="-91"/>
        </w:rPr>
        <w:t> </w:t>
      </w:r>
      <w:r>
        <w:rPr>
          <w:spacing w:val="-91"/>
        </w:rPr>
      </w:r>
      <w:r>
        <w:rPr/>
        <w:t>度，规范公司运作。</w:t>
      </w:r>
    </w:p>
    <w:p>
      <w:pPr>
        <w:pStyle w:val="BodyText"/>
        <w:spacing w:line="357" w:lineRule="auto" w:before="36"/>
        <w:ind w:right="1125" w:firstLine="420"/>
        <w:jc w:val="left"/>
      </w:pPr>
      <w:r>
        <w:rPr>
          <w:spacing w:val="2"/>
        </w:rPr>
        <w:t>公司董事会下设专门委员会正常运作，就公司重大事项进行讨论与研究，为董事会决策 </w:t>
      </w:r>
      <w:r>
        <w:rPr/>
        <w:t>提供了专业支持。</w:t>
      </w:r>
    </w:p>
    <w:p>
      <w:pPr>
        <w:pStyle w:val="BodyText"/>
        <w:spacing w:line="357" w:lineRule="auto" w:before="36"/>
        <w:ind w:right="996" w:firstLine="420"/>
        <w:jc w:val="left"/>
      </w:pPr>
      <w:r>
        <w:rPr>
          <w:spacing w:val="2"/>
        </w:rPr>
        <w:t>公司董事会和监事会严格按照法律法规和公司章程履行职权。董事会和监事会历次会议 </w:t>
      </w:r>
      <w:r>
        <w:rPr>
          <w:spacing w:val="-2"/>
        </w:rPr>
        <w:t>的通知、决议和信息披露等工作均按照法定程序完成。公司董事和监事勤勉尽责地履行职责，</w:t>
      </w:r>
      <w:r>
        <w:rPr/>
        <w:t> 维护了公司和全体股东的合法权益。</w:t>
      </w:r>
    </w:p>
    <w:p>
      <w:pPr>
        <w:pStyle w:val="BodyText"/>
        <w:spacing w:line="357" w:lineRule="auto" w:before="36"/>
        <w:ind w:right="1125" w:firstLine="420"/>
        <w:jc w:val="left"/>
      </w:pPr>
      <w:r>
        <w:rPr>
          <w:spacing w:val="2"/>
        </w:rPr>
        <w:t>为贯彻实施《企业内部控制基本规范》及相关配套指引，根据中国证监会、贵州证监局 </w:t>
      </w:r>
      <w:r>
        <w:rPr/>
        <w:t>的相关要求，</w:t>
      </w:r>
      <w:r>
        <w:rPr>
          <w:rFonts w:ascii="宋体" w:hAnsi="宋体" w:cs="宋体" w:eastAsia="宋体" w:hint="default"/>
        </w:rPr>
        <w:t>2011</w:t>
      </w:r>
      <w:r>
        <w:rPr/>
        <w:t>年公司制定了内控规范实施工作的相关方案，并开始实施内控建设工作。</w:t>
      </w:r>
    </w:p>
    <w:p>
      <w:pPr>
        <w:pStyle w:val="BodyText"/>
        <w:spacing w:line="240" w:lineRule="auto" w:before="36"/>
        <w:ind w:left="573" w:right="1125"/>
        <w:jc w:val="left"/>
      </w:pPr>
      <w:r>
        <w:rPr>
          <w:rFonts w:ascii="宋体" w:hAnsi="宋体" w:cs="宋体" w:eastAsia="宋体" w:hint="default"/>
        </w:rPr>
        <w:t>2012</w:t>
      </w:r>
      <w:r>
        <w:rPr/>
        <w:t>年公司完成了内控自我评价阶段、内控审计鉴证阶段的工作。</w:t>
      </w:r>
    </w:p>
    <w:p>
      <w:pPr>
        <w:pStyle w:val="BodyText"/>
        <w:spacing w:line="240" w:lineRule="auto" w:before="154"/>
        <w:ind w:left="573" w:right="1125"/>
        <w:jc w:val="left"/>
      </w:pPr>
      <w:r>
        <w:rPr>
          <w:rFonts w:ascii="宋体" w:hAnsi="宋体" w:cs="宋体" w:eastAsia="宋体" w:hint="default"/>
        </w:rPr>
        <w:t>2.</w:t>
      </w:r>
      <w:r>
        <w:rPr/>
        <w:t>《公司章程》修订情况</w:t>
      </w:r>
    </w:p>
    <w:p>
      <w:pPr>
        <w:pStyle w:val="BodyText"/>
        <w:spacing w:line="357" w:lineRule="auto" w:before="154"/>
        <w:ind w:right="1125" w:firstLine="420"/>
        <w:jc w:val="left"/>
      </w:pPr>
      <w:r>
        <w:rPr>
          <w:spacing w:val="-1"/>
        </w:rPr>
        <w:t>（</w:t>
      </w:r>
      <w:r>
        <w:rPr>
          <w:rFonts w:ascii="宋体" w:hAnsi="宋体" w:cs="宋体" w:eastAsia="宋体" w:hint="default"/>
          <w:spacing w:val="-1"/>
        </w:rPr>
        <w:t>1</w:t>
      </w:r>
      <w:r>
        <w:rPr>
          <w:spacing w:val="-1"/>
        </w:rPr>
        <w:t>）经</w:t>
      </w:r>
      <w:r>
        <w:rPr>
          <w:rFonts w:ascii="宋体" w:hAnsi="宋体" w:cs="宋体" w:eastAsia="宋体" w:hint="default"/>
          <w:spacing w:val="-1"/>
        </w:rPr>
        <w:t>2012</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4</w:t>
      </w:r>
      <w:r>
        <w:rPr>
          <w:spacing w:val="-1"/>
        </w:rPr>
        <w:t>日</w:t>
      </w:r>
      <w:r>
        <w:rPr>
          <w:rFonts w:ascii="宋体" w:hAnsi="宋体" w:cs="宋体" w:eastAsia="宋体" w:hint="default"/>
          <w:spacing w:val="-1"/>
        </w:rPr>
        <w:t>2012</w:t>
      </w:r>
      <w:r>
        <w:rPr>
          <w:spacing w:val="-1"/>
        </w:rPr>
        <w:t>年第一次临时股东大会审议通过，公司针对《公司章程》中利</w:t>
      </w:r>
      <w:r>
        <w:rPr/>
        <w:t> 润分配政策部分作出修订，明确现金分红比例。</w:t>
      </w:r>
    </w:p>
    <w:p>
      <w:pPr>
        <w:pStyle w:val="BodyText"/>
        <w:spacing w:line="357" w:lineRule="auto" w:before="36"/>
        <w:ind w:right="0" w:firstLine="420"/>
        <w:jc w:val="left"/>
      </w:pPr>
      <w:r>
        <w:rPr>
          <w:spacing w:val="-1"/>
        </w:rPr>
        <w:t>（</w:t>
      </w:r>
      <w:r>
        <w:rPr>
          <w:rFonts w:ascii="宋体" w:hAnsi="宋体" w:cs="宋体" w:eastAsia="宋体" w:hint="default"/>
          <w:spacing w:val="-1"/>
        </w:rPr>
        <w:t>2</w:t>
      </w:r>
      <w:r>
        <w:rPr>
          <w:spacing w:val="-1"/>
        </w:rPr>
        <w:t>）经</w:t>
      </w:r>
      <w:r>
        <w:rPr>
          <w:rFonts w:ascii="宋体" w:hAnsi="宋体" w:cs="宋体" w:eastAsia="宋体" w:hint="default"/>
          <w:spacing w:val="-1"/>
        </w:rPr>
        <w:t>2012</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16</w:t>
      </w:r>
      <w:r>
        <w:rPr>
          <w:spacing w:val="-1"/>
        </w:rPr>
        <w:t>日</w:t>
      </w:r>
      <w:r>
        <w:rPr>
          <w:rFonts w:ascii="宋体" w:hAnsi="宋体" w:cs="宋体" w:eastAsia="宋体" w:hint="default"/>
          <w:spacing w:val="-1"/>
        </w:rPr>
        <w:t>2011</w:t>
      </w:r>
      <w:r>
        <w:rPr>
          <w:spacing w:val="-1"/>
        </w:rPr>
        <w:t>年度股东大会审议通过，公司结合中国证监会、贵州证监局、</w:t>
      </w:r>
      <w:r>
        <w:rPr/>
        <w:t> 深圳证券交易所更新的法规针对《公司章程》中部分不适用条款作出修订。</w:t>
      </w:r>
    </w:p>
    <w:p>
      <w:pPr>
        <w:pStyle w:val="BodyText"/>
        <w:spacing w:line="357" w:lineRule="auto" w:before="36"/>
        <w:ind w:right="1125" w:firstLine="420"/>
        <w:jc w:val="left"/>
      </w:pPr>
      <w:r>
        <w:rPr>
          <w:spacing w:val="-1"/>
        </w:rPr>
        <w:t>（</w:t>
      </w:r>
      <w:r>
        <w:rPr>
          <w:rFonts w:ascii="宋体" w:hAnsi="宋体" w:cs="宋体" w:eastAsia="宋体" w:hint="default"/>
          <w:spacing w:val="-1"/>
        </w:rPr>
        <w:t>3</w:t>
      </w:r>
      <w:r>
        <w:rPr>
          <w:spacing w:val="-1"/>
        </w:rPr>
        <w:t>）经</w:t>
      </w:r>
      <w:r>
        <w:rPr>
          <w:rFonts w:ascii="宋体" w:hAnsi="宋体" w:cs="宋体" w:eastAsia="宋体" w:hint="default"/>
          <w:spacing w:val="-1"/>
        </w:rPr>
        <w:t>2012</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3</w:t>
      </w:r>
      <w:r>
        <w:rPr>
          <w:spacing w:val="-1"/>
        </w:rPr>
        <w:t>日</w:t>
      </w:r>
      <w:r>
        <w:rPr>
          <w:rFonts w:ascii="宋体" w:hAnsi="宋体" w:cs="宋体" w:eastAsia="宋体" w:hint="default"/>
          <w:spacing w:val="-1"/>
        </w:rPr>
        <w:t>2012</w:t>
      </w:r>
      <w:r>
        <w:rPr>
          <w:spacing w:val="-1"/>
        </w:rPr>
        <w:t>年第五次临时股东大会审议通过，公司为贯彻中国证监会发布</w:t>
      </w:r>
      <w:r>
        <w:rPr/>
        <w:t> 的《关于进一步落实上市公司现金分红有关事项的通知》（证监发</w:t>
      </w:r>
      <w:r>
        <w:rPr>
          <w:rFonts w:ascii="宋体" w:hAnsi="宋体" w:cs="宋体" w:eastAsia="宋体" w:hint="default"/>
        </w:rPr>
        <w:t>[2012]37</w:t>
      </w:r>
      <w:r>
        <w:rPr/>
        <w:t>号）的精神，对</w:t>
      </w:r>
    </w:p>
    <w:p>
      <w:pPr>
        <w:pStyle w:val="BodyText"/>
        <w:spacing w:line="357" w:lineRule="auto" w:before="36"/>
        <w:ind w:right="1137"/>
        <w:jc w:val="both"/>
      </w:pPr>
      <w:r>
        <w:rPr/>
        <w:t>《公司章程》中利润分配条款作出详细修订，健全公司利润分配制度，完善了利润分配政策</w:t>
      </w:r>
      <w:r>
        <w:rPr>
          <w:spacing w:val="-91"/>
        </w:rPr>
        <w:t> </w:t>
      </w:r>
      <w:r>
        <w:rPr>
          <w:spacing w:val="-91"/>
        </w:rPr>
      </w:r>
      <w:r>
        <w:rPr/>
        <w:t>的原则、形式、明确了现金分红条件和比例，规定了公司利润分配决策程序和调整程序，同</w:t>
      </w:r>
      <w:r>
        <w:rPr>
          <w:spacing w:val="-91"/>
        </w:rPr>
        <w:t> </w:t>
      </w:r>
      <w:r>
        <w:rPr>
          <w:spacing w:val="-91"/>
        </w:rPr>
      </w:r>
      <w:r>
        <w:rPr/>
        <w:t>时明确指出独立董事应尽职履责并发挥应有的作用，中小股东具有充分表达意见和诉求的机</w:t>
      </w:r>
      <w:r>
        <w:rPr>
          <w:spacing w:val="-89"/>
        </w:rPr>
        <w:t> </w:t>
      </w:r>
      <w:r>
        <w:rPr>
          <w:spacing w:val="-89"/>
        </w:rPr>
      </w:r>
      <w:r>
        <w:rPr/>
        <w:t>会，维护中小股东的合法权益。</w:t>
      </w:r>
    </w:p>
    <w:p>
      <w:pPr>
        <w:pStyle w:val="BodyText"/>
        <w:spacing w:line="240" w:lineRule="auto" w:before="36"/>
        <w:ind w:left="573" w:right="1125"/>
        <w:jc w:val="left"/>
      </w:pPr>
      <w:r>
        <w:rPr>
          <w:rFonts w:ascii="宋体" w:hAnsi="宋体" w:cs="宋体" w:eastAsia="宋体" w:hint="default"/>
        </w:rPr>
        <w:t>3.</w:t>
      </w:r>
      <w:r>
        <w:rPr/>
        <w:t>制度制定和修订情况</w:t>
      </w:r>
    </w:p>
    <w:p>
      <w:pPr>
        <w:spacing w:after="0" w:line="240" w:lineRule="auto"/>
        <w:jc w:val="left"/>
        <w:sectPr>
          <w:pgSz w:w="11910" w:h="16840"/>
          <w:pgMar w:header="877" w:footer="1340" w:top="1060" w:bottom="1540" w:left="980" w:right="0"/>
        </w:sectPr>
      </w:pPr>
    </w:p>
    <w:p>
      <w:pPr>
        <w:spacing w:line="240" w:lineRule="auto" w:before="6"/>
        <w:rPr>
          <w:rFonts w:ascii="宋体" w:hAnsi="宋体" w:cs="宋体" w:eastAsia="宋体" w:hint="default"/>
          <w:sz w:val="29"/>
          <w:szCs w:val="29"/>
        </w:rPr>
      </w:pPr>
      <w:r>
        <w:rPr/>
        <w:pict>
          <v:shape style="position:absolute;margin-left:281.692993pt;margin-top:635.375977pt;width:136.35pt;height:132.6pt;mso-position-horizontal-relative:page;mso-position-vertical-relative:page;z-index:-126174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于为公司全资子公司、</w:t>
                  </w:r>
                </w:p>
              </w:txbxContent>
            </v:textbox>
            <w10:wrap type="none"/>
          </v:shape>
        </w:pict>
      </w:r>
      <w:r>
        <w:rPr/>
        <w:pict>
          <v:group style="position:absolute;margin-left:368.829987pt;margin-top:635.375977pt;width:49.2pt;height:132.6pt;mso-position-horizontal-relative:page;mso-position-vertical-relative:page;z-index:-1261720" coordorigin="7377,12708" coordsize="984,2652">
            <v:shape style="position:absolute;left:7377;top:12708;width:984;height:2652" coordorigin="7377,12708" coordsize="984,2652" path="m7377,15360l8361,15360,8361,12708,7377,12708,7377,15360xe" filled="true" fillcolor="#ffffff" stroked="false">
              <v:path arrowok="t"/>
              <v:fill type="solid"/>
            </v:shape>
            <w10:wrap type="none"/>
          </v:group>
        </w:pict>
      </w:r>
      <w:r>
        <w:rPr/>
        <w:pict>
          <v:group style="position:absolute;margin-left:460.320007pt;margin-top:764.919983pt;width:135pt;height:77pt;mso-position-horizontal-relative:page;mso-position-vertical-relative:page;z-index:-1261672" coordorigin="9206,15298" coordsize="2700,1540">
            <v:shape style="position:absolute;left:9206;top:15298;width:2700;height:1540" type="#_x0000_t75" stroked="false">
              <v:imagedata r:id="rId18"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64</w:t>
                    </w:r>
                  </w:p>
                </w:txbxContent>
              </v:textbox>
              <w10:wrap type="none"/>
            </v:shape>
            <w10:wrap type="none"/>
          </v:group>
        </w:pict>
      </w:r>
    </w:p>
    <w:p>
      <w:pPr>
        <w:pStyle w:val="BodyText"/>
        <w:spacing w:line="357" w:lineRule="auto" w:before="26"/>
        <w:ind w:right="1013" w:firstLine="420"/>
        <w:jc w:val="both"/>
      </w:pPr>
      <w:r>
        <w:rPr>
          <w:spacing w:val="2"/>
        </w:rPr>
        <w:t>报告期内，公司为完善治理结构，制订了《在大唐电信集团财务有限公司存、贷款应急 </w:t>
      </w:r>
      <w:r>
        <w:rPr/>
        <w:t>风险处置预案》、《在大唐电信集团财务有限公司存款资金风险控制制度》、《与关联方资</w:t>
      </w:r>
      <w:r>
        <w:rPr>
          <w:spacing w:val="-91"/>
        </w:rPr>
        <w:t> </w:t>
      </w:r>
      <w:r>
        <w:rPr>
          <w:spacing w:val="-91"/>
        </w:rPr>
      </w:r>
      <w:r>
        <w:rPr/>
        <w:t>金往来管理办法》、《重大信息内部保密制度》、《内幕交易防控考核制度》、《内部控制</w:t>
      </w:r>
      <w:r>
        <w:rPr>
          <w:spacing w:val="-91"/>
        </w:rPr>
        <w:t> </w:t>
      </w:r>
      <w:r>
        <w:rPr>
          <w:spacing w:val="-91"/>
        </w:rPr>
      </w:r>
      <w:r>
        <w:rPr>
          <w:spacing w:val="-3"/>
        </w:rPr>
        <w:t>管理制度》、《内部审计工作规定》、《重大信息内部报告制度》、《对外投资管理办法》、</w:t>
      </w:r>
    </w:p>
    <w:p>
      <w:pPr>
        <w:pStyle w:val="BodyText"/>
        <w:spacing w:line="240" w:lineRule="auto" w:before="36"/>
        <w:ind w:right="0"/>
        <w:jc w:val="both"/>
      </w:pPr>
      <w:r>
        <w:rPr/>
        <w:t>《投资者关系管理工作制度》，修订了《内幕信息知情人登记管理制度》。</w:t>
      </w:r>
    </w:p>
    <w:p>
      <w:pPr>
        <w:spacing w:before="164"/>
        <w:ind w:left="152" w:right="0" w:firstLine="0"/>
        <w:jc w:val="both"/>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line="340" w:lineRule="auto" w:before="115"/>
        <w:ind w:left="152" w:right="55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公司治理与《公司法》和中国证监会相关规定的要求不存在差异。</w:t>
      </w:r>
    </w:p>
    <w:p>
      <w:pPr>
        <w:pStyle w:val="BodyText"/>
        <w:spacing w:line="386" w:lineRule="auto" w:before="72"/>
        <w:ind w:left="873" w:right="1125" w:hanging="721"/>
        <w:jc w:val="left"/>
      </w:pPr>
      <w:r>
        <w:rPr/>
        <w:t>公司治理专项活动开展情况以及内幕信息知情人登记管理制度的制定、实施情况 报告期内，公司持续开展公司治理专项活动，根据公司实际情况对公司基本管理制度</w:t>
      </w:r>
    </w:p>
    <w:p>
      <w:pPr>
        <w:pStyle w:val="BodyText"/>
        <w:spacing w:line="357" w:lineRule="auto" w:before="7"/>
        <w:ind w:right="1131"/>
        <w:jc w:val="both"/>
      </w:pPr>
      <w:r>
        <w:rPr>
          <w:spacing w:val="-5"/>
        </w:rPr>
        <w:t>体系进一步进行了完善。公司已经建立《内幕信息知情人登记管理制度》，本报告期内，公司</w:t>
      </w:r>
      <w:r>
        <w:rPr/>
        <w:t> 对《内幕信息知情人登记管理制度》进行了修订，公司严格执行《内幕信息知情人登记管理</w:t>
      </w:r>
      <w:r>
        <w:rPr>
          <w:spacing w:val="-91"/>
        </w:rPr>
        <w:t> </w:t>
      </w:r>
      <w:r>
        <w:rPr>
          <w:spacing w:val="-91"/>
        </w:rPr>
      </w:r>
      <w:r>
        <w:rPr>
          <w:spacing w:val="-5"/>
        </w:rPr>
        <w:t>制度》，经公司自查，公司没有内幕信息知情人在影响公司股价的重大敏感信息披露前利用内</w:t>
      </w:r>
      <w:r>
        <w:rPr>
          <w:spacing w:val="-115"/>
        </w:rPr>
        <w:t> </w:t>
      </w:r>
      <w:r>
        <w:rPr>
          <w:spacing w:val="-115"/>
        </w:rPr>
      </w:r>
      <w:r>
        <w:rPr/>
        <w:t>幕信息买卖公司股份，也没有监管部门对公司进行查处和整改的情形。</w:t>
      </w:r>
    </w:p>
    <w:p>
      <w:pPr>
        <w:spacing w:line="240" w:lineRule="auto" w:before="11"/>
        <w:rPr>
          <w:rFonts w:ascii="宋体" w:hAnsi="宋体" w:cs="宋体" w:eastAsia="宋体" w:hint="default"/>
          <w:sz w:val="19"/>
          <w:szCs w:val="19"/>
        </w:rPr>
      </w:pPr>
    </w:p>
    <w:p>
      <w:pPr>
        <w:pStyle w:val="Heading2"/>
        <w:spacing w:line="240" w:lineRule="auto" w:before="0"/>
        <w:ind w:right="0"/>
        <w:jc w:val="both"/>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pict>
          <v:shape style="position:absolute;margin-left:281.692993pt;margin-top:51.883678pt;width:136.35pt;height:132.6pt;mso-position-horizontal-relative:page;mso-position-vertical-relative:paragraph;z-index:-126176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before="119"/>
                    <w:ind w:left="0" w:right="0" w:firstLine="0"/>
                    <w:jc w:val="left"/>
                    <w:rPr>
                      <w:rFonts w:ascii="宋体" w:hAnsi="宋体" w:cs="宋体" w:eastAsia="宋体" w:hint="default"/>
                      <w:sz w:val="18"/>
                      <w:szCs w:val="18"/>
                    </w:rPr>
                  </w:pPr>
                  <w:r>
                    <w:rPr>
                      <w:rFonts w:ascii="宋体" w:hAnsi="宋体" w:cs="宋体" w:eastAsia="宋体" w:hint="default"/>
                      <w:sz w:val="18"/>
                      <w:szCs w:val="18"/>
                    </w:rPr>
                    <w:t>财务审计机构的议案》</w:t>
                  </w:r>
                </w:p>
              </w:txbxContent>
            </v:textbox>
            <w10:wrap type="none"/>
          </v:shape>
        </w:pic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、本报告期年度股东大会情况</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52"/>
        <w:gridCol w:w="1274"/>
        <w:gridCol w:w="4112"/>
        <w:gridCol w:w="994"/>
        <w:gridCol w:w="1275"/>
        <w:gridCol w:w="1162"/>
      </w:tblGrid>
      <w:tr>
        <w:trPr>
          <w:trHeight w:val="402"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708"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300" w:lineRule="auto"/>
              <w:ind w:left="24"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 股东大会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年度报告及摘要》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年度董事会报 告》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年度监事会报告》</w:t>
            </w:r>
            <w:r>
              <w:rPr>
                <w:rFonts w:ascii="Times New Roman" w:hAnsi="Times New Roman" w:cs="Times New Roman" w:eastAsia="Times New Roman" w:hint="default"/>
                <w:sz w:val="18"/>
                <w:szCs w:val="18"/>
              </w:rPr>
              <w:t>4.</w:t>
            </w:r>
            <w:r>
              <w:rPr>
                <w:rFonts w:ascii="宋体" w:hAnsi="宋体" w:cs="宋体" w:eastAsia="宋体" w:hint="default"/>
                <w:sz w:val="18"/>
                <w:szCs w:val="18"/>
              </w:rPr>
              <w:t>《关于公司</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年度财务决算的报告》</w:t>
            </w:r>
            <w:r>
              <w:rPr>
                <w:rFonts w:ascii="宋体" w:hAnsi="宋体" w:cs="宋体" w:eastAsia="宋体" w:hint="default"/>
                <w:spacing w:val="-1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《关于公司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年度利润 分配方案》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《关于聘中瑞岳华会计师事务所（特 </w:t>
            </w:r>
            <w:r>
              <w:rPr>
                <w:rFonts w:ascii="宋体" w:hAnsi="宋体" w:cs="宋体" w:eastAsia="宋体" w:hint="default"/>
                <w:spacing w:val="-10"/>
                <w:sz w:val="18"/>
                <w:szCs w:val="18"/>
              </w:rPr>
              <w:t>殊普通合伙）为公司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0" w:lineRule="auto" w:before="1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《关于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年度日常经营关联交易的议案》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p>
          <w:p>
            <w:pPr>
              <w:pStyle w:val="TableParagraph"/>
              <w:spacing w:line="309" w:lineRule="auto" w:before="63"/>
              <w:ind w:left="23" w:right="-29"/>
              <w:jc w:val="left"/>
              <w:rPr>
                <w:rFonts w:ascii="宋体" w:hAnsi="宋体" w:cs="宋体" w:eastAsia="宋体" w:hint="default"/>
                <w:sz w:val="18"/>
                <w:szCs w:val="18"/>
              </w:rPr>
            </w:pPr>
            <w:r>
              <w:rPr>
                <w:rFonts w:ascii="宋体" w:hAnsi="宋体" w:cs="宋体" w:eastAsia="宋体" w:hint="default"/>
                <w:spacing w:val="-3"/>
                <w:sz w:val="18"/>
                <w:szCs w:val="18"/>
              </w:rPr>
              <w:t>《关于修订</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公司章程</w:t>
            </w:r>
            <w:r>
              <w:rPr>
                <w:rFonts w:ascii="Times New Roman" w:hAnsi="Times New Roman" w:cs="Times New Roman" w:eastAsia="Times New Roman" w:hint="default"/>
                <w:spacing w:val="-3"/>
                <w:sz w:val="18"/>
                <w:szCs w:val="18"/>
              </w:rPr>
              <w:t>&gt;</w:t>
            </w:r>
            <w:r>
              <w:rPr>
                <w:rFonts w:ascii="宋体" w:hAnsi="宋体" w:cs="宋体" w:eastAsia="宋体" w:hint="default"/>
                <w:spacing w:val="-3"/>
                <w:sz w:val="18"/>
                <w:szCs w:val="18"/>
              </w:rPr>
              <w:t>的议案》</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《关于公司向大唐</w:t>
            </w:r>
            <w:r>
              <w:rPr>
                <w:rFonts w:ascii="宋体" w:hAnsi="宋体" w:cs="宋体" w:eastAsia="宋体" w:hint="default"/>
                <w:spacing w:val="-76"/>
                <w:sz w:val="18"/>
                <w:szCs w:val="18"/>
              </w:rPr>
              <w:t> </w:t>
            </w:r>
            <w:r>
              <w:rPr>
                <w:rFonts w:ascii="宋体" w:hAnsi="宋体" w:cs="宋体" w:eastAsia="宋体" w:hint="default"/>
                <w:sz w:val="18"/>
                <w:szCs w:val="18"/>
              </w:rPr>
              <w:t>电信科技产业控股有限公司申请贰亿陆仟万元委托 借款的议案》</w:t>
            </w:r>
            <w:r>
              <w:rPr>
                <w:rFonts w:ascii="Times New Roman" w:hAnsi="Times New Roman" w:cs="Times New Roman" w:eastAsia="Times New Roman" w:hint="default"/>
                <w:sz w:val="18"/>
                <w:szCs w:val="18"/>
              </w:rPr>
              <w:t>10.</w:t>
            </w:r>
            <w:r>
              <w:rPr>
                <w:rFonts w:ascii="宋体" w:hAnsi="宋体" w:cs="宋体" w:eastAsia="宋体" w:hint="default"/>
                <w:sz w:val="18"/>
                <w:szCs w:val="18"/>
              </w:rPr>
              <w:t>《关于控股子公司北京大唐高鸿数 据网络技术有限公司向控股股东电信科学技术研究 </w:t>
            </w:r>
            <w:r>
              <w:rPr>
                <w:rFonts w:ascii="宋体" w:hAnsi="宋体" w:cs="宋体" w:eastAsia="宋体" w:hint="default"/>
                <w:spacing w:val="-15"/>
                <w:sz w:val="18"/>
                <w:szCs w:val="18"/>
              </w:rPr>
              <w:t>院申请肆仟万元委托借款的议案》</w:t>
            </w:r>
            <w:r>
              <w:rPr>
                <w:rFonts w:ascii="Times New Roman" w:hAnsi="Times New Roman" w:cs="Times New Roman" w:eastAsia="Times New Roman" w:hint="default"/>
                <w:spacing w:val="-15"/>
                <w:sz w:val="18"/>
                <w:szCs w:val="18"/>
              </w:rPr>
              <w:t>11</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关于预计</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2012</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年度与大唐电信集团财务有限公司发生存款交易的 </w:t>
            </w:r>
            <w:r>
              <w:rPr>
                <w:rFonts w:ascii="宋体" w:hAnsi="宋体" w:cs="宋体" w:eastAsia="宋体" w:hint="default"/>
                <w:spacing w:val="-3"/>
                <w:sz w:val="18"/>
                <w:szCs w:val="18"/>
              </w:rPr>
              <w:t>议案》</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《关于与大唐电信集团财务有限公司签订</w:t>
            </w:r>
            <w:r>
              <w:rPr>
                <w:rFonts w:ascii="Times New Roman" w:hAnsi="Times New Roman" w:cs="Times New Roman" w:eastAsia="Times New Roman" w:hint="default"/>
                <w:spacing w:val="-3"/>
                <w:sz w:val="18"/>
                <w:szCs w:val="18"/>
              </w:rPr>
              <w:t>&lt;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金融服务协议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Times New Roman" w:hAnsi="Times New Roman" w:cs="Times New Roman" w:eastAsia="Times New Roman" w:hint="default"/>
                <w:sz w:val="18"/>
                <w:szCs w:val="18"/>
              </w:rPr>
              <w:t>13.</w:t>
            </w:r>
            <w:r>
              <w:rPr>
                <w:rFonts w:ascii="宋体" w:hAnsi="宋体" w:cs="宋体" w:eastAsia="宋体" w:hint="default"/>
                <w:sz w:val="18"/>
                <w:szCs w:val="18"/>
              </w:rPr>
              <w:t>《关于公司全资子公司、 控股子公司及控股子公司的全资子公司在商业银行 申请综合授信的议案》</w:t>
            </w:r>
            <w:r>
              <w:rPr>
                <w:rFonts w:ascii="宋体" w:hAnsi="宋体" w:cs="宋体" w:eastAsia="宋体" w:hint="default"/>
                <w:spacing w:val="-63"/>
                <w:sz w:val="18"/>
                <w:szCs w:val="18"/>
              </w:rPr>
              <w:t> </w:t>
            </w:r>
            <w:r>
              <w:rPr>
                <w:rFonts w:ascii="Times New Roman" w:hAnsi="Times New Roman" w:cs="Times New Roman" w:eastAsia="Times New Roman" w:hint="default"/>
                <w:spacing w:val="-46"/>
                <w:sz w:val="18"/>
                <w:szCs w:val="18"/>
              </w:rPr>
              <w:t>14</w:t>
            </w:r>
            <w:r>
              <w:rPr>
                <w:rFonts w:ascii="宋体" w:hAnsi="宋体" w:cs="宋体" w:eastAsia="宋体" w:hint="default"/>
                <w:spacing w:val="-46"/>
                <w:sz w:val="18"/>
                <w:szCs w:val="18"/>
              </w:rPr>
              <w:t>《</w:t>
            </w:r>
            <w:r>
              <w:rPr>
                <w:rFonts w:ascii="Times New Roman" w:hAnsi="Times New Roman" w:cs="Times New Roman" w:eastAsia="Times New Roman" w:hint="default"/>
                <w:spacing w:val="-46"/>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关</w:t>
            </w:r>
            <w:r>
              <w:rPr>
                <w:rFonts w:ascii="宋体" w:hAnsi="宋体" w:cs="宋体" w:eastAsia="宋体" w:hint="default"/>
                <w:spacing w:val="-88"/>
                <w:sz w:val="18"/>
                <w:szCs w:val="18"/>
              </w:rPr>
              <w:t> </w:t>
            </w:r>
            <w:r>
              <w:rPr>
                <w:rFonts w:ascii="宋体" w:hAnsi="宋体" w:cs="宋体" w:eastAsia="宋体" w:hint="default"/>
                <w:sz w:val="18"/>
                <w:szCs w:val="18"/>
              </w:rPr>
              <w:t>控股子公司及控股子公司的全资子公司在商业银行 申请综合授信提供担保的议案》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52" w:lineRule="exact"/>
              <w:ind w:right="-50"/>
              <w:jc w:val="left"/>
              <w:rPr>
                <w:rFonts w:ascii="宋体" w:hAnsi="宋体" w:cs="宋体" w:eastAsia="宋体" w:hint="default"/>
                <w:sz w:val="20"/>
                <w:szCs w:val="20"/>
              </w:rPr>
            </w:pPr>
            <w:r>
              <w:rPr>
                <w:rFonts w:ascii="宋体" w:hAnsi="宋体" w:cs="宋体" w:eastAsia="宋体" w:hint="default"/>
                <w:position w:val="-52"/>
                <w:sz w:val="20"/>
                <w:szCs w:val="20"/>
              </w:rPr>
              <w:pict>
                <v:group style="width:49.2pt;height:132.6pt;mso-position-horizontal-relative:char;mso-position-vertical-relative:line" coordorigin="0,0" coordsize="984,2652">
                  <v:group style="position:absolute;left:0;top:0;width:984;height:2652" coordorigin="0,0" coordsize="984,2652">
                    <v:shape style="position:absolute;left:0;top:0;width:984;height:2652" coordorigin="0,0" coordsize="984,2652" path="m0,2652l984,2652,984,0,0,0,0,2652xe" filled="true" fillcolor="#ffffff" stroked="false">
                      <v:path arrowok="t"/>
                      <v:fill type="solid"/>
                    </v:shape>
                  </v:group>
                </v:group>
              </w:pict>
            </w:r>
            <w:r>
              <w:rPr>
                <w:rFonts w:ascii="宋体" w:hAnsi="宋体" w:cs="宋体" w:eastAsia="宋体" w:hint="default"/>
                <w:position w:val="-52"/>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全部通过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3" w:right="0"/>
              <w:jc w:val="both"/>
              <w:rPr>
                <w:rFonts w:ascii="宋体" w:hAnsi="宋体" w:cs="宋体" w:eastAsia="宋体" w:hint="default"/>
                <w:sz w:val="18"/>
                <w:szCs w:val="18"/>
              </w:rPr>
            </w:pPr>
            <w:r>
              <w:rPr>
                <w:rFonts w:ascii="宋体" w:hAnsi="宋体" w:cs="宋体" w:eastAsia="宋体" w:hint="default"/>
                <w:sz w:val="18"/>
                <w:szCs w:val="18"/>
              </w:rPr>
              <w:t>详见公司于</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p>
          <w:p>
            <w:pPr>
              <w:pStyle w:val="TableParagraph"/>
              <w:spacing w:line="312" w:lineRule="auto" w:before="63"/>
              <w:ind w:left="23" w:right="1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日在《证券</w:t>
            </w:r>
            <w:r>
              <w:rPr>
                <w:rFonts w:ascii="宋体" w:hAnsi="宋体" w:cs="宋体" w:eastAsia="宋体" w:hint="default"/>
                <w:sz w:val="18"/>
                <w:szCs w:val="18"/>
              </w:rPr>
              <w:t> </w:t>
            </w:r>
            <w:r>
              <w:rPr>
                <w:rFonts w:ascii="宋体" w:hAnsi="宋体" w:cs="宋体" w:eastAsia="宋体" w:hint="default"/>
                <w:spacing w:val="-23"/>
                <w:sz w:val="18"/>
                <w:szCs w:val="18"/>
              </w:rPr>
              <w:t>时报》、和巨潮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资讯网上披露 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2012-027</w:t>
            </w:r>
          </w:p>
          <w:p>
            <w:pPr>
              <w:pStyle w:val="TableParagraph"/>
              <w:spacing w:line="240" w:lineRule="auto" w:before="3"/>
              <w:ind w:left="23" w:right="0"/>
              <w:jc w:val="both"/>
              <w:rPr>
                <w:rFonts w:ascii="宋体" w:hAnsi="宋体" w:cs="宋体" w:eastAsia="宋体" w:hint="default"/>
                <w:sz w:val="18"/>
                <w:szCs w:val="18"/>
              </w:rPr>
            </w:pPr>
            <w:r>
              <w:rPr>
                <w:rFonts w:ascii="宋体" w:hAnsi="宋体" w:cs="宋体" w:eastAsia="宋体" w:hint="default"/>
                <w:sz w:val="18"/>
                <w:szCs w:val="18"/>
              </w:rPr>
              <w:t>号公告</w:t>
            </w:r>
          </w:p>
        </w:tc>
      </w:tr>
    </w:tbl>
    <w:p>
      <w:pPr>
        <w:spacing w:after="0" w:line="240" w:lineRule="auto"/>
        <w:jc w:val="both"/>
        <w:rPr>
          <w:rFonts w:ascii="宋体" w:hAnsi="宋体" w:cs="宋体" w:eastAsia="宋体" w:hint="default"/>
          <w:sz w:val="18"/>
          <w:szCs w:val="18"/>
        </w:rPr>
        <w:sectPr>
          <w:headerReference w:type="default" r:id="rId39"/>
          <w:footerReference w:type="default" r:id="rId40"/>
          <w:pgSz w:w="11910" w:h="16840"/>
          <w:pgMar w:header="877" w:footer="0" w:top="1060" w:bottom="0" w:left="980" w:right="0"/>
        </w:sectPr>
      </w:pPr>
    </w:p>
    <w:p>
      <w:pPr>
        <w:spacing w:line="240" w:lineRule="auto" w:before="10"/>
        <w:rPr>
          <w:rFonts w:ascii="宋体" w:hAnsi="宋体" w:cs="宋体" w:eastAsia="宋体" w:hint="default"/>
          <w:b/>
          <w:bCs/>
          <w:sz w:val="24"/>
          <w:szCs w:val="24"/>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136"/>
        <w:gridCol w:w="850"/>
        <w:gridCol w:w="4254"/>
        <w:gridCol w:w="1133"/>
        <w:gridCol w:w="853"/>
        <w:gridCol w:w="1344"/>
      </w:tblGrid>
      <w:tr>
        <w:trPr>
          <w:trHeight w:val="40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9" w:lineRule="auto"/>
              <w:ind w:left="24" w:right="151"/>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 次临时股东 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《关于修订</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公司章程</w:t>
            </w:r>
            <w:r>
              <w:rPr>
                <w:rFonts w:ascii="Times New Roman" w:hAnsi="Times New Roman" w:cs="Times New Roman" w:eastAsia="Times New Roman" w:hint="default"/>
                <w:spacing w:val="-3"/>
                <w:sz w:val="18"/>
                <w:szCs w:val="18"/>
              </w:rPr>
              <w:t>&gt;</w:t>
            </w:r>
            <w:r>
              <w:rPr>
                <w:rFonts w:ascii="宋体" w:hAnsi="宋体" w:cs="宋体" w:eastAsia="宋体" w:hint="default"/>
                <w:spacing w:val="-3"/>
                <w:sz w:val="18"/>
                <w:szCs w:val="18"/>
              </w:rPr>
              <w:t>的议案》</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《关于公司控股子</w:t>
            </w:r>
            <w:r>
              <w:rPr>
                <w:rFonts w:ascii="宋体" w:hAnsi="宋体" w:cs="宋体" w:eastAsia="宋体" w:hint="default"/>
                <w:spacing w:val="-67"/>
                <w:sz w:val="18"/>
                <w:szCs w:val="18"/>
              </w:rPr>
              <w:t> </w:t>
            </w:r>
            <w:r>
              <w:rPr>
                <w:rFonts w:ascii="宋体" w:hAnsi="宋体" w:cs="宋体" w:eastAsia="宋体" w:hint="default"/>
                <w:sz w:val="18"/>
                <w:szCs w:val="18"/>
              </w:rPr>
              <w:t>公司和控股子公司的全资子公司申请银行综合授信的 </w:t>
            </w:r>
            <w:r>
              <w:rPr>
                <w:rFonts w:ascii="宋体" w:hAnsi="宋体" w:cs="宋体" w:eastAsia="宋体" w:hint="default"/>
                <w:spacing w:val="-4"/>
                <w:sz w:val="18"/>
                <w:szCs w:val="18"/>
              </w:rPr>
              <w:t>议案》</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《关于为公司控股子公司和控股子公司的全资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子公司申请银行综合授信的提供担保的议案》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全部通过</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《证券时报》和 巨潮资讯网上披 露的</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2012-001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公告</w:t>
            </w:r>
          </w:p>
        </w:tc>
      </w:tr>
      <w:tr>
        <w:trPr>
          <w:trHeight w:val="196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7" w:lineRule="auto"/>
              <w:ind w:left="24" w:right="151"/>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 次临时股东 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《关于调整公司</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年度非公开发行股票募集资金 </w:t>
            </w:r>
            <w:r>
              <w:rPr>
                <w:rFonts w:ascii="宋体" w:hAnsi="宋体" w:cs="宋体" w:eastAsia="宋体" w:hint="default"/>
                <w:spacing w:val="-4"/>
                <w:sz w:val="18"/>
                <w:szCs w:val="18"/>
              </w:rPr>
              <w:t>总额、发行数量和发行价格的议案》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《关于公司非公</w:t>
            </w:r>
            <w:r>
              <w:rPr>
                <w:rFonts w:ascii="宋体" w:hAnsi="宋体" w:cs="宋体" w:eastAsia="宋体" w:hint="default"/>
                <w:spacing w:val="-68"/>
                <w:sz w:val="18"/>
                <w:szCs w:val="18"/>
              </w:rPr>
              <w:t> </w:t>
            </w:r>
            <w:r>
              <w:rPr>
                <w:rFonts w:ascii="宋体" w:hAnsi="宋体" w:cs="宋体" w:eastAsia="宋体" w:hint="default"/>
                <w:sz w:val="18"/>
                <w:szCs w:val="18"/>
              </w:rPr>
              <w:t>开发行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股股票预案（修订）的议案》</w:t>
            </w:r>
            <w:r>
              <w:rPr>
                <w:rFonts w:ascii="Times New Roman" w:hAnsi="Times New Roman" w:cs="Times New Roman" w:eastAsia="Times New Roman" w:hint="default"/>
                <w:sz w:val="18"/>
                <w:szCs w:val="18"/>
              </w:rPr>
              <w:t>3.</w:t>
            </w:r>
            <w:r>
              <w:rPr>
                <w:rFonts w:ascii="宋体" w:hAnsi="宋体" w:cs="宋体" w:eastAsia="宋体" w:hint="default"/>
                <w:sz w:val="18"/>
                <w:szCs w:val="18"/>
              </w:rPr>
              <w:t>《关于本次 </w:t>
            </w:r>
            <w:r>
              <w:rPr>
                <w:rFonts w:ascii="宋体" w:hAnsi="宋体" w:cs="宋体" w:eastAsia="宋体" w:hint="default"/>
                <w:spacing w:val="-4"/>
                <w:sz w:val="18"/>
                <w:szCs w:val="18"/>
              </w:rPr>
              <w:t>非公开发行涉及关联交易的议案》</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《关于与控股股东</w:t>
            </w:r>
            <w:r>
              <w:rPr>
                <w:rFonts w:ascii="宋体" w:hAnsi="宋体" w:cs="宋体" w:eastAsia="宋体" w:hint="default"/>
                <w:spacing w:val="-68"/>
                <w:sz w:val="18"/>
                <w:szCs w:val="18"/>
              </w:rPr>
              <w:t> </w:t>
            </w:r>
            <w:r>
              <w:rPr>
                <w:rFonts w:ascii="宋体" w:hAnsi="宋体" w:cs="宋体" w:eastAsia="宋体" w:hint="default"/>
                <w:sz w:val="18"/>
                <w:szCs w:val="18"/>
              </w:rPr>
              <w:t>电信科学技术研究院签署附条件生效的股票认购协议 之补充协议的议案》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全部通过</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17"/>
              <w:jc w:val="both"/>
              <w:rPr>
                <w:rFonts w:ascii="宋体" w:hAnsi="宋体" w:cs="宋体" w:eastAsia="宋体" w:hint="default"/>
                <w:sz w:val="18"/>
                <w:szCs w:val="18"/>
              </w:rPr>
            </w:pPr>
            <w:r>
              <w:rPr>
                <w:rFonts w:ascii="宋体" w:hAnsi="宋体" w:cs="宋体" w:eastAsia="宋体" w:hint="default"/>
                <w:sz w:val="18"/>
                <w:szCs w:val="18"/>
              </w:rPr>
              <w:t>《证券时报》和 巨潮资讯网上披 露的</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2012-010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公告</w:t>
            </w:r>
          </w:p>
        </w:tc>
      </w:tr>
      <w:tr>
        <w:trPr>
          <w:trHeight w:val="133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9" w:lineRule="auto"/>
              <w:ind w:left="24" w:right="151"/>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 次临时股东 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4"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《关于董事会成员换届选举的议案》</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《关于监事会</w:t>
            </w:r>
            <w:r>
              <w:rPr>
                <w:rFonts w:ascii="宋体" w:hAnsi="宋体" w:cs="宋体" w:eastAsia="宋体" w:hint="default"/>
                <w:spacing w:val="-72"/>
                <w:sz w:val="18"/>
                <w:szCs w:val="18"/>
              </w:rPr>
              <w:t> </w:t>
            </w:r>
            <w:r>
              <w:rPr>
                <w:rFonts w:ascii="宋体" w:hAnsi="宋体" w:cs="宋体" w:eastAsia="宋体" w:hint="default"/>
                <w:sz w:val="18"/>
                <w:szCs w:val="18"/>
              </w:rPr>
              <w:t>成员换届选举的议案》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全部通过</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8"/>
              <w:jc w:val="both"/>
              <w:rPr>
                <w:rFonts w:ascii="Times New Roman" w:hAnsi="Times New Roman" w:cs="Times New Roman" w:eastAsia="Times New Roman" w:hint="default"/>
                <w:sz w:val="18"/>
                <w:szCs w:val="18"/>
              </w:rPr>
            </w:pPr>
            <w:r>
              <w:rPr>
                <w:rFonts w:ascii="宋体" w:hAnsi="宋体" w:cs="宋体" w:eastAsia="宋体" w:hint="default"/>
                <w:sz w:val="18"/>
                <w:szCs w:val="18"/>
              </w:rPr>
              <w:t>《证券时报》和 巨潮资讯网上披 露的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2012-033</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号公告</w:t>
            </w:r>
          </w:p>
        </w:tc>
      </w:tr>
      <w:tr>
        <w:trPr>
          <w:trHeight w:val="164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7" w:lineRule="auto" w:before="125"/>
              <w:ind w:left="24" w:right="151"/>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 次临时股东 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both"/>
              <w:rPr>
                <w:rFonts w:ascii="宋体" w:hAnsi="宋体" w:cs="宋体" w:eastAsia="宋体" w:hint="default"/>
                <w:sz w:val="18"/>
                <w:szCs w:val="18"/>
              </w:rPr>
            </w:pPr>
            <w:r>
              <w:rPr>
                <w:rFonts w:ascii="Times New Roman" w:hAnsi="Times New Roman" w:cs="Times New Roman" w:eastAsia="Times New Roman" w:hint="default"/>
                <w:spacing w:val="-60"/>
                <w:sz w:val="18"/>
                <w:szCs w:val="18"/>
              </w:rPr>
              <w:t>1</w:t>
            </w:r>
            <w:r>
              <w:rPr>
                <w:rFonts w:ascii="宋体" w:hAnsi="宋体" w:cs="宋体" w:eastAsia="宋体" w:hint="default"/>
                <w:spacing w:val="-60"/>
                <w:sz w:val="18"/>
                <w:szCs w:val="18"/>
              </w:rPr>
              <w:t>《</w:t>
            </w:r>
            <w:r>
              <w:rPr>
                <w:rFonts w:ascii="Times New Roman" w:hAnsi="Times New Roman" w:cs="Times New Roman" w:eastAsia="Times New Roman" w:hint="default"/>
                <w:spacing w:val="-60"/>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pacing w:val="-1"/>
                <w:sz w:val="18"/>
                <w:szCs w:val="18"/>
              </w:rPr>
              <w:t>关于公司控股子公司调整在银行申请综合授信额度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的议案》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《关于为控股子公司在银行申请综合授信提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供担保的议案》</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《关于公司为控股子公司向大唐电信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集团财务有限公司申请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亿元综合授信提供担保的议 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全部通过</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8"/>
              <w:jc w:val="both"/>
              <w:rPr>
                <w:rFonts w:ascii="Times New Roman" w:hAnsi="Times New Roman" w:cs="Times New Roman" w:eastAsia="Times New Roman" w:hint="default"/>
                <w:sz w:val="18"/>
                <w:szCs w:val="18"/>
              </w:rPr>
            </w:pPr>
            <w:r>
              <w:rPr>
                <w:rFonts w:ascii="宋体" w:hAnsi="宋体" w:cs="宋体" w:eastAsia="宋体" w:hint="default"/>
                <w:sz w:val="18"/>
                <w:szCs w:val="18"/>
              </w:rPr>
              <w:t>《证券时报》和 巨潮资讯网上披 露的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2012-041.</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号公告</w:t>
            </w:r>
          </w:p>
        </w:tc>
      </w:tr>
      <w:tr>
        <w:trPr>
          <w:trHeight w:val="165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9" w:lineRule="auto" w:before="126"/>
              <w:ind w:left="24" w:right="151"/>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 次临时股东 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Times New Roman" w:hAnsi="Times New Roman" w:cs="Times New Roman" w:eastAsia="Times New Roman" w:hint="default"/>
                <w:sz w:val="18"/>
                <w:szCs w:val="18"/>
              </w:rPr>
              <w:t>2.</w:t>
            </w:r>
            <w:r>
              <w:rPr>
                <w:rFonts w:ascii="宋体" w:hAnsi="宋体" w:cs="宋体" w:eastAsia="宋体" w:hint="default"/>
                <w:sz w:val="18"/>
                <w:szCs w:val="18"/>
              </w:rPr>
              <w:t>《关于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公司未来 三年股东回报规划</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Times New Roman" w:hAnsi="Times New Roman" w:cs="Times New Roman" w:eastAsia="Times New Roman" w:hint="default"/>
                <w:sz w:val="18"/>
                <w:szCs w:val="18"/>
              </w:rPr>
              <w:t>3.</w:t>
            </w:r>
            <w:r>
              <w:rPr>
                <w:rFonts w:ascii="宋体" w:hAnsi="宋体" w:cs="宋体" w:eastAsia="宋体" w:hint="default"/>
                <w:sz w:val="18"/>
                <w:szCs w:val="18"/>
              </w:rPr>
              <w:t>《关于公司控股子公司 </w:t>
            </w:r>
            <w:r>
              <w:rPr>
                <w:rFonts w:ascii="宋体" w:hAnsi="宋体" w:cs="宋体" w:eastAsia="宋体" w:hint="default"/>
                <w:spacing w:val="-4"/>
                <w:sz w:val="18"/>
                <w:szCs w:val="18"/>
              </w:rPr>
              <w:t>在商业银行申请综合授信额度的议案》</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《关于为公司</w:t>
            </w:r>
            <w:r>
              <w:rPr>
                <w:rFonts w:ascii="宋体" w:hAnsi="宋体" w:cs="宋体" w:eastAsia="宋体" w:hint="default"/>
                <w:spacing w:val="-68"/>
                <w:sz w:val="18"/>
                <w:szCs w:val="18"/>
              </w:rPr>
              <w:t> </w:t>
            </w:r>
            <w:r>
              <w:rPr>
                <w:rFonts w:ascii="宋体" w:hAnsi="宋体" w:cs="宋体" w:eastAsia="宋体" w:hint="default"/>
                <w:sz w:val="18"/>
                <w:szCs w:val="18"/>
              </w:rPr>
              <w:t>控股子公司在商业银行申请综合授信额度提供担保的 议案》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全部通过</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7"/>
              <w:jc w:val="both"/>
              <w:rPr>
                <w:rFonts w:ascii="宋体" w:hAnsi="宋体" w:cs="宋体" w:eastAsia="宋体" w:hint="default"/>
                <w:sz w:val="18"/>
                <w:szCs w:val="18"/>
              </w:rPr>
            </w:pPr>
            <w:r>
              <w:rPr>
                <w:rFonts w:ascii="宋体" w:hAnsi="宋体" w:cs="宋体" w:eastAsia="宋体" w:hint="default"/>
                <w:sz w:val="18"/>
                <w:szCs w:val="18"/>
              </w:rPr>
              <w:t>《证券时报》和 巨潮资讯网上披 露的</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2012-048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公告</w:t>
            </w:r>
          </w:p>
        </w:tc>
      </w:tr>
      <w:tr>
        <w:trPr>
          <w:trHeight w:val="196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7" w:lineRule="auto"/>
              <w:ind w:left="24" w:right="151"/>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年第六 次临时股东 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年下半年度新增日常关联交易的议案》</w:t>
            </w:r>
          </w:p>
          <w:p>
            <w:pPr>
              <w:pStyle w:val="TableParagraph"/>
              <w:spacing w:line="309" w:lineRule="auto" w:before="60"/>
              <w:ind w:left="24" w:right="22"/>
              <w:jc w:val="both"/>
              <w:rPr>
                <w:rFonts w:ascii="宋体" w:hAnsi="宋体" w:cs="宋体" w:eastAsia="宋体" w:hint="default"/>
                <w:sz w:val="18"/>
                <w:szCs w:val="18"/>
              </w:rPr>
            </w:pPr>
            <w:r>
              <w:rPr>
                <w:rFonts w:ascii="Times New Roman" w:hAnsi="Times New Roman" w:cs="Times New Roman" w:eastAsia="Times New Roman" w:hint="default"/>
                <w:spacing w:val="-60"/>
                <w:sz w:val="18"/>
                <w:szCs w:val="18"/>
              </w:rPr>
              <w:t>2</w:t>
            </w:r>
            <w:r>
              <w:rPr>
                <w:rFonts w:ascii="宋体" w:hAnsi="宋体" w:cs="宋体" w:eastAsia="宋体" w:hint="default"/>
                <w:spacing w:val="-60"/>
                <w:sz w:val="18"/>
                <w:szCs w:val="18"/>
              </w:rPr>
              <w:t>《</w:t>
            </w:r>
            <w:r>
              <w:rPr>
                <w:rFonts w:ascii="Times New Roman" w:hAnsi="Times New Roman" w:cs="Times New Roman" w:eastAsia="Times New Roman" w:hint="default"/>
                <w:spacing w:val="-60"/>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pacing w:val="-1"/>
                <w:sz w:val="18"/>
                <w:szCs w:val="18"/>
              </w:rPr>
              <w:t>关于公司控股子公司北京大唐高鸿数据网络技术有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限公司向电信科学技术研究院申请不超过叁亿元委托 </w:t>
            </w:r>
            <w:r>
              <w:rPr>
                <w:rFonts w:ascii="宋体" w:hAnsi="宋体" w:cs="宋体" w:eastAsia="宋体" w:hint="default"/>
                <w:spacing w:val="-4"/>
                <w:sz w:val="18"/>
                <w:szCs w:val="18"/>
              </w:rPr>
              <w:t>贷款的议案》</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《关于公司控股子公司大唐高鸿信息技</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术有限公司向电信科学技术研究院申请不超过贰亿元 委托贷款的议案》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全部通过</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48"/>
              <w:jc w:val="both"/>
              <w:rPr>
                <w:rFonts w:ascii="Times New Roman" w:hAnsi="Times New Roman" w:cs="Times New Roman" w:eastAsia="Times New Roman" w:hint="default"/>
                <w:sz w:val="18"/>
                <w:szCs w:val="18"/>
              </w:rPr>
            </w:pPr>
            <w:r>
              <w:rPr>
                <w:rFonts w:ascii="宋体" w:hAnsi="宋体" w:cs="宋体" w:eastAsia="宋体" w:hint="default"/>
                <w:sz w:val="18"/>
                <w:szCs w:val="18"/>
              </w:rPr>
              <w:t>《证券时报》和 巨潮资讯网上披 露的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2012-060</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号公告</w:t>
            </w:r>
          </w:p>
        </w:tc>
      </w:tr>
      <w:tr>
        <w:trPr>
          <w:trHeight w:val="133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9" w:lineRule="auto"/>
              <w:ind w:left="24" w:right="151"/>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年第七 次临时股东 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6"/>
              <w:ind w:left="24" w:right="22"/>
              <w:jc w:val="left"/>
              <w:rPr>
                <w:rFonts w:ascii="宋体" w:hAnsi="宋体" w:cs="宋体" w:eastAsia="宋体" w:hint="default"/>
                <w:sz w:val="18"/>
                <w:szCs w:val="18"/>
              </w:rPr>
            </w:pPr>
            <w:r>
              <w:rPr>
                <w:rFonts w:ascii="Times New Roman" w:hAnsi="Times New Roman" w:cs="Times New Roman" w:eastAsia="Times New Roman" w:hint="default"/>
                <w:spacing w:val="-60"/>
                <w:sz w:val="18"/>
                <w:szCs w:val="18"/>
              </w:rPr>
              <w:t>1</w:t>
            </w:r>
            <w:r>
              <w:rPr>
                <w:rFonts w:ascii="宋体" w:hAnsi="宋体" w:cs="宋体" w:eastAsia="宋体" w:hint="default"/>
                <w:spacing w:val="-60"/>
                <w:sz w:val="18"/>
                <w:szCs w:val="18"/>
              </w:rPr>
              <w:t>《</w:t>
            </w:r>
            <w:r>
              <w:rPr>
                <w:rFonts w:ascii="Times New Roman" w:hAnsi="Times New Roman" w:cs="Times New Roman" w:eastAsia="Times New Roman" w:hint="default"/>
                <w:spacing w:val="-60"/>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pacing w:val="-1"/>
                <w:sz w:val="18"/>
                <w:szCs w:val="18"/>
              </w:rPr>
              <w:t>关于收购北京大唐高鸿数据网络技术有限公司少数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股东股权的议案》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全部通过</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《证券时报》和 巨潮资讯网上披 露的</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2012-064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公告</w:t>
            </w:r>
          </w:p>
        </w:tc>
      </w:tr>
      <w:tr>
        <w:trPr>
          <w:trHeight w:val="133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7" w:lineRule="auto"/>
              <w:ind w:left="24" w:right="151"/>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年第八 次临时股东 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8"/>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《关于公司全资子公司、控股子公司在宁波银行北京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分行申请综合授信额度的议案》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全部通过</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《证券时报》和 巨潮资讯网上披 露的</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2012-091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公告</w:t>
            </w:r>
          </w:p>
        </w:tc>
      </w:tr>
    </w:tbl>
    <w:p>
      <w:pPr>
        <w:spacing w:after="0" w:line="235" w:lineRule="exact"/>
        <w:jc w:val="both"/>
        <w:rPr>
          <w:rFonts w:ascii="宋体" w:hAnsi="宋体" w:cs="宋体" w:eastAsia="宋体" w:hint="default"/>
          <w:sz w:val="18"/>
          <w:szCs w:val="18"/>
        </w:rPr>
        <w:sectPr>
          <w:footerReference w:type="default" r:id="rId41"/>
          <w:pgSz w:w="11910" w:h="16840"/>
          <w:pgMar w:footer="1340" w:header="877" w:top="1060" w:bottom="1540" w:left="980" w:right="0"/>
          <w:pgNumType w:start="65"/>
        </w:sectPr>
      </w:pPr>
    </w:p>
    <w:p>
      <w:pPr>
        <w:spacing w:line="240" w:lineRule="auto" w:before="8"/>
        <w:rPr>
          <w:rFonts w:ascii="宋体" w:hAnsi="宋体" w:cs="宋体" w:eastAsia="宋体" w:hint="default"/>
          <w:b/>
          <w:bCs/>
          <w:sz w:val="23"/>
          <w:szCs w:val="23"/>
        </w:rPr>
      </w:pPr>
    </w:p>
    <w:p>
      <w:pPr>
        <w:pStyle w:val="Heading2"/>
        <w:spacing w:line="240" w:lineRule="auto"/>
        <w:ind w:right="1125"/>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刘剑文</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蔡荣生</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孙琪</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张晓岚</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张天西</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刘汝林</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张翼志</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spacing w:line="357" w:lineRule="auto" w:before="49"/>
        <w:ind w:left="152" w:right="805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无</w:t>
      </w:r>
    </w:p>
    <w:p>
      <w:pPr>
        <w:spacing w:line="240" w:lineRule="auto" w:before="6"/>
        <w:rPr>
          <w:rFonts w:ascii="宋体" w:hAnsi="宋体" w:cs="宋体" w:eastAsia="宋体" w:hint="default"/>
          <w:sz w:val="20"/>
          <w:szCs w:val="20"/>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5"/>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5"/>
        <w:rPr>
          <w:rFonts w:ascii="宋体" w:hAnsi="宋体" w:cs="宋体" w:eastAsia="宋体" w:hint="default"/>
          <w:sz w:val="21"/>
          <w:szCs w:val="21"/>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7"/>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pStyle w:val="BodyText"/>
        <w:spacing w:line="357" w:lineRule="auto" w:before="70"/>
        <w:ind w:right="1133" w:firstLine="420"/>
        <w:jc w:val="both"/>
      </w:pPr>
      <w:r>
        <w:rPr>
          <w:spacing w:val="2"/>
        </w:rPr>
        <w:t>公司独立董事认真行使法律所赋予的权利，及时了解公司的生产经营信息，全面关注公 </w:t>
      </w:r>
      <w:r>
        <w:rPr/>
        <w:t>司的发展状况，积极出席公司</w:t>
      </w:r>
      <w:r>
        <w:rPr>
          <w:rFonts w:ascii="宋体" w:hAnsi="宋体" w:cs="宋体" w:eastAsia="宋体" w:hint="default"/>
        </w:rPr>
        <w:t>2012</w:t>
      </w:r>
      <w:r>
        <w:rPr/>
        <w:t>年召开的相关会议，对公司董事会审议的相关事项发表了</w:t>
      </w:r>
      <w:r>
        <w:rPr>
          <w:spacing w:val="-90"/>
        </w:rPr>
        <w:t> </w:t>
      </w:r>
      <w:r>
        <w:rPr>
          <w:spacing w:val="-90"/>
        </w:rPr>
      </w:r>
      <w:r>
        <w:rPr/>
        <w:t>独立客观的意见，忠实履行职责，充分发挥独立董事的独立作用，维护了公司整体利益，维</w:t>
      </w:r>
      <w:r>
        <w:rPr>
          <w:spacing w:val="-91"/>
        </w:rPr>
        <w:t> </w:t>
      </w:r>
      <w:r>
        <w:rPr>
          <w:spacing w:val="-91"/>
        </w:rPr>
      </w:r>
      <w:r>
        <w:rPr/>
        <w:t>护了全体股东尤其是中小股东的合法权益。公司对独立董事关于经营发展及公司治理等各方</w:t>
      </w:r>
      <w:r>
        <w:rPr>
          <w:spacing w:val="-91"/>
        </w:rPr>
        <w:t> </w:t>
      </w:r>
      <w:r>
        <w:rPr>
          <w:spacing w:val="-91"/>
        </w:rPr>
      </w:r>
      <w:r>
        <w:rPr/>
        <w:t>面意见均积极听取，并予以采纳。</w:t>
      </w:r>
    </w:p>
    <w:p>
      <w:pPr>
        <w:spacing w:after="0" w:line="357" w:lineRule="auto"/>
        <w:jc w:val="both"/>
        <w:sectPr>
          <w:pgSz w:w="11910" w:h="16840"/>
          <w:pgMar w:header="877" w:footer="1340"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ind w:right="1125"/>
        <w:jc w:val="left"/>
        <w:rPr>
          <w:b w:val="0"/>
          <w:bCs w:val="0"/>
        </w:rPr>
      </w:pPr>
      <w:r>
        <w:rPr/>
        <w:t>四、董事会下设专门委员会在报告期内履行职责情况</w:t>
      </w:r>
      <w:r>
        <w:rPr>
          <w:b w:val="0"/>
          <w:bCs w:val="0"/>
        </w:rPr>
      </w:r>
    </w:p>
    <w:p>
      <w:pPr>
        <w:spacing w:line="240" w:lineRule="auto" w:before="11"/>
        <w:rPr>
          <w:rFonts w:ascii="宋体" w:hAnsi="宋体" w:cs="宋体" w:eastAsia="宋体" w:hint="default"/>
          <w:b/>
          <w:bCs/>
          <w:sz w:val="28"/>
          <w:szCs w:val="28"/>
        </w:rPr>
      </w:pPr>
    </w:p>
    <w:p>
      <w:pPr>
        <w:pStyle w:val="BodyText"/>
        <w:spacing w:line="240" w:lineRule="auto"/>
        <w:ind w:left="573" w:right="1125"/>
        <w:jc w:val="left"/>
      </w:pPr>
      <w:r>
        <w:rPr>
          <w:rFonts w:ascii="宋体" w:hAnsi="宋体" w:cs="宋体" w:eastAsia="宋体" w:hint="default"/>
        </w:rPr>
        <w:t>1.</w:t>
      </w:r>
      <w:r>
        <w:rPr/>
        <w:t>董事会薪酬与考核委员会工作情况</w:t>
      </w:r>
    </w:p>
    <w:p>
      <w:pPr>
        <w:pStyle w:val="BodyText"/>
        <w:spacing w:line="357" w:lineRule="auto" w:before="154"/>
        <w:ind w:right="1000" w:firstLine="420"/>
        <w:jc w:val="left"/>
        <w:rPr>
          <w:rFonts w:ascii="宋体" w:hAnsi="宋体" w:cs="宋体" w:eastAsia="宋体" w:hint="default"/>
        </w:rPr>
      </w:pPr>
      <w:r>
        <w:rPr>
          <w:spacing w:val="2"/>
        </w:rPr>
        <w:t>公司董事会薪酬与考核委员会根据上级监管部门及公司章程的有关规定，认真履行了工 </w:t>
      </w:r>
      <w:r>
        <w:rPr>
          <w:spacing w:val="-2"/>
        </w:rPr>
        <w:t>作职责。董事会薪酬与考核委员认真审核了</w:t>
      </w:r>
      <w:r>
        <w:rPr>
          <w:rFonts w:ascii="宋体" w:hAnsi="宋体" w:cs="宋体" w:eastAsia="宋体" w:hint="default"/>
          <w:spacing w:val="-2"/>
        </w:rPr>
        <w:t>2012</w:t>
      </w:r>
      <w:r>
        <w:rPr>
          <w:spacing w:val="-2"/>
        </w:rPr>
        <w:t>年度公司实际生产经营业绩后，对公司董事、</w:t>
      </w:r>
      <w:r>
        <w:rPr>
          <w:spacing w:val="-115"/>
        </w:rPr>
        <w:t> </w:t>
      </w:r>
      <w:r>
        <w:rPr>
          <w:spacing w:val="-115"/>
        </w:rPr>
      </w:r>
      <w:r>
        <w:rPr/>
        <w:t>监事及高管人员所披露的薪酬进行了审核并出具了核实意见</w:t>
      </w:r>
      <w:r>
        <w:rPr>
          <w:rFonts w:ascii="宋体" w:hAnsi="宋体" w:cs="宋体" w:eastAsia="宋体" w:hint="default"/>
        </w:rPr>
        <w:t>:</w:t>
      </w:r>
    </w:p>
    <w:p>
      <w:pPr>
        <w:pStyle w:val="BodyText"/>
        <w:spacing w:line="357" w:lineRule="auto" w:before="36"/>
        <w:ind w:right="996" w:firstLine="420"/>
        <w:jc w:val="left"/>
      </w:pPr>
      <w:r>
        <w:rPr>
          <w:spacing w:val="2"/>
        </w:rPr>
        <w:t>根据中国证监会、深交所有关法律、法规和公司内部控制制度、公司《董事会薪酬与考 </w:t>
      </w:r>
      <w:r>
        <w:rPr/>
        <w:t>核委员会实施细则》的有关规定，薪酬与考核委员会对</w:t>
      </w:r>
      <w:r>
        <w:rPr>
          <w:rFonts w:ascii="宋体" w:hAnsi="宋体" w:cs="宋体" w:eastAsia="宋体" w:hint="default"/>
        </w:rPr>
        <w:t>2012</w:t>
      </w:r>
      <w:r>
        <w:rPr/>
        <w:t>年度公司董事、监事及高管人员</w:t>
      </w:r>
      <w:r>
        <w:rPr>
          <w:spacing w:val="-88"/>
        </w:rPr>
        <w:t> </w:t>
      </w:r>
      <w:r>
        <w:rPr>
          <w:spacing w:val="-88"/>
        </w:rPr>
      </w:r>
      <w:r>
        <w:rPr>
          <w:spacing w:val="-2"/>
        </w:rPr>
        <w:t>所披露的薪酬情况进行了审核并发表审核意见如下：公司董事会薪酬与考核委员会根据董事、</w:t>
      </w:r>
      <w:r>
        <w:rPr/>
        <w:t> </w:t>
      </w:r>
      <w:r>
        <w:rPr>
          <w:spacing w:val="-3"/>
        </w:rPr>
        <w:t>监事及高管人员管理岗位的主要范围、职责、重要性及行业相关岗位的薪酬水平，负责制订、</w:t>
      </w:r>
      <w:r>
        <w:rPr>
          <w:spacing w:val="-80"/>
        </w:rPr>
        <w:t> </w:t>
      </w:r>
      <w:r>
        <w:rPr>
          <w:spacing w:val="-80"/>
        </w:rPr>
      </w:r>
      <w:r>
        <w:rPr/>
        <w:t>审查公司薪酬计划与方案，主要包括绩效评价标准、程序及主要评价体系、奖励和惩罚的主</w:t>
      </w:r>
      <w:r>
        <w:rPr>
          <w:spacing w:val="-91"/>
        </w:rPr>
        <w:t> </w:t>
      </w:r>
      <w:r>
        <w:rPr>
          <w:spacing w:val="-91"/>
        </w:rPr>
      </w:r>
      <w:r>
        <w:rPr/>
        <w:t>要方案和制度等，制定公司董事（不含独立董事）、监事及高管人员的考核标准，审查公司</w:t>
      </w:r>
      <w:r>
        <w:rPr>
          <w:spacing w:val="-91"/>
        </w:rPr>
        <w:t> </w:t>
      </w:r>
      <w:r>
        <w:rPr>
          <w:spacing w:val="-91"/>
        </w:rPr>
      </w:r>
      <w:r>
        <w:rPr/>
        <w:t>董事、监事及高管人员履行职责的情况，并依照考核标准及薪酬政策与方案进行年度绩效考</w:t>
      </w:r>
      <w:r>
        <w:rPr>
          <w:spacing w:val="-91"/>
        </w:rPr>
        <w:t> </w:t>
      </w:r>
      <w:r>
        <w:rPr>
          <w:spacing w:val="-91"/>
        </w:rPr>
      </w:r>
      <w:r>
        <w:rPr/>
        <w:t>核。</w:t>
      </w:r>
      <w:r>
        <w:rPr>
          <w:rFonts w:ascii="宋体" w:hAnsi="宋体" w:cs="宋体" w:eastAsia="宋体" w:hint="default"/>
        </w:rPr>
        <w:t>2012</w:t>
      </w:r>
      <w:r>
        <w:rPr/>
        <w:t>年度，公司董事、监事及高管人员披露的薪酬情况符合公司薪酬管理制度，未有违</w:t>
      </w:r>
      <w:r>
        <w:rPr>
          <w:spacing w:val="-91"/>
        </w:rPr>
        <w:t> </w:t>
      </w:r>
      <w:r>
        <w:rPr>
          <w:spacing w:val="-91"/>
        </w:rPr>
      </w:r>
      <w:r>
        <w:rPr/>
        <w:t>反公司薪酬管理制度及与公司薪酬管理制度不一致的情形发生。</w:t>
      </w:r>
    </w:p>
    <w:p>
      <w:pPr>
        <w:pStyle w:val="BodyText"/>
        <w:spacing w:line="357" w:lineRule="auto" w:before="36"/>
        <w:ind w:left="573" w:right="1013"/>
        <w:jc w:val="left"/>
      </w:pPr>
      <w:r>
        <w:rPr>
          <w:rFonts w:ascii="宋体" w:hAnsi="宋体" w:cs="宋体" w:eastAsia="宋体" w:hint="default"/>
        </w:rPr>
        <w:t>2.</w:t>
      </w:r>
      <w:r>
        <w:rPr/>
        <w:t>董事会审计委员会工作情况 </w:t>
      </w:r>
      <w:r>
        <w:rPr>
          <w:spacing w:val="-4"/>
        </w:rPr>
        <w:t>公司董事会审计委员会成员共</w:t>
      </w:r>
      <w:r>
        <w:rPr>
          <w:rFonts w:ascii="宋体" w:hAnsi="宋体" w:cs="宋体" w:eastAsia="宋体" w:hint="default"/>
          <w:spacing w:val="-4"/>
        </w:rPr>
        <w:t>3</w:t>
      </w:r>
      <w:r>
        <w:rPr>
          <w:spacing w:val="-4"/>
        </w:rPr>
        <w:t>人，全部由独立董事组成，主任委员为专业会计人士担任。</w:t>
      </w:r>
    </w:p>
    <w:p>
      <w:pPr>
        <w:pStyle w:val="BodyText"/>
        <w:spacing w:line="357" w:lineRule="auto" w:before="34"/>
        <w:ind w:right="1125"/>
        <w:jc w:val="left"/>
      </w:pPr>
      <w:r>
        <w:rPr/>
        <w:t>根据中国证监会、深交所有关规定及公司董事会审计委员会工作细则、公司董事会审计委员</w:t>
      </w:r>
      <w:r>
        <w:rPr>
          <w:spacing w:val="-91"/>
        </w:rPr>
        <w:t> </w:t>
      </w:r>
      <w:r>
        <w:rPr>
          <w:spacing w:val="-91"/>
        </w:rPr>
      </w:r>
      <w:r>
        <w:rPr/>
        <w:t>会年报工作制度，公司董事会审计委员会本着勤勉尽责的原则，履行了以下工作职责：</w:t>
      </w:r>
    </w:p>
    <w:p>
      <w:pPr>
        <w:pStyle w:val="BodyText"/>
        <w:spacing w:line="240" w:lineRule="auto" w:before="36"/>
        <w:ind w:left="573" w:right="1125"/>
        <w:jc w:val="left"/>
      </w:pPr>
      <w:r>
        <w:rPr/>
        <w:t>（</w:t>
      </w:r>
      <w:r>
        <w:rPr>
          <w:rFonts w:ascii="宋体" w:hAnsi="宋体" w:cs="宋体" w:eastAsia="宋体" w:hint="default"/>
        </w:rPr>
        <w:t>1</w:t>
      </w:r>
      <w:r>
        <w:rPr/>
        <w:t>）审计委员会认真审阅了公司</w:t>
      </w:r>
      <w:r>
        <w:rPr>
          <w:rFonts w:ascii="宋体" w:hAnsi="宋体" w:cs="宋体" w:eastAsia="宋体" w:hint="default"/>
        </w:rPr>
        <w:t>2012</w:t>
      </w:r>
      <w:r>
        <w:rPr/>
        <w:t>年度编制的定期报告；</w:t>
      </w:r>
    </w:p>
    <w:p>
      <w:pPr>
        <w:pStyle w:val="BodyText"/>
        <w:spacing w:line="357" w:lineRule="auto" w:before="154"/>
        <w:ind w:right="1133" w:firstLine="420"/>
        <w:jc w:val="left"/>
      </w:pPr>
      <w:r>
        <w:rPr>
          <w:spacing w:val="-1"/>
        </w:rPr>
        <w:t>（</w:t>
      </w:r>
      <w:r>
        <w:rPr>
          <w:rFonts w:ascii="宋体" w:hAnsi="宋体" w:cs="宋体" w:eastAsia="宋体" w:hint="default"/>
          <w:spacing w:val="-1"/>
        </w:rPr>
        <w:t>2</w:t>
      </w:r>
      <w:r>
        <w:rPr>
          <w:spacing w:val="-1"/>
        </w:rPr>
        <w:t>）在年审注册会计师进场前认真审阅了公司初步编制的财务会计报表，并出具了书面</w:t>
      </w:r>
      <w:r>
        <w:rPr/>
        <w:t> 审议意见；</w:t>
      </w:r>
    </w:p>
    <w:p>
      <w:pPr>
        <w:pStyle w:val="BodyText"/>
        <w:spacing w:line="357" w:lineRule="auto" w:before="36"/>
        <w:ind w:right="1128" w:firstLine="420"/>
        <w:jc w:val="both"/>
      </w:pPr>
      <w:r>
        <w:rPr/>
        <w:t>我们审阅了公司财务部</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15</w:t>
      </w:r>
      <w:r>
        <w:rPr/>
        <w:t>日提交的财务报表，包括</w:t>
      </w:r>
      <w:r>
        <w:rPr>
          <w:rFonts w:ascii="宋体" w:hAnsi="宋体" w:cs="宋体" w:eastAsia="宋体" w:hint="default"/>
        </w:rPr>
        <w:t>2012</w:t>
      </w:r>
      <w:r>
        <w:rPr/>
        <w:t>年</w:t>
      </w:r>
      <w:r>
        <w:rPr>
          <w:rFonts w:ascii="宋体" w:hAnsi="宋体" w:cs="宋体" w:eastAsia="宋体" w:hint="default"/>
        </w:rPr>
        <w:t>12</w:t>
      </w:r>
      <w:r>
        <w:rPr>
          <w:rFonts w:ascii="宋体" w:hAnsi="宋体" w:cs="宋体" w:eastAsia="宋体" w:hint="default"/>
          <w:spacing w:val="76"/>
        </w:rPr>
        <w:t> </w:t>
      </w:r>
      <w:r>
        <w:rPr/>
        <w:t>月</w:t>
      </w:r>
      <w:r>
        <w:rPr>
          <w:rFonts w:ascii="宋体" w:hAnsi="宋体" w:cs="宋体" w:eastAsia="宋体" w:hint="default"/>
        </w:rPr>
        <w:t>31</w:t>
      </w:r>
      <w:r>
        <w:rPr/>
        <w:t>日的资产负</w:t>
      </w:r>
      <w:r>
        <w:rPr>
          <w:spacing w:val="2"/>
        </w:rPr>
        <w:t> </w:t>
      </w:r>
      <w:r>
        <w:rPr/>
        <w:t>债表，</w:t>
      </w:r>
      <w:r>
        <w:rPr>
          <w:rFonts w:ascii="宋体" w:hAnsi="宋体" w:cs="宋体" w:eastAsia="宋体" w:hint="default"/>
        </w:rPr>
        <w:t>2012</w:t>
      </w:r>
      <w:r>
        <w:rPr/>
        <w:t>年度的利润表、股东权益变动表和现金流量表以及部分财务报表附注资料。我们</w:t>
      </w:r>
      <w:r>
        <w:rPr>
          <w:spacing w:val="-90"/>
        </w:rPr>
        <w:t> </w:t>
      </w:r>
      <w:r>
        <w:rPr>
          <w:spacing w:val="-90"/>
        </w:rPr>
      </w:r>
      <w:r>
        <w:rPr/>
        <w:t>按照《企业会计准则</w:t>
      </w:r>
      <w:r>
        <w:rPr>
          <w:rFonts w:ascii="宋体" w:hAnsi="宋体" w:cs="宋体" w:eastAsia="宋体" w:hint="default"/>
        </w:rPr>
        <w:t>--</w:t>
      </w:r>
      <w:r>
        <w:rPr/>
        <w:t>基本准则》、《企业会计准则第</w:t>
      </w:r>
      <w:r>
        <w:rPr>
          <w:rFonts w:ascii="宋体" w:hAnsi="宋体" w:cs="宋体" w:eastAsia="宋体" w:hint="default"/>
        </w:rPr>
        <w:t>1</w:t>
      </w:r>
      <w:r>
        <w:rPr>
          <w:rFonts w:ascii="宋体" w:hAnsi="宋体" w:cs="宋体" w:eastAsia="宋体" w:hint="default"/>
          <w:spacing w:val="28"/>
        </w:rPr>
        <w:t> </w:t>
      </w:r>
      <w:r>
        <w:rPr/>
        <w:t>号</w:t>
      </w:r>
      <w:r>
        <w:rPr>
          <w:rFonts w:ascii="宋体" w:hAnsi="宋体" w:cs="宋体" w:eastAsia="宋体" w:hint="default"/>
        </w:rPr>
        <w:t>--</w:t>
      </w:r>
      <w:r>
        <w:rPr/>
        <w:t>存货》等具体准则以及公司有</w:t>
      </w:r>
      <w:r>
        <w:rPr>
          <w:spacing w:val="-116"/>
        </w:rPr>
        <w:t> </w:t>
      </w:r>
      <w:r>
        <w:rPr>
          <w:spacing w:val="-116"/>
        </w:rPr>
      </w:r>
      <w:r>
        <w:rPr/>
        <w:t>关财务制度规定，对会计资料的真实性、完整性，财务报表是否严格按照新企业会计准则及</w:t>
      </w:r>
      <w:r>
        <w:rPr>
          <w:spacing w:val="-91"/>
        </w:rPr>
        <w:t> </w:t>
      </w:r>
      <w:r>
        <w:rPr>
          <w:spacing w:val="-91"/>
        </w:rPr>
      </w:r>
      <w:r>
        <w:rPr/>
        <w:t>公司有关财务制度规定编制予以了重点关注。</w:t>
      </w:r>
    </w:p>
    <w:p>
      <w:pPr>
        <w:pStyle w:val="BodyText"/>
        <w:spacing w:line="357" w:lineRule="auto" w:before="36"/>
        <w:ind w:right="996" w:firstLine="420"/>
        <w:jc w:val="left"/>
      </w:pPr>
      <w:r>
        <w:rPr>
          <w:spacing w:val="2"/>
        </w:rPr>
        <w:t>通过询问公司内部审计人员、财务人员及管理人员、查阅股东大会、监事会、董事会及 </w:t>
      </w:r>
      <w:r>
        <w:rPr>
          <w:spacing w:val="-2"/>
        </w:rPr>
        <w:t>相关委员会会议纪要、公司相关账册及凭证、以及对重大财务数据实施分析程序，我们认为：</w:t>
      </w:r>
      <w:r>
        <w:rPr/>
        <w:t> 公司所有交易均已记录，交易事项真实，资料完整，会计政策选用恰当，会计估计合理，未</w:t>
      </w:r>
    </w:p>
    <w:p>
      <w:pPr>
        <w:spacing w:after="0" w:line="357" w:lineRule="auto"/>
        <w:jc w:val="left"/>
        <w:sectPr>
          <w:pgSz w:w="11910" w:h="16840"/>
          <w:pgMar w:header="877" w:footer="1340" w:top="1060" w:bottom="1540" w:left="980" w:right="0"/>
        </w:sectPr>
      </w:pPr>
    </w:p>
    <w:p>
      <w:pPr>
        <w:spacing w:line="240" w:lineRule="auto" w:before="6"/>
        <w:rPr>
          <w:rFonts w:ascii="宋体" w:hAnsi="宋体" w:cs="宋体" w:eastAsia="宋体" w:hint="default"/>
          <w:sz w:val="29"/>
          <w:szCs w:val="29"/>
        </w:rPr>
      </w:pPr>
    </w:p>
    <w:p>
      <w:pPr>
        <w:pStyle w:val="BodyText"/>
        <w:spacing w:line="357" w:lineRule="auto" w:before="26"/>
        <w:ind w:right="1125"/>
        <w:jc w:val="left"/>
      </w:pPr>
      <w:r>
        <w:rPr/>
        <w:t>发现有重大错报、漏报情况；未发现有大股东占用公司资金情况；未发现公司有对外违规担</w:t>
      </w:r>
      <w:r>
        <w:rPr>
          <w:spacing w:val="-90"/>
        </w:rPr>
        <w:t> </w:t>
      </w:r>
      <w:r>
        <w:rPr>
          <w:spacing w:val="-90"/>
        </w:rPr>
      </w:r>
      <w:r>
        <w:rPr/>
        <w:t>保情况及异常关联交易情况。 基于本次财务报表的审阅时间距离审计报告日及财务报表报出日尚有一段期间，提请公司财</w:t>
      </w:r>
      <w:r>
        <w:rPr>
          <w:spacing w:val="-91"/>
        </w:rPr>
        <w:t> </w:t>
      </w:r>
      <w:r>
        <w:rPr>
          <w:spacing w:val="-91"/>
        </w:rPr>
      </w:r>
      <w:r>
        <w:rPr/>
        <w:t>务部重点关注并严格按照新企业会计准则处理好资产负债日期后事项，以保证财务报表的公</w:t>
      </w:r>
      <w:r>
        <w:rPr>
          <w:spacing w:val="-91"/>
        </w:rPr>
        <w:t> </w:t>
      </w:r>
      <w:r>
        <w:rPr>
          <w:spacing w:val="-91"/>
        </w:rPr>
      </w:r>
      <w:r>
        <w:rPr/>
        <w:t>允性、真实性及完整性。</w:t>
      </w:r>
    </w:p>
    <w:p>
      <w:pPr>
        <w:pStyle w:val="BodyText"/>
        <w:spacing w:line="357" w:lineRule="auto" w:before="36"/>
        <w:ind w:right="1133" w:firstLine="420"/>
        <w:jc w:val="left"/>
      </w:pPr>
      <w:r>
        <w:rPr>
          <w:spacing w:val="-1"/>
        </w:rPr>
        <w:t>（</w:t>
      </w:r>
      <w:r>
        <w:rPr>
          <w:rFonts w:ascii="宋体" w:hAnsi="宋体" w:cs="宋体" w:eastAsia="宋体" w:hint="default"/>
          <w:spacing w:val="-1"/>
        </w:rPr>
        <w:t>3</w:t>
      </w:r>
      <w:r>
        <w:rPr>
          <w:spacing w:val="-1"/>
        </w:rPr>
        <w:t>）公司年审注册会计师进场后，董事会审计委员会与公司年审注册会计师就审计过程</w:t>
      </w:r>
      <w:r>
        <w:rPr/>
        <w:t> 中发现的问题以及审计报告提交时间进行了沟通和交流。</w:t>
      </w:r>
    </w:p>
    <w:p>
      <w:pPr>
        <w:pStyle w:val="BodyText"/>
        <w:spacing w:line="357" w:lineRule="auto" w:before="36"/>
        <w:ind w:right="1125" w:firstLine="420"/>
        <w:jc w:val="left"/>
      </w:pPr>
      <w:r>
        <w:rPr>
          <w:spacing w:val="2"/>
        </w:rPr>
        <w:t>审计委员会关于中瑞岳华会计师事务所（特殊普通合伙）从事本年度审计工作的总结报 </w:t>
      </w:r>
      <w:r>
        <w:rPr/>
        <w:t>告：</w:t>
      </w:r>
    </w:p>
    <w:p>
      <w:pPr>
        <w:pStyle w:val="BodyText"/>
        <w:spacing w:line="357" w:lineRule="auto" w:before="36"/>
        <w:ind w:right="1131" w:firstLine="420"/>
        <w:jc w:val="left"/>
      </w:pPr>
      <w:r>
        <w:rPr/>
        <w:t>我们审阅了公司财务部</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13</w:t>
      </w:r>
      <w:r>
        <w:rPr/>
        <w:t>日提交的《</w:t>
      </w:r>
      <w:r>
        <w:rPr>
          <w:rFonts w:ascii="宋体" w:hAnsi="宋体" w:cs="宋体" w:eastAsia="宋体" w:hint="default"/>
        </w:rPr>
        <w:t>2012</w:t>
      </w:r>
      <w:r>
        <w:rPr/>
        <w:t>年度审计工作计划》后，于</w:t>
      </w:r>
      <w:r>
        <w:rPr>
          <w:rFonts w:ascii="宋体" w:hAnsi="宋体" w:cs="宋体" w:eastAsia="宋体" w:hint="default"/>
        </w:rPr>
        <w:t>2013</w:t>
      </w:r>
      <w:r>
        <w:rPr/>
        <w:t>年</w:t>
      </w:r>
      <w:r>
        <w:rPr>
          <w:rFonts w:ascii="宋体" w:hAnsi="宋体" w:cs="宋体" w:eastAsia="宋体" w:hint="default"/>
        </w:rPr>
        <w:t>1 </w:t>
      </w:r>
      <w:r>
        <w:rPr/>
        <w:t>月</w:t>
      </w:r>
      <w:r>
        <w:rPr>
          <w:rFonts w:ascii="宋体" w:hAnsi="宋体" w:cs="宋体" w:eastAsia="宋体" w:hint="default"/>
        </w:rPr>
        <w:t>15</w:t>
      </w:r>
      <w:r>
        <w:rPr/>
        <w:t>日就上述审计工作计划与中瑞岳华会计师事务所（特殊普通合伙）项目负责人作了充分</w:t>
      </w:r>
      <w:r>
        <w:rPr>
          <w:spacing w:val="-91"/>
        </w:rPr>
        <w:t> </w:t>
      </w:r>
      <w:r>
        <w:rPr>
          <w:spacing w:val="-91"/>
        </w:rPr>
      </w:r>
      <w:r>
        <w:rPr/>
        <w:t>沟通，并达成一致意见，认为该计划制订详细、责任到人，可有力保障</w:t>
      </w:r>
      <w:r>
        <w:rPr>
          <w:rFonts w:ascii="宋体" w:hAnsi="宋体" w:cs="宋体" w:eastAsia="宋体" w:hint="default"/>
        </w:rPr>
        <w:t>2012</w:t>
      </w:r>
      <w:r>
        <w:rPr/>
        <w:t>年度审计工作的</w:t>
      </w:r>
      <w:r>
        <w:rPr>
          <w:spacing w:val="-89"/>
        </w:rPr>
        <w:t> </w:t>
      </w:r>
      <w:r>
        <w:rPr>
          <w:spacing w:val="-89"/>
        </w:rPr>
      </w:r>
      <w:r>
        <w:rPr/>
        <w:t>顺利完成。 中瑞岳华会计师事务所（特殊普通合伙）审计人员共</w:t>
      </w:r>
      <w:r>
        <w:rPr>
          <w:rFonts w:ascii="宋体" w:hAnsi="宋体" w:cs="宋体" w:eastAsia="宋体" w:hint="default"/>
        </w:rPr>
        <w:t>20</w:t>
      </w:r>
      <w:r>
        <w:rPr/>
        <w:t>人（含项目负责人）按照上述审计工</w:t>
      </w:r>
      <w:r>
        <w:rPr>
          <w:spacing w:val="-88"/>
        </w:rPr>
        <w:t> </w:t>
      </w:r>
      <w:r>
        <w:rPr>
          <w:spacing w:val="-88"/>
        </w:rPr>
      </w:r>
      <w:r>
        <w:rPr>
          <w:spacing w:val="-7"/>
        </w:rPr>
        <w:t>作计划约定，于</w:t>
      </w:r>
      <w:r>
        <w:rPr>
          <w:rFonts w:ascii="宋体" w:hAnsi="宋体" w:cs="宋体" w:eastAsia="宋体" w:hint="default"/>
          <w:spacing w:val="-7"/>
        </w:rPr>
        <w:t>2013</w:t>
      </w:r>
      <w:r>
        <w:rPr>
          <w:spacing w:val="-7"/>
        </w:rPr>
        <w:t>年</w:t>
      </w:r>
      <w:r>
        <w:rPr>
          <w:rFonts w:ascii="宋体" w:hAnsi="宋体" w:cs="宋体" w:eastAsia="宋体" w:hint="default"/>
          <w:spacing w:val="-7"/>
        </w:rPr>
        <w:t>1</w:t>
      </w:r>
      <w:r>
        <w:rPr>
          <w:spacing w:val="-7"/>
        </w:rPr>
        <w:t>月</w:t>
      </w:r>
      <w:r>
        <w:rPr>
          <w:rFonts w:ascii="宋体" w:hAnsi="宋体" w:cs="宋体" w:eastAsia="宋体" w:hint="default"/>
          <w:spacing w:val="-7"/>
        </w:rPr>
        <w:t>30</w:t>
      </w:r>
      <w:r>
        <w:rPr>
          <w:spacing w:val="-7"/>
        </w:rPr>
        <w:t>日</w:t>
      </w:r>
      <w:r>
        <w:rPr>
          <w:rFonts w:ascii="宋体" w:hAnsi="宋体" w:cs="宋体" w:eastAsia="宋体" w:hint="default"/>
          <w:spacing w:val="-7"/>
        </w:rPr>
        <w:t>-3</w:t>
      </w:r>
      <w:r>
        <w:rPr>
          <w:spacing w:val="-7"/>
        </w:rPr>
        <w:t>月</w:t>
      </w:r>
      <w:r>
        <w:rPr>
          <w:rFonts w:ascii="宋体" w:hAnsi="宋体" w:cs="宋体" w:eastAsia="宋体" w:hint="default"/>
          <w:spacing w:val="-7"/>
        </w:rPr>
        <w:t>22</w:t>
      </w:r>
      <w:r>
        <w:rPr>
          <w:spacing w:val="-7"/>
        </w:rPr>
        <w:t>日进场对公司进行现场审计。其中，</w:t>
      </w:r>
      <w:r>
        <w:rPr>
          <w:rFonts w:ascii="宋体" w:hAnsi="宋体" w:cs="宋体" w:eastAsia="宋体" w:hint="default"/>
          <w:spacing w:val="-7"/>
        </w:rPr>
        <w:t>20</w:t>
      </w:r>
      <w:r>
        <w:rPr>
          <w:spacing w:val="-7"/>
        </w:rPr>
        <w:t>位审计人员于</w:t>
      </w:r>
      <w:r>
        <w:rPr>
          <w:rFonts w:ascii="宋体" w:hAnsi="宋体" w:cs="宋体" w:eastAsia="宋体" w:hint="default"/>
          <w:spacing w:val="-7"/>
        </w:rPr>
        <w:t>2013</w:t>
      </w:r>
      <w:r>
        <w:rPr>
          <w:rFonts w:ascii="宋体" w:hAnsi="宋体" w:cs="宋体" w:eastAsia="宋体" w:hint="default"/>
          <w:spacing w:val="-94"/>
        </w:rPr>
        <w:t> </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22</w:t>
      </w:r>
      <w:r>
        <w:rPr>
          <w:spacing w:val="-2"/>
        </w:rPr>
        <w:t>日完成纳入合并报表范围的各公司的现场审计工作。项目负责人就报表合并、会计政</w:t>
      </w:r>
      <w:r>
        <w:rPr>
          <w:spacing w:val="-117"/>
        </w:rPr>
        <w:t> </w:t>
      </w:r>
      <w:r>
        <w:rPr>
          <w:spacing w:val="-117"/>
        </w:rPr>
      </w:r>
      <w:r>
        <w:rPr/>
        <w:t>策运用、以及审计中发现的有待完善的会计工作等情况与企业及我们审计委员会各委员作了</w:t>
      </w:r>
      <w:r>
        <w:rPr>
          <w:spacing w:val="-91"/>
        </w:rPr>
        <w:t> </w:t>
      </w:r>
      <w:r>
        <w:rPr>
          <w:spacing w:val="-91"/>
        </w:rPr>
      </w:r>
      <w:r>
        <w:rPr/>
        <w:t>持续、充分的沟通，使得各方对公司经营情况、财务处理情况以及新企业会计准则的运用与</w:t>
      </w:r>
      <w:r>
        <w:rPr>
          <w:spacing w:val="-91"/>
        </w:rPr>
        <w:t> </w:t>
      </w:r>
      <w:r>
        <w:rPr>
          <w:spacing w:val="-91"/>
        </w:rPr>
      </w:r>
      <w:r>
        <w:rPr/>
        <w:t>实施等方面有了更加深入的了解。我们认为，年审注册会计师已严格按照中国注册会计师独</w:t>
      </w:r>
      <w:r>
        <w:rPr>
          <w:spacing w:val="-91"/>
        </w:rPr>
        <w:t> </w:t>
      </w:r>
      <w:r>
        <w:rPr>
          <w:spacing w:val="-91"/>
        </w:rPr>
      </w:r>
      <w:r>
        <w:rPr/>
        <w:t>立审计准则的规定执行了审计工作，审计人员配置合理，出具的审计报表反映公司</w:t>
      </w:r>
      <w:r>
        <w:rPr>
          <w:rFonts w:ascii="宋体" w:hAnsi="宋体" w:cs="宋体" w:eastAsia="宋体" w:hint="default"/>
        </w:rPr>
        <w:t>2012</w:t>
      </w:r>
      <w:r>
        <w:rPr/>
        <w:t>年</w:t>
      </w:r>
      <w:r>
        <w:rPr>
          <w:rFonts w:ascii="宋体" w:hAnsi="宋体" w:cs="宋体" w:eastAsia="宋体" w:hint="default"/>
        </w:rPr>
        <w:t>12</w:t>
      </w:r>
      <w:r>
        <w:rPr>
          <w:rFonts w:ascii="宋体" w:hAnsi="宋体" w:cs="宋体" w:eastAsia="宋体" w:hint="default"/>
          <w:spacing w:val="-88"/>
        </w:rPr>
        <w:t> </w:t>
      </w:r>
      <w:r>
        <w:rPr/>
        <w:t>月</w:t>
      </w:r>
      <w:r>
        <w:rPr>
          <w:rFonts w:ascii="宋体" w:hAnsi="宋体" w:cs="宋体" w:eastAsia="宋体" w:hint="default"/>
        </w:rPr>
        <w:t>31</w:t>
      </w:r>
      <w:r>
        <w:rPr/>
        <w:t>日的财务状况以及</w:t>
      </w:r>
      <w:r>
        <w:rPr>
          <w:rFonts w:ascii="宋体" w:hAnsi="宋体" w:cs="宋体" w:eastAsia="宋体" w:hint="default"/>
        </w:rPr>
        <w:t>2012</w:t>
      </w:r>
      <w:r>
        <w:rPr/>
        <w:t>年度的经营成果和现金流量，出具的审计结论符合公司的实际情</w:t>
      </w:r>
      <w:r>
        <w:rPr>
          <w:spacing w:val="-90"/>
        </w:rPr>
        <w:t> </w:t>
      </w:r>
      <w:r>
        <w:rPr>
          <w:spacing w:val="-90"/>
        </w:rPr>
      </w:r>
      <w:r>
        <w:rPr/>
        <w:t>况。</w:t>
      </w:r>
    </w:p>
    <w:p>
      <w:pPr>
        <w:pStyle w:val="BodyText"/>
        <w:spacing w:line="240" w:lineRule="auto" w:before="36"/>
        <w:ind w:left="573" w:right="1125"/>
        <w:jc w:val="left"/>
      </w:pPr>
      <w:r>
        <w:rPr>
          <w:rFonts w:ascii="宋体" w:hAnsi="宋体" w:cs="宋体" w:eastAsia="宋体" w:hint="default"/>
        </w:rPr>
        <w:t>3.</w:t>
      </w:r>
      <w:r>
        <w:rPr/>
        <w:t>董事会提名委员会工作情况</w:t>
      </w:r>
    </w:p>
    <w:p>
      <w:pPr>
        <w:pStyle w:val="BodyText"/>
        <w:spacing w:line="357" w:lineRule="auto" w:before="154"/>
        <w:ind w:right="1125" w:firstLine="420"/>
        <w:jc w:val="left"/>
      </w:pPr>
      <w:r>
        <w:rPr>
          <w:spacing w:val="2"/>
        </w:rPr>
        <w:t>公司提名委员会由三位独立董事组成，委员会召集人由独立董事担任。报告期内，提名 </w:t>
      </w:r>
      <w:r>
        <w:rPr/>
        <w:t>委员会召开会议</w:t>
      </w:r>
      <w:r>
        <w:rPr>
          <w:rFonts w:ascii="宋体" w:hAnsi="宋体" w:cs="宋体" w:eastAsia="宋体" w:hint="default"/>
        </w:rPr>
        <w:t>2</w:t>
      </w:r>
      <w:r>
        <w:rPr/>
        <w:t>次，对公司董事会换届、增补高级管理人员事项进行了审议。</w:t>
      </w:r>
    </w:p>
    <w:p>
      <w:pPr>
        <w:pStyle w:val="BodyText"/>
        <w:spacing w:line="240" w:lineRule="auto" w:before="36"/>
        <w:ind w:left="573" w:right="1125"/>
        <w:jc w:val="left"/>
      </w:pPr>
      <w:r>
        <w:rPr>
          <w:rFonts w:ascii="宋体" w:hAnsi="宋体" w:cs="宋体" w:eastAsia="宋体" w:hint="default"/>
        </w:rPr>
        <w:t>4</w:t>
      </w:r>
      <w:r>
        <w:rPr/>
        <w:t>、董事会战略委员会履职情况</w:t>
      </w:r>
    </w:p>
    <w:p>
      <w:pPr>
        <w:pStyle w:val="BodyText"/>
        <w:spacing w:line="357" w:lineRule="auto" w:before="154"/>
        <w:ind w:right="1125" w:firstLine="420"/>
        <w:jc w:val="left"/>
      </w:pPr>
      <w:r>
        <w:rPr>
          <w:spacing w:val="2"/>
        </w:rPr>
        <w:t>报告期，董事会战略委员会根据有关规定积极开展工作，认真履行职责。报告期内，战 </w:t>
      </w:r>
      <w:r>
        <w:rPr/>
        <w:t>略委员会讨论了公司的未来发展，为公司下一步发展做出指示和要求。</w:t>
      </w:r>
    </w:p>
    <w:p>
      <w:pPr>
        <w:spacing w:after="0" w:line="357" w:lineRule="auto"/>
        <w:jc w:val="left"/>
        <w:sectPr>
          <w:pgSz w:w="11910" w:h="16840"/>
          <w:pgMar w:header="877" w:footer="1340"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ind w:right="1125"/>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before="0"/>
        <w:ind w:right="1125"/>
        <w:jc w:val="left"/>
        <w:rPr>
          <w:b w:val="0"/>
          <w:bCs w:val="0"/>
        </w:rPr>
      </w:pPr>
      <w:r>
        <w:rPr/>
        <w:t>六、公司相对于控股股东在业务、人员、资产、机构、财务等方面的独立完整情况</w:t>
      </w:r>
      <w:r>
        <w:rPr>
          <w:b w:val="0"/>
          <w:bCs w:val="0"/>
        </w:rPr>
      </w:r>
    </w:p>
    <w:p>
      <w:pPr>
        <w:spacing w:line="240" w:lineRule="auto" w:before="8"/>
        <w:rPr>
          <w:rFonts w:ascii="宋体" w:hAnsi="宋体" w:cs="宋体" w:eastAsia="宋体" w:hint="default"/>
          <w:b/>
          <w:bCs/>
          <w:sz w:val="28"/>
          <w:szCs w:val="28"/>
        </w:rPr>
      </w:pPr>
    </w:p>
    <w:p>
      <w:pPr>
        <w:pStyle w:val="BodyText"/>
        <w:spacing w:line="357" w:lineRule="auto"/>
        <w:ind w:right="1136" w:firstLine="420"/>
        <w:jc w:val="both"/>
      </w:pPr>
      <w:r>
        <w:rPr>
          <w:spacing w:val="2"/>
        </w:rPr>
        <w:t>报告期内，公司与控股股东在业务、人员、资产、机构、财务等方面完全分开，具有独</w:t>
      </w:r>
      <w:r>
        <w:rPr/>
        <w:t> 立完整的业务及自主经营能力。</w:t>
      </w:r>
    </w:p>
    <w:p>
      <w:pPr>
        <w:pStyle w:val="BodyText"/>
        <w:spacing w:line="357" w:lineRule="auto" w:before="36"/>
        <w:ind w:right="1014" w:firstLine="420"/>
        <w:jc w:val="left"/>
      </w:pPr>
      <w:r>
        <w:rPr>
          <w:rFonts w:ascii="宋体" w:hAnsi="宋体" w:cs="宋体" w:eastAsia="宋体" w:hint="default"/>
          <w:spacing w:val="-1"/>
        </w:rPr>
        <w:t>1.</w:t>
      </w:r>
      <w:r>
        <w:rPr>
          <w:spacing w:val="-1"/>
        </w:rPr>
        <w:t>业务独立情况：公司独立从事生产经营，对控股股东和其他关联企业不存在依赖关系。</w:t>
      </w:r>
      <w:r>
        <w:rPr/>
        <w:t> 公司拥有独立的原材料采购和产品的生产、销售系统，不依赖控股股东和其它关联企业。</w:t>
      </w:r>
    </w:p>
    <w:p>
      <w:pPr>
        <w:pStyle w:val="BodyText"/>
        <w:spacing w:line="357" w:lineRule="auto" w:before="36"/>
        <w:ind w:right="1133" w:firstLine="420"/>
        <w:jc w:val="both"/>
      </w:pPr>
      <w:r>
        <w:rPr>
          <w:rFonts w:ascii="宋体" w:hAnsi="宋体" w:cs="宋体" w:eastAsia="宋体" w:hint="default"/>
          <w:spacing w:val="2"/>
        </w:rPr>
        <w:t>2.</w:t>
      </w:r>
      <w:r>
        <w:rPr>
          <w:spacing w:val="2"/>
        </w:rPr>
        <w:t>人员分开情况：公司设有专门负责公司劳动人事及工资管理的工作部门，并制定了对 </w:t>
      </w:r>
      <w:r>
        <w:rPr/>
        <w:t>员工进行考核管理的有关规章制度。除部分董事、监事以外，公司其它高管人员未在股东单</w:t>
      </w:r>
      <w:r>
        <w:rPr>
          <w:spacing w:val="-91"/>
        </w:rPr>
        <w:t> </w:t>
      </w:r>
      <w:r>
        <w:rPr>
          <w:spacing w:val="-91"/>
        </w:rPr>
      </w:r>
      <w:r>
        <w:rPr/>
        <w:t>位双重任职。</w:t>
      </w:r>
    </w:p>
    <w:p>
      <w:pPr>
        <w:pStyle w:val="BodyText"/>
        <w:spacing w:line="357" w:lineRule="auto" w:before="36"/>
        <w:ind w:right="1133" w:firstLine="420"/>
        <w:jc w:val="both"/>
      </w:pPr>
      <w:r>
        <w:rPr>
          <w:rFonts w:ascii="宋体" w:hAnsi="宋体" w:cs="宋体" w:eastAsia="宋体" w:hint="default"/>
          <w:spacing w:val="2"/>
        </w:rPr>
        <w:t>3.</w:t>
      </w:r>
      <w:r>
        <w:rPr>
          <w:spacing w:val="2"/>
        </w:rPr>
        <w:t>机构独立情况：公司的内设机构完全独立于控股股东，与控股股东的内设机构之间没 </w:t>
      </w:r>
      <w:r>
        <w:rPr/>
        <w:t>有直接的隶属关系。</w:t>
      </w:r>
    </w:p>
    <w:p>
      <w:pPr>
        <w:pStyle w:val="BodyText"/>
        <w:spacing w:line="357" w:lineRule="auto" w:before="36"/>
        <w:ind w:right="1139" w:firstLine="420"/>
        <w:jc w:val="both"/>
      </w:pPr>
      <w:r>
        <w:rPr>
          <w:rFonts w:ascii="宋体" w:hAnsi="宋体" w:cs="宋体" w:eastAsia="宋体" w:hint="default"/>
          <w:spacing w:val="2"/>
        </w:rPr>
        <w:t>4.</w:t>
      </w:r>
      <w:r>
        <w:rPr>
          <w:spacing w:val="2"/>
        </w:rPr>
        <w:t>资产完整情况：公司拥有独立完整的研究开发支撑系统、配套设施，非专利技术等资</w:t>
      </w:r>
      <w:r>
        <w:rPr/>
        <w:t> 产。</w:t>
      </w:r>
    </w:p>
    <w:p>
      <w:pPr>
        <w:pStyle w:val="BodyText"/>
        <w:spacing w:line="357" w:lineRule="auto" w:before="36"/>
        <w:ind w:right="1133" w:firstLine="420"/>
        <w:jc w:val="both"/>
      </w:pPr>
      <w:r>
        <w:rPr>
          <w:rFonts w:ascii="宋体" w:hAnsi="宋体" w:cs="宋体" w:eastAsia="宋体" w:hint="default"/>
          <w:spacing w:val="2"/>
        </w:rPr>
        <w:t>5.</w:t>
      </w:r>
      <w:r>
        <w:rPr>
          <w:spacing w:val="2"/>
        </w:rPr>
        <w:t>财务独立情况：公司设立了独立的财务部门作为公司的财务管理机构，建立了独立的 </w:t>
      </w:r>
      <w:r>
        <w:rPr/>
        <w:t>会计核算体系和财务管理制度，并根据上市公司有关会计制度的要求，独立进行财务决策；</w:t>
      </w:r>
      <w:r>
        <w:rPr>
          <w:spacing w:val="-91"/>
        </w:rPr>
        <w:t> </w:t>
      </w:r>
      <w:r>
        <w:rPr>
          <w:spacing w:val="-91"/>
        </w:rPr>
      </w:r>
      <w:r>
        <w:rPr/>
        <w:t>同时对分、子公司的财务实行垂直管理；公司在银行设立了独立账号，依法独立纳税。</w:t>
      </w:r>
    </w:p>
    <w:p>
      <w:pPr>
        <w:spacing w:line="240" w:lineRule="auto" w:before="11"/>
        <w:rPr>
          <w:rFonts w:ascii="宋体" w:hAnsi="宋体" w:cs="宋体" w:eastAsia="宋体" w:hint="default"/>
          <w:sz w:val="19"/>
          <w:szCs w:val="19"/>
        </w:rPr>
      </w:pPr>
    </w:p>
    <w:p>
      <w:pPr>
        <w:pStyle w:val="Heading2"/>
        <w:spacing w:line="240" w:lineRule="auto" w:before="0"/>
        <w:ind w:right="1125"/>
        <w:jc w:val="left"/>
        <w:rPr>
          <w:b w:val="0"/>
          <w:bCs w:val="0"/>
        </w:rPr>
      </w:pPr>
      <w:r>
        <w:rPr/>
        <w:t>七、高级管理人员的考评及激励情况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ind w:right="1132" w:firstLine="540"/>
        <w:jc w:val="both"/>
      </w:pPr>
      <w:r>
        <w:rPr>
          <w:rFonts w:ascii="宋体" w:hAnsi="宋体" w:cs="宋体" w:eastAsia="宋体" w:hint="default"/>
          <w:spacing w:val="-1"/>
        </w:rPr>
        <w:t>1.</w:t>
      </w:r>
      <w:r>
        <w:rPr>
          <w:spacing w:val="-1"/>
        </w:rPr>
        <w:t>根据公司高层管理人员薪酬管理制度，公司对高级管理人员的考评是以经济效益为主</w:t>
      </w:r>
      <w:r>
        <w:rPr/>
        <w:t> 要考核指标，并与绩效工资挂钩，通过董事会（包括董事会专门委员会）、监事会评价的方</w:t>
      </w:r>
      <w:r>
        <w:rPr>
          <w:spacing w:val="-91"/>
        </w:rPr>
        <w:t> </w:t>
      </w:r>
      <w:r>
        <w:rPr>
          <w:spacing w:val="-91"/>
        </w:rPr>
      </w:r>
      <w:r>
        <w:rPr/>
        <w:t>式进行。</w:t>
      </w:r>
    </w:p>
    <w:p>
      <w:pPr>
        <w:pStyle w:val="BodyText"/>
        <w:spacing w:line="357" w:lineRule="auto" w:before="36"/>
        <w:ind w:right="0" w:firstLine="420"/>
        <w:jc w:val="left"/>
      </w:pPr>
      <w:r>
        <w:rPr>
          <w:rFonts w:ascii="宋体" w:hAnsi="宋体" w:cs="宋体" w:eastAsia="宋体" w:hint="default"/>
          <w:spacing w:val="-1"/>
        </w:rPr>
        <w:t>2.</w:t>
      </w:r>
      <w:r>
        <w:rPr>
          <w:spacing w:val="-1"/>
        </w:rPr>
        <w:t>为建立、健全更为有效的激励与约束机制，充分调动公司激励对象的积极性与创造性，</w:t>
      </w:r>
      <w:r>
        <w:rPr/>
        <w:t> 提高经营效率，报告期公司实施了股权激励计划。通过实施股权激励计划公司预实现股东、</w:t>
      </w:r>
      <w:r>
        <w:rPr>
          <w:spacing w:val="-91"/>
        </w:rPr>
        <w:t> </w:t>
      </w:r>
      <w:r>
        <w:rPr>
          <w:spacing w:val="-91"/>
        </w:rPr>
      </w:r>
      <w:r>
        <w:rPr/>
        <w:t>公司、管理层等各方的利益统一，避免过度追求短期利益利于公司长远健康的发展。</w:t>
      </w:r>
    </w:p>
    <w:p>
      <w:pPr>
        <w:spacing w:after="0" w:line="357" w:lineRule="auto"/>
        <w:jc w:val="left"/>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036"/>
        <w:jc w:val="center"/>
        <w:rPr>
          <w:b w:val="0"/>
          <w:bCs w:val="0"/>
        </w:rPr>
      </w:pPr>
      <w:bookmarkStart w:name="_TOC_250002" w:id="9"/>
      <w:r>
        <w:rPr/>
        <w:t>第九节</w:t>
      </w:r>
      <w:r>
        <w:rPr>
          <w:spacing w:val="-2"/>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right="1125"/>
        <w:jc w:val="left"/>
        <w:rPr>
          <w:b w:val="0"/>
          <w:bCs w:val="0"/>
        </w:rPr>
      </w:pPr>
      <w:r>
        <w:rPr/>
        <w:t>一、内部控制建设情况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ind w:right="996" w:firstLine="420"/>
        <w:jc w:val="left"/>
      </w:pPr>
      <w:r>
        <w:rPr>
          <w:rFonts w:ascii="宋体" w:hAnsi="宋体" w:cs="宋体" w:eastAsia="宋体" w:hint="default"/>
        </w:rPr>
        <w:t>2011</w:t>
      </w:r>
      <w:r>
        <w:rPr/>
        <w:t>年，为了加强和规范公司内部控制，提高企业经营管理水平和风险防范能力，促进</w:t>
      </w:r>
      <w:r>
        <w:rPr>
          <w:spacing w:val="2"/>
        </w:rPr>
        <w:t> </w:t>
      </w:r>
      <w:r>
        <w:rPr/>
        <w:t>企业可持续发展，保障公司经营战略目标的实现，根据财政部、证监会、审计署、银监会、</w:t>
      </w:r>
      <w:r>
        <w:rPr>
          <w:spacing w:val="-91"/>
        </w:rPr>
        <w:t> </w:t>
      </w:r>
      <w:r>
        <w:rPr>
          <w:spacing w:val="-91"/>
        </w:rPr>
      </w:r>
      <w:r>
        <w:rPr/>
        <w:t>保监会联合下发的《企业内部控制基本规范》及相关配套指引，公司建立了基本规范的公司</w:t>
      </w:r>
      <w:r>
        <w:rPr>
          <w:spacing w:val="-91"/>
        </w:rPr>
        <w:t> </w:t>
      </w:r>
      <w:r>
        <w:rPr>
          <w:spacing w:val="-91"/>
        </w:rPr>
      </w:r>
      <w:r>
        <w:rPr/>
        <w:t>治理结构和内部控制体系，制订了内部控制手册，明确了决策、执行、监督等方面的职责权</w:t>
      </w:r>
      <w:r>
        <w:rPr>
          <w:spacing w:val="-90"/>
        </w:rPr>
        <w:t> </w:t>
      </w:r>
      <w:r>
        <w:rPr>
          <w:spacing w:val="-90"/>
        </w:rPr>
      </w:r>
      <w:r>
        <w:rPr/>
        <w:t>限，形成科学有效的职责分工和制衡机制，内控体系已经初步建立。</w:t>
      </w:r>
      <w:r>
        <w:rPr>
          <w:rFonts w:ascii="宋体" w:hAnsi="宋体" w:cs="宋体" w:eastAsia="宋体" w:hint="default"/>
        </w:rPr>
        <w:t>2012</w:t>
      </w:r>
      <w:r>
        <w:rPr/>
        <w:t>年，公司聘请了北</w:t>
      </w:r>
      <w:r>
        <w:rPr>
          <w:spacing w:val="-89"/>
        </w:rPr>
        <w:t> </w:t>
      </w:r>
      <w:r>
        <w:rPr>
          <w:spacing w:val="-89"/>
        </w:rPr>
      </w:r>
      <w:r>
        <w:rPr>
          <w:spacing w:val="-2"/>
        </w:rPr>
        <w:t>京华远智和管理咨询有限公司协助公司完成系统性的内部控制评价。在内控领导小组的领导、</w:t>
      </w:r>
      <w:r>
        <w:rPr/>
        <w:t> </w:t>
      </w:r>
      <w:r>
        <w:rPr>
          <w:spacing w:val="-3"/>
        </w:rPr>
        <w:t>指导和监督下，自我评价测试工作执行小组清晰地明确了本次评价测试的计划、范围、方法、</w:t>
      </w:r>
      <w:r>
        <w:rPr>
          <w:spacing w:val="-81"/>
        </w:rPr>
        <w:t> </w:t>
      </w:r>
      <w:r>
        <w:rPr>
          <w:spacing w:val="-81"/>
        </w:rPr>
      </w:r>
      <w:r>
        <w:rPr/>
        <w:t>成果管理等，严肃、认真地执行了具体的现场测试工作程序、记录、缺陷识别与沟通、整改</w:t>
      </w:r>
      <w:r>
        <w:rPr>
          <w:spacing w:val="-91"/>
        </w:rPr>
        <w:t> </w:t>
      </w:r>
      <w:r>
        <w:rPr>
          <w:spacing w:val="-91"/>
        </w:rPr>
      </w:r>
      <w:r>
        <w:rPr/>
        <w:t>计划确认与沟通等工作，对发现的内部控制缺陷及成因、表现形式和影响程度进行综合分析</w:t>
      </w:r>
      <w:r>
        <w:rPr>
          <w:spacing w:val="-91"/>
        </w:rPr>
        <w:t> </w:t>
      </w:r>
      <w:r>
        <w:rPr>
          <w:spacing w:val="-91"/>
        </w:rPr>
      </w:r>
      <w:r>
        <w:rPr/>
        <w:t>和全面复核，并督促各责任单位落实整改。根据</w:t>
      </w:r>
      <w:r>
        <w:rPr>
          <w:rFonts w:ascii="宋体" w:hAnsi="宋体" w:cs="宋体" w:eastAsia="宋体" w:hint="default"/>
        </w:rPr>
        <w:t>2012</w:t>
      </w:r>
      <w:r>
        <w:rPr/>
        <w:t>年内控工作计划，一方面根据内控测试</w:t>
      </w:r>
      <w:r>
        <w:rPr>
          <w:spacing w:val="-88"/>
        </w:rPr>
        <w:t> </w:t>
      </w:r>
      <w:r>
        <w:rPr>
          <w:spacing w:val="-88"/>
        </w:rPr>
      </w:r>
      <w:r>
        <w:rPr/>
        <w:t>的结果，公司及时更新了内部控制手册；另一方面，公司组织对内部控制相关工作人员进行</w:t>
      </w:r>
      <w:r>
        <w:rPr>
          <w:spacing w:val="-91"/>
        </w:rPr>
        <w:t> </w:t>
      </w:r>
      <w:r>
        <w:rPr>
          <w:spacing w:val="-91"/>
        </w:rPr>
      </w:r>
      <w:r>
        <w:rPr/>
        <w:t>了系统性的内控体系建设、内控测试方面的专业培训，取得了显著的效果。</w:t>
      </w:r>
    </w:p>
    <w:p>
      <w:pPr>
        <w:spacing w:line="240" w:lineRule="auto" w:before="11"/>
        <w:rPr>
          <w:rFonts w:ascii="宋体" w:hAnsi="宋体" w:cs="宋体" w:eastAsia="宋体" w:hint="default"/>
          <w:sz w:val="19"/>
          <w:szCs w:val="19"/>
        </w:rPr>
      </w:pPr>
    </w:p>
    <w:p>
      <w:pPr>
        <w:pStyle w:val="Heading2"/>
        <w:spacing w:line="240" w:lineRule="auto" w:before="0"/>
        <w:ind w:right="1125"/>
        <w:jc w:val="left"/>
        <w:rPr>
          <w:b w:val="0"/>
          <w:bCs w:val="0"/>
        </w:rPr>
      </w:pPr>
      <w:r>
        <w:rPr/>
        <w:t>二、董事会关于内部控制责任的声明</w:t>
      </w:r>
      <w:r>
        <w:rPr>
          <w:b w:val="0"/>
          <w:bCs w:val="0"/>
        </w:rPr>
      </w:r>
    </w:p>
    <w:p>
      <w:pPr>
        <w:spacing w:line="240" w:lineRule="auto" w:before="8"/>
        <w:rPr>
          <w:rFonts w:ascii="宋体" w:hAnsi="宋体" w:cs="宋体" w:eastAsia="宋体" w:hint="default"/>
          <w:b/>
          <w:bCs/>
          <w:sz w:val="28"/>
          <w:szCs w:val="28"/>
        </w:rPr>
      </w:pPr>
    </w:p>
    <w:p>
      <w:pPr>
        <w:pStyle w:val="BodyText"/>
        <w:spacing w:line="357" w:lineRule="auto"/>
        <w:ind w:right="0" w:firstLine="600"/>
        <w:jc w:val="left"/>
      </w:pPr>
      <w:r>
        <w:rPr/>
        <w:t>公司董事会及全体董事保证本报告内容不存在任何虚假记载、误导性陈述或重大遗漏， 并对报告内容的真实性、准确性和完整性承担个别及连带责任。建立健全并有效实施内部控</w:t>
      </w:r>
      <w:r>
        <w:rPr>
          <w:spacing w:val="-91"/>
        </w:rPr>
        <w:t> </w:t>
      </w:r>
      <w:r>
        <w:rPr>
          <w:spacing w:val="-91"/>
        </w:rPr>
      </w:r>
      <w:r>
        <w:rPr/>
        <w:t>制是公司董事会的责任；</w:t>
      </w:r>
      <w:r>
        <w:rPr>
          <w:rFonts w:ascii="宋体" w:hAnsi="宋体" w:cs="宋体" w:eastAsia="宋体" w:hint="default"/>
        </w:rPr>
        <w:t>;</w:t>
      </w:r>
      <w:r>
        <w:rPr/>
        <w:t>监事会对董事会建立与实施内部控制进行监督；经理层负责组织领 导公司内部控制的日常运行。公司内部控制的目标是：合理保证经营合法合规、资产安全、</w:t>
      </w:r>
      <w:r>
        <w:rPr>
          <w:spacing w:val="-89"/>
        </w:rPr>
        <w:t> </w:t>
      </w:r>
      <w:r>
        <w:rPr>
          <w:spacing w:val="-89"/>
        </w:rPr>
      </w:r>
      <w:r>
        <w:rPr/>
        <w:t>财务报告及相关信息真实完整，提高经营效率和效果，促进实现发展战略。由于内部控制存</w:t>
      </w:r>
      <w:r>
        <w:rPr>
          <w:spacing w:val="-91"/>
        </w:rPr>
        <w:t> </w:t>
      </w:r>
      <w:r>
        <w:rPr>
          <w:spacing w:val="-91"/>
        </w:rPr>
      </w:r>
      <w:r>
        <w:rPr/>
        <w:t>在固有局限性，因此仅能对达到上述目标提供合理保证；而且内部控制的有效性亦可能随公</w:t>
      </w:r>
      <w:r>
        <w:rPr>
          <w:spacing w:val="-91"/>
        </w:rPr>
        <w:t> </w:t>
      </w:r>
      <w:r>
        <w:rPr>
          <w:spacing w:val="-91"/>
        </w:rPr>
      </w:r>
      <w:r>
        <w:rPr/>
        <w:t>司内、外部环境及经营情况的改变而改变。本公司内部控制设有检查监督机制，内部控制缺</w:t>
      </w:r>
      <w:r>
        <w:rPr>
          <w:spacing w:val="-91"/>
        </w:rPr>
        <w:t> </w:t>
      </w:r>
      <w:r>
        <w:rPr>
          <w:spacing w:val="-91"/>
        </w:rPr>
      </w:r>
      <w:r>
        <w:rPr/>
        <w:t>陷一经识别，本公司将及时采取整改措施。本公司建立和实施内部控制制度时，考虑了以下</w:t>
      </w:r>
      <w:r>
        <w:rPr>
          <w:spacing w:val="-91"/>
        </w:rPr>
        <w:t> </w:t>
      </w:r>
      <w:r>
        <w:rPr>
          <w:spacing w:val="-91"/>
        </w:rPr>
      </w:r>
      <w:r>
        <w:rPr>
          <w:spacing w:val="-3"/>
        </w:rPr>
        <w:t>基本要素：《企业内部控制基本规范》规定的内部环境、风险评估、控制活动、信息与沟通、</w:t>
      </w:r>
      <w:r>
        <w:rPr>
          <w:spacing w:val="-81"/>
        </w:rPr>
        <w:t> </w:t>
      </w:r>
      <w:r>
        <w:rPr>
          <w:spacing w:val="-81"/>
        </w:rPr>
      </w:r>
      <w:r>
        <w:rPr/>
        <w:t>内部监督等五项要素；《深交所上市公司内部控制指引》规定的目标设定、内部环境、风险</w:t>
      </w:r>
      <w:r>
        <w:rPr>
          <w:spacing w:val="-86"/>
        </w:rPr>
        <w:t> </w:t>
      </w:r>
      <w:r>
        <w:rPr>
          <w:spacing w:val="-86"/>
        </w:rPr>
      </w:r>
      <w:r>
        <w:rPr/>
        <w:t>确认、风险评估、风险管理策略选择、控制活动、信息沟通、检查监督等八项要素。</w:t>
      </w:r>
    </w:p>
    <w:p>
      <w:pPr>
        <w:spacing w:after="0" w:line="357" w:lineRule="auto"/>
        <w:jc w:val="left"/>
        <w:sectPr>
          <w:pgSz w:w="11910" w:h="16840"/>
          <w:pgMar w:header="877" w:footer="1340"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ind w:right="0"/>
        <w:jc w:val="both"/>
        <w:rPr>
          <w:b w:val="0"/>
          <w:bCs w:val="0"/>
        </w:rPr>
      </w:pPr>
      <w:r>
        <w:rPr/>
        <w:t>三、建立财务报告内部控制的依据</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ind w:right="1013" w:firstLine="420"/>
        <w:jc w:val="left"/>
      </w:pPr>
      <w:r>
        <w:rPr>
          <w:spacing w:val="-1"/>
        </w:rPr>
        <w:t>公司在财务制度建设、人员、各主要会计处理程序等诸多方面做好财务报告的内部控制。</w:t>
      </w:r>
      <w:r>
        <w:rPr/>
        <w:t> 为贯彻执行《企业会计准则》和国家其他规定，完善会计核算、财务管理的职能和权限，公</w:t>
      </w:r>
      <w:r>
        <w:rPr>
          <w:spacing w:val="-91"/>
        </w:rPr>
        <w:t> </w:t>
      </w:r>
      <w:r>
        <w:rPr>
          <w:spacing w:val="-91"/>
        </w:rPr>
      </w:r>
      <w:r>
        <w:rPr/>
        <w:t>司制定了财务管理制度等一系列具体规定，并加强制度的实施与执行力度。公司设置了独立</w:t>
      </w:r>
      <w:r>
        <w:rPr>
          <w:spacing w:val="-91"/>
        </w:rPr>
        <w:t> </w:t>
      </w:r>
      <w:r>
        <w:rPr>
          <w:spacing w:val="-91"/>
        </w:rPr>
      </w:r>
      <w:r>
        <w:rPr/>
        <w:t>的会计机构，会计机构人员认真执行国家相关政策和各项法律法规，严格按照《会计法》、</w:t>
      </w:r>
    </w:p>
    <w:p>
      <w:pPr>
        <w:pStyle w:val="BodyText"/>
        <w:spacing w:line="357" w:lineRule="auto" w:before="36"/>
        <w:ind w:right="1131"/>
        <w:jc w:val="both"/>
      </w:pPr>
      <w:r>
        <w:rPr/>
        <w:t>《企业会计准则》等相关规定处理相关会计事项。</w:t>
      </w:r>
      <w:r>
        <w:rPr>
          <w:spacing w:val="-78"/>
        </w:rPr>
        <w:t> </w:t>
      </w:r>
      <w:r>
        <w:rPr/>
        <w:t>公司通过财务系统及时记录资产信息及会</w:t>
      </w:r>
      <w:r>
        <w:rPr/>
        <w:t> 计期间内所有交易和事项，并实时监控；运用各种分析方法对资金筹集和使用、资金结构、</w:t>
      </w:r>
      <w:r>
        <w:rPr>
          <w:spacing w:val="-91"/>
        </w:rPr>
        <w:t> </w:t>
      </w:r>
      <w:r>
        <w:rPr>
          <w:spacing w:val="-91"/>
        </w:rPr>
      </w:r>
      <w:r>
        <w:rPr/>
        <w:t>资金周转和增值、各类预算费用控制、预算利润目标完成情况进行纵向、横向比较分析，保</w:t>
      </w:r>
      <w:r>
        <w:rPr>
          <w:spacing w:val="-91"/>
        </w:rPr>
        <w:t> </w:t>
      </w:r>
      <w:r>
        <w:rPr>
          <w:spacing w:val="-91"/>
        </w:rPr>
      </w:r>
      <w:r>
        <w:rPr/>
        <w:t>证财务报表能够真实、完整地反映公司的财务状况和经营成果，有效地加强财务管理、优化</w:t>
      </w:r>
      <w:r>
        <w:rPr>
          <w:spacing w:val="-91"/>
        </w:rPr>
        <w:t> </w:t>
      </w:r>
      <w:r>
        <w:rPr>
          <w:spacing w:val="-91"/>
        </w:rPr>
      </w:r>
      <w:r>
        <w:rPr/>
        <w:t>经济决策。 报告期内，公司未发现财务报告内部控制存在重大缺陷。</w:t>
      </w:r>
    </w:p>
    <w:p>
      <w:pPr>
        <w:spacing w:line="240" w:lineRule="auto" w:before="11"/>
        <w:rPr>
          <w:rFonts w:ascii="宋体" w:hAnsi="宋体" w:cs="宋体" w:eastAsia="宋体" w:hint="default"/>
          <w:sz w:val="19"/>
          <w:szCs w:val="19"/>
        </w:rPr>
      </w:pPr>
    </w:p>
    <w:p>
      <w:pPr>
        <w:pStyle w:val="Heading2"/>
        <w:spacing w:line="240" w:lineRule="auto" w:before="0"/>
        <w:ind w:right="0"/>
        <w:jc w:val="both"/>
        <w:rPr>
          <w:b w:val="0"/>
          <w:bCs w:val="0"/>
        </w:rPr>
      </w:pPr>
      <w:r>
        <w:rPr/>
        <w:t>四、内部控制自我评价报告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6908"/>
      </w:tblGrid>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0"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71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3"/>
              <w:jc w:val="left"/>
              <w:rPr>
                <w:rFonts w:ascii="宋体" w:hAnsi="宋体" w:cs="宋体" w:eastAsia="宋体" w:hint="default"/>
                <w:sz w:val="18"/>
                <w:szCs w:val="18"/>
              </w:rPr>
            </w:pPr>
            <w:r>
              <w:rPr>
                <w:rFonts w:ascii="宋体" w:hAnsi="宋体" w:cs="宋体" w:eastAsia="宋体" w:hint="default"/>
                <w:spacing w:val="-1"/>
                <w:sz w:val="18"/>
                <w:szCs w:val="18"/>
              </w:rPr>
              <w:t>报告期内，公司对纳入评价范围的业务与事项均已建立了内部控制并得以有效执行，达到了公司内部控制的目标，不存在</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重大缺陷和重要缺陷。</w:t>
            </w:r>
          </w:p>
        </w:tc>
      </w:tr>
      <w:tr>
        <w:trPr>
          <w:trHeight w:val="716"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71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bl>
    <w:p>
      <w:pPr>
        <w:spacing w:line="240" w:lineRule="auto" w:before="1"/>
        <w:rPr>
          <w:rFonts w:ascii="宋体" w:hAnsi="宋体" w:cs="宋体" w:eastAsia="宋体" w:hint="default"/>
          <w:b/>
          <w:bCs/>
          <w:sz w:val="18"/>
          <w:szCs w:val="18"/>
        </w:rPr>
      </w:pPr>
    </w:p>
    <w:p>
      <w:pPr>
        <w:pStyle w:val="Heading2"/>
        <w:spacing w:line="240" w:lineRule="auto"/>
        <w:ind w:right="1125"/>
        <w:jc w:val="left"/>
        <w:rPr>
          <w:b w:val="0"/>
          <w:bCs w:val="0"/>
        </w:rPr>
      </w:pPr>
      <w:r>
        <w:rPr/>
        <w:t>五、内部控制审计报告</w:t>
      </w:r>
      <w:r>
        <w:rPr>
          <w:b w:val="0"/>
          <w:bCs w:val="0"/>
        </w:rPr>
      </w:r>
    </w:p>
    <w:p>
      <w:pPr>
        <w:spacing w:line="240" w:lineRule="auto" w:before="6"/>
        <w:rPr>
          <w:rFonts w:ascii="宋体" w:hAnsi="宋体" w:cs="宋体" w:eastAsia="宋体" w:hint="default"/>
          <w:b/>
          <w:bCs/>
          <w:sz w:val="26"/>
          <w:szCs w:val="26"/>
        </w:rPr>
      </w:pPr>
    </w:p>
    <w:p>
      <w:pPr>
        <w:spacing w:before="0"/>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63"/>
        <w:gridCol w:w="6908"/>
      </w:tblGrid>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我们认为，大唐高鸿数据网络技术股份有限公司于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 重大方面保持了有效的财务报告内部控制。</w:t>
            </w:r>
          </w:p>
        </w:tc>
      </w:tr>
      <w:tr>
        <w:trPr>
          <w:trHeight w:val="404"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40" w:lineRule="auto" w:before="115"/>
        <w:ind w:left="152" w:right="4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before="39"/>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ind w:right="1125"/>
        <w:jc w:val="left"/>
        <w:rPr>
          <w:b w:val="0"/>
          <w:bCs w:val="0"/>
        </w:rPr>
      </w:pPr>
      <w:r>
        <w:rPr/>
        <w:t>六、年度报告重大差错责任追究制度的建立与执行情况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ind w:right="996" w:firstLine="420"/>
        <w:jc w:val="left"/>
      </w:pPr>
      <w:r>
        <w:rPr>
          <w:spacing w:val="2"/>
        </w:rPr>
        <w:t>公司制定了《年报信息披露重大差错责任追究制度》，并经第六届第九次董事会审议通 </w:t>
      </w:r>
      <w:r>
        <w:rPr/>
        <w:t>过实施。对于在年报信息披露工作中有关人员因不履行或者不正确履行职责、义务等原因造</w:t>
      </w:r>
      <w:r>
        <w:rPr>
          <w:spacing w:val="-91"/>
        </w:rPr>
        <w:t> </w:t>
      </w:r>
      <w:r>
        <w:rPr>
          <w:spacing w:val="-91"/>
        </w:rPr>
      </w:r>
      <w:r>
        <w:rPr>
          <w:spacing w:val="-2"/>
        </w:rPr>
        <w:t>成年报披露重大差错的，公司将按制度严格追究责任，切实提高年报信息披露质量和透明度。</w:t>
      </w:r>
      <w:r>
        <w:rPr/>
        <w:t> 报告期内，公司年报信息披露未发生重大差错、重大遗漏信息补充等情况。</w:t>
      </w:r>
    </w:p>
    <w:p>
      <w:pPr>
        <w:spacing w:after="0" w:line="357" w:lineRule="auto"/>
        <w:jc w:val="left"/>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036"/>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right="1125"/>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中瑞岳华会计师事务所（特殊普通合伙）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中瑞岳华审字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before="49"/>
        <w:ind w:left="2060" w:right="3038"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128"/>
        <w:ind w:left="2060" w:right="3038"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86"/>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11"/>
        <w:rPr>
          <w:rFonts w:ascii="宋体" w:hAnsi="宋体" w:cs="宋体" w:eastAsia="宋体" w:hint="default"/>
          <w:b/>
          <w:bCs/>
          <w:sz w:val="28"/>
          <w:szCs w:val="28"/>
        </w:rPr>
      </w:pPr>
    </w:p>
    <w:p>
      <w:pPr>
        <w:pStyle w:val="BodyText"/>
        <w:spacing w:line="240" w:lineRule="auto" w:before="26"/>
        <w:ind w:left="6725" w:right="0"/>
        <w:jc w:val="left"/>
      </w:pPr>
      <w:r>
        <w:rPr/>
        <w:t>中瑞岳华审字</w:t>
      </w:r>
      <w:r>
        <w:rPr>
          <w:rFonts w:ascii="Times New Roman" w:hAnsi="Times New Roman" w:cs="Times New Roman" w:eastAsia="Times New Roman" w:hint="default"/>
        </w:rPr>
        <w:t>[2013]</w:t>
      </w:r>
      <w:r>
        <w:rPr/>
        <w:t>第</w:t>
      </w:r>
      <w:r>
        <w:rPr>
          <w:rFonts w:ascii="Times New Roman" w:hAnsi="Times New Roman" w:cs="Times New Roman" w:eastAsia="Times New Roman" w:hint="default"/>
        </w:rPr>
        <w:t>2926</w:t>
      </w:r>
      <w:r>
        <w:rPr/>
        <w:t>号</w:t>
      </w:r>
    </w:p>
    <w:p>
      <w:pPr>
        <w:spacing w:line="240" w:lineRule="auto" w:before="4"/>
        <w:rPr>
          <w:rFonts w:ascii="宋体" w:hAnsi="宋体" w:cs="宋体" w:eastAsia="宋体" w:hint="default"/>
          <w:sz w:val="20"/>
          <w:szCs w:val="20"/>
        </w:rPr>
      </w:pPr>
    </w:p>
    <w:p>
      <w:pPr>
        <w:pStyle w:val="Heading2"/>
        <w:spacing w:line="240" w:lineRule="auto"/>
        <w:ind w:right="1125"/>
        <w:jc w:val="left"/>
        <w:rPr>
          <w:b w:val="0"/>
          <w:bCs w:val="0"/>
        </w:rPr>
      </w:pPr>
      <w:r>
        <w:rPr/>
        <w:t>大唐高鸿数据网络技术股份有限公司全体股东：</w:t>
      </w:r>
      <w:r>
        <w:rPr>
          <w:b w:val="0"/>
          <w:bCs w:val="0"/>
        </w:rPr>
      </w:r>
    </w:p>
    <w:p>
      <w:pPr>
        <w:spacing w:line="240" w:lineRule="auto" w:before="9"/>
        <w:rPr>
          <w:rFonts w:ascii="宋体" w:hAnsi="宋体" w:cs="宋体" w:eastAsia="宋体" w:hint="default"/>
          <w:b/>
          <w:bCs/>
          <w:sz w:val="25"/>
          <w:szCs w:val="25"/>
        </w:rPr>
      </w:pPr>
    </w:p>
    <w:p>
      <w:pPr>
        <w:pStyle w:val="BodyText"/>
        <w:spacing w:line="273" w:lineRule="auto"/>
        <w:ind w:right="1126" w:firstLine="420"/>
        <w:jc w:val="both"/>
      </w:pPr>
      <w:r>
        <w:rPr>
          <w:spacing w:val="5"/>
        </w:rPr>
        <w:t>我们审计了后附的大唐高鸿数据网络技术股份有限公司</w:t>
      </w:r>
      <w:r>
        <w:rPr>
          <w:rFonts w:ascii="宋体" w:hAnsi="宋体" w:cs="宋体" w:eastAsia="宋体" w:hint="default"/>
          <w:spacing w:val="5"/>
        </w:rPr>
        <w:t>(</w:t>
      </w:r>
      <w:r>
        <w:rPr>
          <w:spacing w:val="5"/>
        </w:rPr>
        <w:t>以下简称“贵公司”)</w:t>
      </w:r>
      <w:r>
        <w:rPr>
          <w:spacing w:val="8"/>
        </w:rPr>
        <w:t> </w:t>
      </w:r>
      <w:r>
        <w:rPr>
          <w:spacing w:val="3"/>
        </w:rPr>
        <w:t>及其子</w:t>
      </w:r>
      <w:r>
        <w:rPr/>
        <w:t> </w:t>
      </w:r>
      <w:r>
        <w:rPr>
          <w:spacing w:val="3"/>
        </w:rPr>
        <w:t>公司</w:t>
      </w:r>
      <w:r>
        <w:rPr>
          <w:rFonts w:ascii="宋体" w:hAnsi="宋体" w:cs="宋体" w:eastAsia="宋体" w:hint="default"/>
          <w:spacing w:val="3"/>
        </w:rPr>
        <w:t>(</w:t>
      </w:r>
      <w:r>
        <w:rPr>
          <w:spacing w:val="3"/>
        </w:rPr>
        <w:t>统称“贵集团”)</w:t>
      </w:r>
      <w:r>
        <w:rPr>
          <w:spacing w:val="31"/>
        </w:rPr>
        <w:t> </w:t>
      </w:r>
      <w:r>
        <w:rPr>
          <w:spacing w:val="2"/>
        </w:rPr>
        <w:t>财务报表，包括</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日的合并及公司的资产负债表，</w:t>
      </w:r>
      <w:r>
        <w:rPr>
          <w:rFonts w:ascii="宋体" w:hAnsi="宋体" w:cs="宋体" w:eastAsia="宋体" w:hint="default"/>
          <w:spacing w:val="2"/>
        </w:rPr>
        <w:t>2012</w:t>
      </w:r>
      <w:r>
        <w:rPr>
          <w:rFonts w:ascii="宋体" w:hAnsi="宋体" w:cs="宋体" w:eastAsia="宋体" w:hint="default"/>
          <w:spacing w:val="-113"/>
        </w:rPr>
        <w:t> </w:t>
      </w:r>
      <w:r>
        <w:rPr/>
        <w:t>年度合并及公司的利润表、合并及公司的现金流量表和合并及公司的所有者权益变动表以及</w:t>
      </w:r>
      <w:r>
        <w:rPr>
          <w:spacing w:val="-91"/>
        </w:rPr>
        <w:t> </w:t>
      </w:r>
      <w:r>
        <w:rPr>
          <w:spacing w:val="-91"/>
        </w:rPr>
      </w:r>
      <w:r>
        <w:rPr/>
        <w:t>财务报表附注。</w:t>
      </w:r>
    </w:p>
    <w:p>
      <w:pPr>
        <w:spacing w:line="240" w:lineRule="auto" w:before="4"/>
        <w:rPr>
          <w:rFonts w:ascii="宋体" w:hAnsi="宋体" w:cs="宋体" w:eastAsia="宋体" w:hint="default"/>
          <w:sz w:val="28"/>
          <w:szCs w:val="28"/>
        </w:rPr>
      </w:pPr>
    </w:p>
    <w:p>
      <w:pPr>
        <w:spacing w:line="273" w:lineRule="auto" w:before="0"/>
        <w:ind w:left="573" w:right="1125" w:firstLine="6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1"/>
          <w:sz w:val="24"/>
          <w:szCs w:val="24"/>
        </w:rPr>
        <w:t>编制和公允列报财务报表是贵公司管理层的责任。这种责任包括：（</w:t>
      </w:r>
      <w:r>
        <w:rPr>
          <w:rFonts w:ascii="宋体" w:hAnsi="宋体" w:cs="宋体" w:eastAsia="宋体" w:hint="default"/>
          <w:spacing w:val="-1"/>
          <w:sz w:val="24"/>
          <w:szCs w:val="24"/>
        </w:rPr>
        <w:t>1</w:t>
      </w:r>
      <w:r>
        <w:rPr>
          <w:rFonts w:ascii="宋体" w:hAnsi="宋体" w:cs="宋体" w:eastAsia="宋体" w:hint="default"/>
          <w:spacing w:val="-1"/>
          <w:sz w:val="24"/>
          <w:szCs w:val="24"/>
        </w:rPr>
        <w:t>）按照企业会计准</w:t>
      </w:r>
    </w:p>
    <w:p>
      <w:pPr>
        <w:pStyle w:val="BodyText"/>
        <w:spacing w:line="273" w:lineRule="auto" w:before="12"/>
        <w:ind w:right="1125"/>
        <w:jc w:val="left"/>
      </w:pPr>
      <w:r>
        <w:rPr>
          <w:spacing w:val="-3"/>
        </w:rPr>
        <w:t>则的规定编制财务报表，并使其实现公允反映；（</w:t>
      </w:r>
      <w:r>
        <w:rPr>
          <w:rFonts w:ascii="宋体" w:hAnsi="宋体" w:cs="宋体" w:eastAsia="宋体" w:hint="default"/>
          <w:spacing w:val="-3"/>
        </w:rPr>
        <w:t>2</w:t>
      </w:r>
      <w:r>
        <w:rPr>
          <w:spacing w:val="-3"/>
        </w:rPr>
        <w:t>）设计、执行和维护必要的内部控制，以</w:t>
      </w:r>
      <w:r>
        <w:rPr>
          <w:spacing w:val="-83"/>
        </w:rPr>
        <w:t> </w:t>
      </w:r>
      <w:r>
        <w:rPr>
          <w:spacing w:val="-83"/>
        </w:rPr>
      </w:r>
      <w:r>
        <w:rPr/>
        <w:t>使财务报表不存在由于舞弊或错误导致的重大错报。</w:t>
      </w:r>
    </w:p>
    <w:p>
      <w:pPr>
        <w:spacing w:line="240" w:lineRule="auto" w:before="4"/>
        <w:rPr>
          <w:rFonts w:ascii="宋体" w:hAnsi="宋体" w:cs="宋体" w:eastAsia="宋体" w:hint="default"/>
          <w:sz w:val="28"/>
          <w:szCs w:val="28"/>
        </w:rPr>
      </w:pPr>
    </w:p>
    <w:p>
      <w:pPr>
        <w:pStyle w:val="Heading2"/>
        <w:spacing w:line="240" w:lineRule="auto" w:before="0"/>
        <w:ind w:left="635" w:right="1125"/>
        <w:jc w:val="left"/>
        <w:rPr>
          <w:b w:val="0"/>
          <w:bCs w:val="0"/>
        </w:rPr>
      </w:pPr>
      <w:r>
        <w:rPr/>
        <w:t>二、注册会计师的责任</w:t>
      </w:r>
      <w:r>
        <w:rPr>
          <w:b w:val="0"/>
          <w:bCs w:val="0"/>
        </w:rPr>
      </w:r>
    </w:p>
    <w:p>
      <w:pPr>
        <w:pStyle w:val="BodyText"/>
        <w:spacing w:line="273" w:lineRule="auto" w:before="46"/>
        <w:ind w:right="1133" w:firstLine="420"/>
        <w:jc w:val="both"/>
      </w:pPr>
      <w:r>
        <w:rPr>
          <w:spacing w:val="2"/>
        </w:rPr>
        <w:t>我们的责任是在执行审计工作的基础上对财务报表发表审计意见。我们按照中国注册会 </w:t>
      </w:r>
      <w:r>
        <w:rPr/>
        <w:t>计师审计准则的规定执行了审计工作。中国注册会计师审计准则要求我们遵守中国注册会计</w:t>
      </w:r>
      <w:r>
        <w:rPr>
          <w:spacing w:val="-88"/>
        </w:rPr>
        <w:t> </w:t>
      </w:r>
      <w:r>
        <w:rPr>
          <w:spacing w:val="-88"/>
        </w:rPr>
      </w:r>
      <w:r>
        <w:rPr/>
        <w:t>师职业道德守则，计划和执行审计工作以对财务报表是否不存在重大错报获取合理保证。</w:t>
      </w:r>
    </w:p>
    <w:p>
      <w:pPr>
        <w:pStyle w:val="BodyText"/>
        <w:spacing w:line="273" w:lineRule="auto" w:before="10"/>
        <w:ind w:right="996" w:firstLine="420"/>
        <w:jc w:val="left"/>
      </w:pPr>
      <w:r>
        <w:rPr>
          <w:spacing w:val="2"/>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w:t>
      </w:r>
      <w:r>
        <w:rPr>
          <w:spacing w:val="-91"/>
        </w:rPr>
        <w:t> </w:t>
      </w:r>
      <w:r>
        <w:rPr>
          <w:spacing w:val="-91"/>
        </w:rPr>
      </w:r>
      <w:r>
        <w:rPr>
          <w:spacing w:val="-2"/>
        </w:rPr>
        <w:t>当的审计程序。审计工作还包括评价管理层选用会计政策的恰当性和作出会计估计的合理性，</w:t>
      </w:r>
      <w:r>
        <w:rPr/>
        <w:t> 以及评价财务报表的总体列报。</w:t>
      </w:r>
    </w:p>
    <w:p>
      <w:pPr>
        <w:pStyle w:val="BodyText"/>
        <w:spacing w:line="240" w:lineRule="auto" w:before="12"/>
        <w:ind w:left="573" w:right="1125"/>
        <w:jc w:val="left"/>
      </w:pPr>
      <w:r>
        <w:rPr/>
        <w:t>我们相信，我们获取的审计证据是充分、适当的，为发表审计意见提供了基础。</w:t>
      </w:r>
    </w:p>
    <w:p>
      <w:pPr>
        <w:spacing w:after="0" w:line="240" w:lineRule="auto"/>
        <w:jc w:val="left"/>
        <w:sectPr>
          <w:pgSz w:w="11910" w:h="16840"/>
          <w:pgMar w:header="877" w:footer="1340" w:top="1060" w:bottom="1540" w:left="980" w:right="0"/>
        </w:sectPr>
      </w:pPr>
    </w:p>
    <w:p>
      <w:pPr>
        <w:spacing w:line="240" w:lineRule="auto" w:before="6"/>
        <w:rPr>
          <w:rFonts w:ascii="宋体" w:hAnsi="宋体" w:cs="宋体" w:eastAsia="宋体" w:hint="default"/>
          <w:sz w:val="25"/>
          <w:szCs w:val="25"/>
        </w:rPr>
      </w:pPr>
    </w:p>
    <w:p>
      <w:pPr>
        <w:pStyle w:val="Heading2"/>
        <w:spacing w:line="240" w:lineRule="auto"/>
        <w:ind w:left="675" w:right="0"/>
        <w:jc w:val="left"/>
        <w:rPr>
          <w:b w:val="0"/>
          <w:bCs w:val="0"/>
        </w:rPr>
      </w:pPr>
      <w:r>
        <w:rPr/>
        <w:t>三、审计意见</w:t>
      </w:r>
      <w:r>
        <w:rPr>
          <w:b w:val="0"/>
          <w:bCs w:val="0"/>
        </w:rPr>
      </w:r>
    </w:p>
    <w:p>
      <w:pPr>
        <w:pStyle w:val="BodyText"/>
        <w:spacing w:line="273" w:lineRule="auto" w:before="44"/>
        <w:ind w:left="192" w:right="1133" w:firstLine="420"/>
        <w:jc w:val="both"/>
      </w:pPr>
      <w:r>
        <w:rPr>
          <w:spacing w:val="2"/>
        </w:rPr>
        <w:t>我们认为，上述财务报表在所有重大方面按照企业会计准则的规定编制，公允反映了大 </w:t>
      </w:r>
      <w:r>
        <w:rPr/>
        <w:t>唐高鸿数据网络技术股份有限公司及其子公司</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日的合并财务状况以及</w:t>
      </w:r>
      <w:r>
        <w:rPr>
          <w:rFonts w:ascii="宋体" w:hAnsi="宋体" w:cs="宋体" w:eastAsia="宋体" w:hint="default"/>
        </w:rPr>
        <w:t>2012</w:t>
      </w:r>
      <w:r>
        <w:rPr/>
        <w:t>年度</w:t>
      </w:r>
      <w:r>
        <w:rPr>
          <w:spacing w:val="-89"/>
        </w:rPr>
        <w:t> </w:t>
      </w:r>
      <w:r>
        <w:rPr/>
        <w:t>的合并经营成果和合并现金流量，以及大唐高鸿数据网络技术股份有限公司</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w:t>
      </w:r>
      <w:r>
        <w:rPr>
          <w:spacing w:val="-89"/>
        </w:rPr>
        <w:t> </w:t>
      </w:r>
      <w:r>
        <w:rPr/>
        <w:t>的财务状况以及</w:t>
      </w:r>
      <w:r>
        <w:rPr>
          <w:rFonts w:ascii="宋体" w:hAnsi="宋体" w:cs="宋体" w:eastAsia="宋体" w:hint="default"/>
        </w:rPr>
        <w:t>2012</w:t>
      </w:r>
      <w:r>
        <w:rPr/>
        <w:t>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tbl>
      <w:tblPr>
        <w:tblW w:w="0" w:type="auto"/>
        <w:jc w:val="left"/>
        <w:tblInd w:w="100" w:type="dxa"/>
        <w:tblLayout w:type="fixed"/>
        <w:tblCellMar>
          <w:top w:w="0" w:type="dxa"/>
          <w:left w:w="0" w:type="dxa"/>
          <w:bottom w:w="0" w:type="dxa"/>
          <w:right w:w="0" w:type="dxa"/>
        </w:tblCellMar>
        <w:tblLook w:val="01E0"/>
      </w:tblPr>
      <w:tblGrid>
        <w:gridCol w:w="4723"/>
        <w:gridCol w:w="3043"/>
      </w:tblGrid>
      <w:tr>
        <w:trPr>
          <w:trHeight w:val="308" w:hRule="exact"/>
        </w:trPr>
        <w:tc>
          <w:tcPr>
            <w:tcW w:w="4723" w:type="dxa"/>
            <w:tcBorders>
              <w:top w:val="nil" w:sz="6" w:space="0" w:color="auto"/>
              <w:left w:val="nil" w:sz="6" w:space="0" w:color="auto"/>
              <w:bottom w:val="nil" w:sz="6" w:space="0" w:color="auto"/>
              <w:right w:val="nil" w:sz="6" w:space="0" w:color="auto"/>
            </w:tcBorders>
          </w:tcPr>
          <w:p>
            <w:pPr>
              <w:pStyle w:val="TableParagraph"/>
              <w:spacing w:line="240" w:lineRule="exact"/>
              <w:ind w:right="1"/>
              <w:jc w:val="center"/>
              <w:rPr>
                <w:rFonts w:ascii="宋体" w:hAnsi="宋体" w:cs="宋体" w:eastAsia="宋体" w:hint="default"/>
                <w:sz w:val="24"/>
                <w:szCs w:val="24"/>
              </w:rPr>
            </w:pPr>
            <w:r>
              <w:rPr>
                <w:rFonts w:ascii="宋体" w:hAnsi="宋体" w:cs="宋体" w:eastAsia="宋体" w:hint="default"/>
                <w:sz w:val="24"/>
                <w:szCs w:val="24"/>
              </w:rPr>
              <w:t>中瑞岳华会计师事务所（特殊普通合伙）</w:t>
            </w:r>
          </w:p>
        </w:tc>
        <w:tc>
          <w:tcPr>
            <w:tcW w:w="3043" w:type="dxa"/>
            <w:tcBorders>
              <w:top w:val="nil" w:sz="6" w:space="0" w:color="auto"/>
              <w:left w:val="nil" w:sz="6" w:space="0" w:color="auto"/>
              <w:bottom w:val="nil" w:sz="6" w:space="0" w:color="auto"/>
              <w:right w:val="nil" w:sz="6" w:space="0" w:color="auto"/>
            </w:tcBorders>
          </w:tcPr>
          <w:p>
            <w:pPr>
              <w:pStyle w:val="TableParagraph"/>
              <w:spacing w:line="240" w:lineRule="exact"/>
              <w:ind w:right="198"/>
              <w:jc w:val="right"/>
              <w:rPr>
                <w:rFonts w:ascii="宋体" w:hAnsi="宋体" w:cs="宋体" w:eastAsia="宋体" w:hint="default"/>
                <w:sz w:val="24"/>
                <w:szCs w:val="24"/>
              </w:rPr>
            </w:pPr>
            <w:r>
              <w:rPr>
                <w:rFonts w:ascii="宋体" w:hAnsi="宋体" w:cs="宋体" w:eastAsia="宋体" w:hint="default"/>
                <w:sz w:val="24"/>
                <w:szCs w:val="24"/>
              </w:rPr>
              <w:t>中国注册会计师：古小荣</w:t>
            </w:r>
          </w:p>
        </w:tc>
      </w:tr>
      <w:tr>
        <w:trPr>
          <w:trHeight w:val="385" w:hRule="exact"/>
        </w:trPr>
        <w:tc>
          <w:tcPr>
            <w:tcW w:w="4723" w:type="dxa"/>
            <w:tcBorders>
              <w:top w:val="nil" w:sz="6" w:space="0" w:color="auto"/>
              <w:left w:val="nil" w:sz="6" w:space="0" w:color="auto"/>
              <w:bottom w:val="nil" w:sz="6" w:space="0" w:color="auto"/>
              <w:right w:val="nil" w:sz="6" w:space="0" w:color="auto"/>
            </w:tcBorders>
          </w:tcPr>
          <w:p>
            <w:pPr>
              <w:pStyle w:val="TableParagraph"/>
              <w:spacing w:line="327" w:lineRule="exact"/>
              <w:ind w:left="-1" w:right="0"/>
              <w:jc w:val="center"/>
              <w:rPr>
                <w:rFonts w:ascii="宋体" w:hAnsi="宋体" w:cs="宋体" w:eastAsia="宋体" w:hint="default"/>
                <w:sz w:val="24"/>
                <w:szCs w:val="24"/>
              </w:rPr>
            </w:pPr>
            <w:r>
              <w:rPr>
                <w:rFonts w:ascii="宋体" w:hAnsi="宋体" w:cs="宋体" w:eastAsia="宋体" w:hint="default"/>
                <w:spacing w:val="-25"/>
                <w:sz w:val="24"/>
                <w:szCs w:val="24"/>
              </w:rPr>
              <w:t>中国</w:t>
            </w:r>
            <w:r>
              <w:rPr>
                <w:rFonts w:ascii="Times New Roman" w:hAnsi="Times New Roman" w:cs="Times New Roman" w:eastAsia="Times New Roman" w:hint="default"/>
                <w:spacing w:val="-25"/>
                <w:sz w:val="24"/>
                <w:szCs w:val="24"/>
              </w:rPr>
              <w:t>·</w:t>
            </w:r>
            <w:r>
              <w:rPr>
                <w:rFonts w:ascii="宋体" w:hAnsi="宋体" w:cs="宋体" w:eastAsia="宋体" w:hint="default"/>
                <w:spacing w:val="-25"/>
                <w:sz w:val="24"/>
                <w:szCs w:val="24"/>
              </w:rPr>
              <w:t>北京</w:t>
            </w:r>
          </w:p>
        </w:tc>
        <w:tc>
          <w:tcPr>
            <w:tcW w:w="3043" w:type="dxa"/>
            <w:tcBorders>
              <w:top w:val="nil" w:sz="6" w:space="0" w:color="auto"/>
              <w:left w:val="nil" w:sz="6" w:space="0" w:color="auto"/>
              <w:bottom w:val="nil" w:sz="6" w:space="0" w:color="auto"/>
              <w:right w:val="nil" w:sz="6" w:space="0" w:color="auto"/>
            </w:tcBorders>
          </w:tcPr>
          <w:p>
            <w:pPr>
              <w:pStyle w:val="TableParagraph"/>
              <w:spacing w:line="308" w:lineRule="exact"/>
              <w:ind w:right="198"/>
              <w:jc w:val="right"/>
              <w:rPr>
                <w:rFonts w:ascii="宋体" w:hAnsi="宋体" w:cs="宋体" w:eastAsia="宋体" w:hint="default"/>
                <w:sz w:val="24"/>
                <w:szCs w:val="24"/>
              </w:rPr>
            </w:pPr>
            <w:r>
              <w:rPr>
                <w:rFonts w:ascii="宋体" w:hAnsi="宋体" w:cs="宋体" w:eastAsia="宋体" w:hint="default"/>
                <w:sz w:val="24"/>
                <w:szCs w:val="24"/>
              </w:rPr>
              <w:t>中国注册会计师：徐宏轩</w:t>
            </w:r>
          </w:p>
        </w:tc>
      </w:tr>
      <w:tr>
        <w:trPr>
          <w:trHeight w:val="316" w:hRule="exact"/>
        </w:trPr>
        <w:tc>
          <w:tcPr>
            <w:tcW w:w="4723" w:type="dxa"/>
            <w:tcBorders>
              <w:top w:val="nil" w:sz="6" w:space="0" w:color="auto"/>
              <w:left w:val="nil" w:sz="6" w:space="0" w:color="auto"/>
              <w:bottom w:val="nil" w:sz="6" w:space="0" w:color="auto"/>
              <w:right w:val="nil" w:sz="6" w:space="0" w:color="auto"/>
            </w:tcBorders>
          </w:tcPr>
          <w:p>
            <w:pPr/>
          </w:p>
        </w:tc>
        <w:tc>
          <w:tcPr>
            <w:tcW w:w="3043" w:type="dxa"/>
            <w:tcBorders>
              <w:top w:val="nil" w:sz="6" w:space="0" w:color="auto"/>
              <w:left w:val="nil" w:sz="6" w:space="0" w:color="auto"/>
              <w:bottom w:val="nil" w:sz="6" w:space="0" w:color="auto"/>
              <w:right w:val="nil" w:sz="6" w:space="0" w:color="auto"/>
            </w:tcBorders>
          </w:tcPr>
          <w:p>
            <w:pPr>
              <w:pStyle w:val="TableParagraph"/>
              <w:spacing w:line="321" w:lineRule="exact"/>
              <w:ind w:right="212"/>
              <w:jc w:val="right"/>
              <w:rPr>
                <w:rFonts w:ascii="宋体" w:hAnsi="宋体" w:cs="宋体" w:eastAsia="宋体" w:hint="default"/>
                <w:sz w:val="24"/>
                <w:szCs w:val="24"/>
              </w:rPr>
            </w:pPr>
            <w:r>
              <w:rPr>
                <w:rFonts w:ascii="Times New Roman" w:hAnsi="Times New Roman" w:cs="Times New Roman" w:eastAsia="Times New Roman" w:hint="default"/>
                <w:sz w:val="24"/>
                <w:szCs w:val="24"/>
              </w:rPr>
              <w:t>2013</w:t>
            </w:r>
            <w:r>
              <w:rPr>
                <w:rFonts w:ascii="宋体" w:hAnsi="宋体" w:cs="宋体" w:eastAsia="宋体" w:hint="default"/>
                <w:sz w:val="24"/>
                <w:szCs w:val="24"/>
              </w:rPr>
              <w:t>年</w:t>
            </w:r>
            <w:r>
              <w:rPr>
                <w:rFonts w:ascii="Times New Roman" w:hAnsi="Times New Roman" w:cs="Times New Roman" w:eastAsia="Times New Roman" w:hint="default"/>
                <w:sz w:val="24"/>
                <w:szCs w:val="24"/>
              </w:rPr>
              <w:t>3</w:t>
            </w:r>
            <w:r>
              <w:rPr>
                <w:rFonts w:ascii="宋体" w:hAnsi="宋体" w:cs="宋体" w:eastAsia="宋体" w:hint="default"/>
                <w:sz w:val="24"/>
                <w:szCs w:val="24"/>
              </w:rPr>
              <w:t>月</w:t>
            </w:r>
            <w:r>
              <w:rPr>
                <w:rFonts w:ascii="Times New Roman" w:hAnsi="Times New Roman" w:cs="Times New Roman" w:eastAsia="Times New Roman" w:hint="default"/>
                <w:sz w:val="24"/>
                <w:szCs w:val="24"/>
              </w:rPr>
              <w:t>22</w:t>
            </w:r>
            <w:r>
              <w:rPr>
                <w:rFonts w:ascii="宋体" w:hAnsi="宋体" w:cs="宋体" w:eastAsia="宋体" w:hint="default"/>
                <w:sz w:val="24"/>
                <w:szCs w:val="24"/>
              </w:rPr>
              <w:t>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6"/>
        <w:ind w:left="192" w:right="0"/>
        <w:jc w:val="left"/>
        <w:rPr>
          <w:b w:val="0"/>
          <w:bCs w:val="0"/>
        </w:rPr>
      </w:pPr>
      <w:r>
        <w:rPr/>
        <w:t>二、财务报表</w:t>
      </w:r>
      <w:r>
        <w:rPr>
          <w:b w:val="0"/>
          <w:bCs w:val="0"/>
        </w:rPr>
      </w:r>
    </w:p>
    <w:p>
      <w:pPr>
        <w:spacing w:line="240" w:lineRule="auto" w:before="13"/>
        <w:rPr>
          <w:rFonts w:ascii="宋体" w:hAnsi="宋体" w:cs="宋体" w:eastAsia="宋体" w:hint="default"/>
          <w:b/>
          <w:bCs/>
          <w:sz w:val="29"/>
          <w:szCs w:val="29"/>
        </w:rPr>
      </w:pPr>
    </w:p>
    <w:p>
      <w:pPr>
        <w:spacing w:before="0"/>
        <w:ind w:left="19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before="0"/>
        <w:ind w:left="19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10"/>
        <w:rPr>
          <w:rFonts w:ascii="宋体" w:hAnsi="宋体" w:cs="宋体" w:eastAsia="宋体" w:hint="default"/>
          <w:b/>
          <w:bCs/>
          <w:sz w:val="29"/>
          <w:szCs w:val="29"/>
        </w:rPr>
      </w:pPr>
    </w:p>
    <w:p>
      <w:pPr>
        <w:spacing w:before="0"/>
        <w:ind w:left="192" w:right="0" w:firstLine="0"/>
        <w:jc w:val="left"/>
        <w:rPr>
          <w:rFonts w:ascii="宋体" w:hAnsi="宋体" w:cs="宋体" w:eastAsia="宋体" w:hint="default"/>
          <w:sz w:val="18"/>
          <w:szCs w:val="18"/>
        </w:rPr>
      </w:pPr>
      <w:r>
        <w:rPr>
          <w:rFonts w:ascii="宋体" w:hAnsi="宋体" w:cs="宋体" w:eastAsia="宋体" w:hint="default"/>
          <w:sz w:val="18"/>
          <w:szCs w:val="18"/>
        </w:rPr>
        <w:t>编制单位：大唐高鸿数据网络技术股份有限公司</w:t>
      </w:r>
    </w:p>
    <w:p>
      <w:pPr>
        <w:spacing w:line="240" w:lineRule="auto" w:before="1"/>
        <w:rPr>
          <w:rFonts w:ascii="宋体" w:hAnsi="宋体" w:cs="宋体" w:eastAsia="宋体" w:hint="default"/>
          <w:sz w:val="9"/>
          <w:szCs w:val="9"/>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9"/>
          <w:szCs w:val="9"/>
        </w:rPr>
      </w:pPr>
    </w:p>
    <w:tbl>
      <w:tblPr>
        <w:tblW w:w="0" w:type="auto"/>
        <w:jc w:val="left"/>
        <w:tblInd w:w="200" w:type="dxa"/>
        <w:tblLayout w:type="fixed"/>
        <w:tblCellMar>
          <w:top w:w="0" w:type="dxa"/>
          <w:left w:w="0" w:type="dxa"/>
          <w:bottom w:w="0" w:type="dxa"/>
          <w:right w:w="0" w:type="dxa"/>
        </w:tblCellMar>
        <w:tblLook w:val="01E0"/>
      </w:tblPr>
      <w:tblGrid>
        <w:gridCol w:w="2945"/>
        <w:gridCol w:w="3311"/>
        <w:gridCol w:w="3303"/>
      </w:tblGrid>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1,189,015,013.11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313,912,044.28</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22,135,829.50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18"/>
                <w:szCs w:val="18"/>
              </w:rPr>
            </w:pPr>
            <w:r>
              <w:rPr>
                <w:rFonts w:ascii="Times New Roman"/>
                <w:spacing w:val="-1"/>
                <w:sz w:val="18"/>
              </w:rPr>
              <w:t>864,517,887.31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Times New Roman" w:hAnsi="Times New Roman" w:cs="Times New Roman" w:eastAsia="Times New Roman" w:hint="default"/>
                <w:sz w:val="18"/>
                <w:szCs w:val="18"/>
              </w:rPr>
            </w:pPr>
            <w:r>
              <w:rPr>
                <w:rFonts w:ascii="Times New Roman"/>
                <w:spacing w:val="-1"/>
                <w:sz w:val="18"/>
              </w:rPr>
              <w:t>552,535,284.16</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601,504,596.59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492,023,653.23</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4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261624" coordorigin="9206,15298" coordsize="2700,1540">
            <v:shape style="position:absolute;left:9206;top:15298;width:2700;height:1540" type="#_x0000_t75" stroked="false">
              <v:imagedata r:id="rId18"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75</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125,468,109.38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118,707,658.31</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275,557,720.55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376,773,272.23</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43,025,668.15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6,192,408.60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3,099,208,995.09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1,882,280,150.31</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58,982,892.50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65,858,896.08</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138,432,233.22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141,868,141.26</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160,100,294.45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187,057,048.75</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842,000.00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81,952,529.38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77,646,140.28</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37,697,612.20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19,037,648.70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4,801,035.42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10,589,983.83</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18"/>
                <w:szCs w:val="18"/>
              </w:rPr>
            </w:pPr>
            <w:r>
              <w:rPr>
                <w:rFonts w:ascii="Times New Roman"/>
                <w:spacing w:val="-1"/>
                <w:sz w:val="18"/>
              </w:rPr>
              <w:t>8,466,349.67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18"/>
                <w:szCs w:val="18"/>
              </w:rPr>
            </w:pPr>
            <w:r>
              <w:rPr>
                <w:rFonts w:ascii="Times New Roman"/>
                <w:spacing w:val="-1"/>
                <w:sz w:val="18"/>
              </w:rPr>
              <w:t>4,682,114.90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491,274,946.84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506,739,973.80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3,590,483,941.93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2,389,020,124.11</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750,000,000.00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2"/>
          <w:footerReference w:type="default" r:id="rId43"/>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261576" coordorigin="9206,15298" coordsize="2700,1540">
            <v:shape style="position:absolute;left:9206;top:15298;width:2700;height:1540" type="#_x0000_t75" stroked="false">
              <v:imagedata r:id="rId18"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76</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20,061,500.00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284,754,060.36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228,288,087.43</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197,594,747.50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135,803,890.52</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3,797,532.62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4,415,448.11</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-12,051,626.62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-20,674,728.20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180,158,294.76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473,572,175.15</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155,300,819.68</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1,404,253,008.62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1,246,767,192.69</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18"/>
                <w:szCs w:val="18"/>
              </w:rPr>
            </w:pPr>
            <w:r>
              <w:rPr>
                <w:rFonts w:ascii="Times New Roman"/>
                <w:spacing w:val="-1"/>
                <w:sz w:val="18"/>
              </w:rPr>
              <w:t>23,900,000.00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Times New Roman" w:hAnsi="Times New Roman" w:cs="Times New Roman" w:eastAsia="Times New Roman" w:hint="default"/>
                <w:sz w:val="18"/>
                <w:szCs w:val="18"/>
              </w:rPr>
            </w:pPr>
            <w:r>
              <w:rPr>
                <w:rFonts w:ascii="Times New Roman"/>
                <w:spacing w:val="-1"/>
                <w:sz w:val="18"/>
              </w:rPr>
              <w:t>10,700,000.00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12,848,333.50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14,004,166.72</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36,748,333.50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24,704,166.72</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1,441,001,342.12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1,271,471,359.41</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headerReference w:type="default" r:id="rId44"/>
          <w:footerReference w:type="default" r:id="rId45"/>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2224" coordorigin="9206,15298" coordsize="2700,1540">
            <v:shape style="position:absolute;left:9206;top:15298;width:2700;height:1540" type="#_x0000_t75" stroked="false">
              <v:imagedata r:id="rId18"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77</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4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83"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515,940,000.00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332,900,000.00</w:t>
            </w:r>
          </w:p>
        </w:tc>
      </w:tr>
      <w:tr>
        <w:trPr>
          <w:trHeight w:val="44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1,489,734,501.74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600,117,436.47</w:t>
            </w:r>
          </w:p>
        </w:tc>
      </w:tr>
      <w:tr>
        <w:trPr>
          <w:trHeight w:val="44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11,635,547.40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3"/>
              <w:jc w:val="right"/>
              <w:rPr>
                <w:rFonts w:ascii="Times New Roman" w:hAnsi="Times New Roman" w:cs="Times New Roman" w:eastAsia="Times New Roman" w:hint="default"/>
                <w:sz w:val="18"/>
                <w:szCs w:val="18"/>
              </w:rPr>
            </w:pPr>
            <w:r>
              <w:rPr>
                <w:rFonts w:ascii="Times New Roman"/>
                <w:spacing w:val="-1"/>
                <w:sz w:val="18"/>
              </w:rPr>
              <w:t>11,635,547.40</w:t>
            </w:r>
          </w:p>
        </w:tc>
      </w:tr>
      <w:tr>
        <w:trPr>
          <w:trHeight w:val="44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99,510,284.99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74,504,571.35</w:t>
            </w:r>
          </w:p>
        </w:tc>
      </w:tr>
      <w:tr>
        <w:trPr>
          <w:trHeight w:val="44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8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2,116,820,334.13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1,019,157,555.22</w:t>
            </w:r>
          </w:p>
        </w:tc>
      </w:tr>
      <w:tr>
        <w:trPr>
          <w:trHeight w:val="44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32,662,265.68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98,391,209.48</w:t>
            </w:r>
          </w:p>
        </w:tc>
      </w:tr>
      <w:tr>
        <w:trPr>
          <w:trHeight w:val="44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2,149,482,599.81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1,117,548,764.70</w:t>
            </w:r>
          </w:p>
        </w:tc>
      </w:tr>
      <w:tr>
        <w:trPr>
          <w:trHeight w:val="80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3"/>
              <w:ind w:left="22" w:right="51"/>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3,590,483,941.93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2,389,020,124.11</w:t>
            </w:r>
          </w:p>
        </w:tc>
      </w:tr>
    </w:tbl>
    <w:p>
      <w:pPr>
        <w:spacing w:line="240" w:lineRule="auto" w:before="0"/>
        <w:rPr>
          <w:rFonts w:ascii="Times New Roman" w:hAnsi="Times New Roman" w:cs="Times New Roman" w:eastAsia="Times New Roman" w:hint="default"/>
          <w:sz w:val="25"/>
          <w:szCs w:val="25"/>
        </w:rPr>
      </w:pPr>
    </w:p>
    <w:p>
      <w:pPr>
        <w:tabs>
          <w:tab w:pos="3667" w:val="left" w:leader="none"/>
          <w:tab w:pos="7718" w:val="left" w:leader="none"/>
        </w:tabs>
        <w:spacing w:before="44"/>
        <w:ind w:left="152" w:right="1125" w:firstLine="0"/>
        <w:jc w:val="left"/>
        <w:rPr>
          <w:rFonts w:ascii="宋体" w:hAnsi="宋体" w:cs="宋体" w:eastAsia="宋体" w:hint="default"/>
          <w:sz w:val="18"/>
          <w:szCs w:val="18"/>
        </w:rPr>
      </w:pPr>
      <w:r>
        <w:rPr>
          <w:rFonts w:ascii="宋体" w:hAnsi="宋体" w:cs="宋体" w:eastAsia="宋体" w:hint="default"/>
          <w:sz w:val="18"/>
          <w:szCs w:val="18"/>
        </w:rPr>
        <w:t>法定代表人：付景林</w:t>
        <w:tab/>
      </w:r>
      <w:r>
        <w:rPr>
          <w:rFonts w:ascii="宋体" w:hAnsi="宋体" w:cs="宋体" w:eastAsia="宋体" w:hint="default"/>
          <w:spacing w:val="-1"/>
          <w:sz w:val="18"/>
          <w:szCs w:val="18"/>
        </w:rPr>
        <w:t>主管会计工作负责人：王芊</w:t>
        <w:tab/>
      </w:r>
      <w:r>
        <w:rPr>
          <w:rFonts w:ascii="宋体" w:hAnsi="宋体" w:cs="宋体" w:eastAsia="宋体" w:hint="default"/>
          <w:sz w:val="18"/>
          <w:szCs w:val="18"/>
        </w:rPr>
        <w:t>会计机构负责人：丁明锋</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11"/>
        <w:rPr>
          <w:rFonts w:ascii="宋体" w:hAnsi="宋体" w:cs="宋体" w:eastAsia="宋体" w:hint="default"/>
          <w:b/>
          <w:bCs/>
          <w:sz w:val="29"/>
          <w:szCs w:val="29"/>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编制单位：大唐高鸿数据网络技术股份有限公司</w:t>
      </w:r>
    </w:p>
    <w:p>
      <w:pPr>
        <w:spacing w:line="240" w:lineRule="auto" w:before="6"/>
        <w:rPr>
          <w:rFonts w:ascii="宋体" w:hAnsi="宋体" w:cs="宋体" w:eastAsia="宋体" w:hint="default"/>
          <w:sz w:val="12"/>
          <w:szCs w:val="12"/>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667,618,815.23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85,788,125.43</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23,115,854.76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35,121,042.63</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3"/>
              <w:ind w:right="17"/>
              <w:jc w:val="right"/>
              <w:rPr>
                <w:rFonts w:ascii="Times New Roman" w:hAnsi="Times New Roman" w:cs="Times New Roman" w:eastAsia="Times New Roman" w:hint="default"/>
                <w:sz w:val="18"/>
                <w:szCs w:val="18"/>
              </w:rPr>
            </w:pPr>
            <w:r>
              <w:rPr>
                <w:rFonts w:ascii="Times New Roman"/>
                <w:spacing w:val="-1"/>
                <w:sz w:val="18"/>
              </w:rPr>
              <w:t>23,105,452.40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Times New Roman" w:hAnsi="Times New Roman" w:cs="Times New Roman" w:eastAsia="Times New Roman" w:hint="default"/>
                <w:sz w:val="18"/>
                <w:szCs w:val="18"/>
              </w:rPr>
            </w:pPr>
            <w:r>
              <w:rPr>
                <w:rFonts w:ascii="Times New Roman"/>
                <w:spacing w:val="-1"/>
                <w:sz w:val="18"/>
              </w:rPr>
              <w:t>15,300,370.73</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245,000,000.00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590,348,806.57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379,867,742.73</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14,154,797.13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17,774,238.97</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6"/>
          <w:footerReference w:type="default" r:id="rId47"/>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261480" coordorigin="9206,15298" coordsize="2700,1540">
            <v:shape style="position:absolute;left:9206;top:15298;width:2700;height:1540" type="#_x0000_t75" stroked="false">
              <v:imagedata r:id="rId18"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78</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1,563,343,726.09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533,851,520.49</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798,942,371.76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704,488,375.34</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6"/>
              <w:jc w:val="right"/>
              <w:rPr>
                <w:rFonts w:ascii="Times New Roman" w:hAnsi="Times New Roman" w:cs="Times New Roman" w:eastAsia="Times New Roman" w:hint="default"/>
                <w:sz w:val="18"/>
                <w:szCs w:val="18"/>
              </w:rPr>
            </w:pPr>
            <w:r>
              <w:rPr>
                <w:rFonts w:ascii="Times New Roman"/>
                <w:spacing w:val="-1"/>
                <w:sz w:val="18"/>
              </w:rPr>
              <w:t>938,645.92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1,263,083.98</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26,049,920.88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30,797,440.67</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6"/>
              <w:jc w:val="right"/>
              <w:rPr>
                <w:rFonts w:ascii="Times New Roman" w:hAnsi="Times New Roman" w:cs="Times New Roman" w:eastAsia="Times New Roman" w:hint="default"/>
                <w:sz w:val="18"/>
                <w:szCs w:val="18"/>
              </w:rPr>
            </w:pPr>
            <w:r>
              <w:rPr>
                <w:rFonts w:ascii="Times New Roman"/>
                <w:spacing w:val="-1"/>
                <w:sz w:val="18"/>
              </w:rPr>
              <w:t>39,857.24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93,000.08</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825,970,795.80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736,641,900.07</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6"/>
              <w:jc w:val="right"/>
              <w:rPr>
                <w:rFonts w:ascii="Times New Roman" w:hAnsi="Times New Roman" w:cs="Times New Roman" w:eastAsia="Times New Roman" w:hint="default"/>
                <w:sz w:val="18"/>
                <w:szCs w:val="18"/>
              </w:rPr>
            </w:pPr>
            <w:r>
              <w:rPr>
                <w:rFonts w:ascii="Times New Roman"/>
                <w:spacing w:val="-1"/>
                <w:sz w:val="18"/>
              </w:rPr>
              <w:t>2,389,314,521.89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1,270,493,420.56</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260,000,000.00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4,297,126.36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9,103,321.37</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1,688,829.80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4,422,554.90</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6"/>
              <w:jc w:val="right"/>
              <w:rPr>
                <w:rFonts w:ascii="Times New Roman" w:hAnsi="Times New Roman" w:cs="Times New Roman" w:eastAsia="Times New Roman" w:hint="default"/>
                <w:sz w:val="18"/>
                <w:szCs w:val="18"/>
              </w:rPr>
            </w:pPr>
            <w:r>
              <w:rPr>
                <w:rFonts w:ascii="Times New Roman"/>
                <w:spacing w:val="-1"/>
                <w:sz w:val="18"/>
              </w:rPr>
              <w:t>495,492.59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482,648.80</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6"/>
              <w:jc w:val="right"/>
              <w:rPr>
                <w:rFonts w:ascii="Times New Roman" w:hAnsi="Times New Roman" w:cs="Times New Roman" w:eastAsia="Times New Roman" w:hint="default"/>
                <w:sz w:val="18"/>
                <w:szCs w:val="18"/>
              </w:rPr>
            </w:pPr>
            <w:r>
              <w:rPr>
                <w:rFonts w:ascii="Times New Roman"/>
                <w:spacing w:val="-1"/>
                <w:sz w:val="18"/>
              </w:rPr>
              <w:t>630,574.88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333,510.78</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8"/>
          <w:footerReference w:type="default" r:id="rId49"/>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58,439,373.41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330,326,309.80</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155,300,819.68</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325,551,397.04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499,969,165.33</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12,300,000.00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7,900,000.00</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4,187,500.13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4,687,500.05</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16,487,500.13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12,587,500.05</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342,038,897.17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512,556,665.38</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515,940,000.00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332,900,000.00</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1,484,458,701.63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588,063,901.63</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11,635,547.40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3"/>
              <w:jc w:val="right"/>
              <w:rPr>
                <w:rFonts w:ascii="Times New Roman" w:hAnsi="Times New Roman" w:cs="Times New Roman" w:eastAsia="Times New Roman" w:hint="default"/>
                <w:sz w:val="18"/>
                <w:szCs w:val="18"/>
              </w:rPr>
            </w:pPr>
            <w:r>
              <w:rPr>
                <w:rFonts w:ascii="Times New Roman"/>
                <w:spacing w:val="-1"/>
                <w:sz w:val="18"/>
              </w:rPr>
              <w:t>11,635,547.40</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35,241,375.69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-174,662,693.85</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3"/>
              <w:ind w:right="17"/>
              <w:jc w:val="right"/>
              <w:rPr>
                <w:rFonts w:ascii="Times New Roman" w:hAnsi="Times New Roman" w:cs="Times New Roman" w:eastAsia="Times New Roman" w:hint="default"/>
                <w:sz w:val="18"/>
                <w:szCs w:val="18"/>
              </w:rPr>
            </w:pPr>
            <w:r>
              <w:rPr>
                <w:rFonts w:ascii="Times New Roman"/>
                <w:spacing w:val="-1"/>
                <w:sz w:val="18"/>
              </w:rPr>
              <w:t>2,047,275,624.72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Times New Roman" w:hAnsi="Times New Roman" w:cs="Times New Roman" w:eastAsia="Times New Roman" w:hint="default"/>
                <w:sz w:val="18"/>
                <w:szCs w:val="18"/>
              </w:rPr>
            </w:pPr>
            <w:r>
              <w:rPr>
                <w:rFonts w:ascii="Times New Roman"/>
                <w:spacing w:val="-1"/>
                <w:sz w:val="18"/>
              </w:rPr>
              <w:t>757,936,755.18</w:t>
            </w:r>
          </w:p>
        </w:tc>
      </w:tr>
      <w:tr>
        <w:trPr>
          <w:trHeight w:val="80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3"/>
              <w:ind w:left="12"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2,389,314,521.89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1,270,493,420.56</w:t>
            </w:r>
          </w:p>
        </w:tc>
      </w:tr>
    </w:tbl>
    <w:p>
      <w:pPr>
        <w:spacing w:line="240" w:lineRule="auto" w:before="0"/>
        <w:rPr>
          <w:rFonts w:ascii="Times New Roman" w:hAnsi="Times New Roman" w:cs="Times New Roman" w:eastAsia="Times New Roman" w:hint="default"/>
          <w:sz w:val="25"/>
          <w:szCs w:val="25"/>
        </w:rPr>
      </w:pPr>
    </w:p>
    <w:p>
      <w:pPr>
        <w:tabs>
          <w:tab w:pos="3667" w:val="left" w:leader="none"/>
          <w:tab w:pos="7718" w:val="left" w:leader="none"/>
        </w:tabs>
        <w:spacing w:before="44"/>
        <w:ind w:left="152" w:right="1125" w:firstLine="0"/>
        <w:jc w:val="left"/>
        <w:rPr>
          <w:rFonts w:ascii="宋体" w:hAnsi="宋体" w:cs="宋体" w:eastAsia="宋体" w:hint="default"/>
          <w:sz w:val="18"/>
          <w:szCs w:val="18"/>
        </w:rPr>
      </w:pPr>
      <w:r>
        <w:rPr>
          <w:rFonts w:ascii="宋体" w:hAnsi="宋体" w:cs="宋体" w:eastAsia="宋体" w:hint="default"/>
          <w:sz w:val="18"/>
          <w:szCs w:val="18"/>
        </w:rPr>
        <w:t>法定代表人：付景林</w:t>
        <w:tab/>
      </w:r>
      <w:r>
        <w:rPr>
          <w:rFonts w:ascii="宋体" w:hAnsi="宋体" w:cs="宋体" w:eastAsia="宋体" w:hint="default"/>
          <w:spacing w:val="-1"/>
          <w:sz w:val="18"/>
          <w:szCs w:val="18"/>
        </w:rPr>
        <w:t>主管会计工作负责人：王芊</w:t>
        <w:tab/>
      </w:r>
      <w:r>
        <w:rPr>
          <w:rFonts w:ascii="宋体" w:hAnsi="宋体" w:cs="宋体" w:eastAsia="宋体" w:hint="default"/>
          <w:sz w:val="18"/>
          <w:szCs w:val="18"/>
        </w:rPr>
        <w:t>会计机构负责人：丁明锋</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10"/>
        <w:rPr>
          <w:rFonts w:ascii="宋体" w:hAnsi="宋体" w:cs="宋体" w:eastAsia="宋体" w:hint="default"/>
          <w:b/>
          <w:bCs/>
          <w:sz w:val="29"/>
          <w:szCs w:val="29"/>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编制单位：大唐高鸿数据网络技术股份有限公司</w:t>
      </w:r>
    </w:p>
    <w:p>
      <w:pPr>
        <w:spacing w:after="0"/>
        <w:jc w:val="left"/>
        <w:rPr>
          <w:rFonts w:ascii="宋体" w:hAnsi="宋体" w:cs="宋体" w:eastAsia="宋体" w:hint="default"/>
          <w:sz w:val="18"/>
          <w:szCs w:val="18"/>
        </w:rPr>
        <w:sectPr>
          <w:footerReference w:type="default" r:id="rId50"/>
          <w:pgSz w:w="11910" w:h="16840"/>
          <w:pgMar w:footer="1253" w:header="877" w:top="1060" w:bottom="1440" w:left="980" w:right="0"/>
          <w:pgNumType w:start="79"/>
        </w:sectPr>
      </w:pPr>
    </w:p>
    <w:p>
      <w:pPr>
        <w:spacing w:line="240" w:lineRule="auto" w:before="7"/>
        <w:rPr>
          <w:rFonts w:ascii="宋体" w:hAnsi="宋体" w:cs="宋体" w:eastAsia="宋体" w:hint="default"/>
          <w:sz w:val="27"/>
          <w:szCs w:val="27"/>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4,616,859,715.76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4,082,323,118.43</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4,616,859,715.76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4,082,323,118.43</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4,585,906,272.20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4,057,633,420.16</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4,331,854,396.10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3,815,798,539.67</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10,439,763.96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8,944,836.02</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67,686,796.80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93,979,731.81</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84,739,194.35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86,989,574.25</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56,942,652.46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39,839,113.05</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34,243,468.53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12,081,625.36</w:t>
            </w:r>
          </w:p>
        </w:tc>
      </w:tr>
      <w:tr>
        <w:trPr>
          <w:trHeight w:val="8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12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8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108"/>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2,816,346.84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288,495.95</w:t>
            </w:r>
          </w:p>
        </w:tc>
      </w:tr>
      <w:tr>
        <w:trPr>
          <w:trHeight w:val="8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3"/>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602,854.42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288,495.95</w:t>
            </w:r>
          </w:p>
        </w:tc>
      </w:tr>
      <w:tr>
        <w:trPr>
          <w:trHeight w:val="8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91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108"/>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33,769,790.40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24,978,194.22</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8,953,547.54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10,846,104.01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53" w:top="1060" w:bottom="14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2,266,155.45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1,064,187.02</w:t>
            </w:r>
          </w:p>
        </w:tc>
      </w:tr>
      <w:tr>
        <w:trPr>
          <w:trHeight w:val="8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91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122"/>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581,375.93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117,157.67</w:t>
            </w:r>
          </w:p>
        </w:tc>
      </w:tr>
      <w:tr>
        <w:trPr>
          <w:trHeight w:val="8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5" w:lineRule="auto" w:before="75"/>
              <w:ind w:left="12"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40,457,182.49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34,760,111.21</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17,958,147.38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7,602,428.11</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22,499,035.11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27,157,683.10</w:t>
            </w:r>
          </w:p>
        </w:tc>
      </w:tr>
      <w:tr>
        <w:trPr>
          <w:trHeight w:val="8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3"/>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14,162.86</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25,005,713.64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spacing w:val="-1"/>
                <w:sz w:val="18"/>
              </w:rPr>
              <w:t>23,473,158.66</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-2,506,678.53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3,684,524.44</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5"/>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0.0718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0.0705</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0.0718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0.0705</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1,376,513.18</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22,499,035.11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spacing w:val="-1"/>
                <w:sz w:val="18"/>
              </w:rPr>
              <w:t>28,534,196.28</w:t>
            </w:r>
          </w:p>
        </w:tc>
      </w:tr>
      <w:tr>
        <w:trPr>
          <w:trHeight w:val="8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122"/>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25,005,713.64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24,849,671.84</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-2,506,678.53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z w:val="18"/>
              </w:rPr>
              <w:t>3,684,524.44</w:t>
            </w:r>
          </w:p>
        </w:tc>
      </w:tr>
    </w:tbl>
    <w:p>
      <w:pPr>
        <w:spacing w:before="70"/>
        <w:ind w:left="152" w:right="1125"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tabs>
          <w:tab w:pos="3667" w:val="left" w:leader="none"/>
          <w:tab w:pos="7718" w:val="left" w:leader="none"/>
        </w:tabs>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法定代表人：付景林</w:t>
        <w:tab/>
      </w:r>
      <w:r>
        <w:rPr>
          <w:rFonts w:ascii="宋体" w:hAnsi="宋体" w:cs="宋体" w:eastAsia="宋体" w:hint="default"/>
          <w:spacing w:val="-1"/>
          <w:sz w:val="18"/>
          <w:szCs w:val="18"/>
        </w:rPr>
        <w:t>主管会计工作负责人：王芊</w:t>
        <w:tab/>
      </w:r>
      <w:r>
        <w:rPr>
          <w:rFonts w:ascii="宋体" w:hAnsi="宋体" w:cs="宋体" w:eastAsia="宋体" w:hint="default"/>
          <w:sz w:val="18"/>
          <w:szCs w:val="18"/>
        </w:rPr>
        <w:t>会计机构负责人：丁明锋</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40" w:lineRule="auto" w:before="10"/>
        <w:rPr>
          <w:rFonts w:ascii="宋体" w:hAnsi="宋体" w:cs="宋体" w:eastAsia="宋体" w:hint="default"/>
          <w:b/>
          <w:bCs/>
          <w:sz w:val="29"/>
          <w:szCs w:val="29"/>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编制单位：大唐高鸿数据网络技术股份有限公司</w:t>
      </w:r>
    </w:p>
    <w:p>
      <w:pPr>
        <w:spacing w:line="240" w:lineRule="auto" w:before="6"/>
        <w:rPr>
          <w:rFonts w:ascii="宋体" w:hAnsi="宋体" w:cs="宋体" w:eastAsia="宋体" w:hint="default"/>
          <w:sz w:val="12"/>
          <w:szCs w:val="12"/>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10,657,759.81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31,311,893.56</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7,768,246.46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13,656,702.36</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4"/>
              <w:jc w:val="right"/>
              <w:rPr>
                <w:rFonts w:ascii="Times New Roman" w:hAnsi="Times New Roman" w:cs="Times New Roman" w:eastAsia="Times New Roman" w:hint="default"/>
                <w:sz w:val="18"/>
                <w:szCs w:val="18"/>
              </w:rPr>
            </w:pPr>
            <w:r>
              <w:rPr>
                <w:rFonts w:ascii="Times New Roman"/>
                <w:sz w:val="18"/>
              </w:rPr>
              <w:t>485,789.19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1,575,323.33</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1,690,329.51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8,304,426.86</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14,861,305.14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3"/>
              <w:jc w:val="right"/>
              <w:rPr>
                <w:rFonts w:ascii="Times New Roman" w:hAnsi="Times New Roman" w:cs="Times New Roman" w:eastAsia="Times New Roman" w:hint="default"/>
                <w:sz w:val="18"/>
                <w:szCs w:val="18"/>
              </w:rPr>
            </w:pPr>
            <w:r>
              <w:rPr>
                <w:rFonts w:ascii="Times New Roman"/>
                <w:spacing w:val="-1"/>
                <w:sz w:val="18"/>
              </w:rPr>
              <w:t>11,303,945.70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53" w:top="1060" w:bottom="14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12,123,935.79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14,803,280.10</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12,135,998.08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5,015,525.87</w:t>
            </w:r>
          </w:p>
        </w:tc>
      </w:tr>
      <w:tr>
        <w:trPr>
          <w:trHeight w:val="806"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12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108"/>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247,816,346.84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288,495.95</w:t>
            </w:r>
          </w:p>
        </w:tc>
      </w:tr>
      <w:tr>
        <w:trPr>
          <w:trHeight w:val="806"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3"/>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602,854.42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288,495.95</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5"/>
              <w:ind w:right="17"/>
              <w:jc w:val="right"/>
              <w:rPr>
                <w:rFonts w:ascii="Times New Roman" w:hAnsi="Times New Roman" w:cs="Times New Roman" w:eastAsia="Times New Roman" w:hint="default"/>
                <w:sz w:val="18"/>
                <w:szCs w:val="18"/>
              </w:rPr>
            </w:pPr>
            <w:r>
              <w:rPr>
                <w:rFonts w:ascii="Times New Roman"/>
                <w:spacing w:val="-1"/>
                <w:sz w:val="18"/>
              </w:rPr>
              <w:t>209,408,502.48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-23,058,814.71</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5"/>
              <w:ind w:right="16"/>
              <w:jc w:val="right"/>
              <w:rPr>
                <w:rFonts w:ascii="Times New Roman" w:hAnsi="Times New Roman" w:cs="Times New Roman" w:eastAsia="Times New Roman" w:hint="default"/>
                <w:sz w:val="18"/>
                <w:szCs w:val="18"/>
              </w:rPr>
            </w:pPr>
            <w:r>
              <w:rPr>
                <w:rFonts w:ascii="Times New Roman"/>
                <w:spacing w:val="-1"/>
                <w:sz w:val="18"/>
              </w:rPr>
              <w:t>500,499.92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271,233.29</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5"/>
              <w:ind w:right="16"/>
              <w:jc w:val="right"/>
              <w:rPr>
                <w:rFonts w:ascii="Times New Roman" w:hAnsi="Times New Roman" w:cs="Times New Roman" w:eastAsia="Times New Roman" w:hint="default"/>
                <w:sz w:val="18"/>
                <w:szCs w:val="18"/>
              </w:rPr>
            </w:pPr>
            <w:r>
              <w:rPr>
                <w:rFonts w:ascii="Times New Roman"/>
                <w:w w:val="95"/>
                <w:sz w:val="18"/>
              </w:rPr>
              <w:t>4,932.86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35,549.92</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5"/>
              <w:ind w:right="16"/>
              <w:jc w:val="right"/>
              <w:rPr>
                <w:rFonts w:ascii="Times New Roman" w:hAnsi="Times New Roman" w:cs="Times New Roman" w:eastAsia="Times New Roman" w:hint="default"/>
                <w:sz w:val="18"/>
                <w:szCs w:val="18"/>
              </w:rPr>
            </w:pPr>
            <w:r>
              <w:rPr>
                <w:rFonts w:ascii="Times New Roman"/>
                <w:w w:val="95"/>
                <w:sz w:val="18"/>
              </w:rPr>
              <w:t>4,932.86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w w:val="95"/>
                <w:sz w:val="18"/>
              </w:rPr>
              <w:t>3,036.25</w:t>
            </w:r>
          </w:p>
        </w:tc>
      </w:tr>
      <w:tr>
        <w:trPr>
          <w:trHeight w:val="80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5" w:lineRule="auto" w:before="75"/>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209,904,069.54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-22,823,131.34</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209,904,069.54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-22,823,131.34</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2"/>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3"/>
              <w:ind w:right="16"/>
              <w:jc w:val="right"/>
              <w:rPr>
                <w:rFonts w:ascii="Times New Roman" w:hAnsi="Times New Roman" w:cs="Times New Roman" w:eastAsia="Times New Roman" w:hint="default"/>
                <w:sz w:val="18"/>
                <w:szCs w:val="18"/>
              </w:rPr>
            </w:pPr>
            <w:r>
              <w:rPr>
                <w:rFonts w:ascii="Times New Roman"/>
                <w:spacing w:val="-1"/>
                <w:sz w:val="18"/>
              </w:rPr>
              <w:t>0.6029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18"/>
                <w:szCs w:val="18"/>
              </w:rPr>
            </w:pPr>
            <w:r>
              <w:rPr>
                <w:rFonts w:ascii="Times New Roman"/>
                <w:spacing w:val="-1"/>
                <w:sz w:val="18"/>
              </w:rPr>
              <w:t>-0.0686</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6"/>
              <w:jc w:val="right"/>
              <w:rPr>
                <w:rFonts w:ascii="Times New Roman" w:hAnsi="Times New Roman" w:cs="Times New Roman" w:eastAsia="Times New Roman" w:hint="default"/>
                <w:sz w:val="18"/>
                <w:szCs w:val="18"/>
              </w:rPr>
            </w:pPr>
            <w:r>
              <w:rPr>
                <w:rFonts w:ascii="Times New Roman"/>
                <w:spacing w:val="-1"/>
                <w:sz w:val="18"/>
              </w:rPr>
              <w:t>0.6029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-0.0686</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1,376,513.18</w:t>
            </w:r>
          </w:p>
        </w:tc>
      </w:tr>
      <w:tr>
        <w:trPr>
          <w:trHeight w:val="449"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pacing w:val="-1"/>
                <w:sz w:val="18"/>
              </w:rPr>
              <w:t>209,904,069.54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-21,446,618.16</w:t>
            </w:r>
          </w:p>
        </w:tc>
      </w:tr>
    </w:tbl>
    <w:p>
      <w:pPr>
        <w:spacing w:line="240" w:lineRule="auto" w:before="13"/>
        <w:rPr>
          <w:rFonts w:ascii="宋体" w:hAnsi="宋体" w:cs="宋体" w:eastAsia="宋体" w:hint="default"/>
          <w:sz w:val="21"/>
          <w:szCs w:val="21"/>
        </w:rPr>
      </w:pPr>
    </w:p>
    <w:p>
      <w:pPr>
        <w:tabs>
          <w:tab w:pos="3667" w:val="left" w:leader="none"/>
          <w:tab w:pos="7718" w:val="left" w:leader="none"/>
        </w:tabs>
        <w:spacing w:before="44"/>
        <w:ind w:left="152" w:right="1125" w:firstLine="0"/>
        <w:jc w:val="left"/>
        <w:rPr>
          <w:rFonts w:ascii="宋体" w:hAnsi="宋体" w:cs="宋体" w:eastAsia="宋体" w:hint="default"/>
          <w:sz w:val="18"/>
          <w:szCs w:val="18"/>
        </w:rPr>
      </w:pPr>
      <w:r>
        <w:rPr>
          <w:rFonts w:ascii="宋体" w:hAnsi="宋体" w:cs="宋体" w:eastAsia="宋体" w:hint="default"/>
          <w:sz w:val="18"/>
          <w:szCs w:val="18"/>
        </w:rPr>
        <w:t>法定代表人：付景林</w:t>
        <w:tab/>
      </w:r>
      <w:r>
        <w:rPr>
          <w:rFonts w:ascii="宋体" w:hAnsi="宋体" w:cs="宋体" w:eastAsia="宋体" w:hint="default"/>
          <w:spacing w:val="-1"/>
          <w:sz w:val="18"/>
          <w:szCs w:val="18"/>
        </w:rPr>
        <w:t>主管会计工作负责人：王芊</w:t>
        <w:tab/>
      </w:r>
      <w:r>
        <w:rPr>
          <w:rFonts w:ascii="宋体" w:hAnsi="宋体" w:cs="宋体" w:eastAsia="宋体" w:hint="default"/>
          <w:sz w:val="18"/>
          <w:szCs w:val="18"/>
        </w:rPr>
        <w:t>会计机构负责人：丁明锋</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10"/>
        <w:rPr>
          <w:rFonts w:ascii="宋体" w:hAnsi="宋体" w:cs="宋体" w:eastAsia="宋体" w:hint="default"/>
          <w:b/>
          <w:bCs/>
          <w:sz w:val="29"/>
          <w:szCs w:val="29"/>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编制单位：大唐高鸿数据网络技术股份有限公司</w:t>
      </w:r>
    </w:p>
    <w:p>
      <w:pPr>
        <w:spacing w:line="240" w:lineRule="auto" w:before="6"/>
        <w:rPr>
          <w:rFonts w:ascii="宋体" w:hAnsi="宋体" w:cs="宋体" w:eastAsia="宋体" w:hint="default"/>
          <w:sz w:val="12"/>
          <w:szCs w:val="12"/>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5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4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left="2013" w:right="0"/>
              <w:jc w:val="left"/>
              <w:rPr>
                <w:rFonts w:ascii="Times New Roman" w:hAnsi="Times New Roman" w:cs="Times New Roman" w:eastAsia="Times New Roman" w:hint="default"/>
                <w:sz w:val="18"/>
                <w:szCs w:val="18"/>
              </w:rPr>
            </w:pPr>
            <w:r>
              <w:rPr>
                <w:rFonts w:ascii="Times New Roman"/>
                <w:sz w:val="18"/>
              </w:rPr>
              <w:t>5,168,160,198.31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009" w:right="0"/>
              <w:jc w:val="left"/>
              <w:rPr>
                <w:rFonts w:ascii="Times New Roman" w:hAnsi="Times New Roman" w:cs="Times New Roman" w:eastAsia="Times New Roman" w:hint="default"/>
                <w:sz w:val="18"/>
                <w:szCs w:val="18"/>
              </w:rPr>
            </w:pPr>
            <w:r>
              <w:rPr>
                <w:rFonts w:ascii="Times New Roman"/>
                <w:sz w:val="18"/>
              </w:rPr>
              <w:t>4,646,882,137.84</w:t>
            </w:r>
          </w:p>
        </w:tc>
      </w:tr>
      <w:tr>
        <w:trPr>
          <w:trHeight w:val="8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122"/>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53" w:top="1060" w:bottom="14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8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122"/>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40"/>
              <w:jc w:val="right"/>
              <w:rPr>
                <w:rFonts w:ascii="宋体" w:hAnsi="宋体" w:cs="宋体" w:eastAsia="宋体" w:hint="default"/>
                <w:sz w:val="18"/>
                <w:szCs w:val="18"/>
              </w:rPr>
            </w:pPr>
            <w:r>
              <w:rPr>
                <w:rFonts w:ascii="宋体" w:hAnsi="宋体" w:cs="宋体" w:eastAsia="宋体" w:hint="default"/>
                <w:spacing w:val="-1"/>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3,826,504.65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1,886,053.48</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121,664,382.82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spacing w:val="-1"/>
                <w:sz w:val="18"/>
              </w:rPr>
              <w:t>90,958,327.62</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5,293,651,085.78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spacing w:val="-1"/>
                <w:sz w:val="18"/>
              </w:rPr>
              <w:t>4,739,726,518.94</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5,059,299,158.99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spacing w:val="-1"/>
                <w:sz w:val="18"/>
              </w:rPr>
              <w:t>4,751,283,370.31</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122"/>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8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122"/>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61,915,909.56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58,499,789.40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66,840,730.15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spacing w:val="-1"/>
                <w:sz w:val="18"/>
              </w:rPr>
              <w:t>70,405,595.86</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142,167,518.97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spacing w:val="-1"/>
                <w:sz w:val="18"/>
              </w:rPr>
              <w:t>219,118,469.52</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5,330,223,317.67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spacing w:val="-1"/>
                <w:sz w:val="18"/>
              </w:rPr>
              <w:t>5,099,307,225.09</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-36,572,231.89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spacing w:val="-1"/>
                <w:sz w:val="18"/>
              </w:rPr>
              <w:t>-359,580,706.15</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5,525,700.00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260,000.00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5"/>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104,085.00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21,020.00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53" w:top="1060" w:bottom="14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80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3"/>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5,889,785.00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21,020.00</w:t>
            </w:r>
          </w:p>
        </w:tc>
      </w:tr>
      <w:tr>
        <w:trPr>
          <w:trHeight w:val="8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5"/>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80,099,925.64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146,426,932.29</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45,500,000.00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1,369,595.46</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80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3"/>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5,630,404.54</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125,599,925.64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spacing w:val="-1"/>
                <w:sz w:val="18"/>
              </w:rPr>
              <w:t>153,426,932.29</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-119,710,140.64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spacing w:val="-1"/>
                <w:sz w:val="18"/>
              </w:rPr>
              <w:t>-153,405,912.29</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1,084,204,800.00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5"/>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18"/>
                <w:szCs w:val="18"/>
              </w:rPr>
            </w:pPr>
            <w:r>
              <w:rPr>
                <w:rFonts w:ascii="Times New Roman"/>
                <w:spacing w:val="-1"/>
                <w:sz w:val="18"/>
              </w:rPr>
              <w:t>1,370,000,000.00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Times New Roman" w:hAnsi="Times New Roman" w:cs="Times New Roman" w:eastAsia="Times New Roman" w:hint="default"/>
                <w:sz w:val="18"/>
                <w:szCs w:val="18"/>
              </w:rPr>
            </w:pPr>
            <w:r>
              <w:rPr>
                <w:rFonts w:ascii="Times New Roman"/>
                <w:spacing w:val="-1"/>
                <w:sz w:val="18"/>
              </w:rPr>
              <w:t>918,000,000.00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2,454,204,800.00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918,000,000.00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1,350,000,000.00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591,186,000.00</w:t>
            </w:r>
          </w:p>
        </w:tc>
      </w:tr>
      <w:tr>
        <w:trPr>
          <w:trHeight w:val="8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3"/>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64,239,683.64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34,302,617.41</w:t>
            </w:r>
          </w:p>
        </w:tc>
      </w:tr>
      <w:tr>
        <w:trPr>
          <w:trHeight w:val="8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5"/>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8,579,775.00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613,817.36</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1,422,819,458.64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626,102,434.77</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1,031,385,341.36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291,897,565.23</w:t>
            </w:r>
          </w:p>
        </w:tc>
      </w:tr>
      <w:tr>
        <w:trPr>
          <w:trHeight w:val="8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3"/>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875,102,968.83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spacing w:val="-1"/>
                <w:sz w:val="18"/>
              </w:rPr>
              <w:t>-221,089,053.21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53" w:top="1060" w:bottom="14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4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313,912,044.28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535,001,097.49</w:t>
            </w:r>
          </w:p>
        </w:tc>
      </w:tr>
      <w:tr>
        <w:trPr>
          <w:trHeight w:val="449"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1,189,015,013.11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313,912,044.28</w:t>
            </w:r>
          </w:p>
        </w:tc>
      </w:tr>
    </w:tbl>
    <w:p>
      <w:pPr>
        <w:spacing w:line="240" w:lineRule="auto" w:before="0"/>
        <w:rPr>
          <w:rFonts w:ascii="Times New Roman" w:hAnsi="Times New Roman" w:cs="Times New Roman" w:eastAsia="Times New Roman" w:hint="default"/>
          <w:sz w:val="25"/>
          <w:szCs w:val="25"/>
        </w:rPr>
      </w:pPr>
    </w:p>
    <w:p>
      <w:pPr>
        <w:tabs>
          <w:tab w:pos="3667" w:val="left" w:leader="none"/>
          <w:tab w:pos="7718" w:val="left" w:leader="none"/>
        </w:tabs>
        <w:spacing w:before="44"/>
        <w:ind w:left="152" w:right="1125" w:firstLine="0"/>
        <w:jc w:val="left"/>
        <w:rPr>
          <w:rFonts w:ascii="宋体" w:hAnsi="宋体" w:cs="宋体" w:eastAsia="宋体" w:hint="default"/>
          <w:sz w:val="18"/>
          <w:szCs w:val="18"/>
        </w:rPr>
      </w:pPr>
      <w:r>
        <w:rPr>
          <w:rFonts w:ascii="宋体" w:hAnsi="宋体" w:cs="宋体" w:eastAsia="宋体" w:hint="default"/>
          <w:sz w:val="18"/>
          <w:szCs w:val="18"/>
        </w:rPr>
        <w:t>法定代表人：付景林</w:t>
        <w:tab/>
      </w:r>
      <w:r>
        <w:rPr>
          <w:rFonts w:ascii="宋体" w:hAnsi="宋体" w:cs="宋体" w:eastAsia="宋体" w:hint="default"/>
          <w:spacing w:val="-1"/>
          <w:sz w:val="18"/>
          <w:szCs w:val="18"/>
        </w:rPr>
        <w:t>主管会计工作负责人：王芊</w:t>
        <w:tab/>
      </w:r>
      <w:r>
        <w:rPr>
          <w:rFonts w:ascii="宋体" w:hAnsi="宋体" w:cs="宋体" w:eastAsia="宋体" w:hint="default"/>
          <w:sz w:val="18"/>
          <w:szCs w:val="18"/>
        </w:rPr>
        <w:t>会计机构负责人：丁明锋</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10"/>
        <w:rPr>
          <w:rFonts w:ascii="宋体" w:hAnsi="宋体" w:cs="宋体" w:eastAsia="宋体" w:hint="default"/>
          <w:b/>
          <w:bCs/>
          <w:sz w:val="29"/>
          <w:szCs w:val="29"/>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编制单位：大唐高鸿数据网络技术股份有限公司</w:t>
      </w:r>
    </w:p>
    <w:p>
      <w:pPr>
        <w:spacing w:line="240" w:lineRule="auto" w:before="6"/>
        <w:rPr>
          <w:rFonts w:ascii="宋体" w:hAnsi="宋体" w:cs="宋体" w:eastAsia="宋体" w:hint="default"/>
          <w:sz w:val="12"/>
          <w:szCs w:val="12"/>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5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4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18,310,552.00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31,779,583.32</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167,373,532.36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spacing w:val="-1"/>
                <w:sz w:val="18"/>
              </w:rPr>
              <w:t>36,564,715.65</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185,684,084.36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spacing w:val="-1"/>
                <w:sz w:val="18"/>
              </w:rPr>
              <w:t>68,344,298.97</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18,955,206.64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spacing w:val="-1"/>
                <w:sz w:val="18"/>
              </w:rPr>
              <w:t>-2,292,867.26</w:t>
            </w:r>
          </w:p>
        </w:tc>
      </w:tr>
      <w:tr>
        <w:trPr>
          <w:trHeight w:val="8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122"/>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1,349,489.07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4,393,399.36</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18"/>
                <w:szCs w:val="18"/>
              </w:rPr>
            </w:pPr>
            <w:r>
              <w:rPr>
                <w:rFonts w:ascii="Times New Roman"/>
                <w:spacing w:val="-1"/>
                <w:sz w:val="18"/>
              </w:rPr>
              <w:t>969,534.57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18"/>
                <w:szCs w:val="18"/>
              </w:rPr>
            </w:pPr>
            <w:r>
              <w:rPr>
                <w:rFonts w:ascii="Times New Roman"/>
                <w:spacing w:val="-1"/>
                <w:sz w:val="18"/>
              </w:rPr>
              <w:t>1,205,328.50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373,974,510.28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371,468,237.28</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395,248,740.56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374,774,097.88</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-209,564,656.20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-306,429,798.91</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5,525,700.00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260,000.00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80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3"/>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1,266.00</w:t>
            </w:r>
          </w:p>
        </w:tc>
      </w:tr>
      <w:tr>
        <w:trPr>
          <w:trHeight w:val="8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5"/>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5,785,700.00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w w:val="95"/>
                <w:sz w:val="18"/>
              </w:rPr>
              <w:t>1,266.00</w:t>
            </w:r>
          </w:p>
        </w:tc>
      </w:tr>
      <w:tr>
        <w:trPr>
          <w:trHeight w:val="8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3"/>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317,349.00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2,316,008.17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53" w:top="1060" w:bottom="14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74,900,000.00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232,000,000.00</w:t>
            </w:r>
          </w:p>
        </w:tc>
      </w:tr>
      <w:tr>
        <w:trPr>
          <w:trHeight w:val="8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3"/>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75,217,349.00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spacing w:val="-1"/>
                <w:sz w:val="18"/>
              </w:rPr>
              <w:t>234,316,008.17</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right="18"/>
              <w:jc w:val="right"/>
              <w:rPr>
                <w:rFonts w:ascii="Times New Roman" w:hAnsi="Times New Roman" w:cs="Times New Roman" w:eastAsia="Times New Roman" w:hint="default"/>
                <w:sz w:val="18"/>
                <w:szCs w:val="18"/>
              </w:rPr>
            </w:pPr>
            <w:r>
              <w:rPr>
                <w:rFonts w:ascii="Times New Roman"/>
                <w:spacing w:val="-1"/>
                <w:sz w:val="18"/>
              </w:rPr>
              <w:t>-69,431,649.00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spacing w:val="-1"/>
                <w:sz w:val="18"/>
              </w:rPr>
              <w:t>-234,314,742.17</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1,084,204,800.00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260,000,000.00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spacing w:val="-1"/>
                <w:sz w:val="18"/>
              </w:rPr>
              <w:t>450,000,000.00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1,344,204,800.00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spacing w:val="-1"/>
                <w:sz w:val="18"/>
              </w:rPr>
              <w:t>450,000,000.00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450,000,000.00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80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5"/>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24,798,030.00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13,815,993.30</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8,579,775.00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613,817.36</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483,377,805.00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114,429,810.66</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3"/>
              <w:ind w:right="20"/>
              <w:jc w:val="right"/>
              <w:rPr>
                <w:rFonts w:ascii="Times New Roman" w:hAnsi="Times New Roman" w:cs="Times New Roman" w:eastAsia="Times New Roman" w:hint="default"/>
                <w:sz w:val="18"/>
                <w:szCs w:val="18"/>
              </w:rPr>
            </w:pPr>
            <w:r>
              <w:rPr>
                <w:rFonts w:ascii="Times New Roman"/>
                <w:spacing w:val="-1"/>
                <w:sz w:val="18"/>
              </w:rPr>
              <w:t>860,826,995.00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Times New Roman" w:hAnsi="Times New Roman" w:cs="Times New Roman" w:eastAsia="Times New Roman" w:hint="default"/>
                <w:sz w:val="18"/>
                <w:szCs w:val="18"/>
              </w:rPr>
            </w:pPr>
            <w:r>
              <w:rPr>
                <w:rFonts w:ascii="Times New Roman"/>
                <w:spacing w:val="-1"/>
                <w:sz w:val="18"/>
              </w:rPr>
              <w:t>335,570,189.34</w:t>
            </w:r>
          </w:p>
        </w:tc>
      </w:tr>
      <w:tr>
        <w:trPr>
          <w:trHeight w:val="80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3"/>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581,830,689.80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spacing w:val="-1"/>
                <w:sz w:val="18"/>
              </w:rPr>
              <w:t>-205,174,351.74</w:t>
            </w:r>
          </w:p>
        </w:tc>
      </w:tr>
      <w:tr>
        <w:trPr>
          <w:trHeight w:val="449"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85,788,125.43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spacing w:val="-1"/>
                <w:sz w:val="18"/>
              </w:rPr>
              <w:t>290,962,477.17</w:t>
            </w:r>
          </w:p>
        </w:tc>
      </w:tr>
      <w:tr>
        <w:trPr>
          <w:trHeight w:val="45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667,618,815.23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spacing w:val="-1"/>
                <w:sz w:val="18"/>
              </w:rPr>
              <w:t>85,788,125.43</w:t>
            </w:r>
          </w:p>
        </w:tc>
      </w:tr>
    </w:tbl>
    <w:p>
      <w:pPr>
        <w:spacing w:line="240" w:lineRule="auto" w:before="13"/>
        <w:rPr>
          <w:rFonts w:ascii="宋体" w:hAnsi="宋体" w:cs="宋体" w:eastAsia="宋体" w:hint="default"/>
          <w:sz w:val="21"/>
          <w:szCs w:val="21"/>
        </w:rPr>
      </w:pPr>
    </w:p>
    <w:p>
      <w:pPr>
        <w:tabs>
          <w:tab w:pos="3667" w:val="left" w:leader="none"/>
          <w:tab w:pos="7718" w:val="left" w:leader="none"/>
        </w:tabs>
        <w:spacing w:before="44"/>
        <w:ind w:left="152" w:right="1125" w:firstLine="0"/>
        <w:jc w:val="left"/>
        <w:rPr>
          <w:rFonts w:ascii="宋体" w:hAnsi="宋体" w:cs="宋体" w:eastAsia="宋体" w:hint="default"/>
          <w:sz w:val="18"/>
          <w:szCs w:val="18"/>
        </w:rPr>
      </w:pPr>
      <w:r>
        <w:rPr>
          <w:rFonts w:ascii="宋体" w:hAnsi="宋体" w:cs="宋体" w:eastAsia="宋体" w:hint="default"/>
          <w:sz w:val="18"/>
          <w:szCs w:val="18"/>
        </w:rPr>
        <w:t>法定代表人：付景林</w:t>
        <w:tab/>
      </w:r>
      <w:r>
        <w:rPr>
          <w:rFonts w:ascii="宋体" w:hAnsi="宋体" w:cs="宋体" w:eastAsia="宋体" w:hint="default"/>
          <w:spacing w:val="-1"/>
          <w:sz w:val="18"/>
          <w:szCs w:val="18"/>
        </w:rPr>
        <w:t>主管会计工作负责人：王芊</w:t>
        <w:tab/>
      </w:r>
      <w:r>
        <w:rPr>
          <w:rFonts w:ascii="宋体" w:hAnsi="宋体" w:cs="宋体" w:eastAsia="宋体" w:hint="default"/>
          <w:sz w:val="18"/>
          <w:szCs w:val="18"/>
        </w:rPr>
        <w:t>会计机构负责人：丁明锋</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10"/>
        <w:rPr>
          <w:rFonts w:ascii="宋体" w:hAnsi="宋体" w:cs="宋体" w:eastAsia="宋体" w:hint="default"/>
          <w:b/>
          <w:bCs/>
          <w:sz w:val="29"/>
          <w:szCs w:val="29"/>
        </w:rPr>
      </w:pPr>
    </w:p>
    <w:p>
      <w:pPr>
        <w:spacing w:line="405" w:lineRule="auto" w:before="0"/>
        <w:ind w:left="152" w:right="6974" w:firstLine="0"/>
        <w:jc w:val="left"/>
        <w:rPr>
          <w:rFonts w:ascii="宋体" w:hAnsi="宋体" w:cs="宋体" w:eastAsia="宋体" w:hint="default"/>
          <w:sz w:val="18"/>
          <w:szCs w:val="18"/>
        </w:rPr>
      </w:pPr>
      <w:r>
        <w:rPr>
          <w:rFonts w:ascii="宋体" w:hAnsi="宋体" w:cs="宋体" w:eastAsia="宋体" w:hint="default"/>
          <w:sz w:val="18"/>
          <w:szCs w:val="18"/>
        </w:rPr>
        <w:t>编制单位：大唐高鸿数据网络技术股份有限公司 本期金额</w:t>
      </w:r>
    </w:p>
    <w:p>
      <w:pPr>
        <w:spacing w:before="3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366"/>
        <w:gridCol w:w="5488"/>
        <w:gridCol w:w="818"/>
        <w:gridCol w:w="895"/>
      </w:tblGrid>
      <w:tr>
        <w:trPr>
          <w:trHeight w:val="449" w:hRule="exact"/>
        </w:trPr>
        <w:tc>
          <w:tcPr>
            <w:tcW w:w="2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2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49" w:hRule="exact"/>
        </w:trPr>
        <w:tc>
          <w:tcPr>
            <w:tcW w:w="2366" w:type="dxa"/>
            <w:vMerge/>
            <w:tcBorders>
              <w:left w:val="single" w:sz="4" w:space="0" w:color="000000"/>
              <w:bottom w:val="single" w:sz="4" w:space="0" w:color="000000"/>
              <w:right w:val="single" w:sz="4" w:space="0" w:color="000000"/>
            </w:tcBorders>
            <w:shd w:val="clear" w:color="auto" w:fill="D2D2D2"/>
          </w:tcPr>
          <w:p>
            <w:pPr/>
          </w:p>
        </w:tc>
        <w:tc>
          <w:tcPr>
            <w:tcW w:w="5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75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43" w:right="0"/>
              <w:jc w:val="left"/>
              <w:rPr>
                <w:rFonts w:ascii="宋体" w:hAnsi="宋体" w:cs="宋体" w:eastAsia="宋体" w:hint="default"/>
                <w:sz w:val="18"/>
                <w:szCs w:val="18"/>
              </w:rPr>
            </w:pPr>
            <w:r>
              <w:rPr>
                <w:rFonts w:ascii="宋体" w:hAnsi="宋体" w:cs="宋体" w:eastAsia="宋体" w:hint="default"/>
                <w:sz w:val="18"/>
                <w:szCs w:val="18"/>
              </w:rPr>
              <w:t>少数股东</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81"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pgSz w:w="11910" w:h="16840"/>
          <w:pgMar w:header="877" w:footer="1253" w:top="1060" w:bottom="14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185"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64" w:lineRule="auto" w:before="73"/>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single" w:sz="4" w:space="0" w:color="000000"/>
              <w:left w:val="single" w:sz="10" w:space="0" w:color="D2D2D2"/>
              <w:right w:val="single" w:sz="4" w:space="0" w:color="000000"/>
            </w:tcBorders>
          </w:tcPr>
          <w:p>
            <w:pPr>
              <w:pStyle w:val="TableParagraph"/>
              <w:spacing w:line="240" w:lineRule="auto" w:before="32"/>
              <w:ind w:left="215" w:right="0"/>
              <w:jc w:val="left"/>
              <w:rPr>
                <w:rFonts w:ascii="宋体" w:hAnsi="宋体" w:cs="宋体" w:eastAsia="宋体" w:hint="default"/>
                <w:sz w:val="18"/>
                <w:szCs w:val="18"/>
              </w:rPr>
            </w:pPr>
            <w:r>
              <w:rPr>
                <w:rFonts w:ascii="宋体" w:hAnsi="宋体" w:cs="宋体" w:eastAsia="宋体" w:hint="default"/>
                <w:sz w:val="18"/>
                <w:szCs w:val="18"/>
              </w:rPr>
              <w:t>权益</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32"/>
              <w:ind w:left="172"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80"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64" w:lineRule="auto" w:before="73"/>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64" w:lineRule="auto" w:before="73"/>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64" w:lineRule="auto" w:before="73"/>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64" w:lineRule="auto" w:before="73"/>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64" w:lineRule="auto" w:before="73"/>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64" w:lineRule="auto" w:before="73"/>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10" w:space="0" w:color="D2D2D2"/>
              <w:right w:val="single" w:sz="4" w:space="0" w:color="000000"/>
            </w:tcBorders>
          </w:tcPr>
          <w:p>
            <w:pPr/>
          </w:p>
        </w:tc>
        <w:tc>
          <w:tcPr>
            <w:tcW w:w="893" w:type="dxa"/>
            <w:vMerge/>
            <w:tcBorders>
              <w:left w:val="single" w:sz="4" w:space="0" w:color="000000"/>
              <w:right w:val="single" w:sz="4" w:space="0" w:color="000000"/>
            </w:tcBorders>
          </w:tcPr>
          <w:p>
            <w:pPr/>
          </w:p>
        </w:tc>
      </w:tr>
      <w:tr>
        <w:trPr>
          <w:trHeight w:val="437"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0"/>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10" w:space="0" w:color="D2D2D2"/>
              <w:right w:val="single" w:sz="4" w:space="0" w:color="000000"/>
            </w:tcBorders>
          </w:tcPr>
          <w:p>
            <w:pPr/>
          </w:p>
        </w:tc>
        <w:tc>
          <w:tcPr>
            <w:tcW w:w="893" w:type="dxa"/>
            <w:vMerge/>
            <w:tcBorders>
              <w:left w:val="single" w:sz="4" w:space="0" w:color="000000"/>
              <w:right w:val="single" w:sz="4" w:space="0" w:color="000000"/>
            </w:tcBorders>
          </w:tcPr>
          <w:p>
            <w:pPr/>
          </w:p>
        </w:tc>
      </w:tr>
      <w:tr>
        <w:trPr>
          <w:trHeight w:val="180"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tcBorders>
              <w:left w:val="single" w:sz="10" w:space="0" w:color="D2D2D2"/>
              <w:right w:val="single" w:sz="4" w:space="0" w:color="000000"/>
            </w:tcBorders>
          </w:tcPr>
          <w:p>
            <w:pPr/>
          </w:p>
        </w:tc>
        <w:tc>
          <w:tcPr>
            <w:tcW w:w="893" w:type="dxa"/>
            <w:vMerge/>
            <w:tcBorders>
              <w:left w:val="single" w:sz="4" w:space="0" w:color="000000"/>
              <w:right w:val="single" w:sz="4" w:space="0" w:color="000000"/>
            </w:tcBorders>
          </w:tcPr>
          <w:p>
            <w:pPr/>
          </w:p>
        </w:tc>
      </w:tr>
      <w:tr>
        <w:trPr>
          <w:trHeight w:val="185"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10" w:space="0" w:color="D2D2D2"/>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85"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115"/>
              <w:ind w:left="70" w:right="0"/>
              <w:jc w:val="left"/>
              <w:rPr>
                <w:rFonts w:ascii="Times New Roman" w:hAnsi="Times New Roman" w:cs="Times New Roman" w:eastAsia="Times New Roman" w:hint="default"/>
                <w:sz w:val="18"/>
                <w:szCs w:val="18"/>
              </w:rPr>
            </w:pPr>
            <w:r>
              <w:rPr>
                <w:rFonts w:ascii="Times New Roman"/>
                <w:sz w:val="18"/>
              </w:rPr>
              <w:t>332,900</w:t>
            </w:r>
          </w:p>
          <w:p>
            <w:pPr>
              <w:pStyle w:val="TableParagraph"/>
              <w:spacing w:line="240" w:lineRule="auto" w:before="150"/>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5"/>
              <w:ind w:left="10" w:right="0"/>
              <w:jc w:val="center"/>
              <w:rPr>
                <w:rFonts w:ascii="Times New Roman" w:hAnsi="Times New Roman" w:cs="Times New Roman" w:eastAsia="Times New Roman" w:hint="default"/>
                <w:sz w:val="18"/>
                <w:szCs w:val="18"/>
              </w:rPr>
            </w:pPr>
            <w:r>
              <w:rPr>
                <w:rFonts w:ascii="Times New Roman"/>
                <w:sz w:val="18"/>
              </w:rPr>
              <w:t>600,117,</w:t>
            </w:r>
          </w:p>
          <w:p>
            <w:pPr>
              <w:pStyle w:val="TableParagraph"/>
              <w:spacing w:line="240" w:lineRule="auto" w:before="150"/>
              <w:ind w:left="139" w:right="0"/>
              <w:jc w:val="center"/>
              <w:rPr>
                <w:rFonts w:ascii="Times New Roman" w:hAnsi="Times New Roman" w:cs="Times New Roman" w:eastAsia="Times New Roman" w:hint="default"/>
                <w:sz w:val="18"/>
                <w:szCs w:val="18"/>
              </w:rPr>
            </w:pPr>
            <w:r>
              <w:rPr>
                <w:rFonts w:ascii="Times New Roman"/>
                <w:sz w:val="18"/>
              </w:rPr>
              <w:t>436.47</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15"/>
              <w:ind w:left="28" w:right="0"/>
              <w:jc w:val="left"/>
              <w:rPr>
                <w:rFonts w:ascii="Times New Roman" w:hAnsi="Times New Roman" w:cs="Times New Roman" w:eastAsia="Times New Roman" w:hint="default"/>
                <w:sz w:val="18"/>
                <w:szCs w:val="18"/>
              </w:rPr>
            </w:pPr>
            <w:r>
              <w:rPr>
                <w:rFonts w:ascii="Times New Roman"/>
                <w:sz w:val="18"/>
              </w:rPr>
              <w:t>11,635,5</w:t>
            </w:r>
          </w:p>
          <w:p>
            <w:pPr>
              <w:pStyle w:val="TableParagraph"/>
              <w:spacing w:line="240" w:lineRule="auto" w:before="150"/>
              <w:ind w:left="247" w:right="0"/>
              <w:jc w:val="left"/>
              <w:rPr>
                <w:rFonts w:ascii="Times New Roman" w:hAnsi="Times New Roman" w:cs="Times New Roman" w:eastAsia="Times New Roman" w:hint="default"/>
                <w:sz w:val="18"/>
                <w:szCs w:val="18"/>
              </w:rPr>
            </w:pPr>
            <w:r>
              <w:rPr>
                <w:rFonts w:ascii="Times New Roman"/>
                <w:sz w:val="18"/>
              </w:rPr>
              <w:t>47.40</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5"/>
              <w:ind w:left="26" w:right="0"/>
              <w:jc w:val="left"/>
              <w:rPr>
                <w:rFonts w:ascii="Times New Roman" w:hAnsi="Times New Roman" w:cs="Times New Roman" w:eastAsia="Times New Roman" w:hint="default"/>
                <w:sz w:val="18"/>
                <w:szCs w:val="18"/>
              </w:rPr>
            </w:pPr>
            <w:r>
              <w:rPr>
                <w:rFonts w:ascii="Times New Roman"/>
                <w:sz w:val="18"/>
              </w:rPr>
              <w:t>74,504,5</w:t>
            </w:r>
          </w:p>
          <w:p>
            <w:pPr>
              <w:pStyle w:val="TableParagraph"/>
              <w:spacing w:line="240" w:lineRule="auto" w:before="150"/>
              <w:ind w:left="251" w:right="0"/>
              <w:jc w:val="left"/>
              <w:rPr>
                <w:rFonts w:ascii="Times New Roman" w:hAnsi="Times New Roman" w:cs="Times New Roman" w:eastAsia="Times New Roman" w:hint="default"/>
                <w:sz w:val="18"/>
                <w:szCs w:val="18"/>
              </w:rPr>
            </w:pPr>
            <w:r>
              <w:rPr>
                <w:rFonts w:ascii="Times New Roman"/>
                <w:sz w:val="18"/>
              </w:rPr>
              <w:t>71.35</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15"/>
              <w:ind w:left="64" w:right="0"/>
              <w:jc w:val="left"/>
              <w:rPr>
                <w:rFonts w:ascii="Times New Roman" w:hAnsi="Times New Roman" w:cs="Times New Roman" w:eastAsia="Times New Roman" w:hint="default"/>
                <w:sz w:val="18"/>
                <w:szCs w:val="18"/>
              </w:rPr>
            </w:pPr>
            <w:r>
              <w:rPr>
                <w:rFonts w:ascii="Times New Roman"/>
                <w:sz w:val="18"/>
              </w:rPr>
              <w:t>98,391,20</w:t>
            </w:r>
          </w:p>
          <w:p>
            <w:pPr>
              <w:pStyle w:val="TableParagraph"/>
              <w:spacing w:line="240" w:lineRule="auto" w:before="150"/>
              <w:ind w:left="470" w:right="0"/>
              <w:jc w:val="left"/>
              <w:rPr>
                <w:rFonts w:ascii="Times New Roman" w:hAnsi="Times New Roman" w:cs="Times New Roman" w:eastAsia="Times New Roman" w:hint="default"/>
                <w:sz w:val="18"/>
                <w:szCs w:val="18"/>
              </w:rPr>
            </w:pPr>
            <w:r>
              <w:rPr>
                <w:rFonts w:ascii="Times New Roman"/>
                <w:sz w:val="18"/>
              </w:rPr>
              <w:t>9.48</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15"/>
              <w:ind w:left="103" w:right="0"/>
              <w:jc w:val="left"/>
              <w:rPr>
                <w:rFonts w:ascii="Times New Roman" w:hAnsi="Times New Roman" w:cs="Times New Roman" w:eastAsia="Times New Roman" w:hint="default"/>
                <w:sz w:val="18"/>
                <w:szCs w:val="18"/>
              </w:rPr>
            </w:pPr>
            <w:r>
              <w:rPr>
                <w:rFonts w:ascii="Times New Roman"/>
                <w:sz w:val="18"/>
              </w:rPr>
              <w:t>1,117,548,</w:t>
            </w:r>
          </w:p>
          <w:p>
            <w:pPr>
              <w:pStyle w:val="TableParagraph"/>
              <w:spacing w:line="240" w:lineRule="auto" w:before="150"/>
              <w:ind w:left="367" w:right="0"/>
              <w:jc w:val="left"/>
              <w:rPr>
                <w:rFonts w:ascii="Times New Roman" w:hAnsi="Times New Roman" w:cs="Times New Roman" w:eastAsia="Times New Roman" w:hint="default"/>
                <w:sz w:val="18"/>
                <w:szCs w:val="18"/>
              </w:rPr>
            </w:pPr>
            <w:r>
              <w:rPr>
                <w:rFonts w:ascii="Times New Roman"/>
                <w:sz w:val="18"/>
              </w:rPr>
              <w:t>764.70</w:t>
            </w:r>
          </w:p>
        </w:tc>
      </w:tr>
      <w:tr>
        <w:trPr>
          <w:trHeight w:val="439"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82"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49"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85"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117"/>
              <w:ind w:left="70" w:right="0"/>
              <w:jc w:val="left"/>
              <w:rPr>
                <w:rFonts w:ascii="Times New Roman" w:hAnsi="Times New Roman" w:cs="Times New Roman" w:eastAsia="Times New Roman" w:hint="default"/>
                <w:sz w:val="18"/>
                <w:szCs w:val="18"/>
              </w:rPr>
            </w:pPr>
            <w:r>
              <w:rPr>
                <w:rFonts w:ascii="Times New Roman"/>
                <w:sz w:val="18"/>
              </w:rPr>
              <w:t>332,900</w:t>
            </w:r>
          </w:p>
          <w:p>
            <w:pPr>
              <w:pStyle w:val="TableParagraph"/>
              <w:spacing w:line="240" w:lineRule="auto" w:before="151"/>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7"/>
              <w:ind w:left="10" w:right="0"/>
              <w:jc w:val="center"/>
              <w:rPr>
                <w:rFonts w:ascii="Times New Roman" w:hAnsi="Times New Roman" w:cs="Times New Roman" w:eastAsia="Times New Roman" w:hint="default"/>
                <w:sz w:val="18"/>
                <w:szCs w:val="18"/>
              </w:rPr>
            </w:pPr>
            <w:r>
              <w:rPr>
                <w:rFonts w:ascii="Times New Roman"/>
                <w:sz w:val="18"/>
              </w:rPr>
              <w:t>600,117,</w:t>
            </w:r>
          </w:p>
          <w:p>
            <w:pPr>
              <w:pStyle w:val="TableParagraph"/>
              <w:spacing w:line="240" w:lineRule="auto" w:before="151"/>
              <w:ind w:left="139" w:right="0"/>
              <w:jc w:val="center"/>
              <w:rPr>
                <w:rFonts w:ascii="Times New Roman" w:hAnsi="Times New Roman" w:cs="Times New Roman" w:eastAsia="Times New Roman" w:hint="default"/>
                <w:sz w:val="18"/>
                <w:szCs w:val="18"/>
              </w:rPr>
            </w:pPr>
            <w:r>
              <w:rPr>
                <w:rFonts w:ascii="Times New Roman"/>
                <w:sz w:val="18"/>
              </w:rPr>
              <w:t>436.47</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17"/>
              <w:ind w:left="28" w:right="0"/>
              <w:jc w:val="left"/>
              <w:rPr>
                <w:rFonts w:ascii="Times New Roman" w:hAnsi="Times New Roman" w:cs="Times New Roman" w:eastAsia="Times New Roman" w:hint="default"/>
                <w:sz w:val="18"/>
                <w:szCs w:val="18"/>
              </w:rPr>
            </w:pPr>
            <w:r>
              <w:rPr>
                <w:rFonts w:ascii="Times New Roman"/>
                <w:sz w:val="18"/>
              </w:rPr>
              <w:t>11,635,5</w:t>
            </w:r>
          </w:p>
          <w:p>
            <w:pPr>
              <w:pStyle w:val="TableParagraph"/>
              <w:spacing w:line="240" w:lineRule="auto" w:before="151"/>
              <w:ind w:left="247" w:right="0"/>
              <w:jc w:val="left"/>
              <w:rPr>
                <w:rFonts w:ascii="Times New Roman" w:hAnsi="Times New Roman" w:cs="Times New Roman" w:eastAsia="Times New Roman" w:hint="default"/>
                <w:sz w:val="18"/>
                <w:szCs w:val="18"/>
              </w:rPr>
            </w:pPr>
            <w:r>
              <w:rPr>
                <w:rFonts w:ascii="Times New Roman"/>
                <w:sz w:val="18"/>
              </w:rPr>
              <w:t>47.40</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7"/>
              <w:ind w:left="26" w:right="0"/>
              <w:jc w:val="left"/>
              <w:rPr>
                <w:rFonts w:ascii="Times New Roman" w:hAnsi="Times New Roman" w:cs="Times New Roman" w:eastAsia="Times New Roman" w:hint="default"/>
                <w:sz w:val="18"/>
                <w:szCs w:val="18"/>
              </w:rPr>
            </w:pPr>
            <w:r>
              <w:rPr>
                <w:rFonts w:ascii="Times New Roman"/>
                <w:sz w:val="18"/>
              </w:rPr>
              <w:t>74,504,5</w:t>
            </w:r>
          </w:p>
          <w:p>
            <w:pPr>
              <w:pStyle w:val="TableParagraph"/>
              <w:spacing w:line="240" w:lineRule="auto" w:before="151"/>
              <w:ind w:left="251" w:right="0"/>
              <w:jc w:val="left"/>
              <w:rPr>
                <w:rFonts w:ascii="Times New Roman" w:hAnsi="Times New Roman" w:cs="Times New Roman" w:eastAsia="Times New Roman" w:hint="default"/>
                <w:sz w:val="18"/>
                <w:szCs w:val="18"/>
              </w:rPr>
            </w:pPr>
            <w:r>
              <w:rPr>
                <w:rFonts w:ascii="Times New Roman"/>
                <w:sz w:val="18"/>
              </w:rPr>
              <w:t>71.35</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17"/>
              <w:ind w:left="64" w:right="0"/>
              <w:jc w:val="left"/>
              <w:rPr>
                <w:rFonts w:ascii="Times New Roman" w:hAnsi="Times New Roman" w:cs="Times New Roman" w:eastAsia="Times New Roman" w:hint="default"/>
                <w:sz w:val="18"/>
                <w:szCs w:val="18"/>
              </w:rPr>
            </w:pPr>
            <w:r>
              <w:rPr>
                <w:rFonts w:ascii="Times New Roman"/>
                <w:sz w:val="18"/>
              </w:rPr>
              <w:t>98,391,20</w:t>
            </w:r>
          </w:p>
          <w:p>
            <w:pPr>
              <w:pStyle w:val="TableParagraph"/>
              <w:spacing w:line="240" w:lineRule="auto" w:before="151"/>
              <w:ind w:left="470" w:right="0"/>
              <w:jc w:val="left"/>
              <w:rPr>
                <w:rFonts w:ascii="Times New Roman" w:hAnsi="Times New Roman" w:cs="Times New Roman" w:eastAsia="Times New Roman" w:hint="default"/>
                <w:sz w:val="18"/>
                <w:szCs w:val="18"/>
              </w:rPr>
            </w:pPr>
            <w:r>
              <w:rPr>
                <w:rFonts w:ascii="Times New Roman"/>
                <w:sz w:val="18"/>
              </w:rPr>
              <w:t>9.48</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17"/>
              <w:ind w:left="103" w:right="0"/>
              <w:jc w:val="left"/>
              <w:rPr>
                <w:rFonts w:ascii="Times New Roman" w:hAnsi="Times New Roman" w:cs="Times New Roman" w:eastAsia="Times New Roman" w:hint="default"/>
                <w:sz w:val="18"/>
                <w:szCs w:val="18"/>
              </w:rPr>
            </w:pPr>
            <w:r>
              <w:rPr>
                <w:rFonts w:ascii="Times New Roman"/>
                <w:sz w:val="18"/>
              </w:rPr>
              <w:t>1,117,548,</w:t>
            </w:r>
          </w:p>
          <w:p>
            <w:pPr>
              <w:pStyle w:val="TableParagraph"/>
              <w:spacing w:line="240" w:lineRule="auto" w:before="151"/>
              <w:ind w:left="367" w:right="0"/>
              <w:jc w:val="left"/>
              <w:rPr>
                <w:rFonts w:ascii="Times New Roman" w:hAnsi="Times New Roman" w:cs="Times New Roman" w:eastAsia="Times New Roman" w:hint="default"/>
                <w:sz w:val="18"/>
                <w:szCs w:val="18"/>
              </w:rPr>
            </w:pPr>
            <w:r>
              <w:rPr>
                <w:rFonts w:ascii="Times New Roman"/>
                <w:sz w:val="18"/>
              </w:rPr>
              <w:t>764.70</w:t>
            </w:r>
          </w:p>
        </w:tc>
      </w:tr>
      <w:tr>
        <w:trPr>
          <w:trHeight w:val="440"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85"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806"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3"/>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5"/>
              <w:ind w:left="70" w:right="0"/>
              <w:jc w:val="left"/>
              <w:rPr>
                <w:rFonts w:ascii="Times New Roman" w:hAnsi="Times New Roman" w:cs="Times New Roman" w:eastAsia="Times New Roman" w:hint="default"/>
                <w:sz w:val="18"/>
                <w:szCs w:val="18"/>
              </w:rPr>
            </w:pPr>
            <w:r>
              <w:rPr>
                <w:rFonts w:ascii="Times New Roman"/>
                <w:sz w:val="18"/>
              </w:rPr>
              <w:t>183,040</w:t>
            </w:r>
          </w:p>
          <w:p>
            <w:pPr>
              <w:pStyle w:val="TableParagraph"/>
              <w:spacing w:line="240" w:lineRule="auto" w:before="150"/>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 w:right="0"/>
              <w:jc w:val="center"/>
              <w:rPr>
                <w:rFonts w:ascii="Times New Roman" w:hAnsi="Times New Roman" w:cs="Times New Roman" w:eastAsia="Times New Roman" w:hint="default"/>
                <w:sz w:val="18"/>
                <w:szCs w:val="18"/>
              </w:rPr>
            </w:pPr>
            <w:r>
              <w:rPr>
                <w:rFonts w:ascii="Times New Roman"/>
                <w:sz w:val="18"/>
              </w:rPr>
              <w:t>889,617,</w:t>
            </w:r>
          </w:p>
          <w:p>
            <w:pPr>
              <w:pStyle w:val="TableParagraph"/>
              <w:spacing w:line="240" w:lineRule="auto" w:before="150"/>
              <w:ind w:left="139" w:right="0"/>
              <w:jc w:val="center"/>
              <w:rPr>
                <w:rFonts w:ascii="Times New Roman" w:hAnsi="Times New Roman" w:cs="Times New Roman" w:eastAsia="Times New Roman" w:hint="default"/>
                <w:sz w:val="18"/>
                <w:szCs w:val="18"/>
              </w:rPr>
            </w:pPr>
            <w:r>
              <w:rPr>
                <w:rFonts w:ascii="Times New Roman"/>
                <w:sz w:val="18"/>
              </w:rPr>
              <w:t>065.27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6" w:right="0"/>
              <w:jc w:val="left"/>
              <w:rPr>
                <w:rFonts w:ascii="Times New Roman" w:hAnsi="Times New Roman" w:cs="Times New Roman" w:eastAsia="Times New Roman" w:hint="default"/>
                <w:sz w:val="18"/>
                <w:szCs w:val="18"/>
              </w:rPr>
            </w:pPr>
            <w:r>
              <w:rPr>
                <w:rFonts w:ascii="Times New Roman"/>
                <w:sz w:val="18"/>
              </w:rPr>
              <w:t>25,005,7</w:t>
            </w:r>
          </w:p>
          <w:p>
            <w:pPr>
              <w:pStyle w:val="TableParagraph"/>
              <w:spacing w:line="240" w:lineRule="auto" w:before="150"/>
              <w:ind w:left="251" w:right="0"/>
              <w:jc w:val="left"/>
              <w:rPr>
                <w:rFonts w:ascii="Times New Roman" w:hAnsi="Times New Roman" w:cs="Times New Roman" w:eastAsia="Times New Roman" w:hint="default"/>
                <w:sz w:val="18"/>
                <w:szCs w:val="18"/>
              </w:rPr>
            </w:pPr>
            <w:r>
              <w:rPr>
                <w:rFonts w:ascii="Times New Roman"/>
                <w:sz w:val="18"/>
              </w:rPr>
              <w:t>13.64</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6" w:right="0"/>
              <w:jc w:val="left"/>
              <w:rPr>
                <w:rFonts w:ascii="Times New Roman" w:hAnsi="Times New Roman" w:cs="Times New Roman" w:eastAsia="Times New Roman" w:hint="default"/>
                <w:sz w:val="18"/>
                <w:szCs w:val="18"/>
              </w:rPr>
            </w:pPr>
            <w:r>
              <w:rPr>
                <w:rFonts w:ascii="Times New Roman"/>
                <w:sz w:val="18"/>
              </w:rPr>
              <w:t>-65,728,9</w:t>
            </w:r>
          </w:p>
          <w:p>
            <w:pPr>
              <w:pStyle w:val="TableParagraph"/>
              <w:spacing w:line="240" w:lineRule="auto" w:before="150"/>
              <w:ind w:left="379" w:right="0"/>
              <w:jc w:val="left"/>
              <w:rPr>
                <w:rFonts w:ascii="Times New Roman" w:hAnsi="Times New Roman" w:cs="Times New Roman" w:eastAsia="Times New Roman" w:hint="default"/>
                <w:sz w:val="18"/>
                <w:szCs w:val="18"/>
              </w:rPr>
            </w:pPr>
            <w:r>
              <w:rPr>
                <w:rFonts w:ascii="Times New Roman"/>
                <w:sz w:val="18"/>
              </w:rPr>
              <w:t>43.80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5" w:right="0"/>
              <w:jc w:val="left"/>
              <w:rPr>
                <w:rFonts w:ascii="Times New Roman" w:hAnsi="Times New Roman" w:cs="Times New Roman" w:eastAsia="Times New Roman" w:hint="default"/>
                <w:sz w:val="18"/>
                <w:szCs w:val="18"/>
              </w:rPr>
            </w:pPr>
            <w:r>
              <w:rPr>
                <w:rFonts w:ascii="Times New Roman"/>
                <w:sz w:val="18"/>
              </w:rPr>
              <w:t>1,031,933,</w:t>
            </w:r>
          </w:p>
          <w:p>
            <w:pPr>
              <w:pStyle w:val="TableParagraph"/>
              <w:spacing w:line="240" w:lineRule="auto" w:before="150"/>
              <w:ind w:left="374" w:right="0"/>
              <w:jc w:val="left"/>
              <w:rPr>
                <w:rFonts w:ascii="Times New Roman" w:hAnsi="Times New Roman" w:cs="Times New Roman" w:eastAsia="Times New Roman" w:hint="default"/>
                <w:sz w:val="18"/>
                <w:szCs w:val="18"/>
              </w:rPr>
            </w:pPr>
            <w:r>
              <w:rPr>
                <w:rFonts w:ascii="Times New Roman"/>
                <w:sz w:val="18"/>
              </w:rPr>
              <w:t>835.11</w:t>
            </w:r>
          </w:p>
        </w:tc>
      </w:tr>
      <w:tr>
        <w:trPr>
          <w:trHeight w:val="185"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7"/>
              <w:ind w:left="26" w:right="0"/>
              <w:jc w:val="left"/>
              <w:rPr>
                <w:rFonts w:ascii="Times New Roman" w:hAnsi="Times New Roman" w:cs="Times New Roman" w:eastAsia="Times New Roman" w:hint="default"/>
                <w:sz w:val="18"/>
                <w:szCs w:val="18"/>
              </w:rPr>
            </w:pPr>
            <w:r>
              <w:rPr>
                <w:rFonts w:ascii="Times New Roman"/>
                <w:sz w:val="18"/>
              </w:rPr>
              <w:t>25,005,7</w:t>
            </w:r>
          </w:p>
          <w:p>
            <w:pPr>
              <w:pStyle w:val="TableParagraph"/>
              <w:spacing w:line="240" w:lineRule="auto" w:before="150"/>
              <w:ind w:left="251" w:right="0"/>
              <w:jc w:val="left"/>
              <w:rPr>
                <w:rFonts w:ascii="Times New Roman" w:hAnsi="Times New Roman" w:cs="Times New Roman" w:eastAsia="Times New Roman" w:hint="default"/>
                <w:sz w:val="18"/>
                <w:szCs w:val="18"/>
              </w:rPr>
            </w:pPr>
            <w:r>
              <w:rPr>
                <w:rFonts w:ascii="Times New Roman"/>
                <w:sz w:val="18"/>
              </w:rPr>
              <w:t>13.64</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17"/>
              <w:ind w:left="96" w:right="0"/>
              <w:jc w:val="left"/>
              <w:rPr>
                <w:rFonts w:ascii="Times New Roman" w:hAnsi="Times New Roman" w:cs="Times New Roman" w:eastAsia="Times New Roman" w:hint="default"/>
                <w:sz w:val="18"/>
                <w:szCs w:val="18"/>
              </w:rPr>
            </w:pPr>
            <w:r>
              <w:rPr>
                <w:rFonts w:ascii="Times New Roman"/>
                <w:sz w:val="18"/>
              </w:rPr>
              <w:t>-2,506,67</w:t>
            </w:r>
          </w:p>
          <w:p>
            <w:pPr>
              <w:pStyle w:val="TableParagraph"/>
              <w:spacing w:line="240" w:lineRule="auto" w:before="150"/>
              <w:ind w:left="470" w:right="0"/>
              <w:jc w:val="left"/>
              <w:rPr>
                <w:rFonts w:ascii="Times New Roman" w:hAnsi="Times New Roman" w:cs="Times New Roman" w:eastAsia="Times New Roman" w:hint="default"/>
                <w:sz w:val="18"/>
                <w:szCs w:val="18"/>
              </w:rPr>
            </w:pPr>
            <w:r>
              <w:rPr>
                <w:rFonts w:ascii="Times New Roman"/>
                <w:sz w:val="18"/>
              </w:rPr>
              <w:t>8.53</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17"/>
              <w:ind w:right="19"/>
              <w:jc w:val="right"/>
              <w:rPr>
                <w:rFonts w:ascii="Times New Roman" w:hAnsi="Times New Roman" w:cs="Times New Roman" w:eastAsia="Times New Roman" w:hint="default"/>
                <w:sz w:val="18"/>
                <w:szCs w:val="18"/>
              </w:rPr>
            </w:pPr>
            <w:r>
              <w:rPr>
                <w:rFonts w:ascii="Times New Roman"/>
                <w:spacing w:val="-1"/>
                <w:sz w:val="18"/>
              </w:rPr>
              <w:t>22,499,035</w:t>
            </w:r>
          </w:p>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pacing w:val="-2"/>
                <w:w w:val="95"/>
                <w:sz w:val="18"/>
              </w:rPr>
              <w:t>.11</w:t>
            </w:r>
          </w:p>
        </w:tc>
      </w:tr>
      <w:tr>
        <w:trPr>
          <w:trHeight w:val="439"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85"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49"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85"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5"/>
              <w:ind w:left="26" w:right="0"/>
              <w:jc w:val="left"/>
              <w:rPr>
                <w:rFonts w:ascii="Times New Roman" w:hAnsi="Times New Roman" w:cs="Times New Roman" w:eastAsia="Times New Roman" w:hint="default"/>
                <w:sz w:val="18"/>
                <w:szCs w:val="18"/>
              </w:rPr>
            </w:pPr>
            <w:r>
              <w:rPr>
                <w:rFonts w:ascii="Times New Roman"/>
                <w:sz w:val="18"/>
              </w:rPr>
              <w:t>25,005,7</w:t>
            </w:r>
          </w:p>
          <w:p>
            <w:pPr>
              <w:pStyle w:val="TableParagraph"/>
              <w:spacing w:line="240" w:lineRule="auto" w:before="150"/>
              <w:ind w:left="251" w:right="0"/>
              <w:jc w:val="left"/>
              <w:rPr>
                <w:rFonts w:ascii="Times New Roman" w:hAnsi="Times New Roman" w:cs="Times New Roman" w:eastAsia="Times New Roman" w:hint="default"/>
                <w:sz w:val="18"/>
                <w:szCs w:val="18"/>
              </w:rPr>
            </w:pPr>
            <w:r>
              <w:rPr>
                <w:rFonts w:ascii="Times New Roman"/>
                <w:sz w:val="18"/>
              </w:rPr>
              <w:t>13.64</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15"/>
              <w:ind w:left="96" w:right="0"/>
              <w:jc w:val="left"/>
              <w:rPr>
                <w:rFonts w:ascii="Times New Roman" w:hAnsi="Times New Roman" w:cs="Times New Roman" w:eastAsia="Times New Roman" w:hint="default"/>
                <w:sz w:val="18"/>
                <w:szCs w:val="18"/>
              </w:rPr>
            </w:pPr>
            <w:r>
              <w:rPr>
                <w:rFonts w:ascii="Times New Roman"/>
                <w:sz w:val="18"/>
              </w:rPr>
              <w:t>-2,506,67</w:t>
            </w:r>
          </w:p>
          <w:p>
            <w:pPr>
              <w:pStyle w:val="TableParagraph"/>
              <w:spacing w:line="240" w:lineRule="auto" w:before="150"/>
              <w:ind w:left="470" w:right="0"/>
              <w:jc w:val="left"/>
              <w:rPr>
                <w:rFonts w:ascii="Times New Roman" w:hAnsi="Times New Roman" w:cs="Times New Roman" w:eastAsia="Times New Roman" w:hint="default"/>
                <w:sz w:val="18"/>
                <w:szCs w:val="18"/>
              </w:rPr>
            </w:pPr>
            <w:r>
              <w:rPr>
                <w:rFonts w:ascii="Times New Roman"/>
                <w:sz w:val="18"/>
              </w:rPr>
              <w:t>8.53</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22,499,035</w:t>
            </w:r>
          </w:p>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pacing w:val="-2"/>
                <w:w w:val="95"/>
                <w:sz w:val="18"/>
              </w:rPr>
              <w:t>.11</w:t>
            </w:r>
          </w:p>
        </w:tc>
      </w:tr>
      <w:tr>
        <w:trPr>
          <w:trHeight w:val="439"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82"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85"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117"/>
              <w:ind w:left="70" w:right="0"/>
              <w:jc w:val="left"/>
              <w:rPr>
                <w:rFonts w:ascii="Times New Roman" w:hAnsi="Times New Roman" w:cs="Times New Roman" w:eastAsia="Times New Roman" w:hint="default"/>
                <w:sz w:val="18"/>
                <w:szCs w:val="18"/>
              </w:rPr>
            </w:pPr>
            <w:r>
              <w:rPr>
                <w:rFonts w:ascii="Times New Roman"/>
                <w:sz w:val="18"/>
              </w:rPr>
              <w:t>183,040</w:t>
            </w:r>
          </w:p>
          <w:p>
            <w:pPr>
              <w:pStyle w:val="TableParagraph"/>
              <w:spacing w:line="240" w:lineRule="auto" w:before="151"/>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7"/>
              <w:ind w:left="3" w:right="0"/>
              <w:jc w:val="center"/>
              <w:rPr>
                <w:rFonts w:ascii="Times New Roman" w:hAnsi="Times New Roman" w:cs="Times New Roman" w:eastAsia="Times New Roman" w:hint="default"/>
                <w:sz w:val="18"/>
                <w:szCs w:val="18"/>
              </w:rPr>
            </w:pPr>
            <w:r>
              <w:rPr>
                <w:rFonts w:ascii="Times New Roman"/>
                <w:sz w:val="18"/>
              </w:rPr>
              <w:t>889,617,</w:t>
            </w:r>
          </w:p>
          <w:p>
            <w:pPr>
              <w:pStyle w:val="TableParagraph"/>
              <w:spacing w:line="240" w:lineRule="auto" w:before="151"/>
              <w:ind w:left="139" w:right="0"/>
              <w:jc w:val="center"/>
              <w:rPr>
                <w:rFonts w:ascii="Times New Roman" w:hAnsi="Times New Roman" w:cs="Times New Roman" w:eastAsia="Times New Roman" w:hint="default"/>
                <w:sz w:val="18"/>
                <w:szCs w:val="18"/>
              </w:rPr>
            </w:pPr>
            <w:r>
              <w:rPr>
                <w:rFonts w:ascii="Times New Roman"/>
                <w:sz w:val="18"/>
              </w:rPr>
              <w:t>065.27</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17"/>
              <w:ind w:left="96" w:right="0"/>
              <w:jc w:val="left"/>
              <w:rPr>
                <w:rFonts w:ascii="Times New Roman" w:hAnsi="Times New Roman" w:cs="Times New Roman" w:eastAsia="Times New Roman" w:hint="default"/>
                <w:sz w:val="18"/>
                <w:szCs w:val="18"/>
              </w:rPr>
            </w:pPr>
            <w:r>
              <w:rPr>
                <w:rFonts w:ascii="Times New Roman"/>
                <w:sz w:val="18"/>
              </w:rPr>
              <w:t>-63,222,2</w:t>
            </w:r>
          </w:p>
          <w:p>
            <w:pPr>
              <w:pStyle w:val="TableParagraph"/>
              <w:spacing w:line="240" w:lineRule="auto" w:before="151"/>
              <w:ind w:left="379" w:right="0"/>
              <w:jc w:val="left"/>
              <w:rPr>
                <w:rFonts w:ascii="Times New Roman" w:hAnsi="Times New Roman" w:cs="Times New Roman" w:eastAsia="Times New Roman" w:hint="default"/>
                <w:sz w:val="18"/>
                <w:szCs w:val="18"/>
              </w:rPr>
            </w:pPr>
            <w:r>
              <w:rPr>
                <w:rFonts w:ascii="Times New Roman"/>
                <w:sz w:val="18"/>
              </w:rPr>
              <w:t>65.27</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17"/>
              <w:ind w:left="95" w:right="0"/>
              <w:jc w:val="left"/>
              <w:rPr>
                <w:rFonts w:ascii="Times New Roman" w:hAnsi="Times New Roman" w:cs="Times New Roman" w:eastAsia="Times New Roman" w:hint="default"/>
                <w:sz w:val="18"/>
                <w:szCs w:val="18"/>
              </w:rPr>
            </w:pPr>
            <w:r>
              <w:rPr>
                <w:rFonts w:ascii="Times New Roman"/>
                <w:sz w:val="18"/>
              </w:rPr>
              <w:t>1,009,434,</w:t>
            </w:r>
          </w:p>
          <w:p>
            <w:pPr>
              <w:pStyle w:val="TableParagraph"/>
              <w:spacing w:line="240" w:lineRule="auto" w:before="151"/>
              <w:ind w:left="367" w:right="0"/>
              <w:jc w:val="left"/>
              <w:rPr>
                <w:rFonts w:ascii="Times New Roman" w:hAnsi="Times New Roman" w:cs="Times New Roman" w:eastAsia="Times New Roman" w:hint="default"/>
                <w:sz w:val="18"/>
                <w:szCs w:val="18"/>
              </w:rPr>
            </w:pPr>
            <w:r>
              <w:rPr>
                <w:rFonts w:ascii="Times New Roman"/>
                <w:sz w:val="18"/>
              </w:rPr>
              <w:t>800.00</w:t>
            </w:r>
          </w:p>
        </w:tc>
      </w:tr>
      <w:tr>
        <w:trPr>
          <w:trHeight w:val="440"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85"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85"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115"/>
              <w:ind w:left="70" w:right="0"/>
              <w:jc w:val="left"/>
              <w:rPr>
                <w:rFonts w:ascii="Times New Roman" w:hAnsi="Times New Roman" w:cs="Times New Roman" w:eastAsia="Times New Roman" w:hint="default"/>
                <w:sz w:val="18"/>
                <w:szCs w:val="18"/>
              </w:rPr>
            </w:pPr>
            <w:r>
              <w:rPr>
                <w:rFonts w:ascii="Times New Roman"/>
                <w:sz w:val="18"/>
              </w:rPr>
              <w:t>183,040</w:t>
            </w:r>
          </w:p>
          <w:p>
            <w:pPr>
              <w:pStyle w:val="TableParagraph"/>
              <w:spacing w:line="240" w:lineRule="auto" w:before="150"/>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5"/>
              <w:ind w:left="3" w:right="0"/>
              <w:jc w:val="center"/>
              <w:rPr>
                <w:rFonts w:ascii="Times New Roman" w:hAnsi="Times New Roman" w:cs="Times New Roman" w:eastAsia="Times New Roman" w:hint="default"/>
                <w:sz w:val="18"/>
                <w:szCs w:val="18"/>
              </w:rPr>
            </w:pPr>
            <w:r>
              <w:rPr>
                <w:rFonts w:ascii="Times New Roman"/>
                <w:sz w:val="18"/>
              </w:rPr>
              <w:t>896,394,</w:t>
            </w:r>
          </w:p>
          <w:p>
            <w:pPr>
              <w:pStyle w:val="TableParagraph"/>
              <w:spacing w:line="240" w:lineRule="auto" w:before="150"/>
              <w:ind w:left="139" w:right="0"/>
              <w:jc w:val="center"/>
              <w:rPr>
                <w:rFonts w:ascii="Times New Roman" w:hAnsi="Times New Roman" w:cs="Times New Roman" w:eastAsia="Times New Roman" w:hint="default"/>
                <w:sz w:val="18"/>
                <w:szCs w:val="18"/>
              </w:rPr>
            </w:pPr>
            <w:r>
              <w:rPr>
                <w:rFonts w:ascii="Times New Roman"/>
                <w:sz w:val="18"/>
              </w:rPr>
              <w:t>800.00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439"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82"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809"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5" w:lineRule="auto" w:before="75"/>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85"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5"/>
              <w:ind w:left="33" w:right="0"/>
              <w:jc w:val="center"/>
              <w:rPr>
                <w:rFonts w:ascii="Times New Roman" w:hAnsi="Times New Roman" w:cs="Times New Roman" w:eastAsia="Times New Roman" w:hint="default"/>
                <w:sz w:val="18"/>
                <w:szCs w:val="18"/>
              </w:rPr>
            </w:pPr>
            <w:r>
              <w:rPr>
                <w:rFonts w:ascii="Times New Roman"/>
                <w:sz w:val="18"/>
              </w:rPr>
              <w:t>-6,777,7</w:t>
            </w:r>
          </w:p>
          <w:p>
            <w:pPr>
              <w:pStyle w:val="TableParagraph"/>
              <w:spacing w:line="240" w:lineRule="auto" w:before="150"/>
              <w:ind w:left="228" w:right="0"/>
              <w:jc w:val="center"/>
              <w:rPr>
                <w:rFonts w:ascii="Times New Roman" w:hAnsi="Times New Roman" w:cs="Times New Roman" w:eastAsia="Times New Roman" w:hint="default"/>
                <w:sz w:val="18"/>
                <w:szCs w:val="18"/>
              </w:rPr>
            </w:pPr>
            <w:r>
              <w:rPr>
                <w:rFonts w:ascii="Times New Roman"/>
                <w:sz w:val="18"/>
              </w:rPr>
              <w:t>34.73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15"/>
              <w:ind w:left="96" w:right="0"/>
              <w:jc w:val="left"/>
              <w:rPr>
                <w:rFonts w:ascii="Times New Roman" w:hAnsi="Times New Roman" w:cs="Times New Roman" w:eastAsia="Times New Roman" w:hint="default"/>
                <w:sz w:val="18"/>
                <w:szCs w:val="18"/>
              </w:rPr>
            </w:pPr>
            <w:r>
              <w:rPr>
                <w:rFonts w:ascii="Times New Roman"/>
                <w:sz w:val="18"/>
              </w:rPr>
              <w:t>-63,222,2</w:t>
            </w:r>
          </w:p>
          <w:p>
            <w:pPr>
              <w:pStyle w:val="TableParagraph"/>
              <w:spacing w:line="240" w:lineRule="auto" w:before="150"/>
              <w:ind w:left="379" w:right="0"/>
              <w:jc w:val="left"/>
              <w:rPr>
                <w:rFonts w:ascii="Times New Roman" w:hAnsi="Times New Roman" w:cs="Times New Roman" w:eastAsia="Times New Roman" w:hint="default"/>
                <w:sz w:val="18"/>
                <w:szCs w:val="18"/>
              </w:rPr>
            </w:pPr>
            <w:r>
              <w:rPr>
                <w:rFonts w:ascii="Times New Roman"/>
                <w:sz w:val="18"/>
              </w:rPr>
              <w:t>65.27</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15"/>
              <w:ind w:left="81" w:right="0"/>
              <w:jc w:val="lef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50"/>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39"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82"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49"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5" w:lineRule="auto" w:before="75"/>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53" w:top="1060" w:bottom="14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8"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5" w:lineRule="auto" w:before="73"/>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80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7" w:right="0"/>
              <w:jc w:val="left"/>
              <w:rPr>
                <w:rFonts w:ascii="Times New Roman" w:hAnsi="Times New Roman" w:cs="Times New Roman" w:eastAsia="Times New Roman" w:hint="default"/>
                <w:sz w:val="18"/>
                <w:szCs w:val="18"/>
              </w:rPr>
            </w:pPr>
            <w:r>
              <w:rPr>
                <w:rFonts w:ascii="Times New Roman"/>
                <w:sz w:val="18"/>
              </w:rPr>
              <w:t>515,940</w:t>
            </w:r>
          </w:p>
          <w:p>
            <w:pPr>
              <w:pStyle w:val="TableParagraph"/>
              <w:spacing w:line="240" w:lineRule="auto" w:before="150"/>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4" w:right="0"/>
              <w:jc w:val="left"/>
              <w:rPr>
                <w:rFonts w:ascii="Times New Roman" w:hAnsi="Times New Roman" w:cs="Times New Roman" w:eastAsia="Times New Roman" w:hint="default"/>
                <w:sz w:val="18"/>
                <w:szCs w:val="18"/>
              </w:rPr>
            </w:pPr>
            <w:r>
              <w:rPr>
                <w:rFonts w:ascii="Times New Roman"/>
                <w:sz w:val="18"/>
              </w:rPr>
              <w:t>1,489,73</w:t>
            </w:r>
          </w:p>
          <w:p>
            <w:pPr>
              <w:pStyle w:val="TableParagraph"/>
              <w:spacing w:line="240" w:lineRule="auto" w:before="150"/>
              <w:ind w:left="24" w:right="0"/>
              <w:jc w:val="left"/>
              <w:rPr>
                <w:rFonts w:ascii="Times New Roman" w:hAnsi="Times New Roman" w:cs="Times New Roman" w:eastAsia="Times New Roman" w:hint="default"/>
                <w:sz w:val="18"/>
                <w:szCs w:val="18"/>
              </w:rPr>
            </w:pPr>
            <w:r>
              <w:rPr>
                <w:rFonts w:ascii="Times New Roman"/>
                <w:sz w:val="18"/>
              </w:rPr>
              <w:t>4,501.74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8" w:right="0"/>
              <w:jc w:val="left"/>
              <w:rPr>
                <w:rFonts w:ascii="Times New Roman" w:hAnsi="Times New Roman" w:cs="Times New Roman" w:eastAsia="Times New Roman" w:hint="default"/>
                <w:sz w:val="18"/>
                <w:szCs w:val="18"/>
              </w:rPr>
            </w:pPr>
            <w:r>
              <w:rPr>
                <w:rFonts w:ascii="Times New Roman"/>
                <w:sz w:val="18"/>
              </w:rPr>
              <w:t>11,635,5</w:t>
            </w:r>
          </w:p>
          <w:p>
            <w:pPr>
              <w:pStyle w:val="TableParagraph"/>
              <w:spacing w:line="240" w:lineRule="auto" w:before="150"/>
              <w:ind w:left="247" w:right="0"/>
              <w:jc w:val="left"/>
              <w:rPr>
                <w:rFonts w:ascii="Times New Roman" w:hAnsi="Times New Roman" w:cs="Times New Roman" w:eastAsia="Times New Roman" w:hint="default"/>
                <w:sz w:val="18"/>
                <w:szCs w:val="18"/>
              </w:rPr>
            </w:pPr>
            <w:r>
              <w:rPr>
                <w:rFonts w:ascii="Times New Roman"/>
                <w:sz w:val="18"/>
              </w:rPr>
              <w:t>47.40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6" w:right="0"/>
              <w:jc w:val="left"/>
              <w:rPr>
                <w:rFonts w:ascii="Times New Roman" w:hAnsi="Times New Roman" w:cs="Times New Roman" w:eastAsia="Times New Roman" w:hint="default"/>
                <w:sz w:val="18"/>
                <w:szCs w:val="18"/>
              </w:rPr>
            </w:pPr>
            <w:r>
              <w:rPr>
                <w:rFonts w:ascii="Times New Roman"/>
                <w:sz w:val="18"/>
              </w:rPr>
              <w:t>99,510,2</w:t>
            </w:r>
          </w:p>
          <w:p>
            <w:pPr>
              <w:pStyle w:val="TableParagraph"/>
              <w:spacing w:line="240" w:lineRule="auto" w:before="150"/>
              <w:ind w:left="251" w:right="0"/>
              <w:jc w:val="left"/>
              <w:rPr>
                <w:rFonts w:ascii="Times New Roman" w:hAnsi="Times New Roman" w:cs="Times New Roman" w:eastAsia="Times New Roman" w:hint="default"/>
                <w:sz w:val="18"/>
                <w:szCs w:val="18"/>
              </w:rPr>
            </w:pPr>
            <w:r>
              <w:rPr>
                <w:rFonts w:ascii="Times New Roman"/>
                <w:sz w:val="18"/>
              </w:rPr>
              <w:t>84.99</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4" w:right="0"/>
              <w:jc w:val="left"/>
              <w:rPr>
                <w:rFonts w:ascii="Times New Roman" w:hAnsi="Times New Roman" w:cs="Times New Roman" w:eastAsia="Times New Roman" w:hint="default"/>
                <w:sz w:val="18"/>
                <w:szCs w:val="18"/>
              </w:rPr>
            </w:pPr>
            <w:r>
              <w:rPr>
                <w:rFonts w:ascii="Times New Roman"/>
                <w:sz w:val="18"/>
              </w:rPr>
              <w:t>32,662,26</w:t>
            </w:r>
          </w:p>
          <w:p>
            <w:pPr>
              <w:pStyle w:val="TableParagraph"/>
              <w:spacing w:line="240" w:lineRule="auto" w:before="150"/>
              <w:ind w:left="470" w:right="0"/>
              <w:jc w:val="left"/>
              <w:rPr>
                <w:rFonts w:ascii="Times New Roman" w:hAnsi="Times New Roman" w:cs="Times New Roman" w:eastAsia="Times New Roman" w:hint="default"/>
                <w:sz w:val="18"/>
                <w:szCs w:val="18"/>
              </w:rPr>
            </w:pPr>
            <w:r>
              <w:rPr>
                <w:rFonts w:ascii="Times New Roman"/>
                <w:sz w:val="18"/>
              </w:rPr>
              <w:t>5.68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5" w:right="0"/>
              <w:jc w:val="left"/>
              <w:rPr>
                <w:rFonts w:ascii="Times New Roman" w:hAnsi="Times New Roman" w:cs="Times New Roman" w:eastAsia="Times New Roman" w:hint="default"/>
                <w:sz w:val="18"/>
                <w:szCs w:val="18"/>
              </w:rPr>
            </w:pPr>
            <w:r>
              <w:rPr>
                <w:rFonts w:ascii="Times New Roman"/>
                <w:sz w:val="18"/>
              </w:rPr>
              <w:t>2,149,482,</w:t>
            </w:r>
          </w:p>
          <w:p>
            <w:pPr>
              <w:pStyle w:val="TableParagraph"/>
              <w:spacing w:line="240" w:lineRule="auto" w:before="150"/>
              <w:ind w:left="367" w:right="0"/>
              <w:jc w:val="left"/>
              <w:rPr>
                <w:rFonts w:ascii="Times New Roman" w:hAnsi="Times New Roman" w:cs="Times New Roman" w:eastAsia="Times New Roman" w:hint="default"/>
                <w:sz w:val="18"/>
                <w:szCs w:val="18"/>
              </w:rPr>
            </w:pPr>
            <w:r>
              <w:rPr>
                <w:rFonts w:ascii="Times New Roman"/>
                <w:sz w:val="18"/>
              </w:rPr>
              <w:t>599.81</w:t>
            </w:r>
          </w:p>
        </w:tc>
      </w:tr>
    </w:tbl>
    <w:p>
      <w:pPr>
        <w:spacing w:before="70"/>
        <w:ind w:left="152" w:right="1125"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line="240" w:lineRule="auto" w:before="3"/>
        <w:rPr>
          <w:rFonts w:ascii="宋体" w:hAnsi="宋体" w:cs="宋体" w:eastAsia="宋体" w:hint="default"/>
          <w:sz w:val="9"/>
          <w:szCs w:val="9"/>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49"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6"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26"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64" w:lineRule="auto" w:before="116"/>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64" w:lineRule="auto" w:before="76"/>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64" w:lineRule="auto" w:before="76"/>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75"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67" w:lineRule="auto" w:before="73"/>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67" w:lineRule="auto" w:before="73"/>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67" w:lineRule="auto" w:before="73"/>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67" w:lineRule="auto" w:before="73"/>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67" w:lineRule="auto" w:before="73"/>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67" w:lineRule="auto" w:before="73"/>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98"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26"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83"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85"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117"/>
              <w:ind w:left="70" w:right="0"/>
              <w:jc w:val="left"/>
              <w:rPr>
                <w:rFonts w:ascii="Times New Roman" w:hAnsi="Times New Roman" w:cs="Times New Roman" w:eastAsia="Times New Roman" w:hint="default"/>
                <w:sz w:val="18"/>
                <w:szCs w:val="18"/>
              </w:rPr>
            </w:pPr>
            <w:r>
              <w:rPr>
                <w:rFonts w:ascii="Times New Roman"/>
                <w:sz w:val="18"/>
              </w:rPr>
              <w:t>332,900</w:t>
            </w:r>
          </w:p>
          <w:p>
            <w:pPr>
              <w:pStyle w:val="TableParagraph"/>
              <w:spacing w:line="240" w:lineRule="auto" w:before="150"/>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7"/>
              <w:ind w:left="3" w:right="0"/>
              <w:jc w:val="center"/>
              <w:rPr>
                <w:rFonts w:ascii="Times New Roman" w:hAnsi="Times New Roman" w:cs="Times New Roman" w:eastAsia="Times New Roman" w:hint="default"/>
                <w:sz w:val="18"/>
                <w:szCs w:val="18"/>
              </w:rPr>
            </w:pPr>
            <w:r>
              <w:rPr>
                <w:rFonts w:ascii="Times New Roman"/>
                <w:sz w:val="18"/>
              </w:rPr>
              <w:t>606,189,</w:t>
            </w:r>
          </w:p>
          <w:p>
            <w:pPr>
              <w:pStyle w:val="TableParagraph"/>
              <w:spacing w:line="240" w:lineRule="auto" w:before="150"/>
              <w:ind w:left="139" w:right="0"/>
              <w:jc w:val="center"/>
              <w:rPr>
                <w:rFonts w:ascii="Times New Roman" w:hAnsi="Times New Roman" w:cs="Times New Roman" w:eastAsia="Times New Roman" w:hint="default"/>
                <w:sz w:val="18"/>
                <w:szCs w:val="18"/>
              </w:rPr>
            </w:pPr>
            <w:r>
              <w:rPr>
                <w:rFonts w:ascii="Times New Roman"/>
                <w:sz w:val="18"/>
              </w:rPr>
              <w:t>793.89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17"/>
              <w:ind w:left="28" w:right="0"/>
              <w:jc w:val="left"/>
              <w:rPr>
                <w:rFonts w:ascii="Times New Roman" w:hAnsi="Times New Roman" w:cs="Times New Roman" w:eastAsia="Times New Roman" w:hint="default"/>
                <w:sz w:val="18"/>
                <w:szCs w:val="18"/>
              </w:rPr>
            </w:pPr>
            <w:r>
              <w:rPr>
                <w:rFonts w:ascii="Times New Roman"/>
                <w:sz w:val="18"/>
              </w:rPr>
              <w:t>11,635,5</w:t>
            </w:r>
          </w:p>
          <w:p>
            <w:pPr>
              <w:pStyle w:val="TableParagraph"/>
              <w:spacing w:line="240" w:lineRule="auto" w:before="150"/>
              <w:ind w:left="247" w:right="0"/>
              <w:jc w:val="left"/>
              <w:rPr>
                <w:rFonts w:ascii="Times New Roman" w:hAnsi="Times New Roman" w:cs="Times New Roman" w:eastAsia="Times New Roman" w:hint="default"/>
                <w:sz w:val="18"/>
                <w:szCs w:val="18"/>
              </w:rPr>
            </w:pPr>
            <w:r>
              <w:rPr>
                <w:rFonts w:ascii="Times New Roman"/>
                <w:sz w:val="18"/>
              </w:rPr>
              <w:t>47.40</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7"/>
              <w:ind w:left="26" w:right="0"/>
              <w:jc w:val="left"/>
              <w:rPr>
                <w:rFonts w:ascii="Times New Roman" w:hAnsi="Times New Roman" w:cs="Times New Roman" w:eastAsia="Times New Roman" w:hint="default"/>
                <w:sz w:val="18"/>
                <w:szCs w:val="18"/>
              </w:rPr>
            </w:pPr>
            <w:r>
              <w:rPr>
                <w:rFonts w:ascii="Times New Roman"/>
                <w:sz w:val="18"/>
              </w:rPr>
              <w:t>51,031,4</w:t>
            </w:r>
          </w:p>
          <w:p>
            <w:pPr>
              <w:pStyle w:val="TableParagraph"/>
              <w:spacing w:line="240" w:lineRule="auto" w:before="150"/>
              <w:ind w:left="251" w:right="0"/>
              <w:jc w:val="left"/>
              <w:rPr>
                <w:rFonts w:ascii="Times New Roman" w:hAnsi="Times New Roman" w:cs="Times New Roman" w:eastAsia="Times New Roman" w:hint="default"/>
                <w:sz w:val="18"/>
                <w:szCs w:val="18"/>
              </w:rPr>
            </w:pPr>
            <w:r>
              <w:rPr>
                <w:rFonts w:ascii="Times New Roman"/>
                <w:sz w:val="18"/>
              </w:rPr>
              <w:t>12.69</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17"/>
              <w:ind w:left="64" w:right="0"/>
              <w:jc w:val="left"/>
              <w:rPr>
                <w:rFonts w:ascii="Times New Roman" w:hAnsi="Times New Roman" w:cs="Times New Roman" w:eastAsia="Times New Roman" w:hint="default"/>
                <w:sz w:val="18"/>
                <w:szCs w:val="18"/>
              </w:rPr>
            </w:pPr>
            <w:r>
              <w:rPr>
                <w:rFonts w:ascii="Times New Roman"/>
                <w:sz w:val="18"/>
              </w:rPr>
              <w:t>94,257,81</w:t>
            </w:r>
          </w:p>
          <w:p>
            <w:pPr>
              <w:pStyle w:val="TableParagraph"/>
              <w:spacing w:line="240" w:lineRule="auto" w:before="150"/>
              <w:ind w:left="470" w:right="0"/>
              <w:jc w:val="left"/>
              <w:rPr>
                <w:rFonts w:ascii="Times New Roman" w:hAnsi="Times New Roman" w:cs="Times New Roman" w:eastAsia="Times New Roman" w:hint="default"/>
                <w:sz w:val="18"/>
                <w:szCs w:val="18"/>
              </w:rPr>
            </w:pPr>
            <w:r>
              <w:rPr>
                <w:rFonts w:ascii="Times New Roman"/>
                <w:sz w:val="18"/>
              </w:rPr>
              <w:t>4.44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17"/>
              <w:ind w:left="95" w:right="0"/>
              <w:jc w:val="left"/>
              <w:rPr>
                <w:rFonts w:ascii="Times New Roman" w:hAnsi="Times New Roman" w:cs="Times New Roman" w:eastAsia="Times New Roman" w:hint="default"/>
                <w:sz w:val="18"/>
                <w:szCs w:val="18"/>
              </w:rPr>
            </w:pPr>
            <w:r>
              <w:rPr>
                <w:rFonts w:ascii="Times New Roman"/>
                <w:sz w:val="18"/>
              </w:rPr>
              <w:t>1,096,014,</w:t>
            </w:r>
          </w:p>
          <w:p>
            <w:pPr>
              <w:pStyle w:val="TableParagraph"/>
              <w:spacing w:line="240" w:lineRule="auto" w:before="150"/>
              <w:ind w:left="367" w:right="0"/>
              <w:jc w:val="left"/>
              <w:rPr>
                <w:rFonts w:ascii="Times New Roman" w:hAnsi="Times New Roman" w:cs="Times New Roman" w:eastAsia="Times New Roman" w:hint="default"/>
                <w:sz w:val="18"/>
                <w:szCs w:val="18"/>
              </w:rPr>
            </w:pPr>
            <w:r>
              <w:rPr>
                <w:rFonts w:ascii="Times New Roman"/>
                <w:sz w:val="18"/>
              </w:rPr>
              <w:t>568.42</w:t>
            </w:r>
          </w:p>
        </w:tc>
      </w:tr>
      <w:tr>
        <w:trPr>
          <w:trHeight w:val="439"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85"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806"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3"/>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51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51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85"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117"/>
              <w:ind w:left="70" w:right="0"/>
              <w:jc w:val="left"/>
              <w:rPr>
                <w:rFonts w:ascii="Times New Roman" w:hAnsi="Times New Roman" w:cs="Times New Roman" w:eastAsia="Times New Roman" w:hint="default"/>
                <w:sz w:val="18"/>
                <w:szCs w:val="18"/>
              </w:rPr>
            </w:pPr>
            <w:r>
              <w:rPr>
                <w:rFonts w:ascii="Times New Roman"/>
                <w:sz w:val="18"/>
              </w:rPr>
              <w:t>332,900</w:t>
            </w:r>
          </w:p>
          <w:p>
            <w:pPr>
              <w:pStyle w:val="TableParagraph"/>
              <w:spacing w:line="240" w:lineRule="auto" w:before="151"/>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7"/>
              <w:ind w:left="3" w:right="0"/>
              <w:jc w:val="center"/>
              <w:rPr>
                <w:rFonts w:ascii="Times New Roman" w:hAnsi="Times New Roman" w:cs="Times New Roman" w:eastAsia="Times New Roman" w:hint="default"/>
                <w:sz w:val="18"/>
                <w:szCs w:val="18"/>
              </w:rPr>
            </w:pPr>
            <w:r>
              <w:rPr>
                <w:rFonts w:ascii="Times New Roman"/>
                <w:sz w:val="18"/>
              </w:rPr>
              <w:t>606,189,</w:t>
            </w:r>
          </w:p>
          <w:p>
            <w:pPr>
              <w:pStyle w:val="TableParagraph"/>
              <w:spacing w:line="240" w:lineRule="auto" w:before="151"/>
              <w:ind w:left="139" w:right="0"/>
              <w:jc w:val="center"/>
              <w:rPr>
                <w:rFonts w:ascii="Times New Roman" w:hAnsi="Times New Roman" w:cs="Times New Roman" w:eastAsia="Times New Roman" w:hint="default"/>
                <w:sz w:val="18"/>
                <w:szCs w:val="18"/>
              </w:rPr>
            </w:pPr>
            <w:r>
              <w:rPr>
                <w:rFonts w:ascii="Times New Roman"/>
                <w:sz w:val="18"/>
              </w:rPr>
              <w:t>793.89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117"/>
              <w:ind w:left="28" w:right="0"/>
              <w:jc w:val="left"/>
              <w:rPr>
                <w:rFonts w:ascii="Times New Roman" w:hAnsi="Times New Roman" w:cs="Times New Roman" w:eastAsia="Times New Roman" w:hint="default"/>
                <w:sz w:val="18"/>
                <w:szCs w:val="18"/>
              </w:rPr>
            </w:pPr>
            <w:r>
              <w:rPr>
                <w:rFonts w:ascii="Times New Roman"/>
                <w:sz w:val="18"/>
              </w:rPr>
              <w:t>11,635,5</w:t>
            </w:r>
          </w:p>
          <w:p>
            <w:pPr>
              <w:pStyle w:val="TableParagraph"/>
              <w:spacing w:line="240" w:lineRule="auto" w:before="151"/>
              <w:ind w:left="247" w:right="0"/>
              <w:jc w:val="left"/>
              <w:rPr>
                <w:rFonts w:ascii="Times New Roman" w:hAnsi="Times New Roman" w:cs="Times New Roman" w:eastAsia="Times New Roman" w:hint="default"/>
                <w:sz w:val="18"/>
                <w:szCs w:val="18"/>
              </w:rPr>
            </w:pPr>
            <w:r>
              <w:rPr>
                <w:rFonts w:ascii="Times New Roman"/>
                <w:sz w:val="18"/>
              </w:rPr>
              <w:t>47.40</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7"/>
              <w:ind w:left="26" w:right="0"/>
              <w:jc w:val="left"/>
              <w:rPr>
                <w:rFonts w:ascii="Times New Roman" w:hAnsi="Times New Roman" w:cs="Times New Roman" w:eastAsia="Times New Roman" w:hint="default"/>
                <w:sz w:val="18"/>
                <w:szCs w:val="18"/>
              </w:rPr>
            </w:pPr>
            <w:r>
              <w:rPr>
                <w:rFonts w:ascii="Times New Roman"/>
                <w:sz w:val="18"/>
              </w:rPr>
              <w:t>51,031,4</w:t>
            </w:r>
          </w:p>
          <w:p>
            <w:pPr>
              <w:pStyle w:val="TableParagraph"/>
              <w:spacing w:line="240" w:lineRule="auto" w:before="151"/>
              <w:ind w:left="251" w:right="0"/>
              <w:jc w:val="left"/>
              <w:rPr>
                <w:rFonts w:ascii="Times New Roman" w:hAnsi="Times New Roman" w:cs="Times New Roman" w:eastAsia="Times New Roman" w:hint="default"/>
                <w:sz w:val="18"/>
                <w:szCs w:val="18"/>
              </w:rPr>
            </w:pPr>
            <w:r>
              <w:rPr>
                <w:rFonts w:ascii="Times New Roman"/>
                <w:sz w:val="18"/>
              </w:rPr>
              <w:t>12.69</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17"/>
              <w:ind w:left="64" w:right="0"/>
              <w:jc w:val="left"/>
              <w:rPr>
                <w:rFonts w:ascii="Times New Roman" w:hAnsi="Times New Roman" w:cs="Times New Roman" w:eastAsia="Times New Roman" w:hint="default"/>
                <w:sz w:val="18"/>
                <w:szCs w:val="18"/>
              </w:rPr>
            </w:pPr>
            <w:r>
              <w:rPr>
                <w:rFonts w:ascii="Times New Roman"/>
                <w:sz w:val="18"/>
              </w:rPr>
              <w:t>94,257,81</w:t>
            </w:r>
          </w:p>
          <w:p>
            <w:pPr>
              <w:pStyle w:val="TableParagraph"/>
              <w:spacing w:line="240" w:lineRule="auto" w:before="151"/>
              <w:ind w:left="470" w:right="0"/>
              <w:jc w:val="left"/>
              <w:rPr>
                <w:rFonts w:ascii="Times New Roman" w:hAnsi="Times New Roman" w:cs="Times New Roman" w:eastAsia="Times New Roman" w:hint="default"/>
                <w:sz w:val="18"/>
                <w:szCs w:val="18"/>
              </w:rPr>
            </w:pPr>
            <w:r>
              <w:rPr>
                <w:rFonts w:ascii="Times New Roman"/>
                <w:sz w:val="18"/>
              </w:rPr>
              <w:t>4.44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17"/>
              <w:ind w:left="95" w:right="0"/>
              <w:jc w:val="left"/>
              <w:rPr>
                <w:rFonts w:ascii="Times New Roman" w:hAnsi="Times New Roman" w:cs="Times New Roman" w:eastAsia="Times New Roman" w:hint="default"/>
                <w:sz w:val="18"/>
                <w:szCs w:val="18"/>
              </w:rPr>
            </w:pPr>
            <w:r>
              <w:rPr>
                <w:rFonts w:ascii="Times New Roman"/>
                <w:sz w:val="18"/>
              </w:rPr>
              <w:t>1,096,014,</w:t>
            </w:r>
          </w:p>
          <w:p>
            <w:pPr>
              <w:pStyle w:val="TableParagraph"/>
              <w:spacing w:line="240" w:lineRule="auto" w:before="151"/>
              <w:ind w:left="367" w:right="0"/>
              <w:jc w:val="left"/>
              <w:rPr>
                <w:rFonts w:ascii="Times New Roman" w:hAnsi="Times New Roman" w:cs="Times New Roman" w:eastAsia="Times New Roman" w:hint="default"/>
                <w:sz w:val="18"/>
                <w:szCs w:val="18"/>
              </w:rPr>
            </w:pPr>
            <w:r>
              <w:rPr>
                <w:rFonts w:ascii="Times New Roman"/>
                <w:sz w:val="18"/>
              </w:rPr>
              <w:t>568.42</w:t>
            </w:r>
          </w:p>
        </w:tc>
      </w:tr>
      <w:tr>
        <w:trPr>
          <w:trHeight w:val="440"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85"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806"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3"/>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3" w:right="0"/>
              <w:jc w:val="center"/>
              <w:rPr>
                <w:rFonts w:ascii="Times New Roman" w:hAnsi="Times New Roman" w:cs="Times New Roman" w:eastAsia="Times New Roman" w:hint="default"/>
                <w:sz w:val="18"/>
                <w:szCs w:val="18"/>
              </w:rPr>
            </w:pPr>
            <w:r>
              <w:rPr>
                <w:rFonts w:ascii="Times New Roman"/>
                <w:sz w:val="18"/>
              </w:rPr>
              <w:t>-6,072,3</w:t>
            </w:r>
          </w:p>
          <w:p>
            <w:pPr>
              <w:pStyle w:val="TableParagraph"/>
              <w:spacing w:line="240" w:lineRule="auto" w:before="150"/>
              <w:ind w:left="228" w:right="0"/>
              <w:jc w:val="center"/>
              <w:rPr>
                <w:rFonts w:ascii="Times New Roman" w:hAnsi="Times New Roman" w:cs="Times New Roman" w:eastAsia="Times New Roman" w:hint="default"/>
                <w:sz w:val="18"/>
                <w:szCs w:val="18"/>
              </w:rPr>
            </w:pPr>
            <w:r>
              <w:rPr>
                <w:rFonts w:ascii="Times New Roman"/>
                <w:sz w:val="18"/>
              </w:rPr>
              <w:t>57.42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6" w:right="0"/>
              <w:jc w:val="left"/>
              <w:rPr>
                <w:rFonts w:ascii="Times New Roman" w:hAnsi="Times New Roman" w:cs="Times New Roman" w:eastAsia="Times New Roman" w:hint="default"/>
                <w:sz w:val="18"/>
                <w:szCs w:val="18"/>
              </w:rPr>
            </w:pPr>
            <w:r>
              <w:rPr>
                <w:rFonts w:ascii="Times New Roman"/>
                <w:sz w:val="18"/>
              </w:rPr>
              <w:t>23,473,1</w:t>
            </w:r>
          </w:p>
          <w:p>
            <w:pPr>
              <w:pStyle w:val="TableParagraph"/>
              <w:spacing w:line="240" w:lineRule="auto" w:before="150"/>
              <w:ind w:left="251" w:right="0"/>
              <w:jc w:val="left"/>
              <w:rPr>
                <w:rFonts w:ascii="Times New Roman" w:hAnsi="Times New Roman" w:cs="Times New Roman" w:eastAsia="Times New Roman" w:hint="default"/>
                <w:sz w:val="18"/>
                <w:szCs w:val="18"/>
              </w:rPr>
            </w:pPr>
            <w:r>
              <w:rPr>
                <w:rFonts w:ascii="Times New Roman"/>
                <w:sz w:val="18"/>
              </w:rPr>
              <w:t>58.66</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4,133,395</w:t>
            </w:r>
          </w:p>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z w:val="18"/>
              </w:rPr>
              <w:t>.04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21,534,196</w:t>
            </w:r>
          </w:p>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z w:val="18"/>
              </w:rPr>
              <w:t>.28</w:t>
            </w:r>
          </w:p>
        </w:tc>
      </w:tr>
      <w:tr>
        <w:trPr>
          <w:trHeight w:val="185"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7"/>
              <w:ind w:left="26" w:right="0"/>
              <w:jc w:val="left"/>
              <w:rPr>
                <w:rFonts w:ascii="Times New Roman" w:hAnsi="Times New Roman" w:cs="Times New Roman" w:eastAsia="Times New Roman" w:hint="default"/>
                <w:sz w:val="18"/>
                <w:szCs w:val="18"/>
              </w:rPr>
            </w:pPr>
            <w:r>
              <w:rPr>
                <w:rFonts w:ascii="Times New Roman"/>
                <w:sz w:val="18"/>
              </w:rPr>
              <w:t>23,473,1</w:t>
            </w:r>
          </w:p>
          <w:p>
            <w:pPr>
              <w:pStyle w:val="TableParagraph"/>
              <w:spacing w:line="240" w:lineRule="auto" w:before="150"/>
              <w:ind w:left="251" w:right="0"/>
              <w:jc w:val="left"/>
              <w:rPr>
                <w:rFonts w:ascii="Times New Roman" w:hAnsi="Times New Roman" w:cs="Times New Roman" w:eastAsia="Times New Roman" w:hint="default"/>
                <w:sz w:val="18"/>
                <w:szCs w:val="18"/>
              </w:rPr>
            </w:pPr>
            <w:r>
              <w:rPr>
                <w:rFonts w:ascii="Times New Roman"/>
                <w:sz w:val="18"/>
              </w:rPr>
              <w:t>58.66</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117"/>
              <w:ind w:right="21"/>
              <w:jc w:val="right"/>
              <w:rPr>
                <w:rFonts w:ascii="Times New Roman" w:hAnsi="Times New Roman" w:cs="Times New Roman" w:eastAsia="Times New Roman" w:hint="default"/>
                <w:sz w:val="18"/>
                <w:szCs w:val="18"/>
              </w:rPr>
            </w:pPr>
            <w:r>
              <w:rPr>
                <w:rFonts w:ascii="Times New Roman"/>
                <w:spacing w:val="-1"/>
                <w:sz w:val="18"/>
              </w:rPr>
              <w:t>3,684,524</w:t>
            </w:r>
          </w:p>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z w:val="18"/>
              </w:rPr>
              <w:t>.44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17"/>
              <w:ind w:right="19"/>
              <w:jc w:val="right"/>
              <w:rPr>
                <w:rFonts w:ascii="Times New Roman" w:hAnsi="Times New Roman" w:cs="Times New Roman" w:eastAsia="Times New Roman" w:hint="default"/>
                <w:sz w:val="18"/>
                <w:szCs w:val="18"/>
              </w:rPr>
            </w:pPr>
            <w:r>
              <w:rPr>
                <w:rFonts w:ascii="Times New Roman"/>
                <w:spacing w:val="-1"/>
                <w:sz w:val="18"/>
              </w:rPr>
              <w:t>27,157,683</w:t>
            </w:r>
          </w:p>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z w:val="18"/>
              </w:rPr>
              <w:t>.10</w:t>
            </w:r>
          </w:p>
        </w:tc>
      </w:tr>
      <w:tr>
        <w:trPr>
          <w:trHeight w:val="439"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85"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85"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15"/>
              <w:ind w:left="24" w:right="0"/>
              <w:jc w:val="left"/>
              <w:rPr>
                <w:rFonts w:ascii="Times New Roman" w:hAnsi="Times New Roman" w:cs="Times New Roman" w:eastAsia="Times New Roman" w:hint="default"/>
                <w:sz w:val="18"/>
                <w:szCs w:val="18"/>
              </w:rPr>
            </w:pPr>
            <w:r>
              <w:rPr>
                <w:rFonts w:ascii="Times New Roman"/>
                <w:sz w:val="18"/>
              </w:rPr>
              <w:t>1,376,51</w:t>
            </w:r>
          </w:p>
          <w:p>
            <w:pPr>
              <w:pStyle w:val="TableParagraph"/>
              <w:spacing w:line="240" w:lineRule="auto" w:before="150"/>
              <w:ind w:left="340" w:right="0"/>
              <w:jc w:val="left"/>
              <w:rPr>
                <w:rFonts w:ascii="Times New Roman" w:hAnsi="Times New Roman" w:cs="Times New Roman" w:eastAsia="Times New Roman" w:hint="default"/>
                <w:sz w:val="18"/>
                <w:szCs w:val="18"/>
              </w:rPr>
            </w:pPr>
            <w:r>
              <w:rPr>
                <w:rFonts w:ascii="Times New Roman"/>
                <w:sz w:val="18"/>
              </w:rPr>
              <w:t>3.18</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15"/>
              <w:ind w:right="18"/>
              <w:jc w:val="right"/>
              <w:rPr>
                <w:rFonts w:ascii="Times New Roman" w:hAnsi="Times New Roman" w:cs="Times New Roman" w:eastAsia="Times New Roman" w:hint="default"/>
                <w:sz w:val="18"/>
                <w:szCs w:val="18"/>
              </w:rPr>
            </w:pPr>
            <w:r>
              <w:rPr>
                <w:rFonts w:ascii="Times New Roman"/>
                <w:spacing w:val="-1"/>
                <w:sz w:val="18"/>
              </w:rPr>
              <w:t>1,376,513.</w:t>
            </w:r>
          </w:p>
          <w:p>
            <w:pPr>
              <w:pStyle w:val="TableParagraph"/>
              <w:spacing w:line="240" w:lineRule="auto" w:before="150"/>
              <w:ind w:right="17"/>
              <w:jc w:val="right"/>
              <w:rPr>
                <w:rFonts w:ascii="Times New Roman" w:hAnsi="Times New Roman" w:cs="Times New Roman" w:eastAsia="Times New Roman" w:hint="default"/>
                <w:sz w:val="18"/>
                <w:szCs w:val="18"/>
              </w:rPr>
            </w:pPr>
            <w:r>
              <w:rPr>
                <w:rFonts w:ascii="Times New Roman"/>
                <w:sz w:val="18"/>
              </w:rPr>
              <w:t>18</w:t>
            </w:r>
          </w:p>
        </w:tc>
      </w:tr>
      <w:tr>
        <w:trPr>
          <w:trHeight w:val="439"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85"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253" w:top="1060" w:bottom="14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80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4" w:right="0"/>
              <w:jc w:val="left"/>
              <w:rPr>
                <w:rFonts w:ascii="Times New Roman" w:hAnsi="Times New Roman" w:cs="Times New Roman" w:eastAsia="Times New Roman" w:hint="default"/>
                <w:sz w:val="18"/>
                <w:szCs w:val="18"/>
              </w:rPr>
            </w:pPr>
            <w:r>
              <w:rPr>
                <w:rFonts w:ascii="Times New Roman"/>
                <w:sz w:val="18"/>
              </w:rPr>
              <w:t>1,376,51</w:t>
            </w:r>
          </w:p>
          <w:p>
            <w:pPr>
              <w:pStyle w:val="TableParagraph"/>
              <w:spacing w:line="240" w:lineRule="auto" w:before="151"/>
              <w:ind w:left="340" w:right="0"/>
              <w:jc w:val="left"/>
              <w:rPr>
                <w:rFonts w:ascii="Times New Roman" w:hAnsi="Times New Roman" w:cs="Times New Roman" w:eastAsia="Times New Roman" w:hint="default"/>
                <w:sz w:val="18"/>
                <w:szCs w:val="18"/>
              </w:rPr>
            </w:pPr>
            <w:r>
              <w:rPr>
                <w:rFonts w:ascii="Times New Roman"/>
                <w:sz w:val="18"/>
              </w:rPr>
              <w:t>3.18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6" w:right="0"/>
              <w:jc w:val="left"/>
              <w:rPr>
                <w:rFonts w:ascii="Times New Roman" w:hAnsi="Times New Roman" w:cs="Times New Roman" w:eastAsia="Times New Roman" w:hint="default"/>
                <w:sz w:val="18"/>
                <w:szCs w:val="18"/>
              </w:rPr>
            </w:pPr>
            <w:r>
              <w:rPr>
                <w:rFonts w:ascii="Times New Roman"/>
                <w:sz w:val="18"/>
              </w:rPr>
              <w:t>23,473,1</w:t>
            </w:r>
          </w:p>
          <w:p>
            <w:pPr>
              <w:pStyle w:val="TableParagraph"/>
              <w:spacing w:line="240" w:lineRule="auto" w:before="151"/>
              <w:ind w:left="251" w:right="0"/>
              <w:jc w:val="left"/>
              <w:rPr>
                <w:rFonts w:ascii="Times New Roman" w:hAnsi="Times New Roman" w:cs="Times New Roman" w:eastAsia="Times New Roman" w:hint="default"/>
                <w:sz w:val="18"/>
                <w:szCs w:val="18"/>
              </w:rPr>
            </w:pPr>
            <w:r>
              <w:rPr>
                <w:rFonts w:ascii="Times New Roman"/>
                <w:sz w:val="18"/>
              </w:rPr>
              <w:t>58.66</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3,684,524</w:t>
            </w: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z w:val="18"/>
              </w:rPr>
              <w:t>.44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28,534,196</w:t>
            </w:r>
          </w:p>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z w:val="18"/>
              </w:rPr>
              <w:t>.28</w:t>
            </w:r>
          </w:p>
        </w:tc>
      </w:tr>
      <w:tr>
        <w:trPr>
          <w:trHeight w:val="80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3" w:right="0"/>
              <w:jc w:val="center"/>
              <w:rPr>
                <w:rFonts w:ascii="Times New Roman" w:hAnsi="Times New Roman" w:cs="Times New Roman" w:eastAsia="Times New Roman" w:hint="default"/>
                <w:sz w:val="18"/>
                <w:szCs w:val="18"/>
              </w:rPr>
            </w:pPr>
            <w:r>
              <w:rPr>
                <w:rFonts w:ascii="Times New Roman"/>
                <w:sz w:val="18"/>
              </w:rPr>
              <w:t>-7,448,8</w:t>
            </w:r>
          </w:p>
          <w:p>
            <w:pPr>
              <w:pStyle w:val="TableParagraph"/>
              <w:spacing w:line="240" w:lineRule="auto" w:before="150"/>
              <w:ind w:left="228" w:right="0"/>
              <w:jc w:val="center"/>
              <w:rPr>
                <w:rFonts w:ascii="Times New Roman" w:hAnsi="Times New Roman" w:cs="Times New Roman" w:eastAsia="Times New Roman" w:hint="default"/>
                <w:sz w:val="18"/>
                <w:szCs w:val="18"/>
              </w:rPr>
            </w:pPr>
            <w:r>
              <w:rPr>
                <w:rFonts w:ascii="Times New Roman"/>
                <w:sz w:val="18"/>
              </w:rPr>
              <w:t>70.60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1"/>
              <w:jc w:val="right"/>
              <w:rPr>
                <w:rFonts w:ascii="Times New Roman" w:hAnsi="Times New Roman" w:cs="Times New Roman" w:eastAsia="Times New Roman" w:hint="default"/>
                <w:sz w:val="18"/>
                <w:szCs w:val="18"/>
              </w:rPr>
            </w:pPr>
            <w:r>
              <w:rPr>
                <w:rFonts w:ascii="Times New Roman"/>
                <w:spacing w:val="-1"/>
                <w:sz w:val="18"/>
              </w:rPr>
              <w:t>448,870.6</w:t>
            </w:r>
          </w:p>
          <w:p>
            <w:pPr>
              <w:pStyle w:val="TableParagraph"/>
              <w:spacing w:line="240" w:lineRule="auto" w:before="150"/>
              <w:ind w:right="23"/>
              <w:jc w:val="right"/>
              <w:rPr>
                <w:rFonts w:ascii="Times New Roman" w:hAnsi="Times New Roman" w:cs="Times New Roman" w:eastAsia="Times New Roman" w:hint="default"/>
                <w:sz w:val="18"/>
                <w:szCs w:val="18"/>
              </w:rPr>
            </w:pPr>
            <w:r>
              <w:rPr>
                <w:rFonts w:ascii="Times New Roman"/>
                <w:sz w:val="18"/>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8"/>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50"/>
              <w:ind w:right="17"/>
              <w:jc w:val="right"/>
              <w:rPr>
                <w:rFonts w:ascii="Times New Roman" w:hAnsi="Times New Roman" w:cs="Times New Roman" w:eastAsia="Times New Roman" w:hint="default"/>
                <w:sz w:val="18"/>
                <w:szCs w:val="18"/>
              </w:rPr>
            </w:pPr>
            <w:r>
              <w:rPr>
                <w:rFonts w:ascii="Times New Roman"/>
                <w:sz w:val="18"/>
              </w:rPr>
              <w:t>00</w:t>
            </w:r>
          </w:p>
        </w:tc>
      </w:tr>
      <w:tr>
        <w:trPr>
          <w:trHeight w:val="44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80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5" w:lineRule="auto" w:before="73"/>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33" w:right="0"/>
              <w:jc w:val="center"/>
              <w:rPr>
                <w:rFonts w:ascii="Times New Roman" w:hAnsi="Times New Roman" w:cs="Times New Roman" w:eastAsia="Times New Roman" w:hint="default"/>
                <w:sz w:val="18"/>
                <w:szCs w:val="18"/>
              </w:rPr>
            </w:pPr>
            <w:r>
              <w:rPr>
                <w:rFonts w:ascii="Times New Roman"/>
                <w:sz w:val="18"/>
              </w:rPr>
              <w:t>-7,448,8</w:t>
            </w:r>
          </w:p>
          <w:p>
            <w:pPr>
              <w:pStyle w:val="TableParagraph"/>
              <w:spacing w:line="240" w:lineRule="auto" w:before="150"/>
              <w:ind w:left="228" w:right="0"/>
              <w:jc w:val="center"/>
              <w:rPr>
                <w:rFonts w:ascii="Times New Roman" w:hAnsi="Times New Roman" w:cs="Times New Roman" w:eastAsia="Times New Roman" w:hint="default"/>
                <w:sz w:val="18"/>
                <w:szCs w:val="18"/>
              </w:rPr>
            </w:pPr>
            <w:r>
              <w:rPr>
                <w:rFonts w:ascii="Times New Roman"/>
                <w:sz w:val="18"/>
              </w:rPr>
              <w:t>70.60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1"/>
              <w:jc w:val="right"/>
              <w:rPr>
                <w:rFonts w:ascii="Times New Roman" w:hAnsi="Times New Roman" w:cs="Times New Roman" w:eastAsia="Times New Roman" w:hint="default"/>
                <w:sz w:val="18"/>
                <w:szCs w:val="18"/>
              </w:rPr>
            </w:pPr>
            <w:r>
              <w:rPr>
                <w:rFonts w:ascii="Times New Roman"/>
                <w:spacing w:val="-1"/>
                <w:sz w:val="18"/>
              </w:rPr>
              <w:t>448,870.6</w:t>
            </w:r>
          </w:p>
          <w:p>
            <w:pPr>
              <w:pStyle w:val="TableParagraph"/>
              <w:spacing w:line="240" w:lineRule="auto" w:before="150"/>
              <w:ind w:right="23"/>
              <w:jc w:val="right"/>
              <w:rPr>
                <w:rFonts w:ascii="Times New Roman" w:hAnsi="Times New Roman" w:cs="Times New Roman" w:eastAsia="Times New Roman" w:hint="default"/>
                <w:sz w:val="18"/>
                <w:szCs w:val="18"/>
              </w:rPr>
            </w:pPr>
            <w:r>
              <w:rPr>
                <w:rFonts w:ascii="Times New Roman"/>
                <w:sz w:val="18"/>
              </w:rPr>
              <w:t>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8"/>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50"/>
              <w:ind w:right="17"/>
              <w:jc w:val="right"/>
              <w:rPr>
                <w:rFonts w:ascii="Times New Roman" w:hAnsi="Times New Roman" w:cs="Times New Roman" w:eastAsia="Times New Roman" w:hint="default"/>
                <w:sz w:val="18"/>
                <w:szCs w:val="18"/>
              </w:rPr>
            </w:pPr>
            <w:r>
              <w:rPr>
                <w:rFonts w:ascii="Times New Roman"/>
                <w:sz w:val="18"/>
              </w:rPr>
              <w:t>00</w:t>
            </w:r>
          </w:p>
        </w:tc>
      </w:tr>
      <w:tr>
        <w:trPr>
          <w:trHeight w:val="44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80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5" w:lineRule="auto" w:before="73"/>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5" w:lineRule="auto" w:before="75"/>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80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5" w:lineRule="auto" w:before="73"/>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67" w:right="0"/>
              <w:jc w:val="left"/>
              <w:rPr>
                <w:rFonts w:ascii="Times New Roman" w:hAnsi="Times New Roman" w:cs="Times New Roman" w:eastAsia="Times New Roman" w:hint="default"/>
                <w:sz w:val="18"/>
                <w:szCs w:val="18"/>
              </w:rPr>
            </w:pPr>
            <w:r>
              <w:rPr>
                <w:rFonts w:ascii="Times New Roman"/>
                <w:sz w:val="18"/>
              </w:rPr>
              <w:t>332,900</w:t>
            </w:r>
          </w:p>
          <w:p>
            <w:pPr>
              <w:pStyle w:val="TableParagraph"/>
              <w:spacing w:line="240" w:lineRule="auto" w:before="150"/>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 w:right="0"/>
              <w:jc w:val="center"/>
              <w:rPr>
                <w:rFonts w:ascii="Times New Roman" w:hAnsi="Times New Roman" w:cs="Times New Roman" w:eastAsia="Times New Roman" w:hint="default"/>
                <w:sz w:val="18"/>
                <w:szCs w:val="18"/>
              </w:rPr>
            </w:pPr>
            <w:r>
              <w:rPr>
                <w:rFonts w:ascii="Times New Roman"/>
                <w:sz w:val="18"/>
              </w:rPr>
              <w:t>600,117,</w:t>
            </w:r>
          </w:p>
          <w:p>
            <w:pPr>
              <w:pStyle w:val="TableParagraph"/>
              <w:spacing w:line="240" w:lineRule="auto" w:before="150"/>
              <w:ind w:left="139" w:right="0"/>
              <w:jc w:val="center"/>
              <w:rPr>
                <w:rFonts w:ascii="Times New Roman" w:hAnsi="Times New Roman" w:cs="Times New Roman" w:eastAsia="Times New Roman" w:hint="default"/>
                <w:sz w:val="18"/>
                <w:szCs w:val="18"/>
              </w:rPr>
            </w:pPr>
            <w:r>
              <w:rPr>
                <w:rFonts w:ascii="Times New Roman"/>
                <w:sz w:val="18"/>
              </w:rPr>
              <w:t>436.47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8" w:right="0"/>
              <w:jc w:val="left"/>
              <w:rPr>
                <w:rFonts w:ascii="Times New Roman" w:hAnsi="Times New Roman" w:cs="Times New Roman" w:eastAsia="Times New Roman" w:hint="default"/>
                <w:sz w:val="18"/>
                <w:szCs w:val="18"/>
              </w:rPr>
            </w:pPr>
            <w:r>
              <w:rPr>
                <w:rFonts w:ascii="Times New Roman"/>
                <w:sz w:val="18"/>
              </w:rPr>
              <w:t>11,635,5</w:t>
            </w:r>
          </w:p>
          <w:p>
            <w:pPr>
              <w:pStyle w:val="TableParagraph"/>
              <w:spacing w:line="240" w:lineRule="auto" w:before="150"/>
              <w:ind w:left="247" w:right="0"/>
              <w:jc w:val="left"/>
              <w:rPr>
                <w:rFonts w:ascii="Times New Roman" w:hAnsi="Times New Roman" w:cs="Times New Roman" w:eastAsia="Times New Roman" w:hint="default"/>
                <w:sz w:val="18"/>
                <w:szCs w:val="18"/>
              </w:rPr>
            </w:pPr>
            <w:r>
              <w:rPr>
                <w:rFonts w:ascii="Times New Roman"/>
                <w:sz w:val="18"/>
              </w:rPr>
              <w:t>47.40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6" w:right="0"/>
              <w:jc w:val="left"/>
              <w:rPr>
                <w:rFonts w:ascii="Times New Roman" w:hAnsi="Times New Roman" w:cs="Times New Roman" w:eastAsia="Times New Roman" w:hint="default"/>
                <w:sz w:val="18"/>
                <w:szCs w:val="18"/>
              </w:rPr>
            </w:pPr>
            <w:r>
              <w:rPr>
                <w:rFonts w:ascii="Times New Roman"/>
                <w:sz w:val="18"/>
              </w:rPr>
              <w:t>74,504,5</w:t>
            </w:r>
          </w:p>
          <w:p>
            <w:pPr>
              <w:pStyle w:val="TableParagraph"/>
              <w:spacing w:line="240" w:lineRule="auto" w:before="150"/>
              <w:ind w:left="251" w:right="0"/>
              <w:jc w:val="left"/>
              <w:rPr>
                <w:rFonts w:ascii="Times New Roman" w:hAnsi="Times New Roman" w:cs="Times New Roman" w:eastAsia="Times New Roman" w:hint="default"/>
                <w:sz w:val="18"/>
                <w:szCs w:val="18"/>
              </w:rPr>
            </w:pPr>
            <w:r>
              <w:rPr>
                <w:rFonts w:ascii="Times New Roman"/>
                <w:sz w:val="18"/>
              </w:rPr>
              <w:t>71.35</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64" w:right="0"/>
              <w:jc w:val="left"/>
              <w:rPr>
                <w:rFonts w:ascii="Times New Roman" w:hAnsi="Times New Roman" w:cs="Times New Roman" w:eastAsia="Times New Roman" w:hint="default"/>
                <w:sz w:val="18"/>
                <w:szCs w:val="18"/>
              </w:rPr>
            </w:pPr>
            <w:r>
              <w:rPr>
                <w:rFonts w:ascii="Times New Roman"/>
                <w:sz w:val="18"/>
              </w:rPr>
              <w:t>98,391,20</w:t>
            </w:r>
          </w:p>
          <w:p>
            <w:pPr>
              <w:pStyle w:val="TableParagraph"/>
              <w:spacing w:line="240" w:lineRule="auto" w:before="150"/>
              <w:ind w:left="470" w:right="0"/>
              <w:jc w:val="left"/>
              <w:rPr>
                <w:rFonts w:ascii="Times New Roman" w:hAnsi="Times New Roman" w:cs="Times New Roman" w:eastAsia="Times New Roman" w:hint="default"/>
                <w:sz w:val="18"/>
                <w:szCs w:val="18"/>
              </w:rPr>
            </w:pPr>
            <w:r>
              <w:rPr>
                <w:rFonts w:ascii="Times New Roman"/>
                <w:sz w:val="18"/>
              </w:rPr>
              <w:t>9.48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Times New Roman" w:hAnsi="Times New Roman" w:cs="Times New Roman" w:eastAsia="Times New Roman" w:hint="default"/>
                <w:sz w:val="18"/>
                <w:szCs w:val="18"/>
              </w:rPr>
            </w:pPr>
            <w:r>
              <w:rPr>
                <w:rFonts w:ascii="Times New Roman"/>
                <w:sz w:val="18"/>
              </w:rPr>
              <w:t>1,117,548,</w:t>
            </w:r>
          </w:p>
          <w:p>
            <w:pPr>
              <w:pStyle w:val="TableParagraph"/>
              <w:spacing w:line="240" w:lineRule="auto" w:before="150"/>
              <w:ind w:left="367" w:right="0"/>
              <w:jc w:val="left"/>
              <w:rPr>
                <w:rFonts w:ascii="Times New Roman" w:hAnsi="Times New Roman" w:cs="Times New Roman" w:eastAsia="Times New Roman" w:hint="default"/>
                <w:sz w:val="18"/>
                <w:szCs w:val="18"/>
              </w:rPr>
            </w:pPr>
            <w:r>
              <w:rPr>
                <w:rFonts w:ascii="Times New Roman"/>
                <w:sz w:val="18"/>
              </w:rPr>
              <w:t>764.70</w:t>
            </w:r>
          </w:p>
        </w:tc>
      </w:tr>
    </w:tbl>
    <w:p>
      <w:pPr>
        <w:spacing w:line="240" w:lineRule="auto" w:before="13"/>
        <w:rPr>
          <w:rFonts w:ascii="宋体" w:hAnsi="宋体" w:cs="宋体" w:eastAsia="宋体" w:hint="default"/>
          <w:sz w:val="21"/>
          <w:szCs w:val="21"/>
        </w:rPr>
      </w:pPr>
    </w:p>
    <w:p>
      <w:pPr>
        <w:tabs>
          <w:tab w:pos="3667" w:val="left" w:leader="none"/>
          <w:tab w:pos="7718" w:val="left" w:leader="none"/>
        </w:tabs>
        <w:spacing w:before="44"/>
        <w:ind w:left="152" w:right="1125" w:firstLine="0"/>
        <w:jc w:val="left"/>
        <w:rPr>
          <w:rFonts w:ascii="宋体" w:hAnsi="宋体" w:cs="宋体" w:eastAsia="宋体" w:hint="default"/>
          <w:sz w:val="18"/>
          <w:szCs w:val="18"/>
        </w:rPr>
      </w:pPr>
      <w:r>
        <w:rPr>
          <w:rFonts w:ascii="宋体" w:hAnsi="宋体" w:cs="宋体" w:eastAsia="宋体" w:hint="default"/>
          <w:sz w:val="18"/>
          <w:szCs w:val="18"/>
        </w:rPr>
        <w:t>法定代表人：付景林</w:t>
        <w:tab/>
      </w:r>
      <w:r>
        <w:rPr>
          <w:rFonts w:ascii="宋体" w:hAnsi="宋体" w:cs="宋体" w:eastAsia="宋体" w:hint="default"/>
          <w:spacing w:val="-1"/>
          <w:sz w:val="18"/>
          <w:szCs w:val="18"/>
        </w:rPr>
        <w:t>主管会计工作负责人：王芊</w:t>
        <w:tab/>
      </w:r>
      <w:r>
        <w:rPr>
          <w:rFonts w:ascii="宋体" w:hAnsi="宋体" w:cs="宋体" w:eastAsia="宋体" w:hint="default"/>
          <w:sz w:val="18"/>
          <w:szCs w:val="18"/>
        </w:rPr>
        <w:t>会计机构负责人：丁明锋</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10"/>
        <w:rPr>
          <w:rFonts w:ascii="宋体" w:hAnsi="宋体" w:cs="宋体" w:eastAsia="宋体" w:hint="default"/>
          <w:b/>
          <w:bCs/>
          <w:sz w:val="29"/>
          <w:szCs w:val="29"/>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编制单位：大唐高鸿数据网络技术股份有限公司</w:t>
      </w:r>
    </w:p>
    <w:p>
      <w:pPr>
        <w:spacing w:after="0"/>
        <w:jc w:val="left"/>
        <w:rPr>
          <w:rFonts w:ascii="宋体" w:hAnsi="宋体" w:cs="宋体" w:eastAsia="宋体" w:hint="default"/>
          <w:sz w:val="18"/>
          <w:szCs w:val="18"/>
        </w:rPr>
        <w:sectPr>
          <w:pgSz w:w="11910" w:h="16840"/>
          <w:pgMar w:header="877" w:footer="1253" w:top="1060" w:bottom="1440" w:left="980" w:right="0"/>
        </w:sectPr>
      </w:pPr>
    </w:p>
    <w:p>
      <w:pPr>
        <w:spacing w:line="240" w:lineRule="auto" w:before="7"/>
        <w:rPr>
          <w:rFonts w:ascii="宋体" w:hAnsi="宋体" w:cs="宋体" w:eastAsia="宋体" w:hint="default"/>
          <w:sz w:val="27"/>
          <w:szCs w:val="27"/>
        </w:rPr>
      </w:pPr>
      <w:r>
        <w:rPr/>
        <w:pict>
          <v:shape style="position:absolute;margin-left:138.600006pt;margin-top:745.175964pt;width:84.8pt;height:22pt;mso-position-horizontal-relative:page;mso-position-vertical-relative:page;z-index:-1261456" type="#_x0000_t202" filled="false" stroked="false">
            <v:textbox inset="0,0,0,0">
              <w:txbxContent>
                <w:p>
                  <w:pPr>
                    <w:spacing w:before="70"/>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0.740005pt;margin-top:744.575989pt;width:42.65pt;height:23.2pt;mso-position-horizontal-relative:page;mso-position-vertical-relative:page;z-index:-1261432" coordorigin="3615,14892" coordsize="853,464">
            <v:group style="position:absolute;left:3627;top:14904;width:2;height:440" coordorigin="3627,14904" coordsize="2,440">
              <v:shape style="position:absolute;left:3627;top:14904;width:2;height:440" coordorigin="3627,14904" coordsize="0,440" path="m3627,14904l3627,15343e" filled="false" stroked="true" strokeweight="1.2pt" strokecolor="#ffffff">
                <v:path arrowok="t"/>
              </v:shape>
            </v:group>
            <v:group style="position:absolute;left:3639;top:14904;width:829;height:440" coordorigin="3639,14904" coordsize="829,440">
              <v:shape style="position:absolute;left:3639;top:14904;width:829;height:440" coordorigin="3639,14904" coordsize="829,440" path="m3639,15343l4467,15343,4467,14904,3639,14904,3639,15343xe" filled="true" fillcolor="#ffffff" stroked="false">
                <v:path arrowok="t"/>
                <v:fill type="solid"/>
              </v:shape>
            </v:group>
            <w10:wrap type="none"/>
          </v:group>
        </w:pict>
      </w:r>
      <w:r>
        <w:rPr/>
        <w:pict>
          <v:group style="position:absolute;margin-left:460.320007pt;margin-top:764.919983pt;width:135pt;height:77pt;mso-position-horizontal-relative:page;mso-position-vertical-relative:page;z-index:-1261384" coordorigin="9206,15298" coordsize="2700,1540">
            <v:shape style="position:absolute;left:9206;top:15298;width:2700;height:1540" type="#_x0000_t75" stroked="false">
              <v:imagedata r:id="rId18"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90</w:t>
                    </w:r>
                  </w:p>
                </w:txbxContent>
              </v:textbox>
              <w10:wrap type="none"/>
            </v:shape>
            <w10:wrap type="none"/>
          </v:group>
        </w:pict>
      </w:r>
    </w:p>
    <w:p>
      <w:pPr>
        <w:spacing w:before="44"/>
        <w:ind w:left="152" w:right="1125"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line="240" w:lineRule="auto" w:before="1"/>
        <w:rPr>
          <w:rFonts w:ascii="宋体" w:hAnsi="宋体" w:cs="宋体" w:eastAsia="宋体" w:hint="default"/>
          <w:sz w:val="9"/>
          <w:szCs w:val="9"/>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2465"/>
        <w:gridCol w:w="884"/>
        <w:gridCol w:w="886"/>
        <w:gridCol w:w="886"/>
        <w:gridCol w:w="886"/>
        <w:gridCol w:w="886"/>
        <w:gridCol w:w="886"/>
        <w:gridCol w:w="888"/>
        <w:gridCol w:w="890"/>
      </w:tblGrid>
      <w:tr>
        <w:trPr>
          <w:trHeight w:val="444"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90" w:hRule="exact"/>
        </w:trPr>
        <w:tc>
          <w:tcPr>
            <w:tcW w:w="24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7"/>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67" w:lineRule="auto" w:before="77"/>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67" w:lineRule="auto" w:before="77"/>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67" w:lineRule="auto" w:before="77"/>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216" w:hRule="exact"/>
        </w:trPr>
        <w:tc>
          <w:tcPr>
            <w:tcW w:w="2465"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09" w:lineRule="exact" w:before="70"/>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200"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0"/>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0"/>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223" w:hRule="exact"/>
        </w:trPr>
        <w:tc>
          <w:tcPr>
            <w:tcW w:w="2465" w:type="dxa"/>
            <w:vMerge w:val="restart"/>
            <w:tcBorders>
              <w:top w:val="nil" w:sz="6" w:space="0" w:color="auto"/>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85" w:hRule="exact"/>
        </w:trPr>
        <w:tc>
          <w:tcPr>
            <w:tcW w:w="2465" w:type="dxa"/>
            <w:vMerge/>
            <w:tcBorders>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85"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115"/>
              <w:ind w:left="33" w:right="0"/>
              <w:jc w:val="left"/>
              <w:rPr>
                <w:rFonts w:ascii="Times New Roman" w:hAnsi="Times New Roman" w:cs="Times New Roman" w:eastAsia="Times New Roman" w:hint="default"/>
                <w:sz w:val="18"/>
                <w:szCs w:val="18"/>
              </w:rPr>
            </w:pPr>
            <w:r>
              <w:rPr>
                <w:rFonts w:ascii="Times New Roman"/>
                <w:sz w:val="18"/>
              </w:rPr>
              <w:t>332,900,00</w:t>
            </w:r>
          </w:p>
          <w:p>
            <w:pPr>
              <w:pStyle w:val="TableParagraph"/>
              <w:spacing w:line="240" w:lineRule="auto" w:before="150"/>
              <w:ind w:left="531"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5"/>
              <w:ind w:left="43" w:right="0"/>
              <w:jc w:val="left"/>
              <w:rPr>
                <w:rFonts w:ascii="Times New Roman" w:hAnsi="Times New Roman" w:cs="Times New Roman" w:eastAsia="Times New Roman" w:hint="default"/>
                <w:sz w:val="18"/>
                <w:szCs w:val="18"/>
              </w:rPr>
            </w:pPr>
            <w:r>
              <w:rPr>
                <w:rFonts w:ascii="Times New Roman"/>
                <w:sz w:val="18"/>
              </w:rPr>
              <w:t>588,063,90</w:t>
            </w:r>
          </w:p>
          <w:p>
            <w:pPr>
              <w:pStyle w:val="TableParagraph"/>
              <w:spacing w:line="240" w:lineRule="auto" w:before="150"/>
              <w:ind w:left="540" w:right="0"/>
              <w:jc w:val="left"/>
              <w:rPr>
                <w:rFonts w:ascii="Times New Roman" w:hAnsi="Times New Roman" w:cs="Times New Roman" w:eastAsia="Times New Roman" w:hint="default"/>
                <w:sz w:val="18"/>
                <w:szCs w:val="18"/>
              </w:rPr>
            </w:pPr>
            <w:r>
              <w:rPr>
                <w:rFonts w:ascii="Times New Roman"/>
                <w:sz w:val="18"/>
              </w:rPr>
              <w:t>1.63</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11,635,547</w:t>
            </w:r>
          </w:p>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z w:val="18"/>
              </w:rPr>
              <w:t>.40</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15"/>
              <w:ind w:left="76" w:right="0"/>
              <w:jc w:val="left"/>
              <w:rPr>
                <w:rFonts w:ascii="Times New Roman" w:hAnsi="Times New Roman" w:cs="Times New Roman" w:eastAsia="Times New Roman" w:hint="default"/>
                <w:sz w:val="18"/>
                <w:szCs w:val="18"/>
              </w:rPr>
            </w:pPr>
            <w:r>
              <w:rPr>
                <w:rFonts w:ascii="Times New Roman"/>
                <w:sz w:val="18"/>
              </w:rPr>
              <w:t>-174,662,6</w:t>
            </w:r>
          </w:p>
          <w:p>
            <w:pPr>
              <w:pStyle w:val="TableParagraph"/>
              <w:spacing w:line="240" w:lineRule="auto" w:before="150"/>
              <w:ind w:left="451" w:right="0"/>
              <w:jc w:val="left"/>
              <w:rPr>
                <w:rFonts w:ascii="Times New Roman" w:hAnsi="Times New Roman" w:cs="Times New Roman" w:eastAsia="Times New Roman" w:hint="default"/>
                <w:sz w:val="18"/>
                <w:szCs w:val="18"/>
              </w:rPr>
            </w:pPr>
            <w:r>
              <w:rPr>
                <w:rFonts w:ascii="Times New Roman"/>
                <w:sz w:val="18"/>
              </w:rPr>
              <w:t>93.85</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15"/>
              <w:ind w:left="47" w:right="0"/>
              <w:jc w:val="left"/>
              <w:rPr>
                <w:rFonts w:ascii="Times New Roman" w:hAnsi="Times New Roman" w:cs="Times New Roman" w:eastAsia="Times New Roman" w:hint="default"/>
                <w:sz w:val="18"/>
                <w:szCs w:val="18"/>
              </w:rPr>
            </w:pPr>
            <w:r>
              <w:rPr>
                <w:rFonts w:ascii="Times New Roman"/>
                <w:sz w:val="18"/>
              </w:rPr>
              <w:t>757,936,75</w:t>
            </w:r>
          </w:p>
          <w:p>
            <w:pPr>
              <w:pStyle w:val="TableParagraph"/>
              <w:spacing w:line="240" w:lineRule="auto" w:before="150"/>
              <w:ind w:left="544" w:right="0"/>
              <w:jc w:val="left"/>
              <w:rPr>
                <w:rFonts w:ascii="Times New Roman" w:hAnsi="Times New Roman" w:cs="Times New Roman" w:eastAsia="Times New Roman" w:hint="default"/>
                <w:sz w:val="18"/>
                <w:szCs w:val="18"/>
              </w:rPr>
            </w:pPr>
            <w:r>
              <w:rPr>
                <w:rFonts w:ascii="Times New Roman"/>
                <w:sz w:val="18"/>
              </w:rPr>
              <w:t>5.18</w:t>
            </w:r>
          </w:p>
        </w:tc>
      </w:tr>
      <w:tr>
        <w:trPr>
          <w:trHeight w:val="439"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82"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49"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85"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115"/>
              <w:ind w:left="33" w:right="0"/>
              <w:jc w:val="left"/>
              <w:rPr>
                <w:rFonts w:ascii="Times New Roman" w:hAnsi="Times New Roman" w:cs="Times New Roman" w:eastAsia="Times New Roman" w:hint="default"/>
                <w:sz w:val="18"/>
                <w:szCs w:val="18"/>
              </w:rPr>
            </w:pPr>
            <w:r>
              <w:rPr>
                <w:rFonts w:ascii="Times New Roman"/>
                <w:sz w:val="18"/>
              </w:rPr>
              <w:t>332,900,00</w:t>
            </w:r>
          </w:p>
          <w:p>
            <w:pPr>
              <w:pStyle w:val="TableParagraph"/>
              <w:spacing w:line="240" w:lineRule="auto" w:before="153"/>
              <w:ind w:left="531"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5"/>
              <w:ind w:left="43" w:right="0"/>
              <w:jc w:val="left"/>
              <w:rPr>
                <w:rFonts w:ascii="Times New Roman" w:hAnsi="Times New Roman" w:cs="Times New Roman" w:eastAsia="Times New Roman" w:hint="default"/>
                <w:sz w:val="18"/>
                <w:szCs w:val="18"/>
              </w:rPr>
            </w:pPr>
            <w:r>
              <w:rPr>
                <w:rFonts w:ascii="Times New Roman"/>
                <w:sz w:val="18"/>
              </w:rPr>
              <w:t>588,063,90</w:t>
            </w:r>
          </w:p>
          <w:p>
            <w:pPr>
              <w:pStyle w:val="TableParagraph"/>
              <w:spacing w:line="240" w:lineRule="auto" w:before="153"/>
              <w:ind w:left="540" w:right="0"/>
              <w:jc w:val="left"/>
              <w:rPr>
                <w:rFonts w:ascii="Times New Roman" w:hAnsi="Times New Roman" w:cs="Times New Roman" w:eastAsia="Times New Roman" w:hint="default"/>
                <w:sz w:val="18"/>
                <w:szCs w:val="18"/>
              </w:rPr>
            </w:pPr>
            <w:r>
              <w:rPr>
                <w:rFonts w:ascii="Times New Roman"/>
                <w:sz w:val="18"/>
              </w:rPr>
              <w:t>1.63</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11,635,547</w:t>
            </w:r>
          </w:p>
          <w:p>
            <w:pPr>
              <w:pStyle w:val="TableParagraph"/>
              <w:spacing w:line="240" w:lineRule="auto" w:before="153"/>
              <w:ind w:right="18"/>
              <w:jc w:val="right"/>
              <w:rPr>
                <w:rFonts w:ascii="Times New Roman" w:hAnsi="Times New Roman" w:cs="Times New Roman" w:eastAsia="Times New Roman" w:hint="default"/>
                <w:sz w:val="18"/>
                <w:szCs w:val="18"/>
              </w:rPr>
            </w:pPr>
            <w:r>
              <w:rPr>
                <w:rFonts w:ascii="Times New Roman"/>
                <w:sz w:val="18"/>
              </w:rPr>
              <w:t>.40</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15"/>
              <w:ind w:left="76" w:right="0"/>
              <w:jc w:val="left"/>
              <w:rPr>
                <w:rFonts w:ascii="Times New Roman" w:hAnsi="Times New Roman" w:cs="Times New Roman" w:eastAsia="Times New Roman" w:hint="default"/>
                <w:sz w:val="18"/>
                <w:szCs w:val="18"/>
              </w:rPr>
            </w:pPr>
            <w:r>
              <w:rPr>
                <w:rFonts w:ascii="Times New Roman"/>
                <w:sz w:val="18"/>
              </w:rPr>
              <w:t>-174,662,6</w:t>
            </w:r>
          </w:p>
          <w:p>
            <w:pPr>
              <w:pStyle w:val="TableParagraph"/>
              <w:spacing w:line="240" w:lineRule="auto" w:before="153"/>
              <w:ind w:left="451" w:right="0"/>
              <w:jc w:val="left"/>
              <w:rPr>
                <w:rFonts w:ascii="Times New Roman" w:hAnsi="Times New Roman" w:cs="Times New Roman" w:eastAsia="Times New Roman" w:hint="default"/>
                <w:sz w:val="18"/>
                <w:szCs w:val="18"/>
              </w:rPr>
            </w:pPr>
            <w:r>
              <w:rPr>
                <w:rFonts w:ascii="Times New Roman"/>
                <w:sz w:val="18"/>
              </w:rPr>
              <w:t>93.85</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15"/>
              <w:ind w:left="47" w:right="0"/>
              <w:jc w:val="left"/>
              <w:rPr>
                <w:rFonts w:ascii="Times New Roman" w:hAnsi="Times New Roman" w:cs="Times New Roman" w:eastAsia="Times New Roman" w:hint="default"/>
                <w:sz w:val="18"/>
                <w:szCs w:val="18"/>
              </w:rPr>
            </w:pPr>
            <w:r>
              <w:rPr>
                <w:rFonts w:ascii="Times New Roman"/>
                <w:sz w:val="18"/>
              </w:rPr>
              <w:t>757,936,75</w:t>
            </w:r>
          </w:p>
          <w:p>
            <w:pPr>
              <w:pStyle w:val="TableParagraph"/>
              <w:spacing w:line="240" w:lineRule="auto" w:before="153"/>
              <w:ind w:left="544" w:right="0"/>
              <w:jc w:val="left"/>
              <w:rPr>
                <w:rFonts w:ascii="Times New Roman" w:hAnsi="Times New Roman" w:cs="Times New Roman" w:eastAsia="Times New Roman" w:hint="default"/>
                <w:sz w:val="18"/>
                <w:szCs w:val="18"/>
              </w:rPr>
            </w:pPr>
            <w:r>
              <w:rPr>
                <w:rFonts w:ascii="Times New Roman"/>
                <w:sz w:val="18"/>
              </w:rPr>
              <w:t>5.18</w:t>
            </w:r>
          </w:p>
        </w:tc>
      </w:tr>
      <w:tr>
        <w:trPr>
          <w:trHeight w:val="439"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85"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806"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3"/>
              <w:ind w:left="12" w:right="101"/>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5"/>
              <w:ind w:left="28" w:right="0"/>
              <w:jc w:val="left"/>
              <w:rPr>
                <w:rFonts w:ascii="Times New Roman" w:hAnsi="Times New Roman" w:cs="Times New Roman" w:eastAsia="Times New Roman" w:hint="default"/>
                <w:sz w:val="18"/>
                <w:szCs w:val="18"/>
              </w:rPr>
            </w:pPr>
            <w:r>
              <w:rPr>
                <w:rFonts w:ascii="Times New Roman"/>
                <w:sz w:val="18"/>
              </w:rPr>
              <w:t>183,040,00</w:t>
            </w:r>
          </w:p>
          <w:p>
            <w:pPr>
              <w:pStyle w:val="TableParagraph"/>
              <w:spacing w:line="240" w:lineRule="auto" w:before="150"/>
              <w:ind w:left="526"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3" w:right="0"/>
              <w:jc w:val="left"/>
              <w:rPr>
                <w:rFonts w:ascii="Times New Roman" w:hAnsi="Times New Roman" w:cs="Times New Roman" w:eastAsia="Times New Roman" w:hint="default"/>
                <w:sz w:val="18"/>
                <w:szCs w:val="18"/>
              </w:rPr>
            </w:pPr>
            <w:r>
              <w:rPr>
                <w:rFonts w:ascii="Times New Roman"/>
                <w:sz w:val="18"/>
              </w:rPr>
              <w:t>896,394,80</w:t>
            </w:r>
          </w:p>
          <w:p>
            <w:pPr>
              <w:pStyle w:val="TableParagraph"/>
              <w:spacing w:line="240" w:lineRule="auto" w:before="150"/>
              <w:ind w:left="540"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5" w:right="0"/>
              <w:jc w:val="left"/>
              <w:rPr>
                <w:rFonts w:ascii="Times New Roman" w:hAnsi="Times New Roman" w:cs="Times New Roman" w:eastAsia="Times New Roman" w:hint="default"/>
                <w:sz w:val="18"/>
                <w:szCs w:val="18"/>
              </w:rPr>
            </w:pPr>
            <w:r>
              <w:rPr>
                <w:rFonts w:ascii="Times New Roman"/>
                <w:sz w:val="18"/>
              </w:rPr>
              <w:t>209,904,06</w:t>
            </w:r>
          </w:p>
          <w:p>
            <w:pPr>
              <w:pStyle w:val="TableParagraph"/>
              <w:spacing w:line="240" w:lineRule="auto" w:before="150"/>
              <w:ind w:left="542" w:right="0"/>
              <w:jc w:val="left"/>
              <w:rPr>
                <w:rFonts w:ascii="Times New Roman" w:hAnsi="Times New Roman" w:cs="Times New Roman" w:eastAsia="Times New Roman" w:hint="default"/>
                <w:sz w:val="18"/>
                <w:szCs w:val="18"/>
              </w:rPr>
            </w:pPr>
            <w:r>
              <w:rPr>
                <w:rFonts w:ascii="Times New Roman"/>
                <w:sz w:val="18"/>
              </w:rPr>
              <w:t>9.54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3" w:right="0"/>
              <w:jc w:val="left"/>
              <w:rPr>
                <w:rFonts w:ascii="Times New Roman" w:hAnsi="Times New Roman" w:cs="Times New Roman" w:eastAsia="Times New Roman" w:hint="default"/>
                <w:sz w:val="18"/>
                <w:szCs w:val="18"/>
              </w:rPr>
            </w:pPr>
            <w:r>
              <w:rPr>
                <w:rFonts w:ascii="Times New Roman"/>
                <w:sz w:val="18"/>
              </w:rPr>
              <w:t>1,289,338,</w:t>
            </w:r>
          </w:p>
          <w:p>
            <w:pPr>
              <w:pStyle w:val="TableParagraph"/>
              <w:spacing w:line="240" w:lineRule="auto" w:before="150"/>
              <w:ind w:left="364" w:right="0"/>
              <w:jc w:val="left"/>
              <w:rPr>
                <w:rFonts w:ascii="Times New Roman" w:hAnsi="Times New Roman" w:cs="Times New Roman" w:eastAsia="Times New Roman" w:hint="default"/>
                <w:sz w:val="18"/>
                <w:szCs w:val="18"/>
              </w:rPr>
            </w:pPr>
            <w:r>
              <w:rPr>
                <w:rFonts w:ascii="Times New Roman"/>
                <w:sz w:val="18"/>
              </w:rPr>
              <w:t>869.54</w:t>
            </w:r>
          </w:p>
        </w:tc>
      </w:tr>
      <w:tr>
        <w:trPr>
          <w:trHeight w:val="185"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15"/>
              <w:ind w:left="45" w:right="0"/>
              <w:jc w:val="left"/>
              <w:rPr>
                <w:rFonts w:ascii="Times New Roman" w:hAnsi="Times New Roman" w:cs="Times New Roman" w:eastAsia="Times New Roman" w:hint="default"/>
                <w:sz w:val="18"/>
                <w:szCs w:val="18"/>
              </w:rPr>
            </w:pPr>
            <w:r>
              <w:rPr>
                <w:rFonts w:ascii="Times New Roman"/>
                <w:sz w:val="18"/>
              </w:rPr>
              <w:t>209,904,06</w:t>
            </w:r>
          </w:p>
          <w:p>
            <w:pPr>
              <w:pStyle w:val="TableParagraph"/>
              <w:spacing w:line="240" w:lineRule="auto" w:before="153"/>
              <w:ind w:left="542" w:right="0"/>
              <w:jc w:val="left"/>
              <w:rPr>
                <w:rFonts w:ascii="Times New Roman" w:hAnsi="Times New Roman" w:cs="Times New Roman" w:eastAsia="Times New Roman" w:hint="default"/>
                <w:sz w:val="18"/>
                <w:szCs w:val="18"/>
              </w:rPr>
            </w:pPr>
            <w:r>
              <w:rPr>
                <w:rFonts w:ascii="Times New Roman"/>
                <w:sz w:val="18"/>
              </w:rPr>
              <w:t>9.54</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15"/>
              <w:ind w:left="47" w:right="0"/>
              <w:jc w:val="left"/>
              <w:rPr>
                <w:rFonts w:ascii="Times New Roman" w:hAnsi="Times New Roman" w:cs="Times New Roman" w:eastAsia="Times New Roman" w:hint="default"/>
                <w:sz w:val="18"/>
                <w:szCs w:val="18"/>
              </w:rPr>
            </w:pPr>
            <w:r>
              <w:rPr>
                <w:rFonts w:ascii="Times New Roman"/>
                <w:sz w:val="18"/>
              </w:rPr>
              <w:t>209,904,06</w:t>
            </w:r>
          </w:p>
          <w:p>
            <w:pPr>
              <w:pStyle w:val="TableParagraph"/>
              <w:spacing w:line="240" w:lineRule="auto" w:before="153"/>
              <w:ind w:left="544" w:right="0"/>
              <w:jc w:val="left"/>
              <w:rPr>
                <w:rFonts w:ascii="Times New Roman" w:hAnsi="Times New Roman" w:cs="Times New Roman" w:eastAsia="Times New Roman" w:hint="default"/>
                <w:sz w:val="18"/>
                <w:szCs w:val="18"/>
              </w:rPr>
            </w:pPr>
            <w:r>
              <w:rPr>
                <w:rFonts w:ascii="Times New Roman"/>
                <w:sz w:val="18"/>
              </w:rPr>
              <w:t>9.54</w:t>
            </w:r>
          </w:p>
        </w:tc>
      </w:tr>
      <w:tr>
        <w:trPr>
          <w:trHeight w:val="439"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85"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49"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85"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15"/>
              <w:ind w:left="45" w:right="0"/>
              <w:jc w:val="left"/>
              <w:rPr>
                <w:rFonts w:ascii="Times New Roman" w:hAnsi="Times New Roman" w:cs="Times New Roman" w:eastAsia="Times New Roman" w:hint="default"/>
                <w:sz w:val="18"/>
                <w:szCs w:val="18"/>
              </w:rPr>
            </w:pPr>
            <w:r>
              <w:rPr>
                <w:rFonts w:ascii="Times New Roman"/>
                <w:sz w:val="18"/>
              </w:rPr>
              <w:t>209,904,06</w:t>
            </w:r>
          </w:p>
          <w:p>
            <w:pPr>
              <w:pStyle w:val="TableParagraph"/>
              <w:spacing w:line="240" w:lineRule="auto" w:before="151"/>
              <w:ind w:left="542" w:right="0"/>
              <w:jc w:val="left"/>
              <w:rPr>
                <w:rFonts w:ascii="Times New Roman" w:hAnsi="Times New Roman" w:cs="Times New Roman" w:eastAsia="Times New Roman" w:hint="default"/>
                <w:sz w:val="18"/>
                <w:szCs w:val="18"/>
              </w:rPr>
            </w:pPr>
            <w:r>
              <w:rPr>
                <w:rFonts w:ascii="Times New Roman"/>
                <w:sz w:val="18"/>
              </w:rPr>
              <w:t>9.54</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15"/>
              <w:ind w:left="47" w:right="0"/>
              <w:jc w:val="left"/>
              <w:rPr>
                <w:rFonts w:ascii="Times New Roman" w:hAnsi="Times New Roman" w:cs="Times New Roman" w:eastAsia="Times New Roman" w:hint="default"/>
                <w:sz w:val="18"/>
                <w:szCs w:val="18"/>
              </w:rPr>
            </w:pPr>
            <w:r>
              <w:rPr>
                <w:rFonts w:ascii="Times New Roman"/>
                <w:sz w:val="18"/>
              </w:rPr>
              <w:t>209,904,06</w:t>
            </w:r>
          </w:p>
          <w:p>
            <w:pPr>
              <w:pStyle w:val="TableParagraph"/>
              <w:spacing w:line="240" w:lineRule="auto" w:before="151"/>
              <w:ind w:left="544" w:right="0"/>
              <w:jc w:val="left"/>
              <w:rPr>
                <w:rFonts w:ascii="Times New Roman" w:hAnsi="Times New Roman" w:cs="Times New Roman" w:eastAsia="Times New Roman" w:hint="default"/>
                <w:sz w:val="18"/>
                <w:szCs w:val="18"/>
              </w:rPr>
            </w:pPr>
            <w:r>
              <w:rPr>
                <w:rFonts w:ascii="Times New Roman"/>
                <w:sz w:val="18"/>
              </w:rPr>
              <w:t>9.54</w:t>
            </w:r>
          </w:p>
        </w:tc>
      </w:tr>
      <w:tr>
        <w:trPr>
          <w:trHeight w:val="440"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82"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85"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115"/>
              <w:ind w:left="33" w:right="0"/>
              <w:jc w:val="left"/>
              <w:rPr>
                <w:rFonts w:ascii="Times New Roman" w:hAnsi="Times New Roman" w:cs="Times New Roman" w:eastAsia="Times New Roman" w:hint="default"/>
                <w:sz w:val="18"/>
                <w:szCs w:val="18"/>
              </w:rPr>
            </w:pPr>
            <w:r>
              <w:rPr>
                <w:rFonts w:ascii="Times New Roman"/>
                <w:sz w:val="18"/>
              </w:rPr>
              <w:t>183,040,00</w:t>
            </w:r>
          </w:p>
          <w:p>
            <w:pPr>
              <w:pStyle w:val="TableParagraph"/>
              <w:spacing w:line="240" w:lineRule="auto" w:before="153"/>
              <w:ind w:left="531"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5"/>
              <w:ind w:left="43" w:right="0"/>
              <w:jc w:val="left"/>
              <w:rPr>
                <w:rFonts w:ascii="Times New Roman" w:hAnsi="Times New Roman" w:cs="Times New Roman" w:eastAsia="Times New Roman" w:hint="default"/>
                <w:sz w:val="18"/>
                <w:szCs w:val="18"/>
              </w:rPr>
            </w:pPr>
            <w:r>
              <w:rPr>
                <w:rFonts w:ascii="Times New Roman"/>
                <w:sz w:val="18"/>
              </w:rPr>
              <w:t>896,394,80</w:t>
            </w:r>
          </w:p>
          <w:p>
            <w:pPr>
              <w:pStyle w:val="TableParagraph"/>
              <w:spacing w:line="240" w:lineRule="auto" w:before="153"/>
              <w:ind w:left="540"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15"/>
              <w:ind w:left="93" w:right="0"/>
              <w:jc w:val="left"/>
              <w:rPr>
                <w:rFonts w:ascii="Times New Roman" w:hAnsi="Times New Roman" w:cs="Times New Roman" w:eastAsia="Times New Roman" w:hint="default"/>
                <w:sz w:val="18"/>
                <w:szCs w:val="18"/>
              </w:rPr>
            </w:pPr>
            <w:r>
              <w:rPr>
                <w:rFonts w:ascii="Times New Roman"/>
                <w:sz w:val="18"/>
              </w:rPr>
              <w:t>1,079,434,</w:t>
            </w:r>
          </w:p>
          <w:p>
            <w:pPr>
              <w:pStyle w:val="TableParagraph"/>
              <w:spacing w:line="240" w:lineRule="auto" w:before="153"/>
              <w:ind w:left="364" w:right="0"/>
              <w:jc w:val="left"/>
              <w:rPr>
                <w:rFonts w:ascii="Times New Roman" w:hAnsi="Times New Roman" w:cs="Times New Roman" w:eastAsia="Times New Roman" w:hint="default"/>
                <w:sz w:val="18"/>
                <w:szCs w:val="18"/>
              </w:rPr>
            </w:pPr>
            <w:r>
              <w:rPr>
                <w:rFonts w:ascii="Times New Roman"/>
                <w:sz w:val="18"/>
              </w:rPr>
              <w:t>800.00</w:t>
            </w:r>
          </w:p>
        </w:tc>
      </w:tr>
      <w:tr>
        <w:trPr>
          <w:trHeight w:val="439"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85"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85"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10" w:space="0" w:color="D2D2D2"/>
              <w:right w:val="single" w:sz="4" w:space="0" w:color="000000"/>
            </w:tcBorders>
          </w:tcPr>
          <w:p>
            <w:pPr>
              <w:pStyle w:val="TableParagraph"/>
              <w:spacing w:line="240" w:lineRule="auto" w:before="115"/>
              <w:ind w:left="33" w:right="0"/>
              <w:jc w:val="left"/>
              <w:rPr>
                <w:rFonts w:ascii="Times New Roman" w:hAnsi="Times New Roman" w:cs="Times New Roman" w:eastAsia="Times New Roman" w:hint="default"/>
                <w:sz w:val="18"/>
                <w:szCs w:val="18"/>
              </w:rPr>
            </w:pPr>
            <w:r>
              <w:rPr>
                <w:rFonts w:ascii="Times New Roman"/>
                <w:sz w:val="18"/>
              </w:rPr>
              <w:t>183,040,00</w:t>
            </w:r>
          </w:p>
          <w:p>
            <w:pPr>
              <w:pStyle w:val="TableParagraph"/>
              <w:spacing w:line="240" w:lineRule="auto" w:before="150"/>
              <w:ind w:left="531"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5"/>
              <w:ind w:left="43" w:right="0"/>
              <w:jc w:val="left"/>
              <w:rPr>
                <w:rFonts w:ascii="Times New Roman" w:hAnsi="Times New Roman" w:cs="Times New Roman" w:eastAsia="Times New Roman" w:hint="default"/>
                <w:sz w:val="18"/>
                <w:szCs w:val="18"/>
              </w:rPr>
            </w:pPr>
            <w:r>
              <w:rPr>
                <w:rFonts w:ascii="Times New Roman"/>
                <w:sz w:val="18"/>
              </w:rPr>
              <w:t>896,394,80</w:t>
            </w:r>
          </w:p>
          <w:p>
            <w:pPr>
              <w:pStyle w:val="TableParagraph"/>
              <w:spacing w:line="240" w:lineRule="auto" w:before="150"/>
              <w:ind w:left="540"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15"/>
              <w:ind w:left="93" w:right="0"/>
              <w:jc w:val="left"/>
              <w:rPr>
                <w:rFonts w:ascii="Times New Roman" w:hAnsi="Times New Roman" w:cs="Times New Roman" w:eastAsia="Times New Roman" w:hint="default"/>
                <w:sz w:val="18"/>
                <w:szCs w:val="18"/>
              </w:rPr>
            </w:pPr>
            <w:r>
              <w:rPr>
                <w:rFonts w:ascii="Times New Roman"/>
                <w:sz w:val="18"/>
              </w:rPr>
              <w:t>1,079,434,</w:t>
            </w:r>
          </w:p>
          <w:p>
            <w:pPr>
              <w:pStyle w:val="TableParagraph"/>
              <w:spacing w:line="240" w:lineRule="auto" w:before="150"/>
              <w:ind w:left="364" w:right="0"/>
              <w:jc w:val="left"/>
              <w:rPr>
                <w:rFonts w:ascii="Times New Roman" w:hAnsi="Times New Roman" w:cs="Times New Roman" w:eastAsia="Times New Roman" w:hint="default"/>
                <w:sz w:val="18"/>
                <w:szCs w:val="18"/>
              </w:rPr>
            </w:pPr>
            <w:r>
              <w:rPr>
                <w:rFonts w:ascii="Times New Roman"/>
                <w:sz w:val="18"/>
              </w:rPr>
              <w:t>800.00</w:t>
            </w:r>
          </w:p>
        </w:tc>
      </w:tr>
      <w:tr>
        <w:trPr>
          <w:trHeight w:val="439"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82"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809"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5" w:lineRule="auto" w:before="73"/>
              <w:ind w:left="12" w:right="1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51"/>
          <w:footerReference w:type="default" r:id="rId52"/>
          <w:pgSz w:w="11910" w:h="16840"/>
          <w:pgMar w:header="877" w:footer="0" w:top="1060" w:bottom="0" w:left="980" w:right="0"/>
        </w:sectPr>
      </w:pPr>
    </w:p>
    <w:p>
      <w:pPr>
        <w:spacing w:line="240" w:lineRule="auto" w:before="6"/>
        <w:rPr>
          <w:rFonts w:ascii="宋体" w:hAnsi="宋体" w:cs="宋体" w:eastAsia="宋体" w:hint="default"/>
          <w:sz w:val="28"/>
          <w:szCs w:val="28"/>
        </w:rPr>
      </w:pPr>
      <w:r>
        <w:rPr/>
        <w:pict>
          <v:shape style="position:absolute;margin-left:138.600006pt;margin-top:72.475983pt;width:84.8pt;height:22pt;mso-position-horizontal-relative:page;mso-position-vertical-relative:page;z-index:-1261336" type="#_x0000_t202" filled="false" stroked="false">
            <v:textbox inset="0,0,0,0">
              <w:txbxContent>
                <w:p>
                  <w:pPr>
                    <w:spacing w:before="70"/>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449"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463" w:lineRule="exact"/>
              <w:ind w:right="-15"/>
              <w:jc w:val="left"/>
              <w:rPr>
                <w:rFonts w:ascii="宋体" w:hAnsi="宋体" w:cs="宋体" w:eastAsia="宋体" w:hint="default"/>
                <w:sz w:val="20"/>
                <w:szCs w:val="20"/>
              </w:rPr>
            </w:pPr>
            <w:r>
              <w:rPr>
                <w:rFonts w:ascii="宋体" w:hAnsi="宋体" w:cs="宋体" w:eastAsia="宋体" w:hint="default"/>
                <w:position w:val="-8"/>
                <w:sz w:val="20"/>
                <w:szCs w:val="20"/>
              </w:rPr>
              <w:pict>
                <v:group style="width:42.65pt;height:23.2pt;mso-position-horizontal-relative:char;mso-position-vertical-relative:line" coordorigin="0,0" coordsize="853,464">
                  <v:group style="position:absolute;left:12;top:12;width:2;height:440" coordorigin="12,12" coordsize="2,440">
                    <v:shape style="position:absolute;left:12;top:12;width:2;height:440" coordorigin="12,12" coordsize="0,440" path="m12,12l12,452e" filled="false" stroked="true" strokeweight="1.2pt" strokecolor="#ffffff">
                      <v:path arrowok="t"/>
                    </v:shape>
                  </v:group>
                  <v:group style="position:absolute;left:24;top:12;width:829;height:440" coordorigin="24,12" coordsize="829,440">
                    <v:shape style="position:absolute;left:24;top:12;width:829;height:440" coordorigin="24,12" coordsize="829,440" path="m24,452l852,452,852,12,24,12,24,452xe" filled="true" fillcolor="#ffffff" stroked="false">
                      <v:path arrowok="t"/>
                      <v:fill type="solid"/>
                    </v:shape>
                  </v:group>
                </v:group>
              </w:pict>
            </w:r>
            <w:r>
              <w:rPr>
                <w:rFonts w:ascii="宋体" w:hAnsi="宋体" w:cs="宋体" w:eastAsia="宋体" w:hint="default"/>
                <w:position w:val="-8"/>
                <w:sz w:val="20"/>
                <w:szCs w:val="20"/>
              </w:rPr>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0" w:right="0"/>
              <w:jc w:val="left"/>
              <w:rPr>
                <w:rFonts w:ascii="Times New Roman" w:hAnsi="Times New Roman" w:cs="Times New Roman" w:eastAsia="Times New Roman" w:hint="default"/>
                <w:sz w:val="18"/>
                <w:szCs w:val="18"/>
              </w:rPr>
            </w:pPr>
            <w:r>
              <w:rPr>
                <w:rFonts w:ascii="Times New Roman"/>
                <w:sz w:val="18"/>
              </w:rPr>
              <w:t>515,940,00</w:t>
            </w:r>
          </w:p>
          <w:p>
            <w:pPr>
              <w:pStyle w:val="TableParagraph"/>
              <w:spacing w:line="240" w:lineRule="auto" w:before="150"/>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88" w:right="0"/>
              <w:jc w:val="left"/>
              <w:rPr>
                <w:rFonts w:ascii="Times New Roman" w:hAnsi="Times New Roman" w:cs="Times New Roman" w:eastAsia="Times New Roman" w:hint="default"/>
                <w:sz w:val="18"/>
                <w:szCs w:val="18"/>
              </w:rPr>
            </w:pPr>
            <w:r>
              <w:rPr>
                <w:rFonts w:ascii="Times New Roman"/>
                <w:sz w:val="18"/>
              </w:rPr>
              <w:t>1,484,458,</w:t>
            </w:r>
          </w:p>
          <w:p>
            <w:pPr>
              <w:pStyle w:val="TableParagraph"/>
              <w:spacing w:line="240" w:lineRule="auto" w:before="150"/>
              <w:ind w:left="360" w:right="0"/>
              <w:jc w:val="left"/>
              <w:rPr>
                <w:rFonts w:ascii="Times New Roman" w:hAnsi="Times New Roman" w:cs="Times New Roman" w:eastAsia="Times New Roman" w:hint="default"/>
                <w:sz w:val="18"/>
                <w:szCs w:val="18"/>
              </w:rPr>
            </w:pPr>
            <w:r>
              <w:rPr>
                <w:rFonts w:ascii="Times New Roman"/>
                <w:sz w:val="18"/>
              </w:rPr>
              <w:t>701.63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11,635,547</w:t>
            </w:r>
          </w:p>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z w:val="18"/>
              </w:rPr>
              <w:t>.40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35,241,375</w:t>
            </w:r>
          </w:p>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z w:val="18"/>
              </w:rPr>
              <w:t>.69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3" w:right="0"/>
              <w:jc w:val="left"/>
              <w:rPr>
                <w:rFonts w:ascii="Times New Roman" w:hAnsi="Times New Roman" w:cs="Times New Roman" w:eastAsia="Times New Roman" w:hint="default"/>
                <w:sz w:val="18"/>
                <w:szCs w:val="18"/>
              </w:rPr>
            </w:pPr>
            <w:r>
              <w:rPr>
                <w:rFonts w:ascii="Times New Roman"/>
                <w:sz w:val="18"/>
              </w:rPr>
              <w:t>2,047,275,</w:t>
            </w:r>
          </w:p>
          <w:p>
            <w:pPr>
              <w:pStyle w:val="TableParagraph"/>
              <w:spacing w:line="240" w:lineRule="auto" w:before="150"/>
              <w:ind w:left="364" w:right="0"/>
              <w:jc w:val="left"/>
              <w:rPr>
                <w:rFonts w:ascii="Times New Roman" w:hAnsi="Times New Roman" w:cs="Times New Roman" w:eastAsia="Times New Roman" w:hint="default"/>
                <w:sz w:val="18"/>
                <w:szCs w:val="18"/>
              </w:rPr>
            </w:pPr>
            <w:r>
              <w:rPr>
                <w:rFonts w:ascii="Times New Roman"/>
                <w:sz w:val="18"/>
              </w:rPr>
              <w:t>624.72</w:t>
            </w:r>
          </w:p>
        </w:tc>
      </w:tr>
    </w:tbl>
    <w:p>
      <w:pPr>
        <w:spacing w:before="70"/>
        <w:ind w:left="152" w:right="1125"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line="240" w:lineRule="auto" w:before="1"/>
        <w:rPr>
          <w:rFonts w:ascii="宋体" w:hAnsi="宋体" w:cs="宋体" w:eastAsia="宋体" w:hint="default"/>
          <w:sz w:val="9"/>
          <w:szCs w:val="9"/>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2472"/>
        <w:gridCol w:w="896"/>
        <w:gridCol w:w="886"/>
        <w:gridCol w:w="886"/>
        <w:gridCol w:w="884"/>
        <w:gridCol w:w="886"/>
        <w:gridCol w:w="884"/>
        <w:gridCol w:w="883"/>
        <w:gridCol w:w="883"/>
      </w:tblGrid>
      <w:tr>
        <w:trPr>
          <w:trHeight w:val="444"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90"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7"/>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122"/>
              <w:ind w:left="36"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64" w:lineRule="auto" w:before="77"/>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64" w:lineRule="auto" w:before="77"/>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64" w:lineRule="auto" w:before="77"/>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214"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08" w:lineRule="exact" w:before="70"/>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98"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0"/>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0"/>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23"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85"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85"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115"/>
              <w:ind w:left="45" w:right="0"/>
              <w:jc w:val="left"/>
              <w:rPr>
                <w:rFonts w:ascii="Times New Roman" w:hAnsi="Times New Roman" w:cs="Times New Roman" w:eastAsia="Times New Roman" w:hint="default"/>
                <w:sz w:val="18"/>
                <w:szCs w:val="18"/>
              </w:rPr>
            </w:pPr>
            <w:r>
              <w:rPr>
                <w:rFonts w:ascii="Times New Roman"/>
                <w:sz w:val="18"/>
              </w:rPr>
              <w:t>332,900,00</w:t>
            </w:r>
          </w:p>
          <w:p>
            <w:pPr>
              <w:pStyle w:val="TableParagraph"/>
              <w:spacing w:line="240" w:lineRule="auto" w:before="150"/>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5"/>
              <w:ind w:left="40" w:right="0"/>
              <w:jc w:val="left"/>
              <w:rPr>
                <w:rFonts w:ascii="Times New Roman" w:hAnsi="Times New Roman" w:cs="Times New Roman" w:eastAsia="Times New Roman" w:hint="default"/>
                <w:sz w:val="18"/>
                <w:szCs w:val="18"/>
              </w:rPr>
            </w:pPr>
            <w:r>
              <w:rPr>
                <w:rFonts w:ascii="Times New Roman"/>
                <w:sz w:val="18"/>
              </w:rPr>
              <w:t>589,763,76</w:t>
            </w:r>
          </w:p>
          <w:p>
            <w:pPr>
              <w:pStyle w:val="TableParagraph"/>
              <w:spacing w:line="240" w:lineRule="auto" w:before="150"/>
              <w:ind w:left="537" w:right="0"/>
              <w:jc w:val="left"/>
              <w:rPr>
                <w:rFonts w:ascii="Times New Roman" w:hAnsi="Times New Roman" w:cs="Times New Roman" w:eastAsia="Times New Roman" w:hint="default"/>
                <w:sz w:val="18"/>
                <w:szCs w:val="18"/>
              </w:rPr>
            </w:pPr>
            <w:r>
              <w:rPr>
                <w:rFonts w:ascii="Times New Roman"/>
                <w:sz w:val="18"/>
              </w:rPr>
              <w:t>6.09</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11,635,547</w:t>
            </w:r>
          </w:p>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z w:val="18"/>
              </w:rPr>
              <w:t>.40</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15"/>
              <w:ind w:left="71" w:right="0"/>
              <w:jc w:val="left"/>
              <w:rPr>
                <w:rFonts w:ascii="Times New Roman" w:hAnsi="Times New Roman" w:cs="Times New Roman" w:eastAsia="Times New Roman" w:hint="default"/>
                <w:sz w:val="18"/>
                <w:szCs w:val="18"/>
              </w:rPr>
            </w:pPr>
            <w:r>
              <w:rPr>
                <w:rFonts w:ascii="Times New Roman"/>
                <w:sz w:val="18"/>
              </w:rPr>
              <w:t>-151,839,5</w:t>
            </w:r>
          </w:p>
          <w:p>
            <w:pPr>
              <w:pStyle w:val="TableParagraph"/>
              <w:spacing w:line="240" w:lineRule="auto" w:before="150"/>
              <w:ind w:left="446" w:right="0"/>
              <w:jc w:val="left"/>
              <w:rPr>
                <w:rFonts w:ascii="Times New Roman" w:hAnsi="Times New Roman" w:cs="Times New Roman" w:eastAsia="Times New Roman" w:hint="default"/>
                <w:sz w:val="18"/>
                <w:szCs w:val="18"/>
              </w:rPr>
            </w:pPr>
            <w:r>
              <w:rPr>
                <w:rFonts w:ascii="Times New Roman"/>
                <w:sz w:val="18"/>
              </w:rPr>
              <w:t>62.51</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15"/>
              <w:ind w:left="38" w:right="0"/>
              <w:jc w:val="left"/>
              <w:rPr>
                <w:rFonts w:ascii="Times New Roman" w:hAnsi="Times New Roman" w:cs="Times New Roman" w:eastAsia="Times New Roman" w:hint="default"/>
                <w:sz w:val="18"/>
                <w:szCs w:val="18"/>
              </w:rPr>
            </w:pPr>
            <w:r>
              <w:rPr>
                <w:rFonts w:ascii="Times New Roman"/>
                <w:sz w:val="18"/>
              </w:rPr>
              <w:t>782,459,75</w:t>
            </w:r>
          </w:p>
          <w:p>
            <w:pPr>
              <w:pStyle w:val="TableParagraph"/>
              <w:spacing w:line="240" w:lineRule="auto" w:before="150"/>
              <w:ind w:left="535" w:right="0"/>
              <w:jc w:val="left"/>
              <w:rPr>
                <w:rFonts w:ascii="Times New Roman" w:hAnsi="Times New Roman" w:cs="Times New Roman" w:eastAsia="Times New Roman" w:hint="default"/>
                <w:sz w:val="18"/>
                <w:szCs w:val="18"/>
              </w:rPr>
            </w:pPr>
            <w:r>
              <w:rPr>
                <w:rFonts w:ascii="Times New Roman"/>
                <w:sz w:val="18"/>
              </w:rPr>
              <w:t>0.98</w:t>
            </w:r>
          </w:p>
        </w:tc>
      </w:tr>
      <w:tr>
        <w:trPr>
          <w:trHeight w:val="439"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85"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49"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85"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115"/>
              <w:ind w:left="45" w:right="0"/>
              <w:jc w:val="left"/>
              <w:rPr>
                <w:rFonts w:ascii="Times New Roman" w:hAnsi="Times New Roman" w:cs="Times New Roman" w:eastAsia="Times New Roman" w:hint="default"/>
                <w:sz w:val="18"/>
                <w:szCs w:val="18"/>
              </w:rPr>
            </w:pPr>
            <w:r>
              <w:rPr>
                <w:rFonts w:ascii="Times New Roman"/>
                <w:sz w:val="18"/>
              </w:rPr>
              <w:t>332,900,00</w:t>
            </w:r>
          </w:p>
          <w:p>
            <w:pPr>
              <w:pStyle w:val="TableParagraph"/>
              <w:spacing w:line="240" w:lineRule="auto" w:before="150"/>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5"/>
              <w:ind w:left="40" w:right="0"/>
              <w:jc w:val="left"/>
              <w:rPr>
                <w:rFonts w:ascii="Times New Roman" w:hAnsi="Times New Roman" w:cs="Times New Roman" w:eastAsia="Times New Roman" w:hint="default"/>
                <w:sz w:val="18"/>
                <w:szCs w:val="18"/>
              </w:rPr>
            </w:pPr>
            <w:r>
              <w:rPr>
                <w:rFonts w:ascii="Times New Roman"/>
                <w:sz w:val="18"/>
              </w:rPr>
              <w:t>589,763,76</w:t>
            </w:r>
          </w:p>
          <w:p>
            <w:pPr>
              <w:pStyle w:val="TableParagraph"/>
              <w:spacing w:line="240" w:lineRule="auto" w:before="150"/>
              <w:ind w:left="537" w:right="0"/>
              <w:jc w:val="left"/>
              <w:rPr>
                <w:rFonts w:ascii="Times New Roman" w:hAnsi="Times New Roman" w:cs="Times New Roman" w:eastAsia="Times New Roman" w:hint="default"/>
                <w:sz w:val="18"/>
                <w:szCs w:val="18"/>
              </w:rPr>
            </w:pPr>
            <w:r>
              <w:rPr>
                <w:rFonts w:ascii="Times New Roman"/>
                <w:sz w:val="18"/>
              </w:rPr>
              <w:t>6.09</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11,635,547</w:t>
            </w:r>
          </w:p>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z w:val="18"/>
              </w:rPr>
              <w:t>.40</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15"/>
              <w:ind w:left="71" w:right="0"/>
              <w:jc w:val="left"/>
              <w:rPr>
                <w:rFonts w:ascii="Times New Roman" w:hAnsi="Times New Roman" w:cs="Times New Roman" w:eastAsia="Times New Roman" w:hint="default"/>
                <w:sz w:val="18"/>
                <w:szCs w:val="18"/>
              </w:rPr>
            </w:pPr>
            <w:r>
              <w:rPr>
                <w:rFonts w:ascii="Times New Roman"/>
                <w:sz w:val="18"/>
              </w:rPr>
              <w:t>-151,839,5</w:t>
            </w:r>
          </w:p>
          <w:p>
            <w:pPr>
              <w:pStyle w:val="TableParagraph"/>
              <w:spacing w:line="240" w:lineRule="auto" w:before="150"/>
              <w:ind w:left="446" w:right="0"/>
              <w:jc w:val="left"/>
              <w:rPr>
                <w:rFonts w:ascii="Times New Roman" w:hAnsi="Times New Roman" w:cs="Times New Roman" w:eastAsia="Times New Roman" w:hint="default"/>
                <w:sz w:val="18"/>
                <w:szCs w:val="18"/>
              </w:rPr>
            </w:pPr>
            <w:r>
              <w:rPr>
                <w:rFonts w:ascii="Times New Roman"/>
                <w:sz w:val="18"/>
              </w:rPr>
              <w:t>62.51</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15"/>
              <w:ind w:left="38" w:right="0"/>
              <w:jc w:val="left"/>
              <w:rPr>
                <w:rFonts w:ascii="Times New Roman" w:hAnsi="Times New Roman" w:cs="Times New Roman" w:eastAsia="Times New Roman" w:hint="default"/>
                <w:sz w:val="18"/>
                <w:szCs w:val="18"/>
              </w:rPr>
            </w:pPr>
            <w:r>
              <w:rPr>
                <w:rFonts w:ascii="Times New Roman"/>
                <w:sz w:val="18"/>
              </w:rPr>
              <w:t>782,459,75</w:t>
            </w:r>
          </w:p>
          <w:p>
            <w:pPr>
              <w:pStyle w:val="TableParagraph"/>
              <w:spacing w:line="240" w:lineRule="auto" w:before="150"/>
              <w:ind w:left="535" w:right="0"/>
              <w:jc w:val="left"/>
              <w:rPr>
                <w:rFonts w:ascii="Times New Roman" w:hAnsi="Times New Roman" w:cs="Times New Roman" w:eastAsia="Times New Roman" w:hint="default"/>
                <w:sz w:val="18"/>
                <w:szCs w:val="18"/>
              </w:rPr>
            </w:pPr>
            <w:r>
              <w:rPr>
                <w:rFonts w:ascii="Times New Roman"/>
                <w:sz w:val="18"/>
              </w:rPr>
              <w:t>0.98</w:t>
            </w:r>
          </w:p>
        </w:tc>
      </w:tr>
      <w:tr>
        <w:trPr>
          <w:trHeight w:val="437"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85"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809"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12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-1,699,864.</w:t>
            </w: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z w:val="18"/>
              </w:rPr>
              <w:t>46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1" w:right="0"/>
              <w:jc w:val="left"/>
              <w:rPr>
                <w:rFonts w:ascii="Times New Roman" w:hAnsi="Times New Roman" w:cs="Times New Roman" w:eastAsia="Times New Roman" w:hint="default"/>
                <w:sz w:val="18"/>
                <w:szCs w:val="18"/>
              </w:rPr>
            </w:pPr>
            <w:r>
              <w:rPr>
                <w:rFonts w:ascii="Times New Roman"/>
                <w:sz w:val="18"/>
              </w:rPr>
              <w:t>-22,823,13</w:t>
            </w:r>
          </w:p>
          <w:p>
            <w:pPr>
              <w:pStyle w:val="TableParagraph"/>
              <w:spacing w:line="240" w:lineRule="auto" w:before="150"/>
              <w:ind w:left="537" w:right="0"/>
              <w:jc w:val="left"/>
              <w:rPr>
                <w:rFonts w:ascii="Times New Roman" w:hAnsi="Times New Roman" w:cs="Times New Roman" w:eastAsia="Times New Roman" w:hint="default"/>
                <w:sz w:val="18"/>
                <w:szCs w:val="18"/>
              </w:rPr>
            </w:pPr>
            <w:r>
              <w:rPr>
                <w:rFonts w:ascii="Times New Roman"/>
                <w:sz w:val="18"/>
              </w:rPr>
              <w:t>1.34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9" w:right="0"/>
              <w:jc w:val="left"/>
              <w:rPr>
                <w:rFonts w:ascii="Times New Roman" w:hAnsi="Times New Roman" w:cs="Times New Roman" w:eastAsia="Times New Roman" w:hint="default"/>
                <w:sz w:val="18"/>
                <w:szCs w:val="18"/>
              </w:rPr>
            </w:pPr>
            <w:r>
              <w:rPr>
                <w:rFonts w:ascii="Times New Roman"/>
                <w:sz w:val="18"/>
              </w:rPr>
              <w:t>-24,522,99</w:t>
            </w:r>
          </w:p>
          <w:p>
            <w:pPr>
              <w:pStyle w:val="TableParagraph"/>
              <w:spacing w:line="240" w:lineRule="auto" w:before="150"/>
              <w:ind w:left="535" w:right="0"/>
              <w:jc w:val="left"/>
              <w:rPr>
                <w:rFonts w:ascii="Times New Roman" w:hAnsi="Times New Roman" w:cs="Times New Roman" w:eastAsia="Times New Roman" w:hint="default"/>
                <w:sz w:val="18"/>
                <w:szCs w:val="18"/>
              </w:rPr>
            </w:pPr>
            <w:r>
              <w:rPr>
                <w:rFonts w:ascii="Times New Roman"/>
                <w:sz w:val="18"/>
              </w:rPr>
              <w:t>5.80</w:t>
            </w:r>
          </w:p>
        </w:tc>
      </w:tr>
      <w:tr>
        <w:trPr>
          <w:trHeight w:val="185"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15"/>
              <w:ind w:left="71" w:right="0"/>
              <w:jc w:val="left"/>
              <w:rPr>
                <w:rFonts w:ascii="Times New Roman" w:hAnsi="Times New Roman" w:cs="Times New Roman" w:eastAsia="Times New Roman" w:hint="default"/>
                <w:sz w:val="18"/>
                <w:szCs w:val="18"/>
              </w:rPr>
            </w:pPr>
            <w:r>
              <w:rPr>
                <w:rFonts w:ascii="Times New Roman"/>
                <w:sz w:val="18"/>
              </w:rPr>
              <w:t>-22,823,13</w:t>
            </w:r>
          </w:p>
          <w:p>
            <w:pPr>
              <w:pStyle w:val="TableParagraph"/>
              <w:spacing w:line="240" w:lineRule="auto" w:before="150"/>
              <w:ind w:left="537" w:right="0"/>
              <w:jc w:val="left"/>
              <w:rPr>
                <w:rFonts w:ascii="Times New Roman" w:hAnsi="Times New Roman" w:cs="Times New Roman" w:eastAsia="Times New Roman" w:hint="default"/>
                <w:sz w:val="18"/>
                <w:szCs w:val="18"/>
              </w:rPr>
            </w:pPr>
            <w:r>
              <w:rPr>
                <w:rFonts w:ascii="Times New Roman"/>
                <w:sz w:val="18"/>
              </w:rPr>
              <w:t>1.34</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15"/>
              <w:ind w:left="69" w:right="0"/>
              <w:jc w:val="left"/>
              <w:rPr>
                <w:rFonts w:ascii="Times New Roman" w:hAnsi="Times New Roman" w:cs="Times New Roman" w:eastAsia="Times New Roman" w:hint="default"/>
                <w:sz w:val="18"/>
                <w:szCs w:val="18"/>
              </w:rPr>
            </w:pPr>
            <w:r>
              <w:rPr>
                <w:rFonts w:ascii="Times New Roman"/>
                <w:sz w:val="18"/>
              </w:rPr>
              <w:t>-22,823,13</w:t>
            </w:r>
          </w:p>
          <w:p>
            <w:pPr>
              <w:pStyle w:val="TableParagraph"/>
              <w:spacing w:line="240" w:lineRule="auto" w:before="150"/>
              <w:ind w:left="535" w:right="0"/>
              <w:jc w:val="left"/>
              <w:rPr>
                <w:rFonts w:ascii="Times New Roman" w:hAnsi="Times New Roman" w:cs="Times New Roman" w:eastAsia="Times New Roman" w:hint="default"/>
                <w:sz w:val="18"/>
                <w:szCs w:val="18"/>
              </w:rPr>
            </w:pPr>
            <w:r>
              <w:rPr>
                <w:rFonts w:ascii="Times New Roman"/>
                <w:sz w:val="18"/>
              </w:rPr>
              <w:t>1.34</w:t>
            </w:r>
          </w:p>
        </w:tc>
      </w:tr>
      <w:tr>
        <w:trPr>
          <w:trHeight w:val="437"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85"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85"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1,376,513.</w:t>
            </w: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18</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1,376,513.</w:t>
            </w: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18</w:t>
            </w:r>
          </w:p>
        </w:tc>
      </w:tr>
      <w:tr>
        <w:trPr>
          <w:trHeight w:val="440"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85"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85"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1,376,513.</w:t>
            </w: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z w:val="18"/>
              </w:rPr>
              <w:t>18</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15"/>
              <w:ind w:left="71" w:right="0"/>
              <w:jc w:val="left"/>
              <w:rPr>
                <w:rFonts w:ascii="Times New Roman" w:hAnsi="Times New Roman" w:cs="Times New Roman" w:eastAsia="Times New Roman" w:hint="default"/>
                <w:sz w:val="18"/>
                <w:szCs w:val="18"/>
              </w:rPr>
            </w:pPr>
            <w:r>
              <w:rPr>
                <w:rFonts w:ascii="Times New Roman"/>
                <w:sz w:val="18"/>
              </w:rPr>
              <w:t>-22,823,13</w:t>
            </w:r>
          </w:p>
          <w:p>
            <w:pPr>
              <w:pStyle w:val="TableParagraph"/>
              <w:spacing w:line="240" w:lineRule="auto" w:before="150"/>
              <w:ind w:left="537" w:right="0"/>
              <w:jc w:val="left"/>
              <w:rPr>
                <w:rFonts w:ascii="Times New Roman" w:hAnsi="Times New Roman" w:cs="Times New Roman" w:eastAsia="Times New Roman" w:hint="default"/>
                <w:sz w:val="18"/>
                <w:szCs w:val="18"/>
              </w:rPr>
            </w:pPr>
            <w:r>
              <w:rPr>
                <w:rFonts w:ascii="Times New Roman"/>
                <w:sz w:val="18"/>
              </w:rPr>
              <w:t>1.34</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15"/>
              <w:ind w:left="69" w:right="0"/>
              <w:jc w:val="left"/>
              <w:rPr>
                <w:rFonts w:ascii="Times New Roman" w:hAnsi="Times New Roman" w:cs="Times New Roman" w:eastAsia="Times New Roman" w:hint="default"/>
                <w:sz w:val="18"/>
                <w:szCs w:val="18"/>
              </w:rPr>
            </w:pPr>
            <w:r>
              <w:rPr>
                <w:rFonts w:ascii="Times New Roman"/>
                <w:sz w:val="18"/>
              </w:rPr>
              <w:t>-21,446,61</w:t>
            </w:r>
          </w:p>
          <w:p>
            <w:pPr>
              <w:pStyle w:val="TableParagraph"/>
              <w:spacing w:line="240" w:lineRule="auto" w:before="150"/>
              <w:ind w:left="535" w:right="0"/>
              <w:jc w:val="left"/>
              <w:rPr>
                <w:rFonts w:ascii="Times New Roman" w:hAnsi="Times New Roman" w:cs="Times New Roman" w:eastAsia="Times New Roman" w:hint="default"/>
                <w:sz w:val="18"/>
                <w:szCs w:val="18"/>
              </w:rPr>
            </w:pPr>
            <w:r>
              <w:rPr>
                <w:rFonts w:ascii="Times New Roman"/>
                <w:sz w:val="18"/>
              </w:rPr>
              <w:t>8.16</w:t>
            </w:r>
          </w:p>
        </w:tc>
      </w:tr>
      <w:tr>
        <w:trPr>
          <w:trHeight w:val="437"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85"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85"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-3,076,377.</w:t>
            </w: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z w:val="18"/>
              </w:rPr>
              <w:t>64</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-3,076,377.</w:t>
            </w: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z w:val="18"/>
              </w:rPr>
              <w:t>64</w:t>
            </w:r>
          </w:p>
        </w:tc>
      </w:tr>
      <w:tr>
        <w:trPr>
          <w:trHeight w:val="439"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85"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49"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3"/>
          <w:pgSz w:w="11910" w:h="16840"/>
          <w:pgMar w:footer="1295" w:header="877" w:top="1060" w:bottom="1480" w:left="980" w:right="0"/>
          <w:pgNumType w:start="91"/>
        </w:sectPr>
      </w:pPr>
    </w:p>
    <w:p>
      <w:pPr>
        <w:spacing w:line="240" w:lineRule="auto" w:before="6"/>
        <w:rPr>
          <w:rFonts w:ascii="宋体" w:hAnsi="宋体" w:cs="宋体" w:eastAsia="宋体" w:hint="default"/>
          <w:sz w:val="28"/>
          <w:szCs w:val="28"/>
        </w:rPr>
      </w:pPr>
      <w:r>
        <w:rPr/>
        <w:pict>
          <v:shape style="position:absolute;margin-left:139.554001pt;margin-top:287.929993pt;width:84.8pt;height:22pt;mso-position-horizontal-relative:page;mso-position-vertical-relative:page;z-index:-1261312" type="#_x0000_t202" filled="false" stroked="false">
            <v:textbox inset="0,0,0,0">
              <w:txbxContent>
                <w:p>
                  <w:pPr>
                    <w:spacing w:before="70"/>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9.554001pt;margin-top:310.369995pt;width:84.8pt;height:22pt;mso-position-horizontal-relative:page;mso-position-vertical-relative:page;z-index:-1261288" type="#_x0000_t202" filled="false" stroked="false">
            <v:textbox inset="0,0,0,0">
              <w:txbxContent>
                <w:p>
                  <w:pPr>
                    <w:spacing w:before="70"/>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2.899994pt;margin-top:287.929993pt;width:41.45pt;height:44.4pt;mso-position-horizontal-relative:page;mso-position-vertical-relative:page;z-index:-1261264" coordorigin="3658,5759" coordsize="829,888">
            <v:group style="position:absolute;left:3658;top:5759;width:829;height:440" coordorigin="3658,5759" coordsize="829,440">
              <v:shape style="position:absolute;left:3658;top:5759;width:829;height:440" coordorigin="3658,5759" coordsize="829,440" path="m3658,6198l4486,6198,4486,5759,3658,5759,3658,6198xe" filled="true" fillcolor="#ffffff" stroked="false">
                <v:path arrowok="t"/>
                <v:fill type="solid"/>
              </v:shape>
            </v:group>
            <v:group style="position:absolute;left:3658;top:6207;width:829;height:440" coordorigin="3658,6207" coordsize="829,440">
              <v:shape style="position:absolute;left:3658;top:6207;width:829;height:440" coordorigin="3658,6207" coordsize="829,440" path="m3658,6647l4486,6647,4486,6207,3658,6207,3658,6647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807"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5" w:lineRule="auto" w:before="73"/>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1"/>
              <w:jc w:val="right"/>
              <w:rPr>
                <w:rFonts w:ascii="Times New Roman" w:hAnsi="Times New Roman" w:cs="Times New Roman" w:eastAsia="Times New Roman" w:hint="default"/>
                <w:sz w:val="18"/>
                <w:szCs w:val="18"/>
              </w:rPr>
            </w:pPr>
            <w:r>
              <w:rPr>
                <w:rFonts w:ascii="Times New Roman"/>
                <w:spacing w:val="-1"/>
                <w:sz w:val="18"/>
              </w:rPr>
              <w:t>-3,076,377.</w:t>
            </w: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z w:val="18"/>
              </w:rPr>
              <w:t>64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1"/>
              <w:jc w:val="right"/>
              <w:rPr>
                <w:rFonts w:ascii="Times New Roman" w:hAnsi="Times New Roman" w:cs="Times New Roman" w:eastAsia="Times New Roman" w:hint="default"/>
                <w:sz w:val="18"/>
                <w:szCs w:val="18"/>
              </w:rPr>
            </w:pPr>
            <w:r>
              <w:rPr>
                <w:rFonts w:ascii="Times New Roman"/>
                <w:spacing w:val="-1"/>
                <w:sz w:val="18"/>
              </w:rPr>
              <w:t>-3,076,377.</w:t>
            </w: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z w:val="18"/>
              </w:rPr>
              <w:t>64</w:t>
            </w:r>
          </w:p>
        </w:tc>
      </w:tr>
      <w:tr>
        <w:trPr>
          <w:trHeight w:val="44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0" w:right="0"/>
              <w:jc w:val="left"/>
              <w:rPr>
                <w:rFonts w:ascii="Times New Roman" w:hAnsi="Times New Roman" w:cs="Times New Roman" w:eastAsia="Times New Roman" w:hint="default"/>
                <w:sz w:val="18"/>
                <w:szCs w:val="18"/>
              </w:rPr>
            </w:pPr>
            <w:r>
              <w:rPr>
                <w:rFonts w:ascii="Times New Roman"/>
                <w:sz w:val="18"/>
              </w:rPr>
              <w:t>332,900,00</w:t>
            </w:r>
          </w:p>
          <w:p>
            <w:pPr>
              <w:pStyle w:val="TableParagraph"/>
              <w:spacing w:line="240" w:lineRule="auto" w:before="150"/>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0" w:right="0"/>
              <w:jc w:val="left"/>
              <w:rPr>
                <w:rFonts w:ascii="Times New Roman" w:hAnsi="Times New Roman" w:cs="Times New Roman" w:eastAsia="Times New Roman" w:hint="default"/>
                <w:sz w:val="18"/>
                <w:szCs w:val="18"/>
              </w:rPr>
            </w:pPr>
            <w:r>
              <w:rPr>
                <w:rFonts w:ascii="Times New Roman"/>
                <w:sz w:val="18"/>
              </w:rPr>
              <w:t>588,063,90</w:t>
            </w:r>
          </w:p>
          <w:p>
            <w:pPr>
              <w:pStyle w:val="TableParagraph"/>
              <w:spacing w:line="240" w:lineRule="auto" w:before="150"/>
              <w:ind w:left="537" w:right="0"/>
              <w:jc w:val="left"/>
              <w:rPr>
                <w:rFonts w:ascii="Times New Roman" w:hAnsi="Times New Roman" w:cs="Times New Roman" w:eastAsia="Times New Roman" w:hint="default"/>
                <w:sz w:val="18"/>
                <w:szCs w:val="18"/>
              </w:rPr>
            </w:pPr>
            <w:r>
              <w:rPr>
                <w:rFonts w:ascii="Times New Roman"/>
                <w:sz w:val="18"/>
              </w:rPr>
              <w:t>1.63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1"/>
              <w:jc w:val="right"/>
              <w:rPr>
                <w:rFonts w:ascii="Times New Roman" w:hAnsi="Times New Roman" w:cs="Times New Roman" w:eastAsia="Times New Roman" w:hint="default"/>
                <w:sz w:val="18"/>
                <w:szCs w:val="18"/>
              </w:rPr>
            </w:pPr>
            <w:r>
              <w:rPr>
                <w:rFonts w:ascii="Times New Roman"/>
                <w:spacing w:val="-1"/>
                <w:sz w:val="18"/>
              </w:rPr>
              <w:t>11,635,547</w:t>
            </w:r>
          </w:p>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z w:val="18"/>
              </w:rPr>
              <w:t>.40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1" w:right="0"/>
              <w:jc w:val="left"/>
              <w:rPr>
                <w:rFonts w:ascii="Times New Roman" w:hAnsi="Times New Roman" w:cs="Times New Roman" w:eastAsia="Times New Roman" w:hint="default"/>
                <w:sz w:val="18"/>
                <w:szCs w:val="18"/>
              </w:rPr>
            </w:pPr>
            <w:r>
              <w:rPr>
                <w:rFonts w:ascii="Times New Roman"/>
                <w:sz w:val="18"/>
              </w:rPr>
              <w:t>-174,662,6</w:t>
            </w:r>
          </w:p>
          <w:p>
            <w:pPr>
              <w:pStyle w:val="TableParagraph"/>
              <w:spacing w:line="240" w:lineRule="auto" w:before="150"/>
              <w:ind w:left="446" w:right="0"/>
              <w:jc w:val="left"/>
              <w:rPr>
                <w:rFonts w:ascii="Times New Roman" w:hAnsi="Times New Roman" w:cs="Times New Roman" w:eastAsia="Times New Roman" w:hint="default"/>
                <w:sz w:val="18"/>
                <w:szCs w:val="18"/>
              </w:rPr>
            </w:pPr>
            <w:r>
              <w:rPr>
                <w:rFonts w:ascii="Times New Roman"/>
                <w:sz w:val="18"/>
              </w:rPr>
              <w:t>93.85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8" w:right="0"/>
              <w:jc w:val="left"/>
              <w:rPr>
                <w:rFonts w:ascii="Times New Roman" w:hAnsi="Times New Roman" w:cs="Times New Roman" w:eastAsia="Times New Roman" w:hint="default"/>
                <w:sz w:val="18"/>
                <w:szCs w:val="18"/>
              </w:rPr>
            </w:pPr>
            <w:r>
              <w:rPr>
                <w:rFonts w:ascii="Times New Roman"/>
                <w:sz w:val="18"/>
              </w:rPr>
              <w:t>757,936,75</w:t>
            </w:r>
          </w:p>
          <w:p>
            <w:pPr>
              <w:pStyle w:val="TableParagraph"/>
              <w:spacing w:line="240" w:lineRule="auto" w:before="150"/>
              <w:ind w:left="535" w:right="0"/>
              <w:jc w:val="left"/>
              <w:rPr>
                <w:rFonts w:ascii="Times New Roman" w:hAnsi="Times New Roman" w:cs="Times New Roman" w:eastAsia="Times New Roman" w:hint="default"/>
                <w:sz w:val="18"/>
                <w:szCs w:val="18"/>
              </w:rPr>
            </w:pPr>
            <w:r>
              <w:rPr>
                <w:rFonts w:ascii="Times New Roman"/>
                <w:sz w:val="18"/>
              </w:rPr>
              <w:t>5.18</w:t>
            </w:r>
          </w:p>
        </w:tc>
      </w:tr>
    </w:tbl>
    <w:p>
      <w:pPr>
        <w:spacing w:line="240" w:lineRule="auto" w:before="13"/>
        <w:rPr>
          <w:rFonts w:ascii="宋体" w:hAnsi="宋体" w:cs="宋体" w:eastAsia="宋体" w:hint="default"/>
          <w:sz w:val="21"/>
          <w:szCs w:val="21"/>
        </w:rPr>
      </w:pPr>
    </w:p>
    <w:p>
      <w:pPr>
        <w:tabs>
          <w:tab w:pos="3667" w:val="left" w:leader="none"/>
          <w:tab w:pos="7718" w:val="left" w:leader="none"/>
        </w:tabs>
        <w:spacing w:before="44"/>
        <w:ind w:left="152" w:right="1125" w:firstLine="0"/>
        <w:jc w:val="left"/>
        <w:rPr>
          <w:rFonts w:ascii="宋体" w:hAnsi="宋体" w:cs="宋体" w:eastAsia="宋体" w:hint="default"/>
          <w:sz w:val="18"/>
          <w:szCs w:val="18"/>
        </w:rPr>
      </w:pPr>
      <w:r>
        <w:rPr>
          <w:rFonts w:ascii="宋体" w:hAnsi="宋体" w:cs="宋体" w:eastAsia="宋体" w:hint="default"/>
          <w:sz w:val="18"/>
          <w:szCs w:val="18"/>
        </w:rPr>
        <w:t>法定代表人：付景林</w:t>
        <w:tab/>
      </w:r>
      <w:r>
        <w:rPr>
          <w:rFonts w:ascii="宋体" w:hAnsi="宋体" w:cs="宋体" w:eastAsia="宋体" w:hint="default"/>
          <w:spacing w:val="-1"/>
          <w:sz w:val="18"/>
          <w:szCs w:val="18"/>
        </w:rPr>
        <w:t>主管会计工作负责人：王芊</w:t>
        <w:tab/>
      </w:r>
      <w:r>
        <w:rPr>
          <w:rFonts w:ascii="宋体" w:hAnsi="宋体" w:cs="宋体" w:eastAsia="宋体" w:hint="default"/>
          <w:sz w:val="18"/>
          <w:szCs w:val="18"/>
        </w:rPr>
        <w:t>会计机构负责人：丁明锋</w:t>
      </w:r>
    </w:p>
    <w:p>
      <w:pPr>
        <w:pStyle w:val="BodyText"/>
        <w:spacing w:line="660" w:lineRule="atLeast" w:before="30"/>
        <w:ind w:left="633" w:right="1125" w:hanging="481"/>
        <w:jc w:val="left"/>
      </w:pPr>
      <w:r>
        <w:rPr>
          <w:rFonts w:ascii="宋体" w:hAnsi="宋体" w:cs="宋体" w:eastAsia="宋体" w:hint="default"/>
          <w:b/>
          <w:bCs/>
        </w:rPr>
        <w:t>三、公司基本情况</w:t>
      </w:r>
      <w:r>
        <w:rPr>
          <w:rFonts w:ascii="宋体" w:hAnsi="宋体" w:cs="宋体" w:eastAsia="宋体" w:hint="default"/>
          <w:b/>
          <w:bCs/>
          <w:w w:val="99"/>
        </w:rPr>
        <w:t> </w:t>
      </w:r>
      <w:r>
        <w:rPr/>
        <w:t>大唐高鸿数据网络技术股份有限公司（以下简称“本公司”或“公司”）原名贵州中国</w:t>
      </w:r>
    </w:p>
    <w:p>
      <w:pPr>
        <w:pStyle w:val="BodyText"/>
        <w:spacing w:line="273" w:lineRule="auto" w:before="43"/>
        <w:ind w:right="996"/>
        <w:jc w:val="left"/>
      </w:pPr>
      <w:r>
        <w:rPr>
          <w:spacing w:val="6"/>
        </w:rPr>
        <w:t>第七砂轮股份有限公司，系经贵州省经济体制改革委员会于</w:t>
      </w:r>
      <w:r>
        <w:rPr>
          <w:rFonts w:ascii="宋体" w:hAnsi="宋体" w:cs="宋体" w:eastAsia="宋体" w:hint="default"/>
          <w:spacing w:val="6"/>
        </w:rPr>
        <w:t>1992</w:t>
      </w:r>
      <w:r>
        <w:rPr>
          <w:spacing w:val="6"/>
        </w:rPr>
        <w:t>年</w:t>
      </w:r>
      <w:r>
        <w:rPr>
          <w:rFonts w:ascii="宋体" w:hAnsi="宋体" w:cs="宋体" w:eastAsia="宋体" w:hint="default"/>
          <w:spacing w:val="6"/>
        </w:rPr>
        <w:t>10</w:t>
      </w:r>
      <w:r>
        <w:rPr>
          <w:spacing w:val="6"/>
        </w:rPr>
        <w:t>月</w:t>
      </w:r>
      <w:r>
        <w:rPr>
          <w:rFonts w:ascii="宋体" w:hAnsi="宋体" w:cs="宋体" w:eastAsia="宋体" w:hint="default"/>
          <w:spacing w:val="6"/>
        </w:rPr>
        <w:t>28</w:t>
      </w:r>
      <w:r>
        <w:rPr>
          <w:spacing w:val="6"/>
        </w:rPr>
        <w:t>日以黔体改股字</w:t>
      </w:r>
      <w:r>
        <w:rPr>
          <w:spacing w:val="-115"/>
        </w:rPr>
        <w:t> </w:t>
      </w:r>
      <w:r>
        <w:rPr>
          <w:spacing w:val="-115"/>
        </w:rPr>
      </w:r>
      <w:r>
        <w:rPr>
          <w:rFonts w:ascii="宋体" w:hAnsi="宋体" w:cs="宋体" w:eastAsia="宋体" w:hint="default"/>
        </w:rPr>
        <w:t>(1992) 26</w:t>
      </w:r>
      <w:r>
        <w:rPr/>
        <w:t>号文批准</w:t>
      </w:r>
      <w:r>
        <w:rPr>
          <w:rFonts w:ascii="宋体" w:hAnsi="宋体" w:cs="宋体" w:eastAsia="宋体" w:hint="default"/>
        </w:rPr>
        <w:t>,</w:t>
      </w:r>
      <w:r>
        <w:rPr/>
        <w:t>由中国七砂集团有限责任公司（原中国第七砂轮厂，以下简称“七砂集</w:t>
      </w:r>
      <w:r>
        <w:rPr>
          <w:spacing w:val="-89"/>
        </w:rPr>
        <w:t> </w:t>
      </w:r>
      <w:r>
        <w:rPr>
          <w:spacing w:val="-89"/>
        </w:rPr>
      </w:r>
      <w:r>
        <w:rPr/>
        <w:t>团”）、中国第六砂轮厂（现已并入“七砂集团”）及贵州省电力局共同发起，以定向募集</w:t>
      </w:r>
      <w:r>
        <w:rPr>
          <w:spacing w:val="-89"/>
        </w:rPr>
        <w:t> </w:t>
      </w:r>
      <w:r>
        <w:rPr>
          <w:spacing w:val="-89"/>
        </w:rPr>
      </w:r>
      <w:r>
        <w:rPr>
          <w:spacing w:val="-5"/>
        </w:rPr>
        <w:t>方式设立的股份有限公司，于</w:t>
      </w:r>
      <w:r>
        <w:rPr>
          <w:rFonts w:ascii="宋体" w:hAnsi="宋体" w:cs="宋体" w:eastAsia="宋体" w:hint="default"/>
          <w:spacing w:val="-5"/>
        </w:rPr>
        <w:t>1994</w:t>
      </w:r>
      <w:r>
        <w:rPr>
          <w:spacing w:val="-5"/>
        </w:rPr>
        <w:t>年</w:t>
      </w:r>
      <w:r>
        <w:rPr>
          <w:rFonts w:ascii="宋体" w:hAnsi="宋体" w:cs="宋体" w:eastAsia="宋体" w:hint="default"/>
          <w:spacing w:val="-5"/>
        </w:rPr>
        <w:t>1</w:t>
      </w:r>
      <w:r>
        <w:rPr>
          <w:spacing w:val="-5"/>
        </w:rPr>
        <w:t>月</w:t>
      </w:r>
      <w:r>
        <w:rPr>
          <w:rFonts w:ascii="宋体" w:hAnsi="宋体" w:cs="宋体" w:eastAsia="宋体" w:hint="default"/>
          <w:spacing w:val="-5"/>
        </w:rPr>
        <w:t>20</w:t>
      </w:r>
      <w:r>
        <w:rPr>
          <w:spacing w:val="-5"/>
        </w:rPr>
        <w:t>日正式成立，企业法人营业执照注册号为</w:t>
      </w:r>
      <w:r>
        <w:rPr>
          <w:rFonts w:ascii="宋体" w:hAnsi="宋体" w:cs="宋体" w:eastAsia="宋体" w:hint="default"/>
          <w:spacing w:val="-5"/>
        </w:rPr>
        <w:t>21443062</w:t>
      </w:r>
      <w:r>
        <w:rPr>
          <w:spacing w:val="-5"/>
        </w:rPr>
        <w:t>，</w:t>
      </w:r>
      <w:r>
        <w:rPr>
          <w:spacing w:val="-75"/>
        </w:rPr>
        <w:t> </w:t>
      </w:r>
      <w:r>
        <w:rPr/>
        <w:t>本公司设立时的股本为人民币</w:t>
      </w:r>
      <w:r>
        <w:rPr>
          <w:rFonts w:ascii="宋体" w:hAnsi="宋体" w:cs="宋体" w:eastAsia="宋体" w:hint="default"/>
        </w:rPr>
        <w:t>6,252</w:t>
      </w:r>
      <w:r>
        <w:rPr/>
        <w:t>万元。</w:t>
      </w:r>
    </w:p>
    <w:p>
      <w:pPr>
        <w:pStyle w:val="BodyText"/>
        <w:spacing w:line="273" w:lineRule="auto" w:before="12"/>
        <w:ind w:right="1132" w:firstLine="480"/>
        <w:jc w:val="both"/>
      </w:pPr>
      <w:r>
        <w:rPr>
          <w:rFonts w:ascii="宋体" w:hAnsi="宋体" w:cs="宋体" w:eastAsia="宋体" w:hint="default"/>
        </w:rPr>
        <w:t>1995</w:t>
      </w:r>
      <w:r>
        <w:rPr/>
        <w:t>年</w:t>
      </w:r>
      <w:r>
        <w:rPr>
          <w:rFonts w:ascii="宋体" w:hAnsi="宋体" w:cs="宋体" w:eastAsia="宋体" w:hint="default"/>
        </w:rPr>
        <w:t>9</w:t>
      </w:r>
      <w:r>
        <w:rPr/>
        <w:t>月</w:t>
      </w:r>
      <w:r>
        <w:rPr>
          <w:rFonts w:ascii="宋体" w:hAnsi="宋体" w:cs="宋体" w:eastAsia="宋体" w:hint="default"/>
        </w:rPr>
        <w:t>6</w:t>
      </w:r>
      <w:r>
        <w:rPr/>
        <w:t>日，经本公司临时股东大会特别会议决议，并经贵州省体改委以黔体改企字 </w:t>
      </w:r>
      <w:r>
        <w:rPr>
          <w:rFonts w:ascii="宋体" w:hAnsi="宋体" w:cs="宋体" w:eastAsia="宋体" w:hint="default"/>
        </w:rPr>
        <w:t>[1995]9</w:t>
      </w:r>
      <w:r>
        <w:rPr/>
        <w:t>号文批准、贵州省国有资产管理办公室以黔国资综评确</w:t>
      </w:r>
      <w:r>
        <w:rPr>
          <w:rFonts w:ascii="宋体" w:hAnsi="宋体" w:cs="宋体" w:eastAsia="宋体" w:hint="default"/>
        </w:rPr>
        <w:t>[1995]103</w:t>
      </w:r>
      <w:r>
        <w:rPr/>
        <w:t>号文确认，本公司</w:t>
      </w:r>
      <w:r>
        <w:rPr>
          <w:spacing w:val="-86"/>
        </w:rPr>
        <w:t> </w:t>
      </w:r>
      <w:r>
        <w:rPr>
          <w:spacing w:val="-86"/>
        </w:rPr>
      </w:r>
      <w:r>
        <w:rPr/>
        <w:t>以增资扩股方式吸收了七砂集团下属的磨料生产线等经营性资产及第七砂轮厂进出口公司的</w:t>
      </w:r>
      <w:r>
        <w:rPr>
          <w:spacing w:val="-91"/>
        </w:rPr>
        <w:t> </w:t>
      </w:r>
      <w:r>
        <w:rPr>
          <w:spacing w:val="-91"/>
        </w:rPr>
      </w:r>
      <w:r>
        <w:rPr/>
        <w:t>全部资产及相关负债，从而扩大本公司的经营规模。经此次增资后，本公司股本增加为人民</w:t>
      </w:r>
    </w:p>
    <w:p>
      <w:pPr>
        <w:spacing w:after="0" w:line="273" w:lineRule="auto"/>
        <w:jc w:val="both"/>
        <w:sectPr>
          <w:pgSz w:w="11910" w:h="16840"/>
          <w:pgMar w:header="877" w:footer="1295" w:top="1060" w:bottom="1500" w:left="980" w:right="0"/>
        </w:sectPr>
      </w:pPr>
    </w:p>
    <w:p>
      <w:pPr>
        <w:spacing w:line="240" w:lineRule="auto" w:before="6"/>
        <w:rPr>
          <w:rFonts w:ascii="宋体" w:hAnsi="宋体" w:cs="宋体" w:eastAsia="宋体" w:hint="default"/>
          <w:sz w:val="25"/>
          <w:szCs w:val="25"/>
        </w:rPr>
      </w:pPr>
    </w:p>
    <w:p>
      <w:pPr>
        <w:pStyle w:val="BodyText"/>
        <w:spacing w:line="273" w:lineRule="auto" w:before="26"/>
        <w:ind w:left="633" w:right="1125" w:hanging="481"/>
        <w:jc w:val="left"/>
        <w:rPr>
          <w:rFonts w:ascii="宋体" w:hAnsi="宋体" w:cs="宋体" w:eastAsia="宋体" w:hint="default"/>
        </w:rPr>
      </w:pPr>
      <w:r>
        <w:rPr/>
        <w:t>币</w:t>
      </w:r>
      <w:r>
        <w:rPr>
          <w:rFonts w:ascii="宋体" w:hAnsi="宋体" w:cs="宋体" w:eastAsia="宋体" w:hint="default"/>
        </w:rPr>
        <w:t>12,800</w:t>
      </w:r>
      <w:r>
        <w:rPr/>
        <w:t>万元。 </w:t>
      </w:r>
      <w:r>
        <w:rPr>
          <w:rFonts w:ascii="宋体" w:hAnsi="宋体" w:cs="宋体" w:eastAsia="宋体" w:hint="default"/>
        </w:rPr>
        <w:t>1997</w:t>
      </w:r>
      <w:r>
        <w:rPr/>
        <w:t>年</w:t>
      </w:r>
      <w:r>
        <w:rPr>
          <w:rFonts w:ascii="宋体" w:hAnsi="宋体" w:cs="宋体" w:eastAsia="宋体" w:hint="default"/>
        </w:rPr>
        <w:t>7</w:t>
      </w:r>
      <w:r>
        <w:rPr/>
        <w:t>月</w:t>
      </w:r>
      <w:r>
        <w:rPr>
          <w:rFonts w:ascii="宋体" w:hAnsi="宋体" w:cs="宋体" w:eastAsia="宋体" w:hint="default"/>
        </w:rPr>
        <w:t>18</w:t>
      </w:r>
      <w:r>
        <w:rPr/>
        <w:t>日，本公司经贵州省人民政府以黔府函</w:t>
      </w:r>
      <w:r>
        <w:rPr>
          <w:rFonts w:ascii="宋体" w:hAnsi="宋体" w:cs="宋体" w:eastAsia="宋体" w:hint="default"/>
        </w:rPr>
        <w:t>[1997]151</w:t>
      </w:r>
      <w:r>
        <w:rPr/>
        <w:t>号文审核批准，并于</w:t>
      </w:r>
      <w:r>
        <w:rPr>
          <w:rFonts w:ascii="宋体" w:hAnsi="宋体" w:cs="宋体" w:eastAsia="宋体" w:hint="default"/>
        </w:rPr>
        <w:t>1998</w:t>
      </w:r>
    </w:p>
    <w:p>
      <w:pPr>
        <w:pStyle w:val="BodyText"/>
        <w:spacing w:line="273" w:lineRule="auto" w:before="12"/>
        <w:ind w:right="1126"/>
        <w:jc w:val="both"/>
      </w:pPr>
      <w:r>
        <w:rPr/>
        <w:t>年</w:t>
      </w:r>
      <w:r>
        <w:rPr>
          <w:rFonts w:ascii="宋体" w:hAnsi="宋体" w:cs="宋体" w:eastAsia="宋体" w:hint="default"/>
        </w:rPr>
        <w:t>4</w:t>
      </w:r>
      <w:r>
        <w:rPr/>
        <w:t>月</w:t>
      </w:r>
      <w:r>
        <w:rPr>
          <w:rFonts w:ascii="宋体" w:hAnsi="宋体" w:cs="宋体" w:eastAsia="宋体" w:hint="default"/>
        </w:rPr>
        <w:t>21</w:t>
      </w:r>
      <w:r>
        <w:rPr/>
        <w:t>日经中国证券监督管理委员会以证监发字</w:t>
      </w:r>
      <w:r>
        <w:rPr>
          <w:rFonts w:ascii="宋体" w:hAnsi="宋体" w:cs="宋体" w:eastAsia="宋体" w:hint="default"/>
        </w:rPr>
        <w:t>[1998]75</w:t>
      </w:r>
      <w:r>
        <w:rPr/>
        <w:t>号文审核批复，于</w:t>
      </w:r>
      <w:r>
        <w:rPr>
          <w:rFonts w:ascii="宋体" w:hAnsi="宋体" w:cs="宋体" w:eastAsia="宋体" w:hint="default"/>
        </w:rPr>
        <w:t>1998</w:t>
      </w:r>
      <w:r>
        <w:rPr/>
        <w:t>年</w:t>
      </w:r>
      <w:r>
        <w:rPr>
          <w:rFonts w:ascii="宋体" w:hAnsi="宋体" w:cs="宋体" w:eastAsia="宋体" w:hint="default"/>
        </w:rPr>
        <w:t>4</w:t>
      </w:r>
      <w:r>
        <w:rPr/>
        <w:t>月</w:t>
      </w:r>
      <w:r>
        <w:rPr>
          <w:rFonts w:ascii="宋体" w:hAnsi="宋体" w:cs="宋体" w:eastAsia="宋体" w:hint="default"/>
        </w:rPr>
        <w:t>27</w:t>
      </w:r>
      <w:r>
        <w:rPr/>
        <w:t>日</w:t>
      </w:r>
      <w:r>
        <w:rPr>
          <w:spacing w:val="-88"/>
        </w:rPr>
        <w:t> </w:t>
      </w:r>
      <w:r>
        <w:rPr/>
        <w:t>向社会公开发行人民币普通股</w:t>
      </w:r>
      <w:r>
        <w:rPr>
          <w:rFonts w:ascii="宋体" w:hAnsi="宋体" w:cs="宋体" w:eastAsia="宋体" w:hint="default"/>
        </w:rPr>
        <w:t>4,500</w:t>
      </w:r>
      <w:r>
        <w:rPr/>
        <w:t>万股，股本总额增加为</w:t>
      </w:r>
      <w:r>
        <w:rPr>
          <w:rFonts w:ascii="宋体" w:hAnsi="宋体" w:cs="宋体" w:eastAsia="宋体" w:hint="default"/>
        </w:rPr>
        <w:t>17,300</w:t>
      </w:r>
      <w:r>
        <w:rPr/>
        <w:t>万元。本公司</w:t>
      </w:r>
      <w:r>
        <w:rPr>
          <w:rFonts w:ascii="宋体" w:hAnsi="宋体" w:cs="宋体" w:eastAsia="宋体" w:hint="default"/>
        </w:rPr>
        <w:t>4,500</w:t>
      </w:r>
      <w:r>
        <w:rPr/>
        <w:t>万股人</w:t>
      </w:r>
      <w:r>
        <w:rPr>
          <w:spacing w:val="-81"/>
        </w:rPr>
        <w:t> </w:t>
      </w:r>
      <w:r>
        <w:rPr/>
        <w:t>民币普通股于</w:t>
      </w:r>
      <w:r>
        <w:rPr>
          <w:rFonts w:ascii="宋体" w:hAnsi="宋体" w:cs="宋体" w:eastAsia="宋体" w:hint="default"/>
        </w:rPr>
        <w:t>1998 </w:t>
      </w:r>
      <w:r>
        <w:rPr/>
        <w:t>年 </w:t>
      </w:r>
      <w:r>
        <w:rPr>
          <w:rFonts w:ascii="宋体" w:hAnsi="宋体" w:cs="宋体" w:eastAsia="宋体" w:hint="default"/>
        </w:rPr>
        <w:t>6</w:t>
      </w:r>
      <w:r>
        <w:rPr/>
        <w:t>月</w:t>
      </w:r>
      <w:r>
        <w:rPr>
          <w:rFonts w:ascii="宋体" w:hAnsi="宋体" w:cs="宋体" w:eastAsia="宋体" w:hint="default"/>
        </w:rPr>
        <w:t>9 </w:t>
      </w:r>
      <w:r>
        <w:rPr/>
        <w:t>日在深圳证券交易所系统挂牌上市交易。</w:t>
      </w:r>
    </w:p>
    <w:p>
      <w:pPr>
        <w:pStyle w:val="BodyText"/>
        <w:spacing w:line="276" w:lineRule="auto" w:before="10"/>
        <w:ind w:right="1124" w:firstLine="480"/>
        <w:jc w:val="left"/>
      </w:pPr>
      <w:r>
        <w:rPr>
          <w:spacing w:val="-2"/>
        </w:rPr>
        <w:t>本公司于</w:t>
      </w:r>
      <w:r>
        <w:rPr>
          <w:rFonts w:ascii="宋体" w:hAnsi="宋体" w:cs="宋体" w:eastAsia="宋体" w:hint="default"/>
          <w:spacing w:val="-2"/>
        </w:rPr>
        <w:t>2000</w:t>
      </w:r>
      <w:r>
        <w:rPr>
          <w:spacing w:val="-2"/>
        </w:rPr>
        <w:t>年向所有股东按每</w:t>
      </w:r>
      <w:r>
        <w:rPr>
          <w:rFonts w:ascii="宋体" w:hAnsi="宋体" w:cs="宋体" w:eastAsia="宋体" w:hint="default"/>
          <w:spacing w:val="-2"/>
        </w:rPr>
        <w:t>10</w:t>
      </w:r>
      <w:r>
        <w:rPr>
          <w:spacing w:val="-2"/>
        </w:rPr>
        <w:t>股送</w:t>
      </w:r>
      <w:r>
        <w:rPr>
          <w:rFonts w:ascii="宋体" w:hAnsi="宋体" w:cs="宋体" w:eastAsia="宋体" w:hint="default"/>
          <w:spacing w:val="-2"/>
        </w:rPr>
        <w:t>3</w:t>
      </w:r>
      <w:r>
        <w:rPr>
          <w:spacing w:val="-2"/>
        </w:rPr>
        <w:t>股红股，共送出</w:t>
      </w:r>
      <w:r>
        <w:rPr>
          <w:rFonts w:ascii="宋体" w:hAnsi="宋体" w:cs="宋体" w:eastAsia="宋体" w:hint="default"/>
          <w:spacing w:val="-2"/>
        </w:rPr>
        <w:t>5,190</w:t>
      </w:r>
      <w:r>
        <w:rPr>
          <w:spacing w:val="-2"/>
        </w:rPr>
        <w:t>万股</w:t>
      </w:r>
      <w:r>
        <w:rPr>
          <w:rFonts w:ascii="宋体" w:hAnsi="宋体" w:cs="宋体" w:eastAsia="宋体" w:hint="default"/>
          <w:spacing w:val="-2"/>
        </w:rPr>
        <w:t>,</w:t>
      </w:r>
      <w:r>
        <w:rPr>
          <w:spacing w:val="-2"/>
        </w:rPr>
        <w:t>经此次送股后，本公</w:t>
      </w:r>
      <w:r>
        <w:rPr/>
        <w:t> 司股本增至</w:t>
      </w:r>
      <w:r>
        <w:rPr>
          <w:rFonts w:ascii="宋体" w:hAnsi="宋体" w:cs="宋体" w:eastAsia="宋体" w:hint="default"/>
        </w:rPr>
        <w:t>22,490</w:t>
      </w:r>
      <w:r>
        <w:rPr/>
        <w:t>万元。</w:t>
      </w:r>
    </w:p>
    <w:p>
      <w:pPr>
        <w:pStyle w:val="BodyText"/>
        <w:spacing w:line="240" w:lineRule="auto" w:before="7"/>
        <w:ind w:left="633" w:right="0"/>
        <w:jc w:val="left"/>
      </w:pPr>
      <w:r>
        <w:rPr>
          <w:rFonts w:ascii="宋体" w:hAnsi="宋体" w:cs="宋体" w:eastAsia="宋体" w:hint="default"/>
        </w:rPr>
        <w:t>2003</w:t>
      </w:r>
      <w:r>
        <w:rPr/>
        <w:t>年</w:t>
      </w:r>
      <w:r>
        <w:rPr>
          <w:rFonts w:ascii="宋体" w:hAnsi="宋体" w:cs="宋体" w:eastAsia="宋体" w:hint="default"/>
        </w:rPr>
        <w:t>3</w:t>
      </w:r>
      <w:r>
        <w:rPr/>
        <w:t>月</w:t>
      </w:r>
      <w:r>
        <w:rPr>
          <w:rFonts w:ascii="宋体" w:hAnsi="宋体" w:cs="宋体" w:eastAsia="宋体" w:hint="default"/>
        </w:rPr>
        <w:t>3</w:t>
      </w:r>
      <w:r>
        <w:rPr/>
        <w:t>日，经财政部财企（</w:t>
      </w:r>
      <w:r>
        <w:rPr>
          <w:rFonts w:ascii="宋体" w:hAnsi="宋体" w:cs="宋体" w:eastAsia="宋体" w:hint="default"/>
        </w:rPr>
        <w:t>2002</w:t>
      </w:r>
      <w:r>
        <w:rPr/>
        <w:t>）</w:t>
      </w:r>
      <w:r>
        <w:rPr>
          <w:rFonts w:ascii="宋体" w:hAnsi="宋体" w:cs="宋体" w:eastAsia="宋体" w:hint="default"/>
        </w:rPr>
        <w:t>532</w:t>
      </w:r>
      <w:r>
        <w:rPr/>
        <w:t>号文件批准，贵州达众磨料磨具有限责任公司</w:t>
      </w:r>
    </w:p>
    <w:p>
      <w:pPr>
        <w:pStyle w:val="BodyText"/>
        <w:spacing w:line="273" w:lineRule="auto" w:before="46"/>
        <w:ind w:left="633" w:right="1125" w:hanging="481"/>
        <w:jc w:val="left"/>
        <w:rPr>
          <w:rFonts w:ascii="宋体" w:hAnsi="宋体" w:cs="宋体" w:eastAsia="宋体" w:hint="default"/>
        </w:rPr>
      </w:pPr>
      <w:r>
        <w:rPr/>
        <w:t>（以下简称“达众公司”）受让七砂集团持有的本公司国家股</w:t>
      </w:r>
      <w:r>
        <w:rPr>
          <w:rFonts w:ascii="宋体" w:hAnsi="宋体" w:cs="宋体" w:eastAsia="宋体" w:hint="default"/>
        </w:rPr>
        <w:t>6,728.341</w:t>
      </w:r>
      <w:r>
        <w:rPr/>
        <w:t>万股。 </w:t>
      </w:r>
      <w:r>
        <w:rPr>
          <w:rFonts w:ascii="宋体" w:hAnsi="宋体" w:cs="宋体" w:eastAsia="宋体" w:hint="default"/>
          <w:spacing w:val="2"/>
        </w:rPr>
        <w:t>2003</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27</w:t>
      </w:r>
      <w:r>
        <w:rPr>
          <w:spacing w:val="2"/>
        </w:rPr>
        <w:t>日，经财政部财企（</w:t>
      </w:r>
      <w:r>
        <w:rPr>
          <w:rFonts w:ascii="宋体" w:hAnsi="宋体" w:cs="宋体" w:eastAsia="宋体" w:hint="default"/>
          <w:spacing w:val="2"/>
        </w:rPr>
        <w:t>2003</w:t>
      </w:r>
      <w:r>
        <w:rPr>
          <w:spacing w:val="2"/>
        </w:rPr>
        <w:t>）</w:t>
      </w:r>
      <w:r>
        <w:rPr>
          <w:rFonts w:ascii="宋体" w:hAnsi="宋体" w:cs="宋体" w:eastAsia="宋体" w:hint="default"/>
          <w:spacing w:val="2"/>
        </w:rPr>
        <w:t>127</w:t>
      </w:r>
      <w:r>
        <w:rPr>
          <w:spacing w:val="2"/>
        </w:rPr>
        <w:t>号文件批准，达众公司拟将持有</w:t>
      </w:r>
      <w:r>
        <w:rPr>
          <w:rFonts w:ascii="宋体" w:hAnsi="宋体" w:cs="宋体" w:eastAsia="宋体" w:hint="default"/>
          <w:spacing w:val="2"/>
        </w:rPr>
        <w:t>6,728.341</w:t>
      </w:r>
    </w:p>
    <w:p>
      <w:pPr>
        <w:pStyle w:val="BodyText"/>
        <w:spacing w:line="273" w:lineRule="auto" w:before="12"/>
        <w:ind w:right="1130"/>
        <w:jc w:val="both"/>
      </w:pPr>
      <w:r>
        <w:rPr/>
        <w:t>万股国家股中的</w:t>
      </w:r>
      <w:r>
        <w:rPr>
          <w:rFonts w:ascii="宋体" w:hAnsi="宋体" w:cs="宋体" w:eastAsia="宋体" w:hint="default"/>
        </w:rPr>
        <w:t>5,282.8491</w:t>
      </w:r>
      <w:r>
        <w:rPr/>
        <w:t>万股转让给电信科学技术研究院</w:t>
      </w:r>
      <w:r>
        <w:rPr>
          <w:rFonts w:ascii="宋体" w:hAnsi="宋体" w:cs="宋体" w:eastAsia="宋体" w:hint="default"/>
        </w:rPr>
        <w:t>(</w:t>
      </w:r>
      <w:r>
        <w:rPr/>
        <w:t>以下简称“电信院”)，占总股</w:t>
      </w:r>
      <w:r>
        <w:rPr>
          <w:spacing w:val="-88"/>
        </w:rPr>
        <w:t> </w:t>
      </w:r>
      <w:r>
        <w:rPr>
          <w:spacing w:val="-88"/>
        </w:rPr>
      </w:r>
      <w:r>
        <w:rPr/>
        <w:t>本的</w:t>
      </w:r>
      <w:r>
        <w:rPr>
          <w:rFonts w:ascii="宋体" w:hAnsi="宋体" w:cs="宋体" w:eastAsia="宋体" w:hint="default"/>
        </w:rPr>
        <w:t>23.49%</w:t>
      </w:r>
      <w:r>
        <w:rPr/>
        <w:t>，股份性质为国有法人股；拟将</w:t>
      </w:r>
      <w:r>
        <w:rPr>
          <w:rFonts w:ascii="宋体" w:hAnsi="宋体" w:cs="宋体" w:eastAsia="宋体" w:hint="default"/>
        </w:rPr>
        <w:t>1,445.4919</w:t>
      </w:r>
      <w:r>
        <w:rPr/>
        <w:t>万股转让给大唐电信科技股份有限公</w:t>
      </w:r>
      <w:r>
        <w:rPr>
          <w:spacing w:val="-91"/>
        </w:rPr>
        <w:t> </w:t>
      </w:r>
      <w:r>
        <w:rPr>
          <w:spacing w:val="-91"/>
        </w:rPr>
      </w:r>
      <w:r>
        <w:rPr>
          <w:spacing w:val="-2"/>
        </w:rPr>
        <w:t>司，占总股本的</w:t>
      </w:r>
      <w:r>
        <w:rPr>
          <w:rFonts w:ascii="宋体" w:hAnsi="宋体" w:cs="宋体" w:eastAsia="宋体" w:hint="default"/>
          <w:spacing w:val="-2"/>
        </w:rPr>
        <w:t>6.43%</w:t>
      </w:r>
      <w:r>
        <w:rPr>
          <w:spacing w:val="-2"/>
        </w:rPr>
        <w:t>，股份性质为社会法人股。但在批准文件有效期内未能完成股权过户手</w:t>
      </w:r>
      <w:r>
        <w:rPr>
          <w:spacing w:val="-115"/>
        </w:rPr>
        <w:t> </w:t>
      </w:r>
      <w:r>
        <w:rPr>
          <w:spacing w:val="-115"/>
        </w:rPr>
      </w:r>
      <w:r>
        <w:rPr/>
        <w:t>续。</w:t>
      </w:r>
    </w:p>
    <w:p>
      <w:pPr>
        <w:pStyle w:val="BodyText"/>
        <w:spacing w:line="273" w:lineRule="auto" w:before="12"/>
        <w:ind w:right="1130" w:firstLine="480"/>
        <w:jc w:val="both"/>
      </w:pPr>
      <w:r>
        <w:rPr>
          <w:rFonts w:ascii="宋体" w:hAnsi="宋体" w:cs="宋体" w:eastAsia="宋体" w:hint="default"/>
          <w:spacing w:val="-2"/>
        </w:rPr>
        <w:t>2003</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12</w:t>
      </w:r>
      <w:r>
        <w:rPr>
          <w:spacing w:val="-2"/>
        </w:rPr>
        <w:t>日，经股东大会批准，本公司以所拥有的从事磨料磨具业务的资产（包含相</w:t>
      </w:r>
      <w:r>
        <w:rPr/>
        <w:t> 关负债）对达众公司投资，投资额为</w:t>
      </w:r>
      <w:r>
        <w:rPr>
          <w:rFonts w:ascii="宋体" w:hAnsi="宋体" w:cs="宋体" w:eastAsia="宋体" w:hint="default"/>
        </w:rPr>
        <w:t>6,171.99</w:t>
      </w:r>
      <w:r>
        <w:rPr/>
        <w:t>万元，占达众公司注册资本的</w:t>
      </w:r>
      <w:r>
        <w:rPr>
          <w:rFonts w:ascii="宋体" w:hAnsi="宋体" w:cs="宋体" w:eastAsia="宋体" w:hint="default"/>
        </w:rPr>
        <w:t>17.79%</w:t>
      </w:r>
      <w:r>
        <w:rPr/>
        <w:t>。</w:t>
      </w:r>
    </w:p>
    <w:p>
      <w:pPr>
        <w:pStyle w:val="BodyText"/>
        <w:spacing w:line="273" w:lineRule="auto" w:before="12"/>
        <w:ind w:right="1133" w:firstLine="480"/>
        <w:jc w:val="both"/>
      </w:pPr>
      <w:r>
        <w:rPr>
          <w:rFonts w:ascii="宋体" w:hAnsi="宋体" w:cs="宋体" w:eastAsia="宋体" w:hint="default"/>
        </w:rPr>
        <w:t>2003 </w:t>
      </w:r>
      <w:r>
        <w:rPr/>
        <w:t>年</w:t>
      </w:r>
      <w:r>
        <w:rPr>
          <w:rFonts w:ascii="宋体" w:hAnsi="宋体" w:cs="宋体" w:eastAsia="宋体" w:hint="default"/>
        </w:rPr>
        <w:t>5 </w:t>
      </w:r>
      <w:r>
        <w:rPr/>
        <w:t>月</w:t>
      </w:r>
      <w:r>
        <w:rPr>
          <w:rFonts w:ascii="宋体" w:hAnsi="宋体" w:cs="宋体" w:eastAsia="宋体" w:hint="default"/>
        </w:rPr>
        <w:t>19</w:t>
      </w:r>
      <w:r>
        <w:rPr>
          <w:rFonts w:ascii="宋体" w:hAnsi="宋体" w:cs="宋体" w:eastAsia="宋体" w:hint="default"/>
          <w:spacing w:val="31"/>
        </w:rPr>
        <w:t> </w:t>
      </w:r>
      <w:r>
        <w:rPr/>
        <w:t>日，经股东大会批准，本公司进行重大资产置换。本公司将所拥有的贵 </w:t>
      </w:r>
      <w:r>
        <w:rPr>
          <w:spacing w:val="-8"/>
        </w:rPr>
        <w:t>州七砂进出口公司（以下简称“七砂进出口公司”）</w:t>
      </w:r>
      <w:r>
        <w:rPr>
          <w:rFonts w:ascii="宋体" w:hAnsi="宋体" w:cs="宋体" w:eastAsia="宋体" w:hint="default"/>
          <w:spacing w:val="-8"/>
        </w:rPr>
        <w:t>100</w:t>
      </w:r>
      <w:r>
        <w:rPr>
          <w:spacing w:val="-8"/>
        </w:rPr>
        <w:t>％权益及从事磨料磨具业务的资产（包</w:t>
      </w:r>
      <w:r>
        <w:rPr>
          <w:spacing w:val="-101"/>
        </w:rPr>
        <w:t> </w:t>
      </w:r>
      <w:r>
        <w:rPr>
          <w:spacing w:val="-101"/>
        </w:rPr>
      </w:r>
      <w:r>
        <w:rPr/>
        <w:t>含相关负债）换出，并换入北京大唐高鸿数据网络技术有限公司（以下简称“高鸿有限”）</w:t>
      </w:r>
      <w:r>
        <w:rPr>
          <w:spacing w:val="-86"/>
        </w:rPr>
        <w:t> </w:t>
      </w:r>
      <w:r>
        <w:rPr>
          <w:spacing w:val="-86"/>
        </w:rPr>
      </w:r>
      <w:r>
        <w:rPr>
          <w:rFonts w:ascii="宋体" w:hAnsi="宋体" w:cs="宋体" w:eastAsia="宋体" w:hint="default"/>
        </w:rPr>
        <w:t>83.165</w:t>
      </w:r>
      <w:r>
        <w:rPr/>
        <w:t>％的股权。</w:t>
      </w:r>
    </w:p>
    <w:p>
      <w:pPr>
        <w:pStyle w:val="BodyText"/>
        <w:spacing w:line="273" w:lineRule="auto" w:before="12"/>
        <w:ind w:right="1124" w:firstLine="480"/>
        <w:jc w:val="both"/>
      </w:pPr>
      <w:r>
        <w:rPr>
          <w:rFonts w:ascii="宋体" w:hAnsi="宋体" w:cs="宋体" w:eastAsia="宋体" w:hint="default"/>
          <w:spacing w:val="3"/>
        </w:rPr>
        <w:t>2003</w:t>
      </w:r>
      <w:r>
        <w:rPr>
          <w:spacing w:val="3"/>
        </w:rPr>
        <w:t>年</w:t>
      </w:r>
      <w:r>
        <w:rPr>
          <w:rFonts w:ascii="宋体" w:hAnsi="宋体" w:cs="宋体" w:eastAsia="宋体" w:hint="default"/>
          <w:spacing w:val="3"/>
        </w:rPr>
        <w:t>5</w:t>
      </w:r>
      <w:r>
        <w:rPr>
          <w:spacing w:val="3"/>
        </w:rPr>
        <w:t>月资产重组完成后，本公司名称由“贵州中国第七砂轮股份有限公司”变更为</w:t>
      </w:r>
      <w:r>
        <w:rPr>
          <w:spacing w:val="4"/>
        </w:rPr>
        <w:t> </w:t>
      </w:r>
      <w:r>
        <w:rPr>
          <w:spacing w:val="-5"/>
        </w:rPr>
        <w:t>“大唐高鸿数据网络技术股份有限公司”。</w:t>
      </w:r>
      <w:r>
        <w:rPr>
          <w:rFonts w:ascii="宋体" w:hAnsi="宋体" w:cs="宋体" w:eastAsia="宋体" w:hint="default"/>
          <w:spacing w:val="-5"/>
        </w:rPr>
        <w:t>2003</w:t>
      </w:r>
      <w:r>
        <w:rPr>
          <w:spacing w:val="-5"/>
        </w:rPr>
        <w:t>年</w:t>
      </w:r>
      <w:r>
        <w:rPr>
          <w:rFonts w:ascii="宋体" w:hAnsi="宋体" w:cs="宋体" w:eastAsia="宋体" w:hint="default"/>
          <w:spacing w:val="-5"/>
        </w:rPr>
        <w:t>11</w:t>
      </w:r>
      <w:r>
        <w:rPr>
          <w:spacing w:val="-5"/>
        </w:rPr>
        <w:t>月</w:t>
      </w:r>
      <w:r>
        <w:rPr>
          <w:rFonts w:ascii="宋体" w:hAnsi="宋体" w:cs="宋体" w:eastAsia="宋体" w:hint="default"/>
          <w:spacing w:val="-5"/>
        </w:rPr>
        <w:t>27</w:t>
      </w:r>
      <w:r>
        <w:rPr>
          <w:spacing w:val="-5"/>
        </w:rPr>
        <w:t>日贵州省工商行政管理局换发了《企</w:t>
      </w:r>
      <w:r>
        <w:rPr>
          <w:spacing w:val="-97"/>
        </w:rPr>
        <w:t> </w:t>
      </w:r>
      <w:r>
        <w:rPr>
          <w:spacing w:val="-97"/>
        </w:rPr>
      </w:r>
      <w:r>
        <w:rPr/>
        <w:t>业法人营业执照》，注册号：</w:t>
      </w:r>
      <w:r>
        <w:rPr>
          <w:rFonts w:ascii="宋体" w:hAnsi="宋体" w:cs="宋体" w:eastAsia="宋体" w:hint="default"/>
        </w:rPr>
        <w:t>5200001202072</w:t>
      </w:r>
      <w:r>
        <w:rPr/>
        <w:t>。</w:t>
      </w:r>
    </w:p>
    <w:p>
      <w:pPr>
        <w:pStyle w:val="BodyText"/>
        <w:spacing w:line="273" w:lineRule="auto" w:before="10"/>
        <w:ind w:right="1131" w:firstLine="480"/>
        <w:jc w:val="both"/>
      </w:pPr>
      <w:r>
        <w:rPr>
          <w:rFonts w:ascii="宋体" w:hAnsi="宋体" w:cs="宋体" w:eastAsia="宋体" w:hint="default"/>
        </w:rPr>
        <w:t>2005</w:t>
      </w:r>
      <w:r>
        <w:rPr/>
        <w:t>年</w:t>
      </w:r>
      <w:r>
        <w:rPr>
          <w:rFonts w:ascii="宋体" w:hAnsi="宋体" w:cs="宋体" w:eastAsia="宋体" w:hint="default"/>
        </w:rPr>
        <w:t>3</w:t>
      </w:r>
      <w:r>
        <w:rPr/>
        <w:t>月经国务院国有资产监督管理委员会国资产权</w:t>
      </w:r>
      <w:r>
        <w:rPr>
          <w:rFonts w:ascii="宋体" w:hAnsi="宋体" w:cs="宋体" w:eastAsia="宋体" w:hint="default"/>
        </w:rPr>
        <w:t>[2005]351</w:t>
      </w:r>
      <w:r>
        <w:rPr/>
        <w:t>号文《关于大唐高鸿数 据网络技术股份有限公司国有股转让的有关问题的批复》批准，达众公司将其持有的本公司</w:t>
      </w:r>
      <w:r>
        <w:rPr>
          <w:spacing w:val="-91"/>
        </w:rPr>
        <w:t> </w:t>
      </w:r>
      <w:r>
        <w:rPr>
          <w:spacing w:val="-91"/>
        </w:rPr>
      </w:r>
      <w:r>
        <w:rPr>
          <w:spacing w:val="-2"/>
        </w:rPr>
        <w:t>的</w:t>
      </w:r>
      <w:r>
        <w:rPr>
          <w:rFonts w:ascii="宋体" w:hAnsi="宋体" w:cs="宋体" w:eastAsia="宋体" w:hint="default"/>
          <w:spacing w:val="-2"/>
        </w:rPr>
        <w:t>6,728.341</w:t>
      </w:r>
      <w:r>
        <w:rPr>
          <w:spacing w:val="-2"/>
        </w:rPr>
        <w:t>万股国家股中</w:t>
      </w:r>
      <w:r>
        <w:rPr>
          <w:rFonts w:ascii="宋体" w:hAnsi="宋体" w:cs="宋体" w:eastAsia="宋体" w:hint="default"/>
          <w:spacing w:val="-2"/>
        </w:rPr>
        <w:t>5,282.8491</w:t>
      </w:r>
      <w:r>
        <w:rPr>
          <w:spacing w:val="-2"/>
        </w:rPr>
        <w:t>万股转让给电信科学技术研究院、</w:t>
      </w:r>
      <w:r>
        <w:rPr>
          <w:rFonts w:ascii="宋体" w:hAnsi="宋体" w:cs="宋体" w:eastAsia="宋体" w:hint="default"/>
          <w:spacing w:val="-2"/>
        </w:rPr>
        <w:t>1,445.4919</w:t>
      </w:r>
      <w:r>
        <w:rPr>
          <w:spacing w:val="-2"/>
        </w:rPr>
        <w:t>万股转让</w:t>
      </w:r>
      <w:r>
        <w:rPr>
          <w:spacing w:val="-92"/>
        </w:rPr>
        <w:t> </w:t>
      </w:r>
      <w:r>
        <w:rPr>
          <w:spacing w:val="14"/>
        </w:rPr>
        <w:t>给大唐电信科技股份有限公司。转让后电信院持有本公司</w:t>
      </w:r>
      <w:r>
        <w:rPr>
          <w:spacing w:val="-86"/>
        </w:rPr>
        <w:t> </w:t>
      </w:r>
      <w:r>
        <w:rPr>
          <w:rFonts w:ascii="宋体" w:hAnsi="宋体" w:cs="宋体" w:eastAsia="宋体" w:hint="default"/>
          <w:spacing w:val="6"/>
        </w:rPr>
        <w:t>5,282.8491</w:t>
      </w:r>
      <w:r>
        <w:rPr>
          <w:spacing w:val="6"/>
        </w:rPr>
        <w:t>万股，占总股本的</w:t>
      </w:r>
      <w:r>
        <w:rPr>
          <w:spacing w:val="-109"/>
        </w:rPr>
        <w:t> </w:t>
      </w:r>
      <w:r>
        <w:rPr>
          <w:spacing w:val="-109"/>
        </w:rPr>
      </w:r>
      <w:r>
        <w:rPr>
          <w:rFonts w:ascii="宋体" w:hAnsi="宋体" w:cs="宋体" w:eastAsia="宋体" w:hint="default"/>
        </w:rPr>
        <w:t>23.49%</w:t>
      </w:r>
      <w:r>
        <w:rPr/>
        <w:t>，股份性质为国有法人股；大唐电信科技股份有限公司持有本公司</w:t>
      </w:r>
      <w:r>
        <w:rPr>
          <w:rFonts w:ascii="宋体" w:hAnsi="宋体" w:cs="宋体" w:eastAsia="宋体" w:hint="default"/>
        </w:rPr>
        <w:t>1,445.4919</w:t>
      </w:r>
      <w:r>
        <w:rPr/>
        <w:t>万股，</w:t>
      </w:r>
      <w:r>
        <w:rPr>
          <w:spacing w:val="-87"/>
        </w:rPr>
        <w:t> </w:t>
      </w:r>
      <w:r>
        <w:rPr/>
        <w:t>占总股本的</w:t>
      </w:r>
      <w:r>
        <w:rPr>
          <w:rFonts w:ascii="宋体" w:hAnsi="宋体" w:cs="宋体" w:eastAsia="宋体" w:hint="default"/>
        </w:rPr>
        <w:t>6.43%</w:t>
      </w:r>
      <w:r>
        <w:rPr/>
        <w:t>。</w:t>
      </w:r>
    </w:p>
    <w:p>
      <w:pPr>
        <w:pStyle w:val="BodyText"/>
        <w:spacing w:line="273" w:lineRule="auto" w:before="10"/>
        <w:ind w:right="1128" w:firstLine="480"/>
        <w:jc w:val="both"/>
      </w:pPr>
      <w:r>
        <w:rPr>
          <w:rFonts w:ascii="宋体" w:hAnsi="宋体" w:cs="宋体" w:eastAsia="宋体" w:hint="default"/>
        </w:rPr>
        <w:t>2005</w:t>
      </w:r>
      <w:r>
        <w:rPr/>
        <w:t>年</w:t>
      </w:r>
      <w:r>
        <w:rPr>
          <w:rFonts w:ascii="宋体" w:hAnsi="宋体" w:cs="宋体" w:eastAsia="宋体" w:hint="default"/>
        </w:rPr>
        <w:t>10</w:t>
      </w:r>
      <w:r>
        <w:rPr/>
        <w:t>月</w:t>
      </w:r>
      <w:r>
        <w:rPr>
          <w:rFonts w:ascii="宋体" w:hAnsi="宋体" w:cs="宋体" w:eastAsia="宋体" w:hint="default"/>
        </w:rPr>
        <w:t>31</w:t>
      </w:r>
      <w:r>
        <w:rPr/>
        <w:t>日，电信院与北京奈特高科科技有限公司（以下简称：“奈特高科”）签 署了《股份转让协议》，并于</w:t>
      </w:r>
      <w:r>
        <w:rPr>
          <w:rFonts w:ascii="宋体" w:hAnsi="宋体" w:cs="宋体" w:eastAsia="宋体" w:hint="default"/>
        </w:rPr>
        <w:t>2005</w:t>
      </w:r>
      <w:r>
        <w:rPr/>
        <w:t>年</w:t>
      </w:r>
      <w:r>
        <w:rPr>
          <w:rFonts w:ascii="宋体" w:hAnsi="宋体" w:cs="宋体" w:eastAsia="宋体" w:hint="default"/>
        </w:rPr>
        <w:t>12</w:t>
      </w:r>
      <w:r>
        <w:rPr/>
        <w:t>月</w:t>
      </w:r>
      <w:r>
        <w:rPr>
          <w:rFonts w:ascii="宋体" w:hAnsi="宋体" w:cs="宋体" w:eastAsia="宋体" w:hint="default"/>
        </w:rPr>
        <w:t>08</w:t>
      </w:r>
      <w:r>
        <w:rPr/>
        <w:t>日签署了《关于转让价款的补充协议》。根据协</w:t>
      </w:r>
      <w:r>
        <w:rPr>
          <w:spacing w:val="-90"/>
        </w:rPr>
        <w:t> </w:t>
      </w:r>
      <w:r>
        <w:rPr>
          <w:spacing w:val="-90"/>
        </w:rPr>
      </w:r>
      <w:r>
        <w:rPr>
          <w:spacing w:val="-2"/>
        </w:rPr>
        <w:t>议及其补充协议，电信院将其持有的本公司</w:t>
      </w:r>
      <w:r>
        <w:rPr>
          <w:rFonts w:ascii="宋体" w:hAnsi="宋体" w:cs="宋体" w:eastAsia="宋体" w:hint="default"/>
          <w:spacing w:val="-2"/>
        </w:rPr>
        <w:t>1,241.5</w:t>
      </w:r>
      <w:r>
        <w:rPr>
          <w:spacing w:val="-2"/>
        </w:rPr>
        <w:t>万股转让给奈特高科，占本公司总股本的</w:t>
      </w:r>
      <w:r>
        <w:rPr>
          <w:spacing w:val="-113"/>
        </w:rPr>
        <w:t> </w:t>
      </w:r>
      <w:r>
        <w:rPr>
          <w:spacing w:val="-113"/>
        </w:rPr>
      </w:r>
      <w:r>
        <w:rPr>
          <w:rFonts w:ascii="宋体" w:hAnsi="宋体" w:cs="宋体" w:eastAsia="宋体" w:hint="default"/>
          <w:spacing w:val="-2"/>
        </w:rPr>
        <w:t>5.52%</w:t>
      </w:r>
      <w:r>
        <w:rPr>
          <w:spacing w:val="-2"/>
        </w:rPr>
        <w:t>。本次转让已经国务院国有资产监督管理委员会（国资产权</w:t>
      </w:r>
      <w:r>
        <w:rPr>
          <w:rFonts w:ascii="宋体" w:hAnsi="宋体" w:cs="宋体" w:eastAsia="宋体" w:hint="default"/>
          <w:spacing w:val="-2"/>
        </w:rPr>
        <w:t>[2005]1548</w:t>
      </w:r>
      <w:r>
        <w:rPr>
          <w:spacing w:val="-2"/>
        </w:rPr>
        <w:t>号）“关于大唐</w:t>
      </w:r>
      <w:r>
        <w:rPr>
          <w:spacing w:val="-105"/>
        </w:rPr>
        <w:t> </w:t>
      </w:r>
      <w:r>
        <w:rPr>
          <w:spacing w:val="-105"/>
        </w:rPr>
      </w:r>
      <w:r>
        <w:rPr/>
        <w:t>高鸿数据网络技术股份有限公司国有股权转让有关问题的批复”批准。本次转让完成后，电</w:t>
      </w:r>
      <w:r>
        <w:rPr>
          <w:spacing w:val="-88"/>
        </w:rPr>
        <w:t> </w:t>
      </w:r>
      <w:r>
        <w:rPr>
          <w:spacing w:val="-88"/>
        </w:rPr>
      </w:r>
      <w:r>
        <w:rPr/>
        <w:t>信院持有本公司</w:t>
      </w:r>
      <w:r>
        <w:rPr>
          <w:rFonts w:ascii="宋体" w:hAnsi="宋体" w:cs="宋体" w:eastAsia="宋体" w:hint="default"/>
        </w:rPr>
        <w:t>4,041.3491</w:t>
      </w:r>
      <w:r>
        <w:rPr/>
        <w:t>万股，占本公司总股本的</w:t>
      </w:r>
      <w:r>
        <w:rPr>
          <w:rFonts w:ascii="宋体" w:hAnsi="宋体" w:cs="宋体" w:eastAsia="宋体" w:hint="default"/>
        </w:rPr>
        <w:t>17.97%</w:t>
      </w:r>
      <w:r>
        <w:rPr/>
        <w:t>，股份性质仍为国有法人股；奈</w:t>
      </w:r>
      <w:r>
        <w:rPr>
          <w:spacing w:val="-92"/>
        </w:rPr>
        <w:t> </w:t>
      </w:r>
      <w:r>
        <w:rPr>
          <w:spacing w:val="-92"/>
        </w:rPr>
      </w:r>
      <w:r>
        <w:rPr/>
        <w:t>特高科持有本公司</w:t>
      </w:r>
      <w:r>
        <w:rPr>
          <w:rFonts w:ascii="宋体" w:hAnsi="宋体" w:cs="宋体" w:eastAsia="宋体" w:hint="default"/>
        </w:rPr>
        <w:t>1,241.5</w:t>
      </w:r>
      <w:r>
        <w:rPr/>
        <w:t>万股，占本公司总股本的</w:t>
      </w:r>
      <w:r>
        <w:rPr>
          <w:rFonts w:ascii="宋体" w:hAnsi="宋体" w:cs="宋体" w:eastAsia="宋体" w:hint="default"/>
        </w:rPr>
        <w:t>5.52%</w:t>
      </w:r>
      <w:r>
        <w:rPr/>
        <w:t>，股份性质为非国有股，股权过户</w:t>
      </w:r>
      <w:r>
        <w:rPr>
          <w:spacing w:val="-85"/>
        </w:rPr>
        <w:t> </w:t>
      </w:r>
      <w:r>
        <w:rPr>
          <w:spacing w:val="-85"/>
        </w:rPr>
      </w:r>
      <w:r>
        <w:rPr/>
        <w:t>已于</w:t>
      </w:r>
      <w:r>
        <w:rPr>
          <w:rFonts w:ascii="宋体" w:hAnsi="宋体" w:cs="宋体" w:eastAsia="宋体" w:hint="default"/>
        </w:rPr>
        <w:t>2006</w:t>
      </w:r>
      <w:r>
        <w:rPr/>
        <w:t>年</w:t>
      </w:r>
      <w:r>
        <w:rPr>
          <w:rFonts w:ascii="宋体" w:hAnsi="宋体" w:cs="宋体" w:eastAsia="宋体" w:hint="default"/>
        </w:rPr>
        <w:t>6</w:t>
      </w:r>
      <w:r>
        <w:rPr/>
        <w:t>月</w:t>
      </w:r>
      <w:r>
        <w:rPr>
          <w:rFonts w:ascii="宋体" w:hAnsi="宋体" w:cs="宋体" w:eastAsia="宋体" w:hint="default"/>
        </w:rPr>
        <w:t>20</w:t>
      </w:r>
      <w:r>
        <w:rPr/>
        <w:t>日完成。</w:t>
      </w:r>
    </w:p>
    <w:p>
      <w:pPr>
        <w:pStyle w:val="BodyText"/>
        <w:spacing w:line="240" w:lineRule="auto" w:before="10"/>
        <w:ind w:left="633" w:right="1125"/>
        <w:jc w:val="left"/>
      </w:pPr>
      <w:r>
        <w:rPr>
          <w:rFonts w:ascii="宋体" w:hAnsi="宋体" w:cs="宋体" w:eastAsia="宋体" w:hint="default"/>
        </w:rPr>
        <w:t>2005</w:t>
      </w:r>
      <w:r>
        <w:rPr/>
        <w:t>年</w:t>
      </w:r>
      <w:r>
        <w:rPr>
          <w:rFonts w:ascii="宋体" w:hAnsi="宋体" w:cs="宋体" w:eastAsia="宋体" w:hint="default"/>
        </w:rPr>
        <w:t>12</w:t>
      </w:r>
      <w:r>
        <w:rPr/>
        <w:t>月</w:t>
      </w:r>
      <w:r>
        <w:rPr>
          <w:rFonts w:ascii="宋体" w:hAnsi="宋体" w:cs="宋体" w:eastAsia="宋体" w:hint="default"/>
        </w:rPr>
        <w:t>27</w:t>
      </w:r>
      <w:r>
        <w:rPr/>
        <w:t>日，国务院国资委向贵州省国资委下发国资产权</w:t>
      </w:r>
      <w:r>
        <w:rPr>
          <w:rFonts w:ascii="宋体" w:hAnsi="宋体" w:cs="宋体" w:eastAsia="宋体" w:hint="default"/>
        </w:rPr>
        <w:t>[2005]1577</w:t>
      </w:r>
      <w:r>
        <w:rPr/>
        <w:t>号文“关于大</w:t>
      </w:r>
    </w:p>
    <w:p>
      <w:pPr>
        <w:spacing w:after="0" w:line="240" w:lineRule="auto"/>
        <w:jc w:val="left"/>
        <w:sectPr>
          <w:pgSz w:w="11910" w:h="16840"/>
          <w:pgMar w:header="877" w:footer="1295" w:top="1060" w:bottom="1500" w:left="980" w:right="0"/>
        </w:sectPr>
      </w:pPr>
    </w:p>
    <w:p>
      <w:pPr>
        <w:spacing w:line="240" w:lineRule="auto" w:before="6"/>
        <w:rPr>
          <w:rFonts w:ascii="宋体" w:hAnsi="宋体" w:cs="宋体" w:eastAsia="宋体" w:hint="default"/>
          <w:sz w:val="25"/>
          <w:szCs w:val="25"/>
        </w:rPr>
      </w:pPr>
    </w:p>
    <w:p>
      <w:pPr>
        <w:pStyle w:val="BodyText"/>
        <w:spacing w:line="273" w:lineRule="auto" w:before="26"/>
        <w:ind w:right="1132"/>
        <w:jc w:val="both"/>
      </w:pPr>
      <w:r>
        <w:rPr/>
        <w:t>唐高鸿数据网络技术股份有限公司国有股划转有关问题的批复”，同意将原贵州省国有资产</w:t>
      </w:r>
      <w:r>
        <w:rPr>
          <w:spacing w:val="-88"/>
        </w:rPr>
        <w:t> </w:t>
      </w:r>
      <w:r>
        <w:rPr>
          <w:spacing w:val="-88"/>
        </w:rPr>
      </w:r>
      <w:r>
        <w:rPr>
          <w:spacing w:val="-2"/>
        </w:rPr>
        <w:t>管理局持有的上市公司国家股</w:t>
      </w:r>
      <w:r>
        <w:rPr>
          <w:rFonts w:ascii="宋体" w:hAnsi="宋体" w:cs="宋体" w:eastAsia="宋体" w:hint="default"/>
          <w:spacing w:val="-2"/>
        </w:rPr>
        <w:t>1,241.5</w:t>
      </w:r>
      <w:r>
        <w:rPr>
          <w:spacing w:val="-2"/>
        </w:rPr>
        <w:t>万股划转给贵州省金茂国有资产经营有限责任公司，股</w:t>
      </w:r>
      <w:r>
        <w:rPr>
          <w:spacing w:val="-113"/>
        </w:rPr>
        <w:t> </w:t>
      </w:r>
      <w:r>
        <w:rPr>
          <w:spacing w:val="-113"/>
        </w:rPr>
      </w:r>
      <w:r>
        <w:rPr/>
        <w:t>份性质为国家股，股权过户已于</w:t>
      </w:r>
      <w:r>
        <w:rPr>
          <w:rFonts w:ascii="宋体" w:hAnsi="宋体" w:cs="宋体" w:eastAsia="宋体" w:hint="default"/>
        </w:rPr>
        <w:t>2006</w:t>
      </w:r>
      <w:r>
        <w:rPr/>
        <w:t>年</w:t>
      </w:r>
      <w:r>
        <w:rPr>
          <w:rFonts w:ascii="宋体" w:hAnsi="宋体" w:cs="宋体" w:eastAsia="宋体" w:hint="default"/>
        </w:rPr>
        <w:t>6</w:t>
      </w:r>
      <w:r>
        <w:rPr/>
        <w:t>月</w:t>
      </w:r>
      <w:r>
        <w:rPr>
          <w:rFonts w:ascii="宋体" w:hAnsi="宋体" w:cs="宋体" w:eastAsia="宋体" w:hint="default"/>
        </w:rPr>
        <w:t>19</w:t>
      </w:r>
      <w:r>
        <w:rPr/>
        <w:t>日完成。</w:t>
      </w:r>
    </w:p>
    <w:p>
      <w:pPr>
        <w:pStyle w:val="BodyText"/>
        <w:spacing w:line="273" w:lineRule="auto" w:before="10"/>
        <w:ind w:right="1129" w:firstLine="480"/>
        <w:jc w:val="both"/>
      </w:pPr>
      <w:r>
        <w:rPr>
          <w:rFonts w:ascii="宋体" w:hAnsi="宋体" w:cs="宋体" w:eastAsia="宋体" w:hint="default"/>
        </w:rPr>
        <w:t>2005</w:t>
      </w:r>
      <w:r>
        <w:rPr/>
        <w:t>年</w:t>
      </w:r>
      <w:r>
        <w:rPr>
          <w:rFonts w:ascii="宋体" w:hAnsi="宋体" w:cs="宋体" w:eastAsia="宋体" w:hint="default"/>
        </w:rPr>
        <w:t>12</w:t>
      </w:r>
      <w:r>
        <w:rPr/>
        <w:t>月</w:t>
      </w:r>
      <w:r>
        <w:rPr>
          <w:rFonts w:ascii="宋体" w:hAnsi="宋体" w:cs="宋体" w:eastAsia="宋体" w:hint="default"/>
        </w:rPr>
        <w:t>31</w:t>
      </w:r>
      <w:r>
        <w:rPr/>
        <w:t>日，电信院与贵州省金茂国有资产经营有限责任公司（以下简称“贵州金 茂”）签定了股权转让协议，收购划转到贵州金茂名下的本公司国家股</w:t>
      </w:r>
      <w:r>
        <w:rPr>
          <w:rFonts w:ascii="宋体" w:hAnsi="宋体" w:cs="宋体" w:eastAsia="宋体" w:hint="default"/>
        </w:rPr>
        <w:t>1241.5</w:t>
      </w:r>
      <w:r>
        <w:rPr/>
        <w:t>万股，有关股</w:t>
      </w:r>
      <w:r>
        <w:rPr>
          <w:spacing w:val="-90"/>
        </w:rPr>
        <w:t> </w:t>
      </w:r>
      <w:r>
        <w:rPr>
          <w:spacing w:val="-90"/>
        </w:rPr>
      </w:r>
      <w:r>
        <w:rPr/>
        <w:t>权转让审批手续已经贵州省人民政府（黔府函</w:t>
      </w:r>
      <w:r>
        <w:rPr>
          <w:rFonts w:ascii="宋体" w:hAnsi="宋体" w:cs="宋体" w:eastAsia="宋体" w:hint="default"/>
        </w:rPr>
        <w:t>[2006]27</w:t>
      </w:r>
      <w:r>
        <w:rPr/>
        <w:t>号）《省人民政府关于将贵州省金茂</w:t>
      </w:r>
      <w:r>
        <w:rPr>
          <w:spacing w:val="-90"/>
        </w:rPr>
        <w:t> </w:t>
      </w:r>
      <w:r>
        <w:rPr>
          <w:spacing w:val="-90"/>
        </w:rPr>
      </w:r>
      <w:r>
        <w:rPr/>
        <w:t>国有资产经营有限责任公司所持大唐高鸿数据网络技术股份有限公司国有股转让电信科学技</w:t>
      </w:r>
      <w:r>
        <w:rPr>
          <w:spacing w:val="-91"/>
        </w:rPr>
        <w:t> </w:t>
      </w:r>
      <w:r>
        <w:rPr>
          <w:spacing w:val="-91"/>
        </w:rPr>
      </w:r>
      <w:r>
        <w:rPr>
          <w:spacing w:val="-2"/>
        </w:rPr>
        <w:t>术研究院持有的批复》和国务院国资委（国资产权</w:t>
      </w:r>
      <w:r>
        <w:rPr>
          <w:rFonts w:ascii="宋体" w:hAnsi="宋体" w:cs="宋体" w:eastAsia="宋体" w:hint="default"/>
          <w:spacing w:val="-2"/>
        </w:rPr>
        <w:t>[2006]415</w:t>
      </w:r>
      <w:r>
        <w:rPr>
          <w:spacing w:val="-2"/>
        </w:rPr>
        <w:t>号文）《关于大唐高鸿数据网络</w:t>
      </w:r>
      <w:r>
        <w:rPr>
          <w:spacing w:val="-110"/>
        </w:rPr>
        <w:t> </w:t>
      </w:r>
      <w:r>
        <w:rPr>
          <w:spacing w:val="-110"/>
        </w:rPr>
      </w:r>
      <w:r>
        <w:rPr>
          <w:spacing w:val="6"/>
        </w:rPr>
        <w:t>技术股份有限公司国有股转让有关问题的批复》批准。本次转让完成后电信院持有本公司</w:t>
      </w:r>
      <w:r>
        <w:rPr>
          <w:spacing w:val="-84"/>
        </w:rPr>
        <w:t> </w:t>
      </w:r>
      <w:r>
        <w:rPr>
          <w:spacing w:val="-84"/>
        </w:rPr>
      </w:r>
      <w:r>
        <w:rPr>
          <w:rFonts w:ascii="宋体" w:hAnsi="宋体" w:cs="宋体" w:eastAsia="宋体" w:hint="default"/>
        </w:rPr>
        <w:t>5,282.8491</w:t>
      </w:r>
      <w:r>
        <w:rPr/>
        <w:t>万股，占总股本的</w:t>
      </w:r>
      <w:r>
        <w:rPr>
          <w:rFonts w:ascii="宋体" w:hAnsi="宋体" w:cs="宋体" w:eastAsia="宋体" w:hint="default"/>
        </w:rPr>
        <w:t>23.49%</w:t>
      </w:r>
      <w:r>
        <w:rPr/>
        <w:t>。</w:t>
      </w:r>
    </w:p>
    <w:p>
      <w:pPr>
        <w:pStyle w:val="BodyText"/>
        <w:spacing w:line="273" w:lineRule="auto" w:before="12"/>
        <w:ind w:right="1131" w:firstLine="480"/>
        <w:jc w:val="both"/>
      </w:pPr>
      <w:r>
        <w:rPr>
          <w:rFonts w:ascii="宋体" w:hAnsi="宋体" w:cs="宋体" w:eastAsia="宋体" w:hint="default"/>
        </w:rPr>
        <w:t>2006</w:t>
      </w:r>
      <w:r>
        <w:rPr/>
        <w:t>年公司实施了股权分置改革方案，公司流通股股东每持有</w:t>
      </w:r>
      <w:r>
        <w:rPr>
          <w:rFonts w:ascii="宋体" w:hAnsi="宋体" w:cs="宋体" w:eastAsia="宋体" w:hint="default"/>
        </w:rPr>
        <w:t>10</w:t>
      </w:r>
      <w:r>
        <w:rPr/>
        <w:t>股流通股获得原非流通 股股东支付的</w:t>
      </w:r>
      <w:r>
        <w:rPr>
          <w:rFonts w:ascii="宋体" w:hAnsi="宋体" w:cs="宋体" w:eastAsia="宋体" w:hint="default"/>
        </w:rPr>
        <w:t>3</w:t>
      </w:r>
      <w:r>
        <w:rPr/>
        <w:t>股对价股份，公司的股份总数未发生变动，股份结构发生了变化。</w:t>
      </w:r>
      <w:r>
        <w:rPr>
          <w:rFonts w:ascii="宋体" w:hAnsi="宋体" w:cs="宋体" w:eastAsia="宋体" w:hint="default"/>
        </w:rPr>
        <w:t>2006</w:t>
      </w:r>
      <w:r>
        <w:rPr/>
        <w:t>年</w:t>
      </w:r>
      <w:r>
        <w:rPr>
          <w:rFonts w:ascii="宋体" w:hAnsi="宋体" w:cs="宋体" w:eastAsia="宋体" w:hint="default"/>
        </w:rPr>
        <w:t>6</w:t>
      </w:r>
      <w:r>
        <w:rPr/>
        <w:t>月</w:t>
      </w:r>
      <w:r>
        <w:rPr>
          <w:spacing w:val="-85"/>
        </w:rPr>
        <w:t> </w:t>
      </w:r>
      <w:r>
        <w:rPr>
          <w:rFonts w:ascii="宋体" w:hAnsi="宋体" w:cs="宋体" w:eastAsia="宋体" w:hint="default"/>
        </w:rPr>
        <w:t>30</w:t>
      </w:r>
      <w:r>
        <w:rPr/>
        <w:t>日，公司股权分置改革方案实施完毕。</w:t>
      </w:r>
    </w:p>
    <w:p>
      <w:pPr>
        <w:pStyle w:val="BodyText"/>
        <w:spacing w:line="273" w:lineRule="auto" w:before="10"/>
        <w:ind w:right="1131" w:firstLine="480"/>
        <w:jc w:val="both"/>
      </w:pPr>
      <w:r>
        <w:rPr/>
        <w:t>经公司</w:t>
      </w:r>
      <w:r>
        <w:rPr>
          <w:rFonts w:ascii="宋体" w:hAnsi="宋体" w:cs="宋体" w:eastAsia="宋体" w:hint="default"/>
        </w:rPr>
        <w:t>2006</w:t>
      </w:r>
      <w:r>
        <w:rPr/>
        <w:t>年第五次临时股东大会批准及中国证监会《关于核准大唐高鸿数据网络技术 </w:t>
      </w:r>
      <w:r>
        <w:rPr>
          <w:spacing w:val="-5"/>
        </w:rPr>
        <w:t>股份有限公司非公开发行股票的通知》（证监发行字【</w:t>
      </w:r>
      <w:r>
        <w:rPr>
          <w:rFonts w:ascii="宋体" w:hAnsi="宋体" w:cs="宋体" w:eastAsia="宋体" w:hint="default"/>
          <w:spacing w:val="-5"/>
        </w:rPr>
        <w:t>2007</w:t>
      </w:r>
      <w:r>
        <w:rPr>
          <w:spacing w:val="-5"/>
        </w:rPr>
        <w:t>】</w:t>
      </w:r>
      <w:r>
        <w:rPr>
          <w:rFonts w:ascii="宋体" w:hAnsi="宋体" w:cs="宋体" w:eastAsia="宋体" w:hint="default"/>
          <w:spacing w:val="-5"/>
        </w:rPr>
        <w:t>41 </w:t>
      </w:r>
      <w:r>
        <w:rPr>
          <w:spacing w:val="-6"/>
        </w:rPr>
        <w:t>号文）核准，公司于</w:t>
      </w:r>
      <w:r>
        <w:rPr>
          <w:rFonts w:ascii="宋体" w:hAnsi="宋体" w:cs="宋体" w:eastAsia="宋体" w:hint="default"/>
          <w:spacing w:val="-6"/>
        </w:rPr>
        <w:t>2007</w:t>
      </w:r>
      <w:r>
        <w:rPr>
          <w:rFonts w:ascii="宋体" w:hAnsi="宋体" w:cs="宋体" w:eastAsia="宋体" w:hint="default"/>
          <w:spacing w:val="33"/>
        </w:rPr>
        <w:t> </w:t>
      </w:r>
      <w:r>
        <w:rPr/>
        <w:t>年 </w:t>
      </w:r>
      <w:r>
        <w:rPr>
          <w:rFonts w:ascii="宋体" w:hAnsi="宋体" w:cs="宋体" w:eastAsia="宋体" w:hint="default"/>
        </w:rPr>
        <w:t>3 </w:t>
      </w:r>
      <w:r>
        <w:rPr/>
        <w:t>月</w:t>
      </w:r>
      <w:r>
        <w:rPr>
          <w:rFonts w:ascii="宋体" w:hAnsi="宋体" w:cs="宋体" w:eastAsia="宋体" w:hint="default"/>
        </w:rPr>
        <w:t>1 </w:t>
      </w:r>
      <w:r>
        <w:rPr/>
        <w:t>日至</w:t>
      </w:r>
      <w:r>
        <w:rPr>
          <w:rFonts w:ascii="宋体" w:hAnsi="宋体" w:cs="宋体" w:eastAsia="宋体" w:hint="default"/>
        </w:rPr>
        <w:t>3 </w:t>
      </w:r>
      <w:r>
        <w:rPr/>
        <w:t>月</w:t>
      </w:r>
      <w:r>
        <w:rPr>
          <w:rFonts w:ascii="宋体" w:hAnsi="宋体" w:cs="宋体" w:eastAsia="宋体" w:hint="default"/>
        </w:rPr>
        <w:t>9 </w:t>
      </w:r>
      <w:r>
        <w:rPr/>
        <w:t>日以非公开发行的方式向</w:t>
      </w:r>
      <w:r>
        <w:rPr>
          <w:rFonts w:ascii="宋体" w:hAnsi="宋体" w:cs="宋体" w:eastAsia="宋体" w:hint="default"/>
        </w:rPr>
        <w:t>10 </w:t>
      </w:r>
      <w:r>
        <w:rPr/>
        <w:t>名特定投资者发行了</w:t>
      </w:r>
      <w:r>
        <w:rPr>
          <w:rFonts w:ascii="宋体" w:hAnsi="宋体" w:cs="宋体" w:eastAsia="宋体" w:hint="default"/>
        </w:rPr>
        <w:t>3,500</w:t>
      </w:r>
      <w:r>
        <w:rPr>
          <w:rFonts w:ascii="宋体" w:hAnsi="宋体" w:cs="宋体" w:eastAsia="宋体" w:hint="default"/>
          <w:spacing w:val="4"/>
        </w:rPr>
        <w:t> </w:t>
      </w:r>
      <w:r>
        <w:rPr>
          <w:spacing w:val="-11"/>
        </w:rPr>
        <w:t>万股股份，发行价</w:t>
      </w:r>
      <w:r>
        <w:rPr/>
        <w:t> 格为</w:t>
      </w:r>
      <w:r>
        <w:rPr>
          <w:rFonts w:ascii="宋体" w:hAnsi="宋体" w:cs="宋体" w:eastAsia="宋体" w:hint="default"/>
        </w:rPr>
        <w:t>6.80</w:t>
      </w:r>
      <w:r>
        <w:rPr/>
        <w:t>元</w:t>
      </w:r>
      <w:r>
        <w:rPr>
          <w:rFonts w:ascii="宋体" w:hAnsi="宋体" w:cs="宋体" w:eastAsia="宋体" w:hint="default"/>
        </w:rPr>
        <w:t>/</w:t>
      </w:r>
      <w:r>
        <w:rPr/>
        <w:t>股，并申请增加注册资本</w:t>
      </w:r>
      <w:r>
        <w:rPr>
          <w:rFonts w:ascii="宋体" w:hAnsi="宋体" w:cs="宋体" w:eastAsia="宋体" w:hint="default"/>
        </w:rPr>
        <w:t>3,500</w:t>
      </w:r>
      <w:r>
        <w:rPr/>
        <w:t>万元，变更后注册资本为人民币</w:t>
      </w:r>
      <w:r>
        <w:rPr>
          <w:rFonts w:ascii="宋体" w:hAnsi="宋体" w:cs="宋体" w:eastAsia="宋体" w:hint="default"/>
        </w:rPr>
        <w:t>25,990</w:t>
      </w:r>
      <w:r>
        <w:rPr/>
        <w:t>万元。</w:t>
      </w:r>
    </w:p>
    <w:p>
      <w:pPr>
        <w:pStyle w:val="BodyText"/>
        <w:spacing w:line="240" w:lineRule="auto" w:before="10"/>
        <w:ind w:left="633" w:right="1125"/>
        <w:jc w:val="left"/>
      </w:pPr>
      <w:r>
        <w:rPr>
          <w:rFonts w:ascii="宋体" w:hAnsi="宋体" w:cs="宋体" w:eastAsia="宋体" w:hint="default"/>
        </w:rPr>
        <w:t>2009</w:t>
      </w:r>
      <w:r>
        <w:rPr/>
        <w:t>年</w:t>
      </w:r>
      <w:r>
        <w:rPr>
          <w:rFonts w:ascii="宋体" w:hAnsi="宋体" w:cs="宋体" w:eastAsia="宋体" w:hint="default"/>
        </w:rPr>
        <w:t>11</w:t>
      </w:r>
      <w:r>
        <w:rPr/>
        <w:t>月</w:t>
      </w:r>
      <w:r>
        <w:rPr>
          <w:rFonts w:ascii="宋体" w:hAnsi="宋体" w:cs="宋体" w:eastAsia="宋体" w:hint="default"/>
        </w:rPr>
        <w:t>30</w:t>
      </w:r>
      <w:r>
        <w:rPr/>
        <w:t>日，经公司</w:t>
      </w:r>
      <w:r>
        <w:rPr>
          <w:rFonts w:ascii="宋体" w:hAnsi="宋体" w:cs="宋体" w:eastAsia="宋体" w:hint="default"/>
        </w:rPr>
        <w:t>2009</w:t>
      </w:r>
      <w:r>
        <w:rPr/>
        <w:t>年度第四次临时股东大会决议及中国证券监督管理委员会</w:t>
      </w:r>
    </w:p>
    <w:p>
      <w:pPr>
        <w:pStyle w:val="BodyText"/>
        <w:spacing w:line="273" w:lineRule="auto" w:before="46"/>
        <w:ind w:right="1128"/>
        <w:jc w:val="both"/>
      </w:pPr>
      <w:r>
        <w:rPr/>
        <w:t>《</w:t>
      </w:r>
      <w:r>
        <w:rPr>
          <w:spacing w:val="-90"/>
        </w:rPr>
        <w:t> </w:t>
      </w:r>
      <w:r>
        <w:rPr>
          <w:spacing w:val="19"/>
        </w:rPr>
        <w:t>关于核准大唐高鸿数据网络技术股份有限公司非公开发行股票的批复》（证监许可</w:t>
      </w:r>
      <w:r>
        <w:rPr>
          <w:spacing w:val="-103"/>
        </w:rPr>
        <w:t> </w:t>
      </w:r>
      <w:r>
        <w:rPr>
          <w:spacing w:val="-103"/>
        </w:rPr>
      </w:r>
      <w:r>
        <w:rPr>
          <w:rFonts w:ascii="宋体" w:hAnsi="宋体" w:cs="宋体" w:eastAsia="宋体" w:hint="default"/>
        </w:rPr>
        <w:t>[2009]1168</w:t>
      </w:r>
      <w:r>
        <w:rPr/>
        <w:t>号）的核准，公司采取非公开发行股票方式向电信科学技术研究院及其他八家投</w:t>
      </w:r>
      <w:r>
        <w:rPr>
          <w:spacing w:val="-89"/>
        </w:rPr>
        <w:t> </w:t>
      </w:r>
      <w:r>
        <w:rPr>
          <w:spacing w:val="-89"/>
        </w:rPr>
      </w:r>
      <w:r>
        <w:rPr>
          <w:spacing w:val="-2"/>
        </w:rPr>
        <w:t>资者发行股份</w:t>
      </w:r>
      <w:r>
        <w:rPr>
          <w:rFonts w:ascii="宋体" w:hAnsi="宋体" w:cs="宋体" w:eastAsia="宋体" w:hint="default"/>
          <w:spacing w:val="-2"/>
        </w:rPr>
        <w:t>7,300</w:t>
      </w:r>
      <w:r>
        <w:rPr>
          <w:spacing w:val="-2"/>
        </w:rPr>
        <w:t>万股，发行价格为</w:t>
      </w:r>
      <w:r>
        <w:rPr>
          <w:rFonts w:ascii="宋体" w:hAnsi="宋体" w:cs="宋体" w:eastAsia="宋体" w:hint="default"/>
          <w:spacing w:val="-2"/>
        </w:rPr>
        <w:t>6.70</w:t>
      </w:r>
      <w:r>
        <w:rPr>
          <w:spacing w:val="-2"/>
        </w:rPr>
        <w:t>元</w:t>
      </w:r>
      <w:r>
        <w:rPr>
          <w:rFonts w:ascii="宋体" w:hAnsi="宋体" w:cs="宋体" w:eastAsia="宋体" w:hint="default"/>
          <w:spacing w:val="-2"/>
        </w:rPr>
        <w:t>/</w:t>
      </w:r>
      <w:r>
        <w:rPr>
          <w:spacing w:val="-2"/>
        </w:rPr>
        <w:t>股，并申请增加注册资本人民币</w:t>
      </w:r>
      <w:r>
        <w:rPr>
          <w:rFonts w:ascii="宋体" w:hAnsi="宋体" w:cs="宋体" w:eastAsia="宋体" w:hint="default"/>
          <w:spacing w:val="-2"/>
        </w:rPr>
        <w:t>7,300</w:t>
      </w:r>
      <w:r>
        <w:rPr>
          <w:spacing w:val="-2"/>
        </w:rPr>
        <w:t>万元，变</w:t>
      </w:r>
      <w:r>
        <w:rPr>
          <w:spacing w:val="-104"/>
        </w:rPr>
        <w:t> </w:t>
      </w:r>
      <w:r>
        <w:rPr>
          <w:spacing w:val="-104"/>
        </w:rPr>
      </w:r>
      <w:r>
        <w:rPr/>
        <w:t>更后的注册资本为为人民币</w:t>
      </w:r>
      <w:r>
        <w:rPr>
          <w:rFonts w:ascii="宋体" w:hAnsi="宋体" w:cs="宋体" w:eastAsia="宋体" w:hint="default"/>
        </w:rPr>
        <w:t>33,290</w:t>
      </w:r>
      <w:r>
        <w:rPr/>
        <w:t>万元。</w:t>
      </w:r>
    </w:p>
    <w:p>
      <w:pPr>
        <w:pStyle w:val="BodyText"/>
        <w:spacing w:line="273" w:lineRule="auto" w:before="12"/>
        <w:ind w:right="1131" w:firstLine="480"/>
        <w:jc w:val="both"/>
      </w:pPr>
      <w:r>
        <w:rPr/>
        <w:t>根据公司</w:t>
      </w:r>
      <w:r>
        <w:rPr>
          <w:rFonts w:ascii="宋体" w:hAnsi="宋体" w:cs="宋体" w:eastAsia="宋体" w:hint="default"/>
        </w:rPr>
        <w:t>2012</w:t>
      </w:r>
      <w:r>
        <w:rPr/>
        <w:t>年</w:t>
      </w:r>
      <w:r>
        <w:rPr>
          <w:rFonts w:ascii="宋体" w:hAnsi="宋体" w:cs="宋体" w:eastAsia="宋体" w:hint="default"/>
        </w:rPr>
        <w:t>11</w:t>
      </w:r>
      <w:r>
        <w:rPr/>
        <w:t>月</w:t>
      </w:r>
      <w:r>
        <w:rPr>
          <w:rFonts w:ascii="宋体" w:hAnsi="宋体" w:cs="宋体" w:eastAsia="宋体" w:hint="default"/>
        </w:rPr>
        <w:t>23</w:t>
      </w:r>
      <w:r>
        <w:rPr/>
        <w:t>日修改后的章程、</w:t>
      </w:r>
      <w:r>
        <w:rPr>
          <w:rFonts w:ascii="宋体" w:hAnsi="宋体" w:cs="宋体" w:eastAsia="宋体" w:hint="default"/>
        </w:rPr>
        <w:t>2011</w:t>
      </w:r>
      <w:r>
        <w:rPr/>
        <w:t>年第三次临时股东大会、</w:t>
      </w:r>
      <w:r>
        <w:rPr>
          <w:rFonts w:ascii="宋体" w:hAnsi="宋体" w:cs="宋体" w:eastAsia="宋体" w:hint="default"/>
        </w:rPr>
        <w:t>2012</w:t>
      </w:r>
      <w:r>
        <w:rPr/>
        <w:t>年第二次临 </w:t>
      </w:r>
      <w:r>
        <w:rPr>
          <w:spacing w:val="-2"/>
        </w:rPr>
        <w:t>时股东大会和中国证券监督管理委员会证监许可</w:t>
      </w:r>
      <w:r>
        <w:rPr>
          <w:rFonts w:ascii="宋体" w:hAnsi="宋体" w:cs="宋体" w:eastAsia="宋体" w:hint="default"/>
          <w:spacing w:val="-2"/>
        </w:rPr>
        <w:t>[2012]690</w:t>
      </w:r>
      <w:r>
        <w:rPr>
          <w:spacing w:val="-2"/>
        </w:rPr>
        <w:t>号文《关于核准大唐高鸿数据网络</w:t>
      </w:r>
      <w:r>
        <w:rPr>
          <w:spacing w:val="-112"/>
        </w:rPr>
        <w:t> </w:t>
      </w:r>
      <w:r>
        <w:rPr>
          <w:spacing w:val="-112"/>
        </w:rPr>
      </w:r>
      <w:r>
        <w:rPr/>
        <w:t>技术股份有限公司非公开发行股票的批复》，公司采用向特定投资者非公开（以下简称“网</w:t>
      </w:r>
      <w:r>
        <w:rPr>
          <w:spacing w:val="-86"/>
        </w:rPr>
        <w:t> </w:t>
      </w:r>
      <w:r>
        <w:rPr>
          <w:spacing w:val="-86"/>
        </w:rPr>
      </w:r>
      <w:r>
        <w:rPr/>
        <w:t>下发行”）的方式发行</w:t>
      </w:r>
      <w:r>
        <w:rPr>
          <w:rFonts w:ascii="宋体" w:hAnsi="宋体" w:cs="宋体" w:eastAsia="宋体" w:hint="default"/>
        </w:rPr>
        <w:t>18,304</w:t>
      </w:r>
      <w:r>
        <w:rPr/>
        <w:t>万股人民币普通股（</w:t>
      </w:r>
      <w:r>
        <w:rPr>
          <w:rFonts w:ascii="宋体" w:hAnsi="宋体" w:cs="宋体" w:eastAsia="宋体" w:hint="default"/>
        </w:rPr>
        <w:t>A</w:t>
      </w:r>
      <w:r>
        <w:rPr/>
        <w:t>股），每股面值人民币</w:t>
      </w:r>
      <w:r>
        <w:rPr>
          <w:rFonts w:ascii="宋体" w:hAnsi="宋体" w:cs="宋体" w:eastAsia="宋体" w:hint="default"/>
        </w:rPr>
        <w:t>1</w:t>
      </w:r>
      <w:r>
        <w:rPr/>
        <w:t>元，每股发行价</w:t>
      </w:r>
      <w:r>
        <w:rPr>
          <w:spacing w:val="-89"/>
        </w:rPr>
        <w:t> </w:t>
      </w:r>
      <w:r>
        <w:rPr>
          <w:spacing w:val="-89"/>
        </w:rPr>
      </w:r>
      <w:r>
        <w:rPr/>
        <w:t>格为人民币</w:t>
      </w:r>
      <w:r>
        <w:rPr>
          <w:rFonts w:ascii="宋体" w:hAnsi="宋体" w:cs="宋体" w:eastAsia="宋体" w:hint="default"/>
        </w:rPr>
        <w:t>6.12</w:t>
      </w:r>
      <w:r>
        <w:rPr/>
        <w:t>元。公司本次发行后的注册资本为人民币</w:t>
      </w:r>
      <w:r>
        <w:rPr>
          <w:rFonts w:ascii="宋体" w:hAnsi="宋体" w:cs="宋体" w:eastAsia="宋体" w:hint="default"/>
        </w:rPr>
        <w:t>51,594</w:t>
      </w:r>
      <w:r>
        <w:rPr/>
        <w:t>万元。</w:t>
      </w:r>
    </w:p>
    <w:p>
      <w:pPr>
        <w:pStyle w:val="BodyText"/>
        <w:spacing w:line="276" w:lineRule="auto" w:before="10"/>
        <w:ind w:left="633" w:right="1131"/>
        <w:jc w:val="left"/>
      </w:pPr>
      <w:r>
        <w:rPr/>
        <w:t>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日，本公司累计发行股本总数</w:t>
      </w:r>
      <w:r>
        <w:rPr>
          <w:rFonts w:ascii="宋体" w:hAnsi="宋体" w:cs="宋体" w:eastAsia="宋体" w:hint="default"/>
        </w:rPr>
        <w:t>51,594</w:t>
      </w:r>
      <w:r>
        <w:rPr/>
        <w:t>万股，详见附注七、</w:t>
      </w:r>
      <w:r>
        <w:rPr>
          <w:rFonts w:ascii="宋体" w:hAnsi="宋体" w:cs="宋体" w:eastAsia="宋体" w:hint="default"/>
        </w:rPr>
        <w:t>26</w:t>
      </w:r>
      <w:r>
        <w:rPr/>
        <w:t>。 </w:t>
      </w:r>
      <w:r>
        <w:rPr>
          <w:spacing w:val="-2"/>
        </w:rPr>
        <w:t>公司注册地址为</w:t>
      </w:r>
      <w:r>
        <w:rPr>
          <w:rFonts w:ascii="宋体" w:hAnsi="宋体" w:cs="宋体" w:eastAsia="宋体" w:hint="default"/>
          <w:spacing w:val="-2"/>
        </w:rPr>
        <w:t>:</w:t>
      </w:r>
      <w:r>
        <w:rPr>
          <w:spacing w:val="-2"/>
        </w:rPr>
        <w:t>贵州省贵阳国家高新技术产业开发区金阳知识经济产业园</w:t>
      </w:r>
      <w:r>
        <w:rPr>
          <w:rFonts w:ascii="宋体" w:hAnsi="宋体" w:cs="宋体" w:eastAsia="宋体" w:hint="default"/>
          <w:spacing w:val="-2"/>
        </w:rPr>
        <w:t>A-1-63</w:t>
      </w:r>
      <w:r>
        <w:rPr>
          <w:spacing w:val="-2"/>
        </w:rPr>
        <w:t>号；管</w:t>
      </w:r>
    </w:p>
    <w:p>
      <w:pPr>
        <w:pStyle w:val="BodyText"/>
        <w:spacing w:line="276" w:lineRule="auto" w:before="7"/>
        <w:ind w:right="1134"/>
        <w:jc w:val="both"/>
      </w:pPr>
      <w:r>
        <w:rPr/>
        <w:t>理总部地址位于北京市海淀区学院路</w:t>
      </w:r>
      <w:r>
        <w:rPr>
          <w:rFonts w:ascii="宋体" w:hAnsi="宋体" w:cs="宋体" w:eastAsia="宋体" w:hint="default"/>
        </w:rPr>
        <w:t>40</w:t>
      </w:r>
      <w:r>
        <w:rPr/>
        <w:t>号。公司及子公司（统称“本集团”）主要从事通信</w:t>
      </w:r>
      <w:r>
        <w:rPr>
          <w:spacing w:val="-89"/>
        </w:rPr>
        <w:t> </w:t>
      </w:r>
      <w:r>
        <w:rPr>
          <w:spacing w:val="-89"/>
        </w:rPr>
      </w:r>
      <w:r>
        <w:rPr/>
        <w:t>交换设备制造及</w:t>
      </w:r>
      <w:r>
        <w:rPr>
          <w:rFonts w:ascii="宋体" w:hAnsi="宋体" w:cs="宋体" w:eastAsia="宋体" w:hint="default"/>
        </w:rPr>
        <w:t>IT</w:t>
      </w:r>
      <w:r>
        <w:rPr/>
        <w:t>产品销售，属其他计算机应用服务业。</w:t>
      </w:r>
    </w:p>
    <w:p>
      <w:pPr>
        <w:pStyle w:val="BodyText"/>
        <w:spacing w:line="273" w:lineRule="auto" w:before="8"/>
        <w:ind w:right="1139" w:firstLine="480"/>
        <w:jc w:val="both"/>
      </w:pPr>
      <w:r>
        <w:rPr/>
        <w:t>公司及子公司（统称“本集团”）经营范围为：多业务宽带电信网络产品、通信器材、 通信终端设备、仪器仪表、电子计算机软硬件及外部设备、系统集成的技术开发、转让、咨</w:t>
      </w:r>
      <w:r>
        <w:rPr>
          <w:spacing w:val="-91"/>
        </w:rPr>
        <w:t> </w:t>
      </w:r>
      <w:r>
        <w:rPr>
          <w:spacing w:val="-91"/>
        </w:rPr>
      </w:r>
      <w:r>
        <w:rPr/>
        <w:t>询、服务及制造、销售，通信及信息系统工程设计、信息服务；自营和代理各类商品和技术</w:t>
      </w:r>
      <w:r>
        <w:rPr>
          <w:spacing w:val="-91"/>
        </w:rPr>
        <w:t> </w:t>
      </w:r>
      <w:r>
        <w:rPr>
          <w:spacing w:val="-91"/>
        </w:rPr>
      </w:r>
      <w:r>
        <w:rPr/>
        <w:t>的进出口，但国家限定公司经营或禁止进出口的商品和技术除外，安全技术防范系统设计、</w:t>
      </w:r>
      <w:r>
        <w:rPr>
          <w:spacing w:val="-91"/>
        </w:rPr>
        <w:t> </w:t>
      </w:r>
      <w:r>
        <w:rPr>
          <w:spacing w:val="-91"/>
        </w:rPr>
      </w:r>
      <w:r>
        <w:rPr/>
        <w:t>施工、维修。</w:t>
      </w:r>
    </w:p>
    <w:p>
      <w:pPr>
        <w:pStyle w:val="BodyText"/>
        <w:spacing w:line="273" w:lineRule="auto" w:before="12"/>
        <w:ind w:left="633" w:right="1125"/>
        <w:jc w:val="left"/>
      </w:pPr>
      <w:r>
        <w:rPr/>
        <w:t>本集团的母公司和最终母公司为隶属于国务院国资委的电信科学技术研究院。 公司设有股东大会、董事会和监事会等治理机构。公司下设财务部、总工程师办公室、</w:t>
      </w:r>
    </w:p>
    <w:p>
      <w:pPr>
        <w:spacing w:after="0" w:line="273" w:lineRule="auto"/>
        <w:jc w:val="left"/>
        <w:sectPr>
          <w:pgSz w:w="11910" w:h="16840"/>
          <w:pgMar w:header="877" w:footer="1295" w:top="1060" w:bottom="1500" w:left="980" w:right="0"/>
        </w:sectPr>
      </w:pPr>
    </w:p>
    <w:p>
      <w:pPr>
        <w:spacing w:line="240" w:lineRule="auto" w:before="6"/>
        <w:rPr>
          <w:rFonts w:ascii="宋体" w:hAnsi="宋体" w:cs="宋体" w:eastAsia="宋体" w:hint="default"/>
          <w:sz w:val="25"/>
          <w:szCs w:val="25"/>
        </w:rPr>
      </w:pPr>
    </w:p>
    <w:p>
      <w:pPr>
        <w:pStyle w:val="BodyText"/>
        <w:spacing w:line="273" w:lineRule="auto" w:before="26"/>
        <w:ind w:right="1139"/>
        <w:jc w:val="both"/>
      </w:pPr>
      <w:r>
        <w:rPr/>
        <w:t>人力资源部、资产管理部、内部审计部、经营支撑部、投资发展部、贵阳经营部、电子商务</w:t>
      </w:r>
      <w:r>
        <w:rPr>
          <w:spacing w:val="-91"/>
        </w:rPr>
        <w:t> </w:t>
      </w:r>
      <w:r>
        <w:rPr>
          <w:spacing w:val="-91"/>
        </w:rPr>
      </w:r>
      <w:r>
        <w:rPr/>
        <w:t>事业部等部门。公司投资有北京大唐高鸿数据网络技术有限公司、北京大唐高鸿软件技术有</w:t>
      </w:r>
      <w:r>
        <w:rPr>
          <w:spacing w:val="-91"/>
        </w:rPr>
        <w:t> </w:t>
      </w:r>
      <w:r>
        <w:rPr>
          <w:spacing w:val="-91"/>
        </w:rPr>
      </w:r>
      <w:r>
        <w:rPr/>
        <w:t>限公司、大唐高鸿通信技术有限公司、北京大唐高鸿科技发展有限公司、北京大唐融合通信</w:t>
      </w:r>
      <w:r>
        <w:rPr>
          <w:spacing w:val="-91"/>
        </w:rPr>
        <w:t> </w:t>
      </w:r>
      <w:r>
        <w:rPr>
          <w:spacing w:val="-91"/>
        </w:rPr>
      </w:r>
      <w:r>
        <w:rPr/>
        <w:t>技术有限公司、大唐高鸿信息技术有限公司和大唐高鸿济宁电子信息技术有限公司等七个主</w:t>
      </w:r>
      <w:r>
        <w:rPr>
          <w:spacing w:val="-91"/>
        </w:rPr>
        <w:t> </w:t>
      </w:r>
      <w:r>
        <w:rPr>
          <w:spacing w:val="-91"/>
        </w:rPr>
      </w:r>
      <w:r>
        <w:rPr/>
        <w:t>要的全资或控股子公司。</w:t>
      </w:r>
    </w:p>
    <w:p>
      <w:pPr>
        <w:spacing w:line="504" w:lineRule="auto" w:before="10"/>
        <w:ind w:left="152" w:right="3674" w:firstLine="480"/>
        <w:jc w:val="left"/>
        <w:rPr>
          <w:rFonts w:ascii="宋体" w:hAnsi="宋体" w:cs="宋体" w:eastAsia="宋体" w:hint="default"/>
          <w:sz w:val="24"/>
          <w:szCs w:val="24"/>
        </w:rPr>
      </w:pPr>
      <w:r>
        <w:rPr>
          <w:rFonts w:ascii="宋体" w:hAnsi="宋体" w:cs="宋体" w:eastAsia="宋体" w:hint="default"/>
          <w:sz w:val="24"/>
          <w:szCs w:val="24"/>
        </w:rPr>
        <w:t>本财务报表业经本公司董事会于</w:t>
      </w:r>
      <w:r>
        <w:rPr>
          <w:rFonts w:ascii="宋体" w:hAnsi="宋体" w:cs="宋体" w:eastAsia="宋体" w:hint="default"/>
          <w:sz w:val="24"/>
          <w:szCs w:val="24"/>
        </w:rPr>
        <w:t>2013</w:t>
      </w:r>
      <w:r>
        <w:rPr>
          <w:rFonts w:ascii="宋体" w:hAnsi="宋体" w:cs="宋体" w:eastAsia="宋体" w:hint="default"/>
          <w:sz w:val="24"/>
          <w:szCs w:val="24"/>
        </w:rPr>
        <w:t>年</w:t>
      </w:r>
      <w:r>
        <w:rPr>
          <w:rFonts w:ascii="宋体" w:hAnsi="宋体" w:cs="宋体" w:eastAsia="宋体" w:hint="default"/>
          <w:sz w:val="24"/>
          <w:szCs w:val="24"/>
        </w:rPr>
        <w:t>3</w:t>
      </w:r>
      <w:r>
        <w:rPr>
          <w:rFonts w:ascii="宋体" w:hAnsi="宋体" w:cs="宋体" w:eastAsia="宋体" w:hint="default"/>
          <w:sz w:val="24"/>
          <w:szCs w:val="24"/>
        </w:rPr>
        <w:t>月</w:t>
      </w:r>
      <w:r>
        <w:rPr>
          <w:rFonts w:ascii="宋体" w:hAnsi="宋体" w:cs="宋体" w:eastAsia="宋体" w:hint="default"/>
          <w:sz w:val="24"/>
          <w:szCs w:val="24"/>
        </w:rPr>
        <w:t>22</w:t>
      </w:r>
      <w:r>
        <w:rPr>
          <w:rFonts w:ascii="宋体" w:hAnsi="宋体" w:cs="宋体" w:eastAsia="宋体" w:hint="default"/>
          <w:sz w:val="24"/>
          <w:szCs w:val="24"/>
        </w:rPr>
        <w:t>日决议批准报出。 </w:t>
      </w:r>
      <w:r>
        <w:rPr>
          <w:rFonts w:ascii="宋体" w:hAnsi="宋体" w:cs="宋体" w:eastAsia="宋体" w:hint="default"/>
          <w:b/>
          <w:bCs/>
          <w:sz w:val="24"/>
          <w:szCs w:val="24"/>
        </w:rPr>
        <w:t>四、公司主要会计政策、会计估计和前期差错</w:t>
      </w:r>
      <w:r>
        <w:rPr>
          <w:rFonts w:ascii="宋体" w:hAnsi="宋体" w:cs="宋体" w:eastAsia="宋体" w:hint="default"/>
          <w:sz w:val="24"/>
          <w:szCs w:val="24"/>
        </w:rPr>
      </w:r>
    </w:p>
    <w:p>
      <w:pPr>
        <w:spacing w:before="105"/>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73" w:lineRule="auto"/>
        <w:ind w:right="1129" w:firstLine="480"/>
        <w:jc w:val="both"/>
      </w:pPr>
      <w:r>
        <w:rPr/>
        <w:t>本集团财务报表以持续经营假设为基础编制，根据实际发生的交易和事项，按照财政部 </w:t>
      </w:r>
      <w:r>
        <w:rPr>
          <w:spacing w:val="-2"/>
        </w:rPr>
        <w:t>于</w:t>
      </w:r>
      <w:r>
        <w:rPr>
          <w:rFonts w:ascii="宋体" w:hAnsi="宋体" w:cs="宋体" w:eastAsia="宋体" w:hint="default"/>
          <w:spacing w:val="-2"/>
        </w:rPr>
        <w:t>2006</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15</w:t>
      </w:r>
      <w:r>
        <w:rPr>
          <w:spacing w:val="-2"/>
        </w:rPr>
        <w:t>日颁布的《企业会计准则——基本准则》和</w:t>
      </w:r>
      <w:r>
        <w:rPr>
          <w:rFonts w:ascii="宋体" w:hAnsi="宋体" w:cs="宋体" w:eastAsia="宋体" w:hint="default"/>
          <w:spacing w:val="-2"/>
        </w:rPr>
        <w:t>38</w:t>
      </w:r>
      <w:r>
        <w:rPr>
          <w:spacing w:val="-2"/>
        </w:rPr>
        <w:t>项具体会计准则、其后颁布的企</w:t>
      </w:r>
      <w:r>
        <w:rPr>
          <w:spacing w:val="-112"/>
        </w:rPr>
        <w:t> </w:t>
      </w:r>
      <w:r>
        <w:rPr>
          <w:spacing w:val="-112"/>
        </w:rPr>
      </w:r>
      <w:r>
        <w:rPr/>
        <w:t>业会计准则应用指南、企业会计准则解释及其他相关规定（以下合称“企业会计准则”）、</w:t>
      </w:r>
      <w:r>
        <w:rPr>
          <w:spacing w:val="-88"/>
        </w:rPr>
        <w:t> </w:t>
      </w:r>
      <w:r>
        <w:rPr>
          <w:spacing w:val="-88"/>
        </w:rPr>
      </w:r>
      <w:r>
        <w:rPr/>
        <w:t>以及中国证券监督管理委员会《公开发行证券的公司信息披露编报规则第</w:t>
      </w:r>
      <w:r>
        <w:rPr>
          <w:rFonts w:ascii="宋体" w:hAnsi="宋体" w:cs="宋体" w:eastAsia="宋体" w:hint="default"/>
        </w:rPr>
        <w:t>15</w:t>
      </w:r>
      <w:r>
        <w:rPr/>
        <w:t>号——财务报告</w:t>
      </w:r>
      <w:r>
        <w:rPr>
          <w:spacing w:val="-89"/>
        </w:rPr>
        <w:t> </w:t>
      </w:r>
      <w:r>
        <w:rPr>
          <w:spacing w:val="-89"/>
        </w:rPr>
      </w:r>
      <w:r>
        <w:rPr/>
        <w:t>的一般规定》（</w:t>
      </w:r>
      <w:r>
        <w:rPr>
          <w:rFonts w:ascii="宋体" w:hAnsi="宋体" w:cs="宋体" w:eastAsia="宋体" w:hint="default"/>
        </w:rPr>
        <w:t>2010</w:t>
      </w:r>
      <w:r>
        <w:rPr/>
        <w:t>年修订）的披露规定编制。</w:t>
      </w:r>
    </w:p>
    <w:p>
      <w:pPr>
        <w:pStyle w:val="BodyText"/>
        <w:spacing w:line="273" w:lineRule="auto" w:before="10"/>
        <w:ind w:right="1134" w:firstLine="480"/>
        <w:jc w:val="both"/>
      </w:pPr>
      <w:r>
        <w:rPr/>
        <w:t>根据企业会计准则的相关规定，本集团会计核算以权责发生制为基础。除某些金融工具 外，本财务报表均以历史成本为计量基础。资产如果发生减值，则按照相关规定计提相应的</w:t>
      </w:r>
      <w:r>
        <w:rPr>
          <w:spacing w:val="-87"/>
        </w:rPr>
        <w:t> </w:t>
      </w:r>
      <w:r>
        <w:rPr>
          <w:spacing w:val="-87"/>
        </w:rPr>
      </w:r>
      <w:r>
        <w:rPr/>
        <w:t>减值准备。</w:t>
      </w:r>
    </w:p>
    <w:p>
      <w:pPr>
        <w:spacing w:line="240" w:lineRule="auto" w:before="11"/>
        <w:rPr>
          <w:rFonts w:ascii="宋体" w:hAnsi="宋体" w:cs="宋体" w:eastAsia="宋体" w:hint="default"/>
          <w:sz w:val="25"/>
          <w:szCs w:val="25"/>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73" w:lineRule="auto"/>
        <w:ind w:right="1134" w:firstLine="480"/>
        <w:jc w:val="both"/>
      </w:pPr>
      <w:r>
        <w:rPr/>
        <w:t>本集团编制的财务报表符合企业会计准则的要求，真实、完整地反映了本公司及本集团 </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日的财务状况及</w:t>
      </w:r>
      <w:r>
        <w:rPr>
          <w:rFonts w:ascii="宋体" w:hAnsi="宋体" w:cs="宋体" w:eastAsia="宋体" w:hint="default"/>
        </w:rPr>
        <w:t>2012</w:t>
      </w:r>
      <w:r>
        <w:rPr/>
        <w:t>年度的经营成果和现金流量等有关信息。此外，本公司及</w:t>
      </w:r>
      <w:r>
        <w:rPr>
          <w:spacing w:val="-90"/>
        </w:rPr>
        <w:t> </w:t>
      </w:r>
      <w:r>
        <w:rPr>
          <w:spacing w:val="-90"/>
        </w:rPr>
      </w:r>
      <w:r>
        <w:rPr/>
        <w:t>本集团的财务报表在所有重大方面符合中国证券监督管理委员会</w:t>
      </w:r>
      <w:r>
        <w:rPr>
          <w:rFonts w:ascii="宋体" w:hAnsi="宋体" w:cs="宋体" w:eastAsia="宋体" w:hint="default"/>
        </w:rPr>
        <w:t>2010</w:t>
      </w:r>
      <w:r>
        <w:rPr/>
        <w:t>年修订的《公开发行证</w:t>
      </w:r>
      <w:r>
        <w:rPr>
          <w:spacing w:val="-88"/>
        </w:rPr>
        <w:t> </w:t>
      </w:r>
      <w:r>
        <w:rPr>
          <w:spacing w:val="-88"/>
        </w:rPr>
      </w:r>
      <w:r>
        <w:rPr/>
        <w:t>券的公司信息披露编报规则第</w:t>
      </w:r>
      <w:r>
        <w:rPr>
          <w:rFonts w:ascii="宋体" w:hAnsi="宋体" w:cs="宋体" w:eastAsia="宋体" w:hint="default"/>
        </w:rPr>
        <w:t>15</w:t>
      </w:r>
      <w:r>
        <w:rPr/>
        <w:t>号－财务报告的一般规定》有关财务报表及其附注的披露要</w:t>
      </w:r>
      <w:r>
        <w:rPr>
          <w:spacing w:val="-90"/>
        </w:rPr>
        <w:t> </w:t>
      </w:r>
      <w:r>
        <w:rPr>
          <w:spacing w:val="-90"/>
        </w:rPr>
      </w:r>
      <w:r>
        <w:rPr/>
        <w:t>求。</w:t>
      </w:r>
    </w:p>
    <w:p>
      <w:pPr>
        <w:spacing w:line="240" w:lineRule="auto" w:before="11"/>
        <w:rPr>
          <w:rFonts w:ascii="宋体" w:hAnsi="宋体" w:cs="宋体" w:eastAsia="宋体" w:hint="default"/>
          <w:sz w:val="25"/>
          <w:szCs w:val="25"/>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pStyle w:val="BodyText"/>
        <w:spacing w:line="276" w:lineRule="auto"/>
        <w:ind w:right="1140" w:firstLine="480"/>
        <w:jc w:val="both"/>
      </w:pPr>
      <w:r>
        <w:rPr/>
        <w:t>本集团的会计期间分为年度和中期，会计中期指短于一个完整的会计年度的报告期间。 本集团会计年度采用公历年度，即每年自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9"/>
          <w:szCs w:val="29"/>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pStyle w:val="BodyText"/>
        <w:spacing w:line="276" w:lineRule="auto"/>
        <w:ind w:right="1140" w:firstLine="480"/>
        <w:jc w:val="both"/>
      </w:pPr>
      <w:r>
        <w:rPr/>
        <w:t>人民币为本公司及境内子公司经营所处的主要经济环境中的货币，本公司及境内子公司 以人民币为记账本位币。本集团编制本财务报表时所采用的货币为人民币。</w:t>
      </w:r>
    </w:p>
    <w:p>
      <w:pPr>
        <w:spacing w:after="0" w:line="276" w:lineRule="auto"/>
        <w:jc w:val="both"/>
        <w:sectPr>
          <w:pgSz w:w="11910" w:h="16840"/>
          <w:pgMar w:header="877" w:footer="1295" w:top="1060" w:bottom="1500" w:left="980" w:right="0"/>
        </w:sectPr>
      </w:pPr>
    </w:p>
    <w:p>
      <w:pPr>
        <w:spacing w:line="240" w:lineRule="auto" w:before="8"/>
        <w:rPr>
          <w:rFonts w:ascii="宋体" w:hAnsi="宋体" w:cs="宋体" w:eastAsia="宋体" w:hint="default"/>
          <w:sz w:val="26"/>
          <w:szCs w:val="26"/>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8"/>
          <w:szCs w:val="28"/>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73" w:lineRule="auto"/>
        <w:ind w:right="0" w:firstLine="480"/>
        <w:jc w:val="left"/>
      </w:pPr>
      <w:r>
        <w:rPr>
          <w:spacing w:val="-3"/>
        </w:rPr>
        <w:t>参与合并的企业在合并前后均受同一方或相同的多方最终控制，且该控制并非暂时性的，</w:t>
      </w:r>
      <w:r>
        <w:rPr/>
        <w:t> 为同一控制下的企业合并。同一控制下的企业合并，在合并日取得对其他参与合并企业控制</w:t>
      </w:r>
      <w:r>
        <w:rPr>
          <w:spacing w:val="-91"/>
        </w:rPr>
        <w:t> </w:t>
      </w:r>
      <w:r>
        <w:rPr>
          <w:spacing w:val="-91"/>
        </w:rPr>
      </w:r>
      <w:r>
        <w:rPr/>
        <w:t>权的一方为合并方，参与合并的其他企业为被合并方。合并日，是指合并方实际取得对被合</w:t>
      </w:r>
      <w:r>
        <w:rPr>
          <w:spacing w:val="-86"/>
        </w:rPr>
        <w:t> </w:t>
      </w:r>
      <w:r>
        <w:rPr>
          <w:spacing w:val="-86"/>
        </w:rPr>
      </w:r>
      <w:r>
        <w:rPr/>
        <w:t>并方控制权的日期。</w:t>
      </w:r>
    </w:p>
    <w:p>
      <w:pPr>
        <w:pStyle w:val="BodyText"/>
        <w:spacing w:line="273" w:lineRule="auto" w:before="12"/>
        <w:ind w:right="1139" w:firstLine="480"/>
        <w:jc w:val="both"/>
      </w:pPr>
      <w:r>
        <w:rPr/>
        <w:t>合并方取得的资产和负债均按合并日在被合并方的账面价值计量。合并方取得的净资产 账面价值与支付的合并对价账面价值（或发行股份面值总额）的差额，调整资本公积（股本</w:t>
      </w:r>
      <w:r>
        <w:rPr>
          <w:spacing w:val="-91"/>
        </w:rPr>
        <w:t> </w:t>
      </w:r>
      <w:r>
        <w:rPr>
          <w:spacing w:val="-91"/>
        </w:rPr>
      </w:r>
      <w:r>
        <w:rPr/>
        <w:t>溢价）；资本公积（股本溢价）不足以冲减的，调整留存收益。</w:t>
      </w:r>
    </w:p>
    <w:p>
      <w:pPr>
        <w:pStyle w:val="BodyText"/>
        <w:spacing w:line="240" w:lineRule="auto" w:before="10"/>
        <w:ind w:left="993" w:right="1125"/>
        <w:jc w:val="left"/>
      </w:pPr>
      <w:r>
        <w:rPr/>
        <w:t>合并方为进行企业合并发生的各项直接费用，于发生时计入当期损益。</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1"/>
          <w:szCs w:val="31"/>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73" w:lineRule="auto"/>
        <w:ind w:right="1138" w:firstLine="480"/>
        <w:jc w:val="both"/>
      </w:pPr>
      <w:r>
        <w:rPr/>
        <w:t>参与合并的企业在合并前后不受同一方或相同的多方最终控制的，为非同一控制下的企 业合并。非同一控制下的企业合并，在购买日取得对其他参与合并企业控制权的一方为购买</w:t>
      </w:r>
      <w:r>
        <w:rPr>
          <w:spacing w:val="-91"/>
        </w:rPr>
        <w:t> </w:t>
      </w:r>
      <w:r>
        <w:rPr>
          <w:spacing w:val="-91"/>
        </w:rPr>
      </w:r>
      <w:r>
        <w:rPr/>
        <w:t>方，参与合并的其他企业为被购买方。购买日，是指为购买方实际取得对被购买方控制权的</w:t>
      </w:r>
      <w:r>
        <w:rPr>
          <w:spacing w:val="-91"/>
        </w:rPr>
        <w:t> </w:t>
      </w:r>
      <w:r>
        <w:rPr>
          <w:spacing w:val="-91"/>
        </w:rPr>
      </w:r>
      <w:r>
        <w:rPr/>
        <w:t>日期。</w:t>
      </w:r>
    </w:p>
    <w:p>
      <w:pPr>
        <w:pStyle w:val="BodyText"/>
        <w:spacing w:line="273" w:lineRule="auto" w:before="12"/>
        <w:ind w:right="1134" w:firstLine="480"/>
        <w:jc w:val="both"/>
      </w:pPr>
      <w:r>
        <w:rPr/>
        <w:t>对于非同一控制下的企业合并，合并成本包含购买日购买方为取得对被购买方的控制权 而付出的资产、发生或承担的负债以及发行的权益性证券的公允价值，为企业合并发生的审</w:t>
      </w:r>
      <w:r>
        <w:rPr>
          <w:spacing w:val="-91"/>
        </w:rPr>
        <w:t> </w:t>
      </w:r>
      <w:r>
        <w:rPr>
          <w:spacing w:val="-91"/>
        </w:rPr>
      </w:r>
      <w:r>
        <w:rPr/>
        <w:t>计、法律服务、评估咨询等中介费用以及其他管理费用于发生时计入当期损益。购买方作为</w:t>
      </w:r>
      <w:r>
        <w:rPr>
          <w:spacing w:val="-91"/>
        </w:rPr>
        <w:t> </w:t>
      </w:r>
      <w:r>
        <w:rPr>
          <w:spacing w:val="-91"/>
        </w:rPr>
      </w:r>
      <w:r>
        <w:rPr/>
        <w:t>合并对价发行的权益性证券或债务性证券的交易费用，计入权益性证券或债务性证券的初始</w:t>
      </w:r>
      <w:r>
        <w:rPr>
          <w:spacing w:val="-91"/>
        </w:rPr>
        <w:t> </w:t>
      </w:r>
      <w:r>
        <w:rPr>
          <w:spacing w:val="-91"/>
        </w:rPr>
      </w:r>
      <w:r>
        <w:rPr/>
        <w:t>确认金额。对合并成本的调整很可能发生且能够可靠计量的，确认或有对价，其后续计量影</w:t>
      </w:r>
      <w:r>
        <w:rPr>
          <w:spacing w:val="-91"/>
        </w:rPr>
        <w:t> </w:t>
      </w:r>
      <w:r>
        <w:rPr>
          <w:spacing w:val="-91"/>
        </w:rPr>
      </w:r>
      <w:r>
        <w:rPr/>
        <w:t>响商誉。所涉及的或有对价按其在购买日的公允价值计入合并成本，购买日后</w:t>
      </w:r>
      <w:r>
        <w:rPr>
          <w:rFonts w:ascii="宋体" w:hAnsi="宋体" w:cs="宋体" w:eastAsia="宋体" w:hint="default"/>
        </w:rPr>
        <w:t>12</w:t>
      </w:r>
      <w:r>
        <w:rPr/>
        <w:t>个月内出现</w:t>
      </w:r>
      <w:r>
        <w:rPr>
          <w:spacing w:val="-87"/>
        </w:rPr>
        <w:t> </w:t>
      </w:r>
      <w:r>
        <w:rPr>
          <w:spacing w:val="-87"/>
        </w:rPr>
      </w:r>
      <w:r>
        <w:rPr/>
        <w:t>对购买日已存在情况的新的或进一步证据而需要调整或有对价的，相应调整合并商誉。</w:t>
      </w:r>
    </w:p>
    <w:p>
      <w:pPr>
        <w:pStyle w:val="BodyText"/>
        <w:spacing w:line="273" w:lineRule="auto" w:before="10"/>
        <w:ind w:right="996" w:firstLine="840"/>
        <w:jc w:val="left"/>
      </w:pPr>
      <w:r>
        <w:rPr>
          <w:spacing w:val="-3"/>
        </w:rPr>
        <w:t>购买方发生的合并成本及在合并中取得的可辨认净资产按购买日的公允价值计量。合</w:t>
      </w:r>
      <w:r>
        <w:rPr/>
        <w:t> </w:t>
      </w:r>
      <w:r>
        <w:rPr>
          <w:spacing w:val="-2"/>
        </w:rPr>
        <w:t>并成本大于合并中取得的被购买方于购买日可辨认净资产公允价值份额的差额，确认为商誉。</w:t>
      </w:r>
      <w:r>
        <w:rPr/>
        <w:t> 合并成本小于合并中取得的被购买方可辨认净资产公允价值份额的，首先对取得的被购买方</w:t>
      </w:r>
      <w:r>
        <w:rPr>
          <w:spacing w:val="-91"/>
        </w:rPr>
        <w:t> </w:t>
      </w:r>
      <w:r>
        <w:rPr>
          <w:spacing w:val="-91"/>
        </w:rPr>
      </w:r>
      <w:r>
        <w:rPr/>
        <w:t>各项可辨认资产、负债及或有负债的公允价值以及合并成本的计量进行复核，复核后合并成</w:t>
      </w:r>
      <w:r>
        <w:rPr>
          <w:spacing w:val="-91"/>
        </w:rPr>
        <w:t> </w:t>
      </w:r>
      <w:r>
        <w:rPr>
          <w:spacing w:val="-91"/>
        </w:rPr>
      </w:r>
      <w:r>
        <w:rPr/>
        <w:t>本仍小于合并中取得的被购买方可辨认净资产公允价值份额的，其差额计入当期损益。</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9"/>
          <w:szCs w:val="29"/>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3"/>
        <w:rPr>
          <w:rFonts w:ascii="宋体" w:hAnsi="宋体" w:cs="宋体" w:eastAsia="宋体" w:hint="default"/>
          <w:b/>
          <w:bCs/>
          <w:sz w:val="28"/>
          <w:szCs w:val="28"/>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pStyle w:val="BodyText"/>
        <w:spacing w:line="276" w:lineRule="auto"/>
        <w:ind w:right="1132" w:firstLine="480"/>
        <w:jc w:val="both"/>
      </w:pPr>
      <w:r>
        <w:rPr/>
        <w:t>合并财务报表的合并范围以控制为基础予以确定。控制是指本公司能够决定被投资单位 </w:t>
      </w:r>
      <w:r>
        <w:rPr>
          <w:spacing w:val="-2"/>
        </w:rPr>
        <w:t>的财务和经营政策</w:t>
      </w:r>
      <w:r>
        <w:rPr>
          <w:rFonts w:ascii="宋体" w:hAnsi="宋体" w:cs="宋体" w:eastAsia="宋体" w:hint="default"/>
          <w:spacing w:val="-2"/>
        </w:rPr>
        <w:t>,</w:t>
      </w:r>
      <w:r>
        <w:rPr>
          <w:spacing w:val="-2"/>
        </w:rPr>
        <w:t>并能据以从被投资单位的经营活动中获取利益的权力。合并范围包括本公</w:t>
      </w:r>
    </w:p>
    <w:p>
      <w:pPr>
        <w:spacing w:after="0" w:line="276" w:lineRule="auto"/>
        <w:jc w:val="both"/>
        <w:sectPr>
          <w:pgSz w:w="11910" w:h="16840"/>
          <w:pgMar w:header="877" w:footer="1295" w:top="1060" w:bottom="1480" w:left="980" w:right="0"/>
        </w:sectPr>
      </w:pPr>
    </w:p>
    <w:p>
      <w:pPr>
        <w:spacing w:line="240" w:lineRule="auto" w:before="6"/>
        <w:rPr>
          <w:rFonts w:ascii="宋体" w:hAnsi="宋体" w:cs="宋体" w:eastAsia="宋体" w:hint="default"/>
          <w:sz w:val="25"/>
          <w:szCs w:val="25"/>
        </w:rPr>
      </w:pPr>
    </w:p>
    <w:p>
      <w:pPr>
        <w:pStyle w:val="BodyText"/>
        <w:spacing w:line="273" w:lineRule="auto" w:before="26"/>
        <w:ind w:left="633" w:right="1125" w:hanging="481"/>
        <w:jc w:val="left"/>
      </w:pPr>
      <w:r>
        <w:rPr/>
        <w:t>司及全部子公司。子公司，是指被本公司控制的企业或主体。 从取得子公司的净资产和生产经营决策的实际控制权之日起，本集团开始将其纳入合并</w:t>
      </w:r>
    </w:p>
    <w:p>
      <w:pPr>
        <w:pStyle w:val="BodyText"/>
        <w:spacing w:line="273" w:lineRule="auto" w:before="12"/>
        <w:ind w:right="1134"/>
        <w:jc w:val="both"/>
      </w:pPr>
      <w:r>
        <w:rPr/>
        <w:t>范围；从丧失实际控制权之日起停止纳入合并范围。对于处置的子公司，处置日前的经营成</w:t>
      </w:r>
      <w:r>
        <w:rPr>
          <w:spacing w:val="-91"/>
        </w:rPr>
        <w:t> </w:t>
      </w:r>
      <w:r>
        <w:rPr>
          <w:spacing w:val="-91"/>
        </w:rPr>
      </w:r>
      <w:r>
        <w:rPr/>
        <w:t>果和现金流量已经适当地包括在合并利润表和合并现金流量表中；当期处置的子公司，不调</w:t>
      </w:r>
      <w:r>
        <w:rPr>
          <w:spacing w:val="-86"/>
        </w:rPr>
        <w:t> </w:t>
      </w:r>
      <w:r>
        <w:rPr>
          <w:spacing w:val="-86"/>
        </w:rPr>
      </w:r>
      <w:r>
        <w:rPr/>
        <w:t>整合并资产负债表的期初数。非同一控制下企业合并增加的子公司，其购买日后的经营成果</w:t>
      </w:r>
      <w:r>
        <w:rPr>
          <w:spacing w:val="-91"/>
        </w:rPr>
        <w:t> </w:t>
      </w:r>
      <w:r>
        <w:rPr>
          <w:spacing w:val="-91"/>
        </w:rPr>
      </w:r>
      <w:r>
        <w:rPr/>
        <w:t>及现金流量已经适当地包括在合并利润表和合并现金流量表中，且不调整合并财务报表的期</w:t>
      </w:r>
      <w:r>
        <w:rPr>
          <w:spacing w:val="-91"/>
        </w:rPr>
        <w:t> </w:t>
      </w:r>
      <w:r>
        <w:rPr>
          <w:spacing w:val="-91"/>
        </w:rPr>
      </w:r>
      <w:r>
        <w:rPr/>
        <w:t>初数和对比数。同一控制下企业合并增加的子公司，其自合并当期期初至合并日的经营成果</w:t>
      </w:r>
      <w:r>
        <w:rPr>
          <w:spacing w:val="-91"/>
        </w:rPr>
        <w:t> </w:t>
      </w:r>
      <w:r>
        <w:rPr>
          <w:spacing w:val="-91"/>
        </w:rPr>
      </w:r>
      <w:r>
        <w:rPr/>
        <w:t>和现金流量已经适当地包括在合并利润表和合并现金流量表中，并且同时调整合并财务报表</w:t>
      </w:r>
      <w:r>
        <w:rPr>
          <w:spacing w:val="-91"/>
        </w:rPr>
        <w:t> </w:t>
      </w:r>
      <w:r>
        <w:rPr>
          <w:spacing w:val="-91"/>
        </w:rPr>
      </w:r>
      <w:r>
        <w:rPr/>
        <w:t>的期初数和对比数。</w:t>
      </w:r>
    </w:p>
    <w:p>
      <w:pPr>
        <w:pStyle w:val="BodyText"/>
        <w:spacing w:line="273" w:lineRule="auto" w:before="10"/>
        <w:ind w:right="1139" w:firstLine="480"/>
        <w:jc w:val="both"/>
      </w:pPr>
      <w:r>
        <w:rPr/>
        <w:t>在编制合并财务报表时，子公司与本公司采用的会计政策或会计期间不一致的，按照本 公司的会计政策和会计期间对子公司财务报表进行必要的调整。对于非同一控制下企业合并</w:t>
      </w:r>
      <w:r>
        <w:rPr>
          <w:spacing w:val="-91"/>
        </w:rPr>
        <w:t> </w:t>
      </w:r>
      <w:r>
        <w:rPr>
          <w:spacing w:val="-91"/>
        </w:rPr>
      </w:r>
      <w:r>
        <w:rPr/>
        <w:t>取得的子公司，以购买日可辨认净资产公允价值为基础对其财务报表进行调整。</w:t>
      </w:r>
    </w:p>
    <w:p>
      <w:pPr>
        <w:pStyle w:val="BodyText"/>
        <w:spacing w:line="273" w:lineRule="auto" w:before="12"/>
        <w:ind w:left="1113" w:right="1125" w:hanging="480"/>
        <w:jc w:val="left"/>
      </w:pPr>
      <w:r>
        <w:rPr/>
        <w:t>集团内所有重大往来余额、交易及未实现利润在合并财务报表编制时予以抵销。 子公司的股东权益及当期净损益中不属于本公司所拥有的部分分别作为少数股东权</w:t>
      </w:r>
    </w:p>
    <w:p>
      <w:pPr>
        <w:pStyle w:val="BodyText"/>
        <w:spacing w:line="273" w:lineRule="auto" w:before="12"/>
        <w:ind w:right="1134"/>
        <w:jc w:val="both"/>
      </w:pPr>
      <w:r>
        <w:rPr/>
        <w:t>益及少数股东损益在合并财务报表中股东权益及净利润项下单独列示。子公司当期净损益中</w:t>
      </w:r>
      <w:r>
        <w:rPr>
          <w:spacing w:val="-91"/>
        </w:rPr>
        <w:t> </w:t>
      </w:r>
      <w:r>
        <w:rPr>
          <w:spacing w:val="-91"/>
        </w:rPr>
      </w:r>
      <w:r>
        <w:rPr/>
        <w:t>属于少数股东权益的份额，在合并利润表中净利润项目下以“少数股东损益”项目列示。少</w:t>
      </w:r>
      <w:r>
        <w:rPr>
          <w:spacing w:val="-87"/>
        </w:rPr>
        <w:t> </w:t>
      </w:r>
      <w:r>
        <w:rPr>
          <w:spacing w:val="-87"/>
        </w:rPr>
      </w:r>
      <w:r>
        <w:rPr/>
        <w:t>数股东分担的子公司的亏损超过了少数股东在该子公司期初所有者权益中所享有的份额，冲</w:t>
      </w:r>
      <w:r>
        <w:rPr>
          <w:spacing w:val="-91"/>
        </w:rPr>
        <w:t> </w:t>
      </w:r>
      <w:r>
        <w:rPr>
          <w:spacing w:val="-91"/>
        </w:rPr>
      </w:r>
      <w:r>
        <w:rPr/>
        <w:t>减少数股东权益。</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9"/>
          <w:szCs w:val="29"/>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）对同一子公司的股权在连续两个会计年度买入再卖出，或卖出再买入的应披露相关的会计处理方法</w:t>
      </w:r>
      <w:r>
        <w:rPr>
          <w:rFonts w:ascii="宋体" w:hAnsi="宋体" w:cs="宋体" w:eastAsia="宋体" w:hint="default"/>
          <w:sz w:val="21"/>
          <w:szCs w:val="21"/>
        </w:rPr>
      </w:r>
    </w:p>
    <w:p>
      <w:pPr>
        <w:spacing w:line="240" w:lineRule="auto" w:before="11"/>
        <w:rPr>
          <w:rFonts w:ascii="宋体" w:hAnsi="宋体" w:cs="宋体" w:eastAsia="宋体" w:hint="default"/>
          <w:b/>
          <w:bCs/>
          <w:sz w:val="29"/>
          <w:szCs w:val="29"/>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73" w:lineRule="auto"/>
        <w:ind w:right="1139" w:firstLine="480"/>
        <w:jc w:val="both"/>
      </w:pPr>
      <w:r>
        <w:rPr/>
        <w:t>本集团现金及现金等价物包括库存现金、可以随时用于支付的存款以及本集团持有的期 限短（一般为从购买日起，三个月内到期）、流动性强、易于转换为已知金额的现金、价值</w:t>
      </w:r>
      <w:r>
        <w:rPr>
          <w:spacing w:val="-91"/>
        </w:rPr>
        <w:t> </w:t>
      </w:r>
      <w:r>
        <w:rPr>
          <w:spacing w:val="-91"/>
        </w:rPr>
      </w:r>
      <w:r>
        <w:rPr/>
        <w:t>变动风险很小的投资。</w:t>
      </w:r>
    </w:p>
    <w:p>
      <w:pPr>
        <w:spacing w:line="240" w:lineRule="auto" w:before="8"/>
        <w:rPr>
          <w:rFonts w:ascii="宋体" w:hAnsi="宋体" w:cs="宋体" w:eastAsia="宋体" w:hint="default"/>
          <w:sz w:val="25"/>
          <w:szCs w:val="25"/>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3"/>
        <w:rPr>
          <w:rFonts w:ascii="宋体" w:hAnsi="宋体" w:cs="宋体" w:eastAsia="宋体" w:hint="default"/>
          <w:b/>
          <w:bCs/>
          <w:sz w:val="28"/>
          <w:szCs w:val="28"/>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）外币业务</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pStyle w:val="BodyText"/>
        <w:spacing w:line="273" w:lineRule="auto"/>
        <w:ind w:right="1139" w:firstLine="480"/>
        <w:jc w:val="both"/>
      </w:pPr>
      <w:r>
        <w:rPr/>
        <w:t>本集团发生的外币交易在初始确认时，按交易日的即期汇率（通常指中国人民银行公布 的当日外汇牌价的中间价，下同）折算为记账本位币金额，但公司发生的外币兑换业务或涉</w:t>
      </w:r>
      <w:r>
        <w:rPr>
          <w:spacing w:val="-91"/>
        </w:rPr>
        <w:t> </w:t>
      </w:r>
      <w:r>
        <w:rPr>
          <w:spacing w:val="-91"/>
        </w:rPr>
      </w:r>
      <w:r>
        <w:rPr/>
        <w:t>及外币兑换的交易事项，按照实际采用的汇率折算为记账本位币金额。</w:t>
      </w:r>
    </w:p>
    <w:p>
      <w:pPr>
        <w:pStyle w:val="BodyText"/>
        <w:spacing w:line="273" w:lineRule="auto" w:before="12"/>
        <w:ind w:right="1139" w:firstLine="480"/>
        <w:jc w:val="both"/>
      </w:pPr>
      <w:r>
        <w:rPr/>
        <w:t>资产负债表日，对于外币货币性项目采用资产负债表日即期汇率折算，由此产生的汇兑 差额，除：①属于与购建符合资本化条件的资产相关的外币专门借款产生的汇兑差额按照借</w:t>
      </w:r>
      <w:r>
        <w:rPr>
          <w:spacing w:val="-91"/>
        </w:rPr>
        <w:t> </w:t>
      </w:r>
      <w:r>
        <w:rPr>
          <w:spacing w:val="-91"/>
        </w:rPr>
      </w:r>
      <w:r>
        <w:rPr/>
        <w:t>款费用资本化的原则处理；②可供出售的外币货币性项目除摊余成本之外的其他账面余额变</w:t>
      </w:r>
    </w:p>
    <w:p>
      <w:pPr>
        <w:spacing w:after="0" w:line="273" w:lineRule="auto"/>
        <w:jc w:val="both"/>
        <w:sectPr>
          <w:footerReference w:type="default" r:id="rId54"/>
          <w:pgSz w:w="11910" w:h="16840"/>
          <w:pgMar w:footer="1295" w:header="877" w:top="1060" w:bottom="1480" w:left="980" w:right="0"/>
          <w:pgNumType w:start="97"/>
        </w:sectPr>
      </w:pPr>
    </w:p>
    <w:p>
      <w:pPr>
        <w:spacing w:line="240" w:lineRule="auto" w:before="6"/>
        <w:rPr>
          <w:rFonts w:ascii="宋体" w:hAnsi="宋体" w:cs="宋体" w:eastAsia="宋体" w:hint="default"/>
          <w:sz w:val="25"/>
          <w:szCs w:val="25"/>
        </w:rPr>
      </w:pPr>
    </w:p>
    <w:p>
      <w:pPr>
        <w:pStyle w:val="BodyText"/>
        <w:spacing w:line="273" w:lineRule="auto" w:before="26"/>
        <w:ind w:left="1113" w:right="1125" w:hanging="961"/>
        <w:jc w:val="left"/>
      </w:pPr>
      <w:r>
        <w:rPr/>
        <w:t>动产生的汇兑差额计入其他综合收益之外，均计入当期损益。 以历史成本计量的外币非货币性项目，仍采用交易发生日的即期汇率折算的记账本</w:t>
      </w:r>
    </w:p>
    <w:p>
      <w:pPr>
        <w:pStyle w:val="BodyText"/>
        <w:spacing w:line="273" w:lineRule="auto" w:before="12"/>
        <w:ind w:right="996"/>
        <w:jc w:val="left"/>
      </w:pPr>
      <w:r>
        <w:rPr>
          <w:spacing w:val="-2"/>
        </w:rPr>
        <w:t>位币金额计量。以公允价值计量的外币非货币性项目，采用公允价值确定日的即期汇率折算，</w:t>
      </w:r>
      <w:r>
        <w:rPr/>
        <w:t> 折算后的记账本位币金额与原记账本位币金额的差额，作为公允价值变动（含汇率变动）处</w:t>
      </w:r>
      <w:r>
        <w:rPr>
          <w:spacing w:val="-89"/>
        </w:rPr>
        <w:t> </w:t>
      </w:r>
      <w:r>
        <w:rPr>
          <w:spacing w:val="-89"/>
        </w:rPr>
      </w:r>
      <w:r>
        <w:rPr/>
        <w:t>理，计入当期损益或确认为其他综合收益并计入资本公积。</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9"/>
          <w:szCs w:val="29"/>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sz w:val="21"/>
          <w:szCs w:val="21"/>
        </w:rPr>
      </w:r>
    </w:p>
    <w:p>
      <w:pPr>
        <w:spacing w:line="240" w:lineRule="auto" w:before="0"/>
        <w:rPr>
          <w:rFonts w:ascii="宋体" w:hAnsi="宋体" w:cs="宋体" w:eastAsia="宋体" w:hint="default"/>
          <w:b/>
          <w:bCs/>
          <w:sz w:val="28"/>
          <w:szCs w:val="28"/>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1113" w:right="1125"/>
        <w:jc w:val="left"/>
      </w:pPr>
      <w:r>
        <w:rPr/>
        <w:t>金融工具包括金融资产、金融负债和权益工具。</w:t>
      </w:r>
    </w:p>
    <w:p>
      <w:pPr>
        <w:spacing w:line="240" w:lineRule="auto" w:before="3"/>
        <w:rPr>
          <w:rFonts w:ascii="宋体" w:hAnsi="宋体" w:cs="宋体" w:eastAsia="宋体" w:hint="default"/>
          <w:sz w:val="28"/>
          <w:szCs w:val="28"/>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633" w:right="1125"/>
        <w:jc w:val="left"/>
      </w:pPr>
      <w:r>
        <w:rPr>
          <w:rFonts w:ascii="宋体" w:hAnsi="宋体" w:cs="宋体" w:eastAsia="宋体" w:hint="default"/>
        </w:rPr>
        <w:t>A</w:t>
      </w:r>
      <w:r>
        <w:rPr/>
        <w:t>、金融资产的分类</w:t>
      </w:r>
    </w:p>
    <w:p>
      <w:pPr>
        <w:pStyle w:val="BodyText"/>
        <w:spacing w:line="273" w:lineRule="auto" w:before="43"/>
        <w:ind w:left="633" w:right="1125"/>
        <w:jc w:val="left"/>
      </w:pPr>
      <w:r>
        <w:rPr/>
        <w:t>① 以公允价值计量且其变动计入当期损益的金融资产 包括交易性金融资产和指定为以公允价值计量且其变动计入当期损益的金融资产。 </w:t>
      </w:r>
      <w:r>
        <w:rPr>
          <w:spacing w:val="-3"/>
        </w:rPr>
        <w:t>交易性金融资产是指满足下列条件之一的金融资产：</w:t>
      </w:r>
      <w:r>
        <w:rPr>
          <w:rFonts w:ascii="宋体" w:hAnsi="宋体" w:cs="宋体" w:eastAsia="宋体" w:hint="default"/>
          <w:spacing w:val="-3"/>
        </w:rPr>
        <w:t>A</w:t>
      </w:r>
      <w:r>
        <w:rPr>
          <w:spacing w:val="-3"/>
        </w:rPr>
        <w:t>取得该金融资产的目的，主要是为</w:t>
      </w:r>
    </w:p>
    <w:p>
      <w:pPr>
        <w:pStyle w:val="BodyText"/>
        <w:spacing w:line="273" w:lineRule="auto" w:before="12"/>
        <w:ind w:right="1129"/>
        <w:jc w:val="both"/>
      </w:pPr>
      <w:r>
        <w:rPr>
          <w:spacing w:val="-2"/>
        </w:rPr>
        <w:t>了近期内出售；</w:t>
      </w:r>
      <w:r>
        <w:rPr>
          <w:rFonts w:ascii="宋体" w:hAnsi="宋体" w:cs="宋体" w:eastAsia="宋体" w:hint="default"/>
          <w:spacing w:val="-2"/>
        </w:rPr>
        <w:t>B</w:t>
      </w:r>
      <w:r>
        <w:rPr>
          <w:spacing w:val="-2"/>
        </w:rPr>
        <w:t>属于进行集中管理的可辨认金融工具组合的一部分，且有客观证据表明本集</w:t>
      </w:r>
      <w:r>
        <w:rPr/>
        <w:t> </w:t>
      </w:r>
      <w:r>
        <w:rPr>
          <w:spacing w:val="-2"/>
        </w:rPr>
        <w:t>团近期采用短期获利方式对该组合进行管理；</w:t>
      </w:r>
      <w:r>
        <w:rPr>
          <w:rFonts w:ascii="宋体" w:hAnsi="宋体" w:cs="宋体" w:eastAsia="宋体" w:hint="default"/>
          <w:spacing w:val="-2"/>
        </w:rPr>
        <w:t>C</w:t>
      </w:r>
      <w:r>
        <w:rPr>
          <w:spacing w:val="-2"/>
        </w:rPr>
        <w:t>属于衍生工具，但是，被指定且为有效套期工</w:t>
      </w:r>
      <w:r>
        <w:rPr>
          <w:spacing w:val="-118"/>
        </w:rPr>
        <w:t> </w:t>
      </w:r>
      <w:r>
        <w:rPr>
          <w:spacing w:val="-118"/>
        </w:rPr>
      </w:r>
      <w:r>
        <w:rPr/>
        <w:t>具的衍生工具、属于财务担保合同的衍生工具、与在活跃市场中没有报价且其公允价值不能</w:t>
      </w:r>
      <w:r>
        <w:rPr>
          <w:spacing w:val="-91"/>
        </w:rPr>
        <w:t> </w:t>
      </w:r>
      <w:r>
        <w:rPr>
          <w:spacing w:val="-91"/>
        </w:rPr>
      </w:r>
      <w:r>
        <w:rPr/>
        <w:t>可靠计量的权益工具投资挂钩并须通过交付该权益工具结算的衍生工具除外。</w:t>
      </w:r>
    </w:p>
    <w:p>
      <w:pPr>
        <w:pStyle w:val="BodyText"/>
        <w:spacing w:line="273" w:lineRule="auto" w:before="12"/>
        <w:ind w:right="1132" w:firstLine="480"/>
        <w:jc w:val="both"/>
      </w:pPr>
      <w:r>
        <w:rPr/>
        <w:t>符合下述条件之一的金融资产，在初始确认时可指定为以公允价值计量且其变动计入当 </w:t>
      </w:r>
      <w:r>
        <w:rPr>
          <w:spacing w:val="-2"/>
        </w:rPr>
        <w:t>期损益的金融资产：</w:t>
      </w:r>
      <w:r>
        <w:rPr>
          <w:rFonts w:ascii="宋体" w:hAnsi="宋体" w:cs="宋体" w:eastAsia="宋体" w:hint="default"/>
          <w:spacing w:val="-2"/>
        </w:rPr>
        <w:t>A</w:t>
      </w:r>
      <w:r>
        <w:rPr>
          <w:spacing w:val="-2"/>
        </w:rPr>
        <w:t>该指定可以消除或明显减少由于该金融资产的计量基础不同所导致的相</w:t>
      </w:r>
      <w:r>
        <w:rPr/>
        <w:t> </w:t>
      </w:r>
      <w:r>
        <w:rPr>
          <w:spacing w:val="-2"/>
        </w:rPr>
        <w:t>关利得或损失在确认或计量方面不一致的情况；</w:t>
      </w:r>
      <w:r>
        <w:rPr>
          <w:rFonts w:ascii="宋体" w:hAnsi="宋体" w:cs="宋体" w:eastAsia="宋体" w:hint="default"/>
          <w:spacing w:val="-2"/>
        </w:rPr>
        <w:t>B</w:t>
      </w:r>
      <w:r>
        <w:rPr>
          <w:spacing w:val="-2"/>
        </w:rPr>
        <w:t>本集团风险管理或投资策略的正式书面文件</w:t>
      </w:r>
      <w:r>
        <w:rPr/>
        <w:t> 已载明，对该金融资产所在的金融资产组合或金融资产和金融负债组合以公允价值为基础进</w:t>
      </w:r>
      <w:r>
        <w:rPr>
          <w:spacing w:val="-89"/>
        </w:rPr>
        <w:t> </w:t>
      </w:r>
      <w:r>
        <w:rPr>
          <w:spacing w:val="-89"/>
        </w:rPr>
      </w:r>
      <w:r>
        <w:rPr/>
        <w:t>行管理、评价并向关键管理人员报告。</w:t>
      </w:r>
    </w:p>
    <w:p>
      <w:pPr>
        <w:pStyle w:val="BodyText"/>
        <w:spacing w:line="276" w:lineRule="auto" w:before="10"/>
        <w:ind w:left="633" w:right="1125"/>
        <w:jc w:val="left"/>
      </w:pPr>
      <w:r>
        <w:rPr/>
        <w:t>② 持有至到期投资 是指到期日固定、回收金额固定或可确定，且本集团有明确意图和能力持有至到期的非</w:t>
      </w:r>
    </w:p>
    <w:p>
      <w:pPr>
        <w:pStyle w:val="BodyText"/>
        <w:spacing w:line="240" w:lineRule="auto" w:before="7"/>
        <w:ind w:right="1125"/>
        <w:jc w:val="left"/>
      </w:pPr>
      <w:r>
        <w:rPr/>
        <w:t>衍生金融资产。</w:t>
      </w:r>
    </w:p>
    <w:p>
      <w:pPr>
        <w:pStyle w:val="BodyText"/>
        <w:spacing w:line="273" w:lineRule="auto" w:before="46"/>
        <w:ind w:left="633" w:right="1125"/>
        <w:jc w:val="left"/>
      </w:pPr>
      <w:r>
        <w:rPr/>
        <w:t>③ 贷款和应收款项 是指在活跃市场中没有报价、回收金额固定或可确定的非衍生金融资产。本集团划分为</w:t>
      </w:r>
    </w:p>
    <w:p>
      <w:pPr>
        <w:pStyle w:val="BodyText"/>
        <w:spacing w:line="240" w:lineRule="auto" w:before="12"/>
        <w:ind w:right="1125"/>
        <w:jc w:val="left"/>
      </w:pPr>
      <w:r>
        <w:rPr/>
        <w:t>贷款和应收款的金融资产包括应收票据、应收账款、应收利息、应收股利及其他应收款等。</w:t>
      </w:r>
    </w:p>
    <w:p>
      <w:pPr>
        <w:pStyle w:val="BodyText"/>
        <w:spacing w:line="276" w:lineRule="auto" w:before="43"/>
        <w:ind w:left="633" w:right="1125"/>
        <w:jc w:val="left"/>
      </w:pPr>
      <w:r>
        <w:rPr/>
        <w:t>④ 可供出售金融资产 包括初始确认时即被指定为可供出售的非衍生金融资产，以及除了以公允价值计量且其</w:t>
      </w:r>
    </w:p>
    <w:p>
      <w:pPr>
        <w:pStyle w:val="BodyText"/>
        <w:spacing w:line="276" w:lineRule="auto" w:before="7"/>
        <w:ind w:left="633" w:right="1874" w:hanging="481"/>
        <w:jc w:val="left"/>
      </w:pPr>
      <w:r>
        <w:rPr/>
        <w:t>变动计入当期损益的金融资产、贷款和应收款项、持有至到期投资以外的金融资产。 </w:t>
      </w:r>
      <w:r>
        <w:rPr>
          <w:rFonts w:ascii="宋体" w:hAnsi="宋体" w:cs="宋体" w:eastAsia="宋体" w:hint="default"/>
        </w:rPr>
        <w:t>B</w:t>
      </w:r>
      <w:r>
        <w:rPr/>
        <w:t>、金融负债的分类</w:t>
      </w:r>
    </w:p>
    <w:p>
      <w:pPr>
        <w:pStyle w:val="BodyText"/>
        <w:spacing w:line="240" w:lineRule="auto" w:before="7"/>
        <w:ind w:left="633" w:right="1125"/>
        <w:jc w:val="left"/>
      </w:pPr>
      <w:r>
        <w:rPr/>
        <w:t>① 以公允价值计量且其变动计入当期损益的金融负债</w:t>
      </w:r>
    </w:p>
    <w:p>
      <w:pPr>
        <w:spacing w:after="0" w:line="240" w:lineRule="auto"/>
        <w:jc w:val="left"/>
        <w:sectPr>
          <w:pgSz w:w="11910" w:h="16840"/>
          <w:pgMar w:header="877" w:footer="1295" w:top="1060" w:bottom="1480" w:left="980" w:right="0"/>
        </w:sectPr>
      </w:pPr>
    </w:p>
    <w:p>
      <w:pPr>
        <w:spacing w:line="240" w:lineRule="auto" w:before="6"/>
        <w:rPr>
          <w:rFonts w:ascii="宋体" w:hAnsi="宋体" w:cs="宋体" w:eastAsia="宋体" w:hint="default"/>
          <w:sz w:val="25"/>
          <w:szCs w:val="25"/>
        </w:rPr>
      </w:pPr>
    </w:p>
    <w:p>
      <w:pPr>
        <w:pStyle w:val="BodyText"/>
        <w:spacing w:line="273" w:lineRule="auto" w:before="26"/>
        <w:ind w:right="1139" w:firstLine="480"/>
        <w:jc w:val="both"/>
      </w:pPr>
      <w:r>
        <w:rPr/>
        <w:t>分类为交易性金融负债和在初始确认时指定为以公允价值计量且其变动计入当期损益的 金融负债的条件与分类为交易性金融资产和在初始确认时指定为以公允价值计量且其变动计</w:t>
      </w:r>
      <w:r>
        <w:rPr>
          <w:spacing w:val="-91"/>
        </w:rPr>
        <w:t> </w:t>
      </w:r>
      <w:r>
        <w:rPr>
          <w:spacing w:val="-91"/>
        </w:rPr>
      </w:r>
      <w:r>
        <w:rPr/>
        <w:t>入当期损益的金融资产的条件一致。</w:t>
      </w:r>
    </w:p>
    <w:p>
      <w:pPr>
        <w:pStyle w:val="BodyText"/>
        <w:spacing w:line="240" w:lineRule="auto" w:before="10"/>
        <w:ind w:left="633" w:right="1125"/>
        <w:jc w:val="left"/>
      </w:pPr>
      <w:r>
        <w:rPr/>
        <w:t>② 其他金融负债</w:t>
      </w:r>
    </w:p>
    <w:p>
      <w:pPr>
        <w:spacing w:line="240" w:lineRule="auto" w:before="5"/>
        <w:rPr>
          <w:rFonts w:ascii="宋体" w:hAnsi="宋体" w:cs="宋体" w:eastAsia="宋体" w:hint="default"/>
          <w:sz w:val="28"/>
          <w:szCs w:val="28"/>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）金融工具的确认依据和计量方法</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pStyle w:val="BodyText"/>
        <w:spacing w:line="276" w:lineRule="auto"/>
        <w:ind w:left="633" w:right="1125"/>
        <w:jc w:val="left"/>
      </w:pPr>
      <w:r>
        <w:rPr>
          <w:rFonts w:ascii="宋体" w:hAnsi="宋体" w:cs="宋体" w:eastAsia="宋体" w:hint="default"/>
        </w:rPr>
        <w:t>A</w:t>
      </w:r>
      <w:r>
        <w:rPr/>
        <w:t>、金融资产 以常规方式买卖金融资产，按交易日进行会计确认和终止确认。金融资产在初始确认时</w:t>
      </w:r>
    </w:p>
    <w:p>
      <w:pPr>
        <w:pStyle w:val="BodyText"/>
        <w:spacing w:line="273" w:lineRule="auto" w:before="7"/>
        <w:ind w:right="1134"/>
        <w:jc w:val="both"/>
      </w:pPr>
      <w:r>
        <w:rPr/>
        <w:t>划分为以公允价值计量且其变动计入当期损益的金融资产、持有至到期投资、贷款和应收款</w:t>
      </w:r>
      <w:r>
        <w:rPr>
          <w:spacing w:val="-86"/>
        </w:rPr>
        <w:t> </w:t>
      </w:r>
      <w:r>
        <w:rPr>
          <w:spacing w:val="-86"/>
        </w:rPr>
      </w:r>
      <w:r>
        <w:rPr/>
        <w:t>项以及可供出售金融资产。初始确认金融资产，以公允价值计量。对于以公允价值计量且其</w:t>
      </w:r>
      <w:r>
        <w:rPr>
          <w:spacing w:val="-91"/>
        </w:rPr>
        <w:t> </w:t>
      </w:r>
      <w:r>
        <w:rPr>
          <w:spacing w:val="-91"/>
        </w:rPr>
      </w:r>
      <w:r>
        <w:rPr/>
        <w:t>变动计入当期损益的金融资产，相关的交易费用直接计入当期损益，对于其他类别的金融资</w:t>
      </w:r>
      <w:r>
        <w:rPr>
          <w:spacing w:val="-91"/>
        </w:rPr>
        <w:t> </w:t>
      </w:r>
      <w:r>
        <w:rPr>
          <w:spacing w:val="-91"/>
        </w:rPr>
      </w:r>
      <w:r>
        <w:rPr/>
        <w:t>产，相关交易费用计入初始确认金额。</w:t>
      </w:r>
    </w:p>
    <w:p>
      <w:pPr>
        <w:pStyle w:val="BodyText"/>
        <w:spacing w:line="276" w:lineRule="auto" w:before="10"/>
        <w:ind w:left="633" w:right="1125"/>
        <w:jc w:val="left"/>
      </w:pPr>
      <w:r>
        <w:rPr/>
        <w:t>① 以公允价值计量且其变动计入当期损益的金融资产 以公允价值计量且其变动计入当期损益的金融资产采用公允价值进行后续计量，公允价</w:t>
      </w:r>
    </w:p>
    <w:p>
      <w:pPr>
        <w:pStyle w:val="BodyText"/>
        <w:spacing w:line="240" w:lineRule="auto" w:before="7"/>
        <w:ind w:right="0"/>
        <w:jc w:val="both"/>
      </w:pPr>
      <w:r>
        <w:rPr/>
        <w:t>值变动形成的利得或损失以及与该等金融资产相关的股利和利息收入计入当期损益。</w:t>
      </w:r>
    </w:p>
    <w:p>
      <w:pPr>
        <w:pStyle w:val="BodyText"/>
        <w:spacing w:line="273" w:lineRule="auto" w:before="46"/>
        <w:ind w:left="633" w:right="1125"/>
        <w:jc w:val="left"/>
      </w:pPr>
      <w:r>
        <w:rPr/>
        <w:t>② 持有至到期投资 持有至到期投资采用实际利率法，按摊余成本进行后续计量，在终止确认、发生减值或</w:t>
      </w:r>
    </w:p>
    <w:p>
      <w:pPr>
        <w:pStyle w:val="BodyText"/>
        <w:spacing w:line="273" w:lineRule="auto" w:before="12"/>
        <w:ind w:left="633" w:right="1125" w:hanging="481"/>
        <w:jc w:val="left"/>
      </w:pPr>
      <w:r>
        <w:rPr/>
        <w:t>摊销时产生的利得或损失，计入当期损益。 实际利率法是指按照金融资产或金融负债（含一组金融资产或金融负债）的实际利率计</w:t>
      </w:r>
    </w:p>
    <w:p>
      <w:pPr>
        <w:pStyle w:val="BodyText"/>
        <w:spacing w:line="273" w:lineRule="auto" w:before="12"/>
        <w:ind w:right="1139"/>
        <w:jc w:val="both"/>
      </w:pPr>
      <w:r>
        <w:rPr/>
        <w:t>算其摊余成本及各期利息收入或支出的方法。实际利率是指将金融资产或金融负债在预期存</w:t>
      </w:r>
      <w:r>
        <w:rPr>
          <w:spacing w:val="-91"/>
        </w:rPr>
        <w:t> </w:t>
      </w:r>
      <w:r>
        <w:rPr>
          <w:spacing w:val="-91"/>
        </w:rPr>
      </w:r>
      <w:r>
        <w:rPr/>
        <w:t>续期间或适用的更短期间内的未来现金流量，折现为该金融资产或金融负债当前账面价值所</w:t>
      </w:r>
      <w:r>
        <w:rPr>
          <w:spacing w:val="-91"/>
        </w:rPr>
        <w:t> </w:t>
      </w:r>
      <w:r>
        <w:rPr>
          <w:spacing w:val="-91"/>
        </w:rPr>
      </w:r>
      <w:r>
        <w:rPr/>
        <w:t>使用的利率。</w:t>
      </w:r>
    </w:p>
    <w:p>
      <w:pPr>
        <w:pStyle w:val="BodyText"/>
        <w:spacing w:line="273" w:lineRule="auto" w:before="10"/>
        <w:ind w:right="1139" w:firstLine="480"/>
        <w:jc w:val="both"/>
      </w:pPr>
      <w:r>
        <w:rPr/>
        <w:t>在计算实际利率时，本集团将在考虑金融资产或金融负债所有合同条款的基础上预计未 来现金流量（不考虑未来的信用损失），同时还将考虑金融资产或金融负债合同各方之间支</w:t>
      </w:r>
      <w:r>
        <w:rPr>
          <w:spacing w:val="-91"/>
        </w:rPr>
        <w:t> </w:t>
      </w:r>
      <w:r>
        <w:rPr>
          <w:spacing w:val="-91"/>
        </w:rPr>
      </w:r>
      <w:r>
        <w:rPr/>
        <w:t>付或收取的、属于实际利率组成部分的各项收费、交易费用及折价或溢价等。</w:t>
      </w:r>
    </w:p>
    <w:p>
      <w:pPr>
        <w:pStyle w:val="BodyText"/>
        <w:spacing w:line="273" w:lineRule="auto" w:before="12"/>
        <w:ind w:left="633" w:right="1125"/>
        <w:jc w:val="left"/>
      </w:pPr>
      <w:r>
        <w:rPr/>
        <w:t>③ 贷款和应收款项 贷款和应收款项采用实际利率法，按摊余成本进行后续计量，在终止确认、发生减值或</w:t>
      </w:r>
    </w:p>
    <w:p>
      <w:pPr>
        <w:pStyle w:val="BodyText"/>
        <w:spacing w:line="240" w:lineRule="auto" w:before="12"/>
        <w:ind w:right="0"/>
        <w:jc w:val="both"/>
      </w:pPr>
      <w:r>
        <w:rPr/>
        <w:t>摊销时产生的利得或损失，计入当期损益。</w:t>
      </w:r>
    </w:p>
    <w:p>
      <w:pPr>
        <w:pStyle w:val="BodyText"/>
        <w:spacing w:line="276" w:lineRule="auto" w:before="43"/>
        <w:ind w:left="633" w:right="1125"/>
        <w:jc w:val="left"/>
      </w:pPr>
      <w:r>
        <w:rPr/>
        <w:t>④ 可供出售金融资产 可供出售金融资产采用公允价值进行后续计量，公允价值变动形成的利得或损失，除减</w:t>
      </w:r>
    </w:p>
    <w:p>
      <w:pPr>
        <w:pStyle w:val="BodyText"/>
        <w:spacing w:line="276" w:lineRule="auto" w:before="8"/>
        <w:ind w:right="1139"/>
        <w:jc w:val="both"/>
      </w:pPr>
      <w:r>
        <w:rPr/>
        <w:t>值损失和外币货币性金融资产与摊余成本相关的汇兑差额计入当期损益外，确认为其他综合</w:t>
      </w:r>
      <w:r>
        <w:rPr>
          <w:spacing w:val="-91"/>
        </w:rPr>
        <w:t> </w:t>
      </w:r>
      <w:r>
        <w:rPr>
          <w:spacing w:val="-91"/>
        </w:rPr>
      </w:r>
      <w:r>
        <w:rPr/>
        <w:t>收益并计入资本公积，在该金融资产终止确认时转出，计入当期损益。</w:t>
      </w:r>
    </w:p>
    <w:p>
      <w:pPr>
        <w:pStyle w:val="BodyText"/>
        <w:spacing w:line="240" w:lineRule="auto" w:before="7"/>
        <w:ind w:left="633" w:right="1125"/>
        <w:jc w:val="left"/>
      </w:pPr>
      <w:r>
        <w:rPr/>
        <w:t>可供出售金融资产持有期间取得的利息及被投资单位宣告发放的现金股利，计入投资收</w:t>
      </w:r>
    </w:p>
    <w:p>
      <w:pPr>
        <w:pStyle w:val="BodyText"/>
        <w:spacing w:line="240" w:lineRule="auto" w:before="46"/>
        <w:ind w:right="1125"/>
        <w:jc w:val="left"/>
      </w:pPr>
      <w:r>
        <w:rPr/>
        <w:t>益。</w:t>
      </w:r>
    </w:p>
    <w:p>
      <w:pPr>
        <w:pStyle w:val="BodyText"/>
        <w:spacing w:line="276" w:lineRule="auto" w:before="43"/>
        <w:ind w:left="633" w:right="1125"/>
        <w:jc w:val="left"/>
      </w:pPr>
      <w:r>
        <w:rPr>
          <w:rFonts w:ascii="宋体" w:hAnsi="宋体" w:cs="宋体" w:eastAsia="宋体" w:hint="default"/>
        </w:rPr>
        <w:t>B</w:t>
      </w:r>
      <w:r>
        <w:rPr/>
        <w:t>、金融负债 金融负债在初始确认时划分为以公允价值计量且其变动计入当期损益的金融负债和其他</w:t>
      </w:r>
    </w:p>
    <w:p>
      <w:pPr>
        <w:pStyle w:val="BodyText"/>
        <w:spacing w:line="276" w:lineRule="auto" w:before="7"/>
        <w:ind w:right="1125"/>
        <w:jc w:val="left"/>
      </w:pPr>
      <w:r>
        <w:rPr/>
        <w:t>金融负债。初始确认金融负债，以公允价值计量。对于以公允价值计量且其变动计入当期损</w:t>
      </w:r>
      <w:r>
        <w:rPr>
          <w:spacing w:val="-91"/>
        </w:rPr>
        <w:t> </w:t>
      </w:r>
      <w:r>
        <w:rPr>
          <w:spacing w:val="-91"/>
        </w:rPr>
      </w:r>
      <w:r>
        <w:rPr/>
        <w:t>益的金融负债，相关的交易费用直接计入当期损益，对于其他金融负债，相关交易费用计入</w:t>
      </w:r>
    </w:p>
    <w:p>
      <w:pPr>
        <w:spacing w:after="0" w:line="276" w:lineRule="auto"/>
        <w:jc w:val="left"/>
        <w:sectPr>
          <w:pgSz w:w="11910" w:h="16840"/>
          <w:pgMar w:header="877" w:footer="1295" w:top="1060" w:bottom="1480" w:left="980" w:right="0"/>
        </w:sectPr>
      </w:pPr>
    </w:p>
    <w:p>
      <w:pPr>
        <w:spacing w:line="240" w:lineRule="auto" w:before="6"/>
        <w:rPr>
          <w:rFonts w:ascii="宋体" w:hAnsi="宋体" w:cs="宋体" w:eastAsia="宋体" w:hint="default"/>
          <w:sz w:val="25"/>
          <w:szCs w:val="25"/>
        </w:rPr>
      </w:pPr>
    </w:p>
    <w:p>
      <w:pPr>
        <w:pStyle w:val="BodyText"/>
        <w:spacing w:line="240" w:lineRule="auto" w:before="26"/>
        <w:ind w:right="1125"/>
        <w:jc w:val="left"/>
      </w:pPr>
      <w:r>
        <w:rPr/>
        <w:t>初始确认金额。</w:t>
      </w:r>
    </w:p>
    <w:p>
      <w:pPr>
        <w:pStyle w:val="BodyText"/>
        <w:spacing w:line="276" w:lineRule="auto" w:before="44"/>
        <w:ind w:left="633" w:right="1125"/>
        <w:jc w:val="left"/>
      </w:pPr>
      <w:r>
        <w:rPr/>
        <w:t>① 以公允价值计量且其变动计入当期损益的金融负债 以公允价值计量且其变动计入当期损益的金融负债采用公允价值进行后续计量，公允价</w:t>
      </w:r>
    </w:p>
    <w:p>
      <w:pPr>
        <w:pStyle w:val="BodyText"/>
        <w:spacing w:line="240" w:lineRule="auto" w:before="7"/>
        <w:ind w:right="1125"/>
        <w:jc w:val="left"/>
      </w:pPr>
      <w:r>
        <w:rPr/>
        <w:t>值的变动形成的利得或损失以及与该等金融负债相关的股利和利息支出计入当期损益。</w:t>
      </w:r>
    </w:p>
    <w:p>
      <w:pPr>
        <w:pStyle w:val="BodyText"/>
        <w:spacing w:line="273" w:lineRule="auto" w:before="46"/>
        <w:ind w:left="1113" w:right="1125" w:hanging="480"/>
        <w:jc w:val="left"/>
      </w:pPr>
      <w:r>
        <w:rPr/>
        <w:t>② 其他金融负债 与在活跃市场中没有报价、公允价值不能可靠计量的权益工具挂钩并须通过交付该</w:t>
      </w:r>
    </w:p>
    <w:p>
      <w:pPr>
        <w:pStyle w:val="BodyText"/>
        <w:spacing w:line="273" w:lineRule="auto" w:before="12"/>
        <w:ind w:right="1125"/>
        <w:jc w:val="left"/>
      </w:pPr>
      <w:r>
        <w:rPr/>
        <w:t>权益工具结算的衍生金融负债，按照成本进行后续计量。其他金融负债采用实际利率法，按</w:t>
      </w:r>
      <w:r>
        <w:rPr>
          <w:spacing w:val="-91"/>
        </w:rPr>
        <w:t> </w:t>
      </w:r>
      <w:r>
        <w:rPr>
          <w:spacing w:val="-91"/>
        </w:rPr>
      </w:r>
      <w:r>
        <w:rPr/>
        <w:t>摊余成本进行后续计量，终止确认或摊销产生的利得或损失计入当期损益。</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9"/>
          <w:szCs w:val="29"/>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73" w:lineRule="auto"/>
        <w:ind w:right="1051" w:firstLine="480"/>
        <w:jc w:val="both"/>
      </w:pPr>
      <w:r>
        <w:rPr>
          <w:spacing w:val="-4"/>
        </w:rPr>
        <w:t>满足下列条件之一的金融资产，予以终止确认：①</w:t>
      </w:r>
      <w:r>
        <w:rPr>
          <w:spacing w:val="3"/>
        </w:rPr>
        <w:t> </w:t>
      </w:r>
      <w:r>
        <w:rPr/>
        <w:t>收取该金融资产现金流量的合同权利</w:t>
      </w:r>
      <w:r>
        <w:rPr/>
        <w:t> 终止；② 该金融资产已转移，且将金融资产所有权上几乎所有的风险和报酬转移给转入方；</w:t>
      </w:r>
    </w:p>
    <w:p>
      <w:pPr>
        <w:pStyle w:val="BodyText"/>
        <w:spacing w:line="273" w:lineRule="auto" w:before="12"/>
        <w:ind w:right="1125"/>
        <w:jc w:val="left"/>
      </w:pPr>
      <w:r>
        <w:rPr/>
        <w:t>③该金融资产已转移，虽然企业既没有转移也没有保留金融资产所有权上几乎所有的风险和</w:t>
      </w:r>
      <w:r>
        <w:rPr>
          <w:spacing w:val="-91"/>
        </w:rPr>
        <w:t> </w:t>
      </w:r>
      <w:r>
        <w:rPr>
          <w:spacing w:val="-91"/>
        </w:rPr>
      </w:r>
      <w:r>
        <w:rPr/>
        <w:t>报酬，但是放弃了对该金融资产控制。</w:t>
      </w:r>
    </w:p>
    <w:p>
      <w:pPr>
        <w:pStyle w:val="BodyText"/>
        <w:spacing w:line="273" w:lineRule="auto" w:before="12"/>
        <w:ind w:right="1139" w:firstLine="480"/>
        <w:jc w:val="both"/>
      </w:pPr>
      <w:r>
        <w:rPr/>
        <w:t>若企业既没有转移也没有保留金融资产所有权上几乎所有的风险和报酬，且未放弃对该 金融资产的控制的，则按照继续涉入所转移金融资产的程度确认有关金融资产，并相应确认</w:t>
      </w:r>
      <w:r>
        <w:rPr>
          <w:spacing w:val="-91"/>
        </w:rPr>
        <w:t> </w:t>
      </w:r>
      <w:r>
        <w:rPr>
          <w:spacing w:val="-91"/>
        </w:rPr>
      </w:r>
      <w:r>
        <w:rPr/>
        <w:t>有关负债。继续涉入所转移金融资产的程度，是指该金融资产价值变动使企业面临的风险水</w:t>
      </w:r>
      <w:r>
        <w:rPr>
          <w:spacing w:val="-91"/>
        </w:rPr>
        <w:t> </w:t>
      </w:r>
      <w:r>
        <w:rPr>
          <w:spacing w:val="-91"/>
        </w:rPr>
      </w:r>
      <w:r>
        <w:rPr/>
        <w:t>平。</w:t>
      </w:r>
    </w:p>
    <w:p>
      <w:pPr>
        <w:pStyle w:val="BodyText"/>
        <w:spacing w:line="273" w:lineRule="auto" w:before="12"/>
        <w:ind w:right="1140" w:firstLine="480"/>
        <w:jc w:val="both"/>
      </w:pPr>
      <w:r>
        <w:rPr/>
        <w:t>金融资产整体转移满足终止确认条件的，将所转移金融资产的账面价值及因转移而收到 的对价与原计入其他综合收益的公允价值变动累计额之和的差额计入当期损益。</w:t>
      </w:r>
    </w:p>
    <w:p>
      <w:pPr>
        <w:pStyle w:val="BodyText"/>
        <w:spacing w:line="273" w:lineRule="auto" w:before="12"/>
        <w:ind w:right="1136" w:firstLine="960"/>
        <w:jc w:val="both"/>
      </w:pPr>
      <w:r>
        <w:rPr/>
        <w:t>金融资产部分转移满足终止确认条件的，将所转移金融资产的账面价值在终止确认 及未终止确认部分之间按其相对的公允价值进行分摊，并将因转移而收到的对价与应分摊至</w:t>
      </w:r>
      <w:r>
        <w:rPr>
          <w:spacing w:val="-91"/>
        </w:rPr>
        <w:t> </w:t>
      </w:r>
      <w:r>
        <w:rPr>
          <w:spacing w:val="-91"/>
        </w:rPr>
      </w:r>
      <w:r>
        <w:rPr/>
        <w:t>终止确认部分的原计入其他综合收益的公允价值变动累计额之和与分摊的前述账面金额之差</w:t>
      </w:r>
      <w:r>
        <w:rPr>
          <w:spacing w:val="-91"/>
        </w:rPr>
        <w:t> </w:t>
      </w:r>
      <w:r>
        <w:rPr>
          <w:spacing w:val="-91"/>
        </w:rPr>
      </w:r>
      <w:r>
        <w:rPr/>
        <w:t>额计入当期损益。</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9"/>
          <w:szCs w:val="29"/>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73" w:lineRule="auto"/>
        <w:ind w:right="1139" w:firstLine="480"/>
        <w:jc w:val="both"/>
      </w:pPr>
      <w:r>
        <w:rPr/>
        <w:t>金融负债的现时义务全部或部分已经解除的，才能终止确认该金融负债或其一部分。本 集团（债务人）与债权人之间签订协议，以承担新金融负债方式替换现存金融负债，且新金</w:t>
      </w:r>
      <w:r>
        <w:rPr>
          <w:spacing w:val="-91"/>
        </w:rPr>
        <w:t> </w:t>
      </w:r>
      <w:r>
        <w:rPr>
          <w:spacing w:val="-91"/>
        </w:rPr>
      </w:r>
      <w:r>
        <w:rPr/>
        <w:t>融负债与现存金融负债的合同条款实质上不同的，终止确认现存金融负债，并同时确认新金</w:t>
      </w:r>
      <w:r>
        <w:rPr>
          <w:spacing w:val="-91"/>
        </w:rPr>
        <w:t> </w:t>
      </w:r>
      <w:r>
        <w:rPr>
          <w:spacing w:val="-91"/>
        </w:rPr>
      </w:r>
      <w:r>
        <w:rPr/>
        <w:t>融负债。</w:t>
      </w:r>
    </w:p>
    <w:p>
      <w:pPr>
        <w:pStyle w:val="BodyText"/>
        <w:spacing w:line="273" w:lineRule="auto" w:before="12"/>
        <w:ind w:right="1140" w:firstLine="480"/>
        <w:jc w:val="both"/>
      </w:pPr>
      <w:r>
        <w:rPr/>
        <w:t>金融负债全部或部分终止确认的，将终止确认部分的账面价值与支付的对价（包括转出 的非现金资产或承担的新金融负债）之间的差额，计入当期损益。</w:t>
      </w:r>
    </w:p>
    <w:p>
      <w:pPr>
        <w:spacing w:after="0" w:line="273" w:lineRule="auto"/>
        <w:jc w:val="both"/>
        <w:sectPr>
          <w:footerReference w:type="default" r:id="rId55"/>
          <w:pgSz w:w="11910" w:h="16840"/>
          <w:pgMar w:footer="1340" w:header="877" w:top="1060" w:bottom="1540" w:left="980" w:right="0"/>
        </w:sectPr>
      </w:pPr>
    </w:p>
    <w:p>
      <w:pPr>
        <w:spacing w:line="240" w:lineRule="auto" w:before="8"/>
        <w:rPr>
          <w:rFonts w:ascii="宋体" w:hAnsi="宋体" w:cs="宋体" w:eastAsia="宋体" w:hint="default"/>
          <w:sz w:val="26"/>
          <w:szCs w:val="26"/>
        </w:rPr>
      </w:pPr>
    </w:p>
    <w:p>
      <w:pPr>
        <w:spacing w:before="36"/>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73" w:lineRule="auto"/>
        <w:ind w:right="1133" w:firstLine="960"/>
        <w:jc w:val="both"/>
      </w:pPr>
      <w:r>
        <w:rPr/>
        <w:t>公允价值，指在公平交易中，熟悉情况的交易双方自愿进行资产交换或债务清偿的 金额。金融工具存在活跃市场的，本集团采用活跃市场中的报价确定其公允价值。活跃市场</w:t>
      </w:r>
      <w:r>
        <w:rPr>
          <w:spacing w:val="-91"/>
        </w:rPr>
        <w:t> </w:t>
      </w:r>
      <w:r>
        <w:rPr>
          <w:spacing w:val="-91"/>
        </w:rPr>
      </w:r>
      <w:r>
        <w:rPr/>
        <w:t>中的报价是指易于定期从交易所、经纪商、行业协会、定价服务机构等获得的价格，且代表</w:t>
      </w:r>
      <w:r>
        <w:rPr>
          <w:spacing w:val="-91"/>
        </w:rPr>
        <w:t> </w:t>
      </w:r>
      <w:r>
        <w:rPr>
          <w:spacing w:val="-91"/>
        </w:rPr>
      </w:r>
      <w:r>
        <w:rPr/>
        <w:t>了在公平交易中实际发生的市场交易的价格。金融工具不存在活跃市场的，本集团采用估值</w:t>
      </w:r>
      <w:r>
        <w:rPr>
          <w:spacing w:val="-91"/>
        </w:rPr>
        <w:t> </w:t>
      </w:r>
      <w:r>
        <w:rPr>
          <w:spacing w:val="-91"/>
        </w:rPr>
      </w:r>
      <w:r>
        <w:rPr/>
        <w:t>技术确定其公允价值。估值技术包括参考熟悉情况并自愿交易的各方最近进行的市场交易中</w:t>
      </w:r>
      <w:r>
        <w:rPr>
          <w:spacing w:val="-91"/>
        </w:rPr>
        <w:t> </w:t>
      </w:r>
      <w:r>
        <w:rPr>
          <w:spacing w:val="-91"/>
        </w:rPr>
      </w:r>
      <w:r>
        <w:rPr/>
        <w:t>使用的价格、参照实质上相同的其他金融工具当前的公允价值、现金流量折现法和期权定价</w:t>
      </w:r>
      <w:r>
        <w:rPr>
          <w:spacing w:val="-86"/>
        </w:rPr>
        <w:t> </w:t>
      </w:r>
      <w:r>
        <w:rPr>
          <w:spacing w:val="-86"/>
        </w:rPr>
      </w:r>
      <w:r>
        <w:rPr/>
        <w:t>模型等。</w:t>
      </w:r>
    </w:p>
    <w:p>
      <w:pPr>
        <w:spacing w:line="240" w:lineRule="auto" w:before="11"/>
        <w:rPr>
          <w:rFonts w:ascii="宋体" w:hAnsi="宋体" w:cs="宋体" w:eastAsia="宋体" w:hint="default"/>
          <w:sz w:val="25"/>
          <w:szCs w:val="25"/>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）金融资产（不含应收款项）减值测试方法、减值准备计提方法</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76" w:lineRule="auto"/>
        <w:ind w:right="996" w:firstLine="480"/>
        <w:jc w:val="left"/>
      </w:pPr>
      <w:r>
        <w:rPr/>
        <w:t>除了以公允价值计量且其变动计入当期损益的金融资产外，本集团在每个资产负债表日 </w:t>
      </w:r>
      <w:r>
        <w:rPr>
          <w:spacing w:val="-2"/>
        </w:rPr>
        <w:t>对其他金融资产的账面价值进行检查，有客观证据表明金融资产发生减值的，计提减值准备。</w:t>
      </w:r>
    </w:p>
    <w:p>
      <w:pPr>
        <w:pStyle w:val="BodyText"/>
        <w:spacing w:line="273" w:lineRule="auto" w:before="7"/>
        <w:ind w:right="1136" w:firstLine="480"/>
        <w:jc w:val="both"/>
      </w:pPr>
      <w:r>
        <w:rPr/>
        <w:t>本集团对单项金额重大的金融资产单独进行减值测试；对单项金额不重大的金融资产， 单独进行减值测试或包括在具有类似信用风险特征的金融资产组合中进行减值测试。单独测</w:t>
      </w:r>
      <w:r>
        <w:rPr>
          <w:spacing w:val="-91"/>
        </w:rPr>
        <w:t> </w:t>
      </w:r>
      <w:r>
        <w:rPr>
          <w:spacing w:val="-91"/>
        </w:rPr>
      </w:r>
      <w:r>
        <w:rPr/>
        <w:t>试未发生减值的金融资产（包括单项金额重大和不重大的金融资产），包括在具有类似信用</w:t>
      </w:r>
      <w:r>
        <w:rPr>
          <w:spacing w:val="-91"/>
        </w:rPr>
        <w:t> </w:t>
      </w:r>
      <w:r>
        <w:rPr>
          <w:spacing w:val="-91"/>
        </w:rPr>
      </w:r>
      <w:r>
        <w:rPr/>
        <w:t>风险特征的金融资产组合中再进行减值测试。已单项确认减值损失的金融资产，不包括在具</w:t>
      </w:r>
      <w:r>
        <w:rPr>
          <w:spacing w:val="-89"/>
        </w:rPr>
        <w:t> </w:t>
      </w:r>
      <w:r>
        <w:rPr>
          <w:spacing w:val="-89"/>
        </w:rPr>
      </w:r>
      <w:r>
        <w:rPr/>
        <w:t>有类似信用风险特征的金融资产组合中进行减值测试。</w:t>
      </w:r>
    </w:p>
    <w:p>
      <w:pPr>
        <w:pStyle w:val="BodyText"/>
        <w:spacing w:line="273" w:lineRule="auto" w:before="12"/>
        <w:ind w:left="633" w:right="1125"/>
        <w:jc w:val="left"/>
      </w:pPr>
      <w:r>
        <w:rPr/>
        <w:t>① 持有至到期投资、贷款和应收款项减值 以成本或摊余成本计量的金融资产将其账面价值减记至预计未来现金流量现值，减记金</w:t>
      </w:r>
    </w:p>
    <w:p>
      <w:pPr>
        <w:pStyle w:val="BodyText"/>
        <w:spacing w:line="273" w:lineRule="auto" w:before="12"/>
        <w:ind w:right="1139"/>
        <w:jc w:val="both"/>
      </w:pPr>
      <w:r>
        <w:rPr/>
        <w:t>额确认为减值损失，计入当期损益。金融资产在确认减值损失后，如有客观证据表明该金融</w:t>
      </w:r>
      <w:r>
        <w:rPr>
          <w:spacing w:val="-91"/>
        </w:rPr>
        <w:t> </w:t>
      </w:r>
      <w:r>
        <w:rPr>
          <w:spacing w:val="-91"/>
        </w:rPr>
      </w:r>
      <w:r>
        <w:rPr/>
        <w:t>资产价值已恢复，且客观上与确认该损失后发生的事项有关，原确认的减值损失予以转回，</w:t>
      </w:r>
      <w:r>
        <w:rPr>
          <w:spacing w:val="-91"/>
        </w:rPr>
        <w:t> </w:t>
      </w:r>
      <w:r>
        <w:rPr>
          <w:spacing w:val="-91"/>
        </w:rPr>
      </w:r>
      <w:r>
        <w:rPr/>
        <w:t>金融资产转回减值损失后的账面价值不超过假定不计提减值准备情况下该金融资产在转回日</w:t>
      </w:r>
      <w:r>
        <w:rPr>
          <w:spacing w:val="-91"/>
        </w:rPr>
        <w:t> </w:t>
      </w:r>
      <w:r>
        <w:rPr>
          <w:spacing w:val="-91"/>
        </w:rPr>
      </w:r>
      <w:r>
        <w:rPr/>
        <w:t>的摊余成本。</w:t>
      </w:r>
    </w:p>
    <w:p>
      <w:pPr>
        <w:pStyle w:val="BodyText"/>
        <w:spacing w:line="273" w:lineRule="auto" w:before="12"/>
        <w:ind w:left="633" w:right="1125"/>
        <w:jc w:val="left"/>
      </w:pPr>
      <w:r>
        <w:rPr/>
        <w:t>② 可供出售金融资产减值 可供出售金融资产发生减值时，将原计入资本公积的因公允价值下降形成的累计损失予</w:t>
      </w:r>
    </w:p>
    <w:p>
      <w:pPr>
        <w:pStyle w:val="BodyText"/>
        <w:spacing w:line="273" w:lineRule="auto" w:before="12"/>
        <w:ind w:right="1139"/>
        <w:jc w:val="both"/>
      </w:pPr>
      <w:r>
        <w:rPr/>
        <w:t>以转出并计入当期损益，该转出的累计损失为该资产初始取得成本扣除已收回本金和已摊销</w:t>
      </w:r>
      <w:r>
        <w:rPr>
          <w:spacing w:val="-91"/>
        </w:rPr>
        <w:t> </w:t>
      </w:r>
      <w:r>
        <w:rPr>
          <w:spacing w:val="-91"/>
        </w:rPr>
      </w:r>
      <w:r>
        <w:rPr/>
        <w:t>金额、当前公允价值和原已计入损益的减值损失后的余额。</w:t>
      </w:r>
    </w:p>
    <w:p>
      <w:pPr>
        <w:pStyle w:val="BodyText"/>
        <w:spacing w:line="273" w:lineRule="auto" w:before="12"/>
        <w:ind w:right="1139" w:firstLine="480"/>
        <w:jc w:val="both"/>
      </w:pPr>
      <w:r>
        <w:rPr/>
        <w:t>在确认减值损失后，期后如有客观证据表明该金融资产价值已恢复，且客观上与确认该 损失后发生的事项有关，原确认的减值损失予以转回，可供出售权益工具投资的减值损失转</w:t>
      </w:r>
      <w:r>
        <w:rPr>
          <w:spacing w:val="-91"/>
        </w:rPr>
        <w:t> </w:t>
      </w:r>
      <w:r>
        <w:rPr>
          <w:spacing w:val="-91"/>
        </w:rPr>
      </w:r>
      <w:r>
        <w:rPr/>
        <w:t>回确认为其他综合收益，可供出售债务工具的减值损失转回计入当期损益。</w:t>
      </w:r>
    </w:p>
    <w:p>
      <w:pPr>
        <w:pStyle w:val="BodyText"/>
        <w:spacing w:line="276" w:lineRule="auto" w:before="10"/>
        <w:ind w:right="1136" w:firstLine="960"/>
        <w:jc w:val="both"/>
      </w:pPr>
      <w:r>
        <w:rPr/>
        <w:t>在活跃市场中没有报价且其公允价值不能可靠计量的权益工具投资，或与该权益工 具挂钩并须通过交付该权益工具结算的衍生金融资产的减值损失，不予转回。</w:t>
      </w:r>
    </w:p>
    <w:p>
      <w:pPr>
        <w:spacing w:after="0" w:line="276" w:lineRule="auto"/>
        <w:jc w:val="both"/>
        <w:sectPr>
          <w:footerReference w:type="default" r:id="rId56"/>
          <w:pgSz w:w="11910" w:h="16840"/>
          <w:pgMar w:footer="1309" w:header="877" w:top="1060" w:bottom="1500" w:left="980" w:right="0"/>
          <w:pgNumType w:start="101"/>
        </w:sectPr>
      </w:pPr>
    </w:p>
    <w:p>
      <w:pPr>
        <w:spacing w:line="240" w:lineRule="auto" w:before="8"/>
        <w:rPr>
          <w:rFonts w:ascii="宋体" w:hAnsi="宋体" w:cs="宋体" w:eastAsia="宋体" w:hint="default"/>
          <w:sz w:val="26"/>
          <w:szCs w:val="26"/>
        </w:rPr>
      </w:pPr>
    </w:p>
    <w:p>
      <w:pPr>
        <w:spacing w:before="36"/>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）将尚未到期的持有至到期投资重分类为可供出售金融资产的，说明持有意图或能力发生改变的依据</w:t>
      </w:r>
      <w:r>
        <w:rPr>
          <w:rFonts w:ascii="宋体" w:hAnsi="宋体" w:cs="宋体" w:eastAsia="宋体" w:hint="default"/>
          <w:sz w:val="21"/>
          <w:szCs w:val="21"/>
        </w:rPr>
      </w:r>
    </w:p>
    <w:p>
      <w:pPr>
        <w:spacing w:line="240" w:lineRule="auto" w:before="1"/>
        <w:rPr>
          <w:rFonts w:ascii="宋体" w:hAnsi="宋体" w:cs="宋体" w:eastAsia="宋体" w:hint="default"/>
          <w:b/>
          <w:bCs/>
          <w:sz w:val="28"/>
          <w:szCs w:val="28"/>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、应收款项坏账准备的确认标准和计提方法</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73" w:lineRule="auto"/>
        <w:ind w:left="633" w:right="1125"/>
        <w:jc w:val="left"/>
      </w:pPr>
      <w:r>
        <w:rPr/>
        <w:t>（</w:t>
      </w:r>
      <w:r>
        <w:rPr>
          <w:rFonts w:ascii="宋体" w:hAnsi="宋体" w:cs="宋体" w:eastAsia="宋体" w:hint="default"/>
        </w:rPr>
        <w:t>1</w:t>
      </w:r>
      <w:r>
        <w:rPr/>
        <w:t>）坏账准备的确认标准 本集团在资产负债表日对应收款项账面价值进行检查，对存在下列客观证据表明应收款</w:t>
      </w:r>
    </w:p>
    <w:p>
      <w:pPr>
        <w:pStyle w:val="BodyText"/>
        <w:spacing w:line="273" w:lineRule="auto" w:before="12"/>
        <w:ind w:right="1131"/>
        <w:jc w:val="both"/>
      </w:pPr>
      <w:r>
        <w:rPr/>
        <w:t>项发生减值的，计提减值准备：①债务人发生严重的财务困难；②债务人违反合同条款（如</w:t>
      </w:r>
      <w:r>
        <w:rPr>
          <w:spacing w:val="-91"/>
        </w:rPr>
        <w:t> </w:t>
      </w:r>
      <w:r>
        <w:rPr>
          <w:spacing w:val="-91"/>
        </w:rPr>
      </w:r>
      <w:r>
        <w:rPr/>
        <w:t>偿付利息或本金发生违约或逾期等）； ③债务人很可能倒闭或进行其他财务重组；</w:t>
      </w:r>
      <w:r>
        <w:rPr>
          <w:spacing w:val="35"/>
        </w:rPr>
        <w:t> </w:t>
      </w:r>
      <w:r>
        <w:rPr/>
        <w:t>④其他</w:t>
      </w:r>
      <w:r>
        <w:rPr/>
        <w:t> 表明应收款项发生减值的客观依据。</w:t>
      </w:r>
    </w:p>
    <w:p>
      <w:pPr>
        <w:pStyle w:val="BodyText"/>
        <w:spacing w:line="240" w:lineRule="auto" w:before="10"/>
        <w:ind w:left="633" w:right="1125"/>
        <w:jc w:val="left"/>
      </w:pPr>
      <w:r>
        <w:rPr/>
        <w:t>（</w:t>
      </w:r>
      <w:r>
        <w:rPr>
          <w:rFonts w:ascii="宋体" w:hAnsi="宋体" w:cs="宋体" w:eastAsia="宋体" w:hint="default"/>
        </w:rPr>
        <w:t>2</w:t>
      </w:r>
      <w:r>
        <w:rPr/>
        <w:t>）坏账准备的计提方法</w:t>
      </w:r>
    </w:p>
    <w:p>
      <w:pPr>
        <w:pStyle w:val="BodyText"/>
        <w:spacing w:line="273" w:lineRule="auto" w:before="46"/>
        <w:ind w:left="633" w:right="0"/>
        <w:jc w:val="left"/>
      </w:pPr>
      <w:r>
        <w:rPr/>
        <w:t>① 单项金额重大并单项计提坏账准备的应收款项坏账准备的确认标准、计提方法 本集团将金额为人民币</w:t>
      </w:r>
      <w:r>
        <w:rPr>
          <w:rFonts w:ascii="宋体" w:hAnsi="宋体" w:cs="宋体" w:eastAsia="宋体" w:hint="default"/>
        </w:rPr>
        <w:t>100</w:t>
      </w:r>
      <w:r>
        <w:rPr/>
        <w:t>万元以上的应收款项确认为单项金额重大的应收款项。 </w:t>
      </w:r>
      <w:r>
        <w:rPr>
          <w:spacing w:val="-3"/>
        </w:rPr>
        <w:t>本集团对单项金额重大的应收款项单独进行减值测试，单独测试未发生减值的金融资产，</w:t>
      </w:r>
    </w:p>
    <w:p>
      <w:pPr>
        <w:pStyle w:val="BodyText"/>
        <w:spacing w:line="276" w:lineRule="auto" w:before="10"/>
        <w:ind w:right="1139"/>
        <w:jc w:val="both"/>
      </w:pPr>
      <w:r>
        <w:rPr/>
        <w:t>包括在具有类似信用风险特征的金融资产组合中进行减值测试。单项测试已确认减值损失的</w:t>
      </w:r>
      <w:r>
        <w:rPr>
          <w:spacing w:val="-91"/>
        </w:rPr>
        <w:t> </w:t>
      </w:r>
      <w:r>
        <w:rPr>
          <w:spacing w:val="-91"/>
        </w:rPr>
      </w:r>
      <w:r>
        <w:rPr/>
        <w:t>应收款项，不再包括在具有类似信用风险特征的应收款项组合中进行减值测试。</w:t>
      </w:r>
    </w:p>
    <w:p>
      <w:pPr>
        <w:pStyle w:val="BodyText"/>
        <w:spacing w:line="273" w:lineRule="auto" w:before="7"/>
        <w:ind w:left="633" w:right="1125"/>
        <w:jc w:val="left"/>
      </w:pPr>
      <w:r>
        <w:rPr/>
        <w:t>② 按信用风险组合计提坏账准备的应收款项的确定依据、坏账准备计提方法 </w:t>
      </w:r>
      <w:r>
        <w:rPr>
          <w:rFonts w:ascii="宋体" w:hAnsi="宋体" w:cs="宋体" w:eastAsia="宋体" w:hint="default"/>
        </w:rPr>
        <w:t>A</w:t>
      </w:r>
      <w:r>
        <w:rPr/>
        <w:t>．信用风险特征组合的确定依据 本集团对单项金额不重大以及金额重大但单项测试未发生减值的应收款项，按信用风险</w:t>
      </w:r>
    </w:p>
    <w:p>
      <w:pPr>
        <w:pStyle w:val="BodyText"/>
        <w:spacing w:line="273" w:lineRule="auto" w:before="12"/>
        <w:ind w:right="1139"/>
        <w:jc w:val="both"/>
      </w:pPr>
      <w:r>
        <w:rPr/>
        <w:t>特征的相似性和相关性对金融资产进行分组。这些信用风险通常反映债务人按照该等资产的</w:t>
      </w:r>
      <w:r>
        <w:rPr>
          <w:spacing w:val="-91"/>
        </w:rPr>
        <w:t> </w:t>
      </w:r>
      <w:r>
        <w:rPr>
          <w:spacing w:val="-91"/>
        </w:rPr>
      </w:r>
      <w:r>
        <w:rPr/>
        <w:t>合同条款偿还所有到期金额的能力，并且与被检查资产的未来现金流量测算相关。</w:t>
      </w:r>
    </w:p>
    <w:p>
      <w:pPr>
        <w:pStyle w:val="BodyText"/>
        <w:spacing w:line="240" w:lineRule="auto" w:before="12"/>
        <w:ind w:left="633" w:right="1125"/>
        <w:jc w:val="left"/>
      </w:pPr>
      <w:r>
        <w:rPr/>
        <w:t>不同组合的确定依据：</w:t>
      </w:r>
    </w:p>
    <w:p>
      <w:pPr>
        <w:spacing w:line="240" w:lineRule="auto" w:before="5"/>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3059"/>
        <w:gridCol w:w="6015"/>
      </w:tblGrid>
      <w:tr>
        <w:trPr>
          <w:trHeight w:val="404" w:hRule="exact"/>
        </w:trPr>
        <w:tc>
          <w:tcPr>
            <w:tcW w:w="3059" w:type="dxa"/>
            <w:tcBorders>
              <w:top w:val="single" w:sz="6" w:space="0" w:color="000000"/>
              <w:left w:val="single" w:sz="6" w:space="0" w:color="000000"/>
              <w:bottom w:val="single" w:sz="12" w:space="0" w:color="000000"/>
              <w:right w:val="single" w:sz="6" w:space="0" w:color="000000"/>
            </w:tcBorders>
          </w:tcPr>
          <w:p>
            <w:pPr>
              <w:pStyle w:val="TableParagraph"/>
              <w:spacing w:line="313" w:lineRule="exact"/>
              <w:ind w:left="485"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6015" w:type="dxa"/>
            <w:tcBorders>
              <w:top w:val="single" w:sz="6" w:space="0" w:color="000000"/>
              <w:left w:val="single" w:sz="6" w:space="0" w:color="000000"/>
              <w:bottom w:val="single" w:sz="12" w:space="0" w:color="000000"/>
              <w:right w:val="nil" w:sz="6" w:space="0" w:color="auto"/>
            </w:tcBorders>
          </w:tcPr>
          <w:p>
            <w:pPr>
              <w:pStyle w:val="TableParagraph"/>
              <w:spacing w:line="313" w:lineRule="exact"/>
              <w:ind w:left="482" w:right="0"/>
              <w:jc w:val="left"/>
              <w:rPr>
                <w:rFonts w:ascii="宋体" w:hAnsi="宋体" w:cs="宋体" w:eastAsia="宋体" w:hint="default"/>
                <w:sz w:val="24"/>
                <w:szCs w:val="24"/>
              </w:rPr>
            </w:pPr>
            <w:r>
              <w:rPr>
                <w:rFonts w:ascii="宋体" w:hAnsi="宋体" w:cs="宋体" w:eastAsia="宋体" w:hint="default"/>
                <w:sz w:val="24"/>
                <w:szCs w:val="24"/>
              </w:rPr>
              <w:t>确定组合的依据</w:t>
            </w:r>
          </w:p>
        </w:tc>
      </w:tr>
      <w:tr>
        <w:trPr>
          <w:trHeight w:val="398" w:hRule="exact"/>
        </w:trPr>
        <w:tc>
          <w:tcPr>
            <w:tcW w:w="3059" w:type="dxa"/>
            <w:tcBorders>
              <w:top w:val="single" w:sz="12" w:space="0" w:color="000000"/>
              <w:left w:val="single" w:sz="6" w:space="0" w:color="000000"/>
              <w:bottom w:val="single" w:sz="12" w:space="0" w:color="000000"/>
              <w:right w:val="single" w:sz="6" w:space="0" w:color="000000"/>
            </w:tcBorders>
          </w:tcPr>
          <w:p>
            <w:pPr>
              <w:pStyle w:val="TableParagraph"/>
              <w:spacing w:line="300" w:lineRule="exact"/>
              <w:ind w:left="485" w:right="0"/>
              <w:jc w:val="left"/>
              <w:rPr>
                <w:rFonts w:ascii="宋体" w:hAnsi="宋体" w:cs="宋体" w:eastAsia="宋体" w:hint="default"/>
                <w:sz w:val="24"/>
                <w:szCs w:val="24"/>
              </w:rPr>
            </w:pPr>
            <w:r>
              <w:rPr>
                <w:rFonts w:ascii="宋体" w:hAnsi="宋体" w:cs="宋体" w:eastAsia="宋体" w:hint="default"/>
                <w:sz w:val="24"/>
                <w:szCs w:val="24"/>
              </w:rPr>
              <w:t>账龄组合</w:t>
            </w:r>
          </w:p>
        </w:tc>
        <w:tc>
          <w:tcPr>
            <w:tcW w:w="6015" w:type="dxa"/>
            <w:tcBorders>
              <w:top w:val="single" w:sz="12" w:space="0" w:color="000000"/>
              <w:left w:val="single" w:sz="6" w:space="0" w:color="000000"/>
              <w:bottom w:val="single" w:sz="12" w:space="0" w:color="000000"/>
              <w:right w:val="nil" w:sz="6" w:space="0" w:color="auto"/>
            </w:tcBorders>
          </w:tcPr>
          <w:p>
            <w:pPr>
              <w:pStyle w:val="TableParagraph"/>
              <w:spacing w:line="300" w:lineRule="exact"/>
              <w:ind w:left="482" w:right="0"/>
              <w:jc w:val="left"/>
              <w:rPr>
                <w:rFonts w:ascii="宋体" w:hAnsi="宋体" w:cs="宋体" w:eastAsia="宋体" w:hint="default"/>
                <w:sz w:val="24"/>
                <w:szCs w:val="24"/>
              </w:rPr>
            </w:pPr>
            <w:r>
              <w:rPr>
                <w:rFonts w:ascii="宋体" w:hAnsi="宋体" w:cs="宋体" w:eastAsia="宋体" w:hint="default"/>
                <w:sz w:val="24"/>
                <w:szCs w:val="24"/>
              </w:rPr>
              <w:t>按应收款项发生时间划分</w:t>
            </w:r>
          </w:p>
        </w:tc>
      </w:tr>
    </w:tbl>
    <w:p>
      <w:pPr>
        <w:pStyle w:val="BodyText"/>
        <w:spacing w:line="276" w:lineRule="auto"/>
        <w:ind w:left="633" w:right="1125"/>
        <w:jc w:val="left"/>
      </w:pPr>
      <w:r>
        <w:rPr>
          <w:rFonts w:ascii="宋体" w:hAnsi="宋体" w:cs="宋体" w:eastAsia="宋体" w:hint="default"/>
        </w:rPr>
        <w:t>B</w:t>
      </w:r>
      <w:r>
        <w:rPr/>
        <w:t>．根据信用风险特征组合确定的坏账准备计提方法 按组合方式实施减值测试时，坏账准备金额系根据应收款项组合结构及类似信用风险特</w:t>
      </w:r>
    </w:p>
    <w:p>
      <w:pPr>
        <w:pStyle w:val="BodyText"/>
        <w:spacing w:line="276" w:lineRule="auto" w:before="7"/>
        <w:ind w:right="1125"/>
        <w:jc w:val="left"/>
      </w:pPr>
      <w:r>
        <w:rPr/>
        <w:t>征（债务人根据合同条款偿还欠款的能力）按历史损失经验及目前经济状况与预计应收款项</w:t>
      </w:r>
      <w:r>
        <w:rPr>
          <w:spacing w:val="-91"/>
        </w:rPr>
        <w:t> </w:t>
      </w:r>
      <w:r>
        <w:rPr>
          <w:spacing w:val="-91"/>
        </w:rPr>
      </w:r>
      <w:r>
        <w:rPr/>
        <w:t>组合中已经存在的损失评估确定。</w:t>
      </w:r>
    </w:p>
    <w:p>
      <w:pPr>
        <w:pStyle w:val="BodyText"/>
        <w:spacing w:line="240" w:lineRule="auto" w:before="7"/>
        <w:ind w:left="753" w:right="1125"/>
        <w:jc w:val="left"/>
      </w:pPr>
      <w:r>
        <w:rPr/>
        <w:t>组合中，采用账龄分析法计提坏账准备的组合计提方法</w:t>
      </w:r>
    </w:p>
    <w:p>
      <w:pPr>
        <w:spacing w:line="240" w:lineRule="auto" w:before="8"/>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3207"/>
        <w:gridCol w:w="3034"/>
        <w:gridCol w:w="2816"/>
      </w:tblGrid>
      <w:tr>
        <w:trPr>
          <w:trHeight w:val="401" w:hRule="exact"/>
        </w:trPr>
        <w:tc>
          <w:tcPr>
            <w:tcW w:w="3207" w:type="dxa"/>
            <w:tcBorders>
              <w:top w:val="single" w:sz="6" w:space="0" w:color="000000"/>
              <w:left w:val="single" w:sz="6" w:space="0" w:color="000000"/>
              <w:bottom w:val="single" w:sz="12" w:space="0" w:color="000000"/>
              <w:right w:val="single" w:sz="6" w:space="0" w:color="000000"/>
            </w:tcBorders>
          </w:tcPr>
          <w:p>
            <w:pPr>
              <w:pStyle w:val="TableParagraph"/>
              <w:tabs>
                <w:tab w:pos="470" w:val="left" w:leader="none"/>
              </w:tabs>
              <w:spacing w:line="240" w:lineRule="auto" w:before="21"/>
              <w:ind w:left="7"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30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81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2"/>
              <w:jc w:val="center"/>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98"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年，下同）</w:t>
            </w:r>
          </w:p>
        </w:tc>
        <w:tc>
          <w:tcPr>
            <w:tcW w:w="30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0.5</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4"/>
              <w:ind w:right="2"/>
              <w:jc w:val="center"/>
              <w:rPr>
                <w:rFonts w:ascii="Times New Roman" w:hAnsi="Times New Roman" w:cs="Times New Roman" w:eastAsia="Times New Roman" w:hint="default"/>
                <w:sz w:val="18"/>
                <w:szCs w:val="18"/>
              </w:rPr>
            </w:pPr>
            <w:r>
              <w:rPr>
                <w:rFonts w:ascii="Times New Roman"/>
                <w:sz w:val="18"/>
              </w:rPr>
              <w:t>0.5</w:t>
            </w:r>
          </w:p>
        </w:tc>
      </w:tr>
      <w:tr>
        <w:trPr>
          <w:trHeight w:val="399"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30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5"/>
              <w:ind w:right="1"/>
              <w:jc w:val="center"/>
              <w:rPr>
                <w:rFonts w:ascii="Times New Roman" w:hAnsi="Times New Roman" w:cs="Times New Roman" w:eastAsia="Times New Roman" w:hint="default"/>
                <w:sz w:val="18"/>
                <w:szCs w:val="18"/>
              </w:rPr>
            </w:pPr>
            <w:r>
              <w:rPr>
                <w:rFonts w:ascii="Times New Roman"/>
                <w:sz w:val="18"/>
              </w:rPr>
              <w:t>2</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5"/>
              <w:ind w:right="4"/>
              <w:jc w:val="center"/>
              <w:rPr>
                <w:rFonts w:ascii="Times New Roman" w:hAnsi="Times New Roman" w:cs="Times New Roman" w:eastAsia="Times New Roman" w:hint="default"/>
                <w:sz w:val="18"/>
                <w:szCs w:val="18"/>
              </w:rPr>
            </w:pPr>
            <w:r>
              <w:rPr>
                <w:rFonts w:ascii="Times New Roman"/>
                <w:sz w:val="18"/>
              </w:rPr>
              <w:t>2</w:t>
            </w:r>
          </w:p>
        </w:tc>
      </w:tr>
      <w:tr>
        <w:trPr>
          <w:trHeight w:val="398"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30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sz w:val="18"/>
              </w:rPr>
              <w:t>10</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10</w:t>
            </w:r>
          </w:p>
        </w:tc>
      </w:tr>
      <w:tr>
        <w:trPr>
          <w:trHeight w:val="398"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w:t>
            </w:r>
          </w:p>
        </w:tc>
        <w:tc>
          <w:tcPr>
            <w:tcW w:w="30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sz w:val="18"/>
              </w:rPr>
              <w:t>30</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30</w:t>
            </w:r>
          </w:p>
        </w:tc>
      </w:tr>
      <w:tr>
        <w:trPr>
          <w:trHeight w:val="401"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w:t>
            </w:r>
          </w:p>
        </w:tc>
        <w:tc>
          <w:tcPr>
            <w:tcW w:w="30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sz w:val="18"/>
              </w:rPr>
              <w:t>50</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50</w:t>
            </w:r>
          </w:p>
        </w:tc>
      </w:tr>
      <w:tr>
        <w:trPr>
          <w:trHeight w:val="398" w:hRule="exact"/>
        </w:trPr>
        <w:tc>
          <w:tcPr>
            <w:tcW w:w="32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30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sz w:val="18"/>
              </w:rPr>
              <w:t>100</w:t>
            </w:r>
          </w:p>
        </w:tc>
        <w:tc>
          <w:tcPr>
            <w:tcW w:w="281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76" w:lineRule="auto"/>
        <w:ind w:left="633" w:right="1125"/>
        <w:jc w:val="left"/>
      </w:pPr>
      <w:r>
        <w:rPr/>
        <w:t>③ 单项金额虽不重大但单项计提坏账准备的应收款项 本集团对于单项金额虽不重大但具备以下特征的应收款项，单独进行减值测试，有客观</w:t>
      </w:r>
    </w:p>
    <w:p>
      <w:pPr>
        <w:pStyle w:val="BodyText"/>
        <w:spacing w:line="240" w:lineRule="auto" w:before="7"/>
        <w:ind w:right="0"/>
        <w:jc w:val="left"/>
      </w:pPr>
      <w:r>
        <w:rPr/>
        <w:t>证据表明其发生了减值的，根据其未来现金流量现值低于其账面价值的差额，确认减值损失，</w:t>
      </w:r>
    </w:p>
    <w:p>
      <w:pPr>
        <w:spacing w:after="0" w:line="240" w:lineRule="auto"/>
        <w:jc w:val="left"/>
        <w:sectPr>
          <w:pgSz w:w="11910" w:h="16840"/>
          <w:pgMar w:header="877" w:footer="1309" w:top="1060" w:bottom="1500" w:left="980" w:right="0"/>
        </w:sectPr>
      </w:pPr>
    </w:p>
    <w:p>
      <w:pPr>
        <w:spacing w:line="240" w:lineRule="auto" w:before="6"/>
        <w:rPr>
          <w:rFonts w:ascii="宋体" w:hAnsi="宋体" w:cs="宋体" w:eastAsia="宋体" w:hint="default"/>
          <w:sz w:val="25"/>
          <w:szCs w:val="25"/>
        </w:rPr>
      </w:pPr>
    </w:p>
    <w:p>
      <w:pPr>
        <w:pStyle w:val="BodyText"/>
        <w:spacing w:line="273" w:lineRule="auto" w:before="26"/>
        <w:ind w:right="1125"/>
        <w:jc w:val="left"/>
      </w:pPr>
      <w:r>
        <w:rPr/>
        <w:t>计提坏账准备。如：应收关联方款项；与对方存在争议或涉及诉讼、仲裁的应收款项；已有</w:t>
      </w:r>
      <w:r>
        <w:rPr>
          <w:spacing w:val="-90"/>
        </w:rPr>
        <w:t> </w:t>
      </w:r>
      <w:r>
        <w:rPr>
          <w:spacing w:val="-90"/>
        </w:rPr>
      </w:r>
      <w:r>
        <w:rPr/>
        <w:t>明显迹象表明债务人很可能无法履行还款义务的应收款项等等。</w:t>
      </w:r>
    </w:p>
    <w:p>
      <w:pPr>
        <w:pStyle w:val="BodyText"/>
        <w:spacing w:line="273" w:lineRule="auto" w:before="12"/>
        <w:ind w:left="633" w:right="1125"/>
        <w:jc w:val="left"/>
      </w:pPr>
      <w:r>
        <w:rPr/>
        <w:t>（</w:t>
      </w:r>
      <w:r>
        <w:rPr>
          <w:rFonts w:ascii="宋体" w:hAnsi="宋体" w:cs="宋体" w:eastAsia="宋体" w:hint="default"/>
        </w:rPr>
        <w:t>3</w:t>
      </w:r>
      <w:r>
        <w:rPr/>
        <w:t>）坏账准备的转回 如有客观证据表明该应收款项价值已恢复，且客观上与确认该损失后发生的事项有关，</w:t>
      </w:r>
    </w:p>
    <w:p>
      <w:pPr>
        <w:pStyle w:val="BodyText"/>
        <w:spacing w:line="273" w:lineRule="auto" w:before="12"/>
        <w:ind w:right="1125"/>
        <w:jc w:val="left"/>
      </w:pPr>
      <w:r>
        <w:rPr/>
        <w:t>原确认的减值损失予以转回，计入当期损益。但是，该转回后的账面价值不超过假定不计提</w:t>
      </w:r>
      <w:r>
        <w:rPr>
          <w:spacing w:val="-91"/>
        </w:rPr>
        <w:t> </w:t>
      </w:r>
      <w:r>
        <w:rPr>
          <w:spacing w:val="-91"/>
        </w:rPr>
      </w:r>
      <w:r>
        <w:rPr/>
        <w:t>减值准备情况下该应收款项在转回日的摊余成本。</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2"/>
          <w:szCs w:val="32"/>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）单项金额重大的应收款项坏账准备</w:t>
      </w:r>
      <w:r>
        <w:rPr>
          <w:rFonts w:ascii="宋体" w:hAnsi="宋体" w:cs="宋体" w:eastAsia="宋体" w:hint="default"/>
          <w:sz w:val="21"/>
          <w:szCs w:val="21"/>
        </w:rPr>
      </w:r>
    </w:p>
    <w:p>
      <w:pPr>
        <w:spacing w:line="240" w:lineRule="auto" w:before="2"/>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809"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76"/>
              <w:ind w:left="23" w:right="22"/>
              <w:jc w:val="left"/>
              <w:rPr>
                <w:rFonts w:ascii="宋体" w:hAnsi="宋体" w:cs="宋体" w:eastAsia="宋体" w:hint="default"/>
                <w:sz w:val="18"/>
                <w:szCs w:val="18"/>
              </w:rPr>
            </w:pPr>
            <w:r>
              <w:rPr>
                <w:rFonts w:ascii="宋体" w:hAnsi="宋体" w:cs="宋体" w:eastAsia="宋体" w:hint="default"/>
                <w:sz w:val="18"/>
                <w:szCs w:val="18"/>
              </w:rPr>
              <w:t>本集团将金额为人民币</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万元以上的应收款项确认为单 项金额重大的应收款项。</w:t>
            </w:r>
          </w:p>
        </w:tc>
      </w:tr>
      <w:tr>
        <w:trPr>
          <w:trHeight w:val="1884"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73"/>
              <w:ind w:left="23" w:right="24"/>
              <w:jc w:val="both"/>
              <w:rPr>
                <w:rFonts w:ascii="宋体" w:hAnsi="宋体" w:cs="宋体" w:eastAsia="宋体" w:hint="default"/>
                <w:sz w:val="18"/>
                <w:szCs w:val="18"/>
              </w:rPr>
            </w:pPr>
            <w:r>
              <w:rPr>
                <w:rFonts w:ascii="宋体" w:hAnsi="宋体" w:cs="宋体" w:eastAsia="宋体" w:hint="default"/>
                <w:spacing w:val="-2"/>
                <w:sz w:val="18"/>
                <w:szCs w:val="18"/>
              </w:rPr>
              <w:t>本集团对单项金额重大的应收款项单独进行减值测试，单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独测试未发生减值的金融资产，包括在具有类似信用风险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特征的金融资产组合中进行减值测试。单项测试已确认减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值损失的应收款项，不再包括在具有类似信用风险特征的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应收款项组合中进行减值测试。</w:t>
            </w:r>
          </w:p>
        </w:tc>
      </w:tr>
    </w:tbl>
    <w:p>
      <w:pPr>
        <w:spacing w:line="240" w:lineRule="auto" w:before="0"/>
        <w:rPr>
          <w:rFonts w:ascii="宋体" w:hAnsi="宋体" w:cs="宋体" w:eastAsia="宋体" w:hint="default"/>
          <w:b/>
          <w:bCs/>
          <w:sz w:val="21"/>
          <w:szCs w:val="21"/>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）按组合计提坏账准备的应收款项</w:t>
      </w:r>
      <w:r>
        <w:rPr>
          <w:rFonts w:ascii="宋体" w:hAnsi="宋体" w:cs="宋体" w:eastAsia="宋体" w:hint="default"/>
          <w:sz w:val="21"/>
          <w:szCs w:val="21"/>
        </w:rPr>
      </w:r>
    </w:p>
    <w:p>
      <w:pPr>
        <w:spacing w:line="240" w:lineRule="auto" w:before="5"/>
        <w:rPr>
          <w:rFonts w:ascii="宋体" w:hAnsi="宋体" w:cs="宋体" w:eastAsia="宋体" w:hint="default"/>
          <w:b/>
          <w:bCs/>
          <w:sz w:val="27"/>
          <w:szCs w:val="27"/>
        </w:rPr>
      </w:pPr>
    </w:p>
    <w:tbl>
      <w:tblPr>
        <w:tblW w:w="0" w:type="auto"/>
        <w:jc w:val="left"/>
        <w:tblInd w:w="148" w:type="dxa"/>
        <w:tblLayout w:type="fixed"/>
        <w:tblCellMar>
          <w:top w:w="0" w:type="dxa"/>
          <w:left w:w="0" w:type="dxa"/>
          <w:bottom w:w="0" w:type="dxa"/>
          <w:right w:w="0" w:type="dxa"/>
        </w:tblCellMar>
        <w:tblLook w:val="01E0"/>
      </w:tblPr>
      <w:tblGrid>
        <w:gridCol w:w="2600"/>
        <w:gridCol w:w="2187"/>
        <w:gridCol w:w="4784"/>
      </w:tblGrid>
      <w:tr>
        <w:trPr>
          <w:trHeight w:val="806"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64" w:lineRule="auto" w:before="73"/>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188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64" w:lineRule="auto" w:before="142"/>
              <w:ind w:left="24" w:right="45"/>
              <w:jc w:val="left"/>
              <w:rPr>
                <w:rFonts w:ascii="宋体" w:hAnsi="宋体" w:cs="宋体" w:eastAsia="宋体" w:hint="default"/>
                <w:sz w:val="18"/>
                <w:szCs w:val="18"/>
              </w:rPr>
            </w:pPr>
            <w:r>
              <w:rPr>
                <w:rFonts w:ascii="宋体" w:hAnsi="宋体" w:cs="宋体" w:eastAsia="宋体" w:hint="default"/>
                <w:sz w:val="18"/>
                <w:szCs w:val="18"/>
              </w:rPr>
              <w:t>采用账龄分析法计提坏账准备的 应收款项</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73"/>
              <w:ind w:left="23" w:right="68"/>
              <w:jc w:val="both"/>
              <w:rPr>
                <w:rFonts w:ascii="宋体" w:hAnsi="宋体" w:cs="宋体" w:eastAsia="宋体" w:hint="default"/>
                <w:sz w:val="18"/>
                <w:szCs w:val="18"/>
              </w:rPr>
            </w:pPr>
            <w:r>
              <w:rPr>
                <w:rFonts w:ascii="宋体" w:hAnsi="宋体" w:cs="宋体" w:eastAsia="宋体" w:hint="default"/>
                <w:sz w:val="18"/>
                <w:szCs w:val="18"/>
              </w:rPr>
              <w:t>本集团对单项金额不重大以及金额重大但单项测试未发生减 值的应收款项，按信用风险特征的相似性和相关性对金融资 产进行分组。这些信用风险通常反映债务人按照该等资产的 合同条款偿还所有到期金额的能力，并且与被检查资产的未 来现金流量测算相关。</w:t>
            </w:r>
          </w:p>
        </w:tc>
      </w:tr>
    </w:tbl>
    <w:p>
      <w:pPr>
        <w:spacing w:before="70"/>
        <w:ind w:left="152" w:right="1125"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line="240" w:lineRule="auto" w:before="8"/>
        <w:rPr>
          <w:rFonts w:ascii="宋体" w:hAnsi="宋体" w:cs="宋体" w:eastAsia="宋体" w:hint="default"/>
          <w:sz w:val="12"/>
          <w:szCs w:val="12"/>
        </w:rPr>
      </w:pPr>
    </w:p>
    <w:p>
      <w:pPr>
        <w:spacing w:before="0"/>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77"/>
        <w:gridCol w:w="2988"/>
        <w:gridCol w:w="3994"/>
      </w:tblGrid>
      <w:tr>
        <w:trPr>
          <w:trHeight w:val="449"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49"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2"/>
              <w:ind w:right="18"/>
              <w:jc w:val="right"/>
              <w:rPr>
                <w:rFonts w:ascii="Times New Roman" w:hAnsi="Times New Roman" w:cs="Times New Roman" w:eastAsia="Times New Roman" w:hint="default"/>
                <w:sz w:val="18"/>
                <w:szCs w:val="18"/>
              </w:rPr>
            </w:pPr>
            <w:r>
              <w:rPr>
                <w:rFonts w:ascii="Times New Roman"/>
                <w:sz w:val="18"/>
              </w:rPr>
              <w:t>0.5%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6"/>
              <w:jc w:val="right"/>
              <w:rPr>
                <w:rFonts w:ascii="Times New Roman" w:hAnsi="Times New Roman" w:cs="Times New Roman" w:eastAsia="Times New Roman" w:hint="default"/>
                <w:sz w:val="18"/>
                <w:szCs w:val="18"/>
              </w:rPr>
            </w:pPr>
            <w:r>
              <w:rPr>
                <w:rFonts w:ascii="Times New Roman"/>
                <w:sz w:val="18"/>
              </w:rPr>
              <w:t>0.5%</w:t>
            </w:r>
          </w:p>
        </w:tc>
      </w:tr>
      <w:tr>
        <w:trPr>
          <w:trHeight w:val="449"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z w:val="18"/>
              </w:rPr>
              <w:t>2%</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z w:val="18"/>
              </w:rPr>
              <w:t>2%</w:t>
            </w:r>
          </w:p>
        </w:tc>
      </w:tr>
      <w:tr>
        <w:trPr>
          <w:trHeight w:val="449"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4"/>
              <w:jc w:val="right"/>
              <w:rPr>
                <w:rFonts w:ascii="Times New Roman" w:hAnsi="Times New Roman" w:cs="Times New Roman" w:eastAsia="Times New Roman" w:hint="default"/>
                <w:sz w:val="18"/>
                <w:szCs w:val="18"/>
              </w:rPr>
            </w:pPr>
            <w:r>
              <w:rPr>
                <w:rFonts w:ascii="Times New Roman"/>
                <w:sz w:val="18"/>
              </w:rPr>
              <w:t>10%</w:t>
            </w:r>
          </w:p>
        </w:tc>
      </w:tr>
      <w:tr>
        <w:trPr>
          <w:trHeight w:val="449"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4"/>
              <w:jc w:val="right"/>
              <w:rPr>
                <w:rFonts w:ascii="Times New Roman" w:hAnsi="Times New Roman" w:cs="Times New Roman" w:eastAsia="Times New Roman" w:hint="default"/>
                <w:sz w:val="18"/>
                <w:szCs w:val="18"/>
              </w:rPr>
            </w:pPr>
            <w:r>
              <w:rPr>
                <w:rFonts w:ascii="Times New Roman"/>
                <w:sz w:val="18"/>
              </w:rPr>
              <w:t>20%</w:t>
            </w:r>
          </w:p>
        </w:tc>
      </w:tr>
      <w:tr>
        <w:trPr>
          <w:trHeight w:val="449"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4"/>
              <w:jc w:val="right"/>
              <w:rPr>
                <w:rFonts w:ascii="Times New Roman" w:hAnsi="Times New Roman" w:cs="Times New Roman" w:eastAsia="Times New Roman" w:hint="default"/>
                <w:sz w:val="18"/>
                <w:szCs w:val="18"/>
              </w:rPr>
            </w:pPr>
            <w:r>
              <w:rPr>
                <w:rFonts w:ascii="Times New Roman"/>
                <w:sz w:val="18"/>
              </w:rPr>
              <w:t>30%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09" w:top="1060" w:bottom="150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98"/>
        <w:gridCol w:w="2977"/>
        <w:gridCol w:w="3994"/>
      </w:tblGrid>
      <w:tr>
        <w:trPr>
          <w:trHeight w:val="449"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4"/>
              <w:jc w:val="right"/>
              <w:rPr>
                <w:rFonts w:ascii="Times New Roman" w:hAnsi="Times New Roman" w:cs="Times New Roman" w:eastAsia="Times New Roman" w:hint="default"/>
                <w:sz w:val="18"/>
                <w:szCs w:val="18"/>
              </w:rPr>
            </w:pPr>
            <w:r>
              <w:rPr>
                <w:rFonts w:ascii="Times New Roman"/>
                <w:sz w:val="18"/>
              </w:rPr>
              <w:t>50%</w:t>
            </w:r>
          </w:p>
        </w:tc>
      </w:tr>
      <w:tr>
        <w:trPr>
          <w:trHeight w:val="449"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4"/>
              <w:jc w:val="right"/>
              <w:rPr>
                <w:rFonts w:ascii="Times New Roman" w:hAnsi="Times New Roman" w:cs="Times New Roman" w:eastAsia="Times New Roman" w:hint="default"/>
                <w:sz w:val="18"/>
                <w:szCs w:val="18"/>
              </w:rPr>
            </w:pPr>
            <w:r>
              <w:rPr>
                <w:rFonts w:ascii="Times New Roman"/>
                <w:sz w:val="18"/>
              </w:rPr>
              <w:t>100%</w:t>
            </w:r>
          </w:p>
        </w:tc>
      </w:tr>
    </w:tbl>
    <w:p>
      <w:pPr>
        <w:spacing w:before="70"/>
        <w:ind w:left="152" w:right="1125"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240" w:lineRule="auto" w:before="8"/>
        <w:rPr>
          <w:rFonts w:ascii="宋体" w:hAnsi="宋体" w:cs="宋体" w:eastAsia="宋体" w:hint="default"/>
          <w:sz w:val="12"/>
          <w:szCs w:val="12"/>
        </w:rPr>
      </w:pPr>
    </w:p>
    <w:p>
      <w:pPr>
        <w:spacing w:line="384"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55"/>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52"/>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）单项金额虽不重大但单项计提坏账准备的应收账款</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3"/>
          <w:szCs w:val="13"/>
        </w:rPr>
      </w:pPr>
    </w:p>
    <w:p>
      <w:pPr>
        <w:spacing w:before="0"/>
        <w:ind w:left="0" w:right="1139" w:firstLine="0"/>
        <w:jc w:val="right"/>
        <w:rPr>
          <w:rFonts w:ascii="宋体" w:hAnsi="宋体" w:cs="宋体" w:eastAsia="宋体" w:hint="default"/>
          <w:sz w:val="18"/>
          <w:szCs w:val="18"/>
        </w:rPr>
      </w:pPr>
      <w:r>
        <w:rPr/>
        <w:pict>
          <v:shape style="position:absolute;margin-left:56.459999pt;margin-top:-4.128311pt;width:479.2pt;height:117.15pt;mso-position-horizontal-relative:page;mso-position-vertical-relative:paragraph;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55"/>
                    <w:gridCol w:w="6215"/>
                  </w:tblGrid>
                  <w:tr>
                    <w:trPr>
                      <w:trHeight w:val="1527"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67" w:lineRule="auto" w:before="73"/>
                          <w:ind w:left="23" w:right="60"/>
                          <w:jc w:val="both"/>
                          <w:rPr>
                            <w:rFonts w:ascii="宋体" w:hAnsi="宋体" w:cs="宋体" w:eastAsia="宋体" w:hint="default"/>
                            <w:sz w:val="18"/>
                            <w:szCs w:val="18"/>
                          </w:rPr>
                        </w:pPr>
                        <w:r>
                          <w:rPr>
                            <w:rFonts w:ascii="宋体" w:hAnsi="宋体" w:cs="宋体" w:eastAsia="宋体" w:hint="default"/>
                            <w:spacing w:val="-2"/>
                            <w:sz w:val="18"/>
                            <w:szCs w:val="18"/>
                          </w:rPr>
                          <w:t>本集团对于单项金额虽不重大但具备以下特征的应收款项，单独进行减值测试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有客观证据表明其发生了减值的应收款项。如：应收关联方款项；与对方存在 争议或涉及诉讼、仲裁的应收款项；已有明显迹象表明债务人很可能无法履行 还款义务的应收款项等等。</w:t>
                        </w:r>
                      </w:p>
                    </w:tc>
                  </w:tr>
                  <w:tr>
                    <w:trPr>
                      <w:trHeight w:val="806"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64" w:lineRule="auto" w:before="73"/>
                          <w:ind w:left="23" w:right="6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根据其未来现金流量现值低于其账面价值的差额，确认减值损失，计提坏账准 备。</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3"/>
        <w:rPr>
          <w:rFonts w:ascii="宋体" w:hAnsi="宋体" w:cs="宋体" w:eastAsia="宋体" w:hint="default"/>
          <w:b/>
          <w:bCs/>
          <w:sz w:val="28"/>
          <w:szCs w:val="28"/>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sz w:val="21"/>
          <w:szCs w:val="21"/>
        </w:rPr>
      </w:r>
    </w:p>
    <w:p>
      <w:pPr>
        <w:spacing w:line="240" w:lineRule="auto" w:before="3"/>
        <w:rPr>
          <w:rFonts w:ascii="宋体" w:hAnsi="宋体" w:cs="宋体" w:eastAsia="宋体" w:hint="default"/>
          <w:b/>
          <w:bCs/>
          <w:sz w:val="26"/>
          <w:szCs w:val="26"/>
        </w:rPr>
      </w:pPr>
    </w:p>
    <w:p>
      <w:pPr>
        <w:spacing w:before="44"/>
        <w:ind w:left="515" w:right="0" w:firstLine="0"/>
        <w:jc w:val="left"/>
        <w:rPr>
          <w:rFonts w:ascii="宋体" w:hAnsi="宋体" w:cs="宋体" w:eastAsia="宋体" w:hint="default"/>
          <w:sz w:val="18"/>
          <w:szCs w:val="18"/>
        </w:rPr>
      </w:pPr>
      <w:r>
        <w:rPr>
          <w:rFonts w:ascii="宋体" w:hAnsi="宋体" w:cs="宋体" w:eastAsia="宋体" w:hint="default"/>
          <w:sz w:val="18"/>
          <w:szCs w:val="18"/>
        </w:rPr>
        <w:t>存货主要包括原材料、在产品及自制半成品、库存商品、发出商品、委托加工物资、低值易耗品、在途物资、项目成本</w:t>
      </w:r>
    </w:p>
    <w:p>
      <w:pPr>
        <w:spacing w:before="124"/>
        <w:ind w:left="152" w:right="1125" w:firstLine="0"/>
        <w:jc w:val="left"/>
        <w:rPr>
          <w:rFonts w:ascii="宋体" w:hAnsi="宋体" w:cs="宋体" w:eastAsia="宋体" w:hint="default"/>
          <w:sz w:val="18"/>
          <w:szCs w:val="18"/>
        </w:rPr>
      </w:pPr>
      <w:r>
        <w:rPr>
          <w:rFonts w:ascii="宋体" w:hAnsi="宋体" w:cs="宋体" w:eastAsia="宋体" w:hint="default"/>
          <w:sz w:val="18"/>
          <w:szCs w:val="18"/>
        </w:rPr>
        <w:t>等。</w:t>
      </w:r>
    </w:p>
    <w:p>
      <w:pPr>
        <w:spacing w:line="240" w:lineRule="auto" w:before="12"/>
        <w:rPr>
          <w:rFonts w:ascii="宋体" w:hAnsi="宋体" w:cs="宋体" w:eastAsia="宋体" w:hint="default"/>
          <w:sz w:val="27"/>
          <w:szCs w:val="27"/>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sz w:val="21"/>
          <w:szCs w:val="21"/>
        </w:rPr>
      </w:r>
    </w:p>
    <w:p>
      <w:pPr>
        <w:spacing w:line="240" w:lineRule="auto" w:before="10"/>
        <w:rPr>
          <w:rFonts w:ascii="宋体" w:hAnsi="宋体" w:cs="宋体" w:eastAsia="宋体" w:hint="default"/>
          <w:b/>
          <w:bCs/>
          <w:sz w:val="29"/>
          <w:szCs w:val="29"/>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计价方法：加权平均法</w:t>
      </w:r>
    </w:p>
    <w:p>
      <w:pPr>
        <w:pStyle w:val="BodyText"/>
        <w:spacing w:line="276" w:lineRule="auto" w:before="116"/>
        <w:ind w:right="1125" w:firstLine="960"/>
        <w:jc w:val="left"/>
      </w:pPr>
      <w:r>
        <w:rPr/>
        <w:t>存货在取得时按实际成本计价，存货成本包括采购成本、加工成本和其他成本。领 用和发出时按加权平均法计价。</w:t>
      </w:r>
    </w:p>
    <w:p>
      <w:pPr>
        <w:spacing w:line="240" w:lineRule="auto" w:before="6"/>
        <w:rPr>
          <w:rFonts w:ascii="宋体" w:hAnsi="宋体" w:cs="宋体" w:eastAsia="宋体" w:hint="default"/>
          <w:sz w:val="25"/>
          <w:szCs w:val="25"/>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73" w:lineRule="auto"/>
        <w:ind w:right="1139" w:firstLine="480"/>
        <w:jc w:val="both"/>
      </w:pPr>
      <w:r>
        <w:rPr/>
        <w:t>可变现净值是指在日常活动中，存货的估计售价减去至完工时估计将要发生的成本、估 计的销售费用以及相关税费后的金额。在确定存货的可变现净值时，以取得的确凿证据为基</w:t>
      </w:r>
      <w:r>
        <w:rPr>
          <w:spacing w:val="-91"/>
        </w:rPr>
        <w:t> </w:t>
      </w:r>
      <w:r>
        <w:rPr>
          <w:spacing w:val="-91"/>
        </w:rPr>
      </w:r>
      <w:r>
        <w:rPr/>
        <w:t>础，同时考虑持有存货的目的以及资产负债表日后事项的影响。</w:t>
      </w:r>
    </w:p>
    <w:p>
      <w:pPr>
        <w:pStyle w:val="BodyText"/>
        <w:spacing w:line="276" w:lineRule="auto" w:before="10"/>
        <w:ind w:right="1140" w:firstLine="480"/>
        <w:jc w:val="both"/>
      </w:pPr>
      <w:r>
        <w:rPr/>
        <w:t>在资产负债表日，存货按照成本与可变现净值孰低计量。当其可变现净值低于成本时， 提取存货跌价准备。存货跌价准备按单个存货项目的成本高于其可变现净值的差额提取。</w:t>
      </w:r>
    </w:p>
    <w:p>
      <w:pPr>
        <w:pStyle w:val="BodyText"/>
        <w:spacing w:line="276" w:lineRule="auto" w:before="7"/>
        <w:ind w:right="1139" w:firstLine="480"/>
        <w:jc w:val="both"/>
      </w:pPr>
      <w:r>
        <w:rPr/>
        <w:t>计提存货跌价准备后，如果以前减记存货价值的影响因素已经消失，导致存货的可变现 净值高于其账面价值的，在原已计提的存货跌价准备金额内予以转回，转回的金额计入当期</w:t>
      </w:r>
    </w:p>
    <w:p>
      <w:pPr>
        <w:spacing w:after="0" w:line="276" w:lineRule="auto"/>
        <w:jc w:val="both"/>
        <w:sectPr>
          <w:pgSz w:w="11910" w:h="16840"/>
          <w:pgMar w:header="877" w:footer="1309" w:top="1060" w:bottom="1500" w:left="980" w:right="0"/>
        </w:sectPr>
      </w:pPr>
    </w:p>
    <w:p>
      <w:pPr>
        <w:spacing w:line="240" w:lineRule="auto" w:before="6"/>
        <w:rPr>
          <w:rFonts w:ascii="宋体" w:hAnsi="宋体" w:cs="宋体" w:eastAsia="宋体" w:hint="default"/>
          <w:sz w:val="25"/>
          <w:szCs w:val="25"/>
        </w:rPr>
      </w:pPr>
    </w:p>
    <w:p>
      <w:pPr>
        <w:pStyle w:val="BodyText"/>
        <w:spacing w:line="240" w:lineRule="auto" w:before="26"/>
        <w:ind w:right="1125"/>
        <w:jc w:val="left"/>
      </w:pPr>
      <w:r>
        <w:rPr/>
        <w:t>损益。</w:t>
      </w:r>
    </w:p>
    <w:p>
      <w:pPr>
        <w:spacing w:line="240" w:lineRule="auto" w:before="3"/>
        <w:rPr>
          <w:rFonts w:ascii="宋体" w:hAnsi="宋体" w:cs="宋体" w:eastAsia="宋体" w:hint="default"/>
          <w:sz w:val="28"/>
          <w:szCs w:val="28"/>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sz w:val="21"/>
          <w:szCs w:val="21"/>
        </w:rPr>
      </w:r>
    </w:p>
    <w:p>
      <w:pPr>
        <w:spacing w:line="240" w:lineRule="auto" w:before="10"/>
        <w:rPr>
          <w:rFonts w:ascii="宋体" w:hAnsi="宋体" w:cs="宋体" w:eastAsia="宋体" w:hint="default"/>
          <w:b/>
          <w:bCs/>
          <w:sz w:val="29"/>
          <w:szCs w:val="29"/>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盘存制度：永续盘存制</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sz w:val="21"/>
          <w:szCs w:val="21"/>
        </w:rPr>
      </w:r>
    </w:p>
    <w:p>
      <w:pPr>
        <w:spacing w:line="240" w:lineRule="auto" w:before="10"/>
        <w:rPr>
          <w:rFonts w:ascii="宋体" w:hAnsi="宋体" w:cs="宋体" w:eastAsia="宋体" w:hint="default"/>
          <w:b/>
          <w:bCs/>
          <w:sz w:val="29"/>
          <w:szCs w:val="29"/>
        </w:rPr>
      </w:pPr>
    </w:p>
    <w:p>
      <w:pPr>
        <w:spacing w:line="405" w:lineRule="auto" w:before="0"/>
        <w:ind w:left="152" w:right="8954" w:firstLine="0"/>
        <w:jc w:val="left"/>
        <w:rPr>
          <w:rFonts w:ascii="宋体" w:hAnsi="宋体" w:cs="宋体" w:eastAsia="宋体" w:hint="default"/>
          <w:sz w:val="18"/>
          <w:szCs w:val="18"/>
        </w:rPr>
      </w:pPr>
      <w:r>
        <w:rPr>
          <w:rFonts w:ascii="宋体" w:hAnsi="宋体" w:cs="宋体" w:eastAsia="宋体" w:hint="default"/>
          <w:sz w:val="18"/>
          <w:szCs w:val="18"/>
        </w:rPr>
        <w:t>低值易耗品 摊销方法：一次摊销法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4"/>
          <w:szCs w:val="24"/>
        </w:rPr>
      </w:pPr>
    </w:p>
    <w:p>
      <w:pPr>
        <w:spacing w:line="408" w:lineRule="auto" w:before="0"/>
        <w:ind w:left="152" w:right="8954" w:firstLine="0"/>
        <w:jc w:val="left"/>
        <w:rPr>
          <w:rFonts w:ascii="宋体" w:hAnsi="宋体" w:cs="宋体" w:eastAsia="宋体" w:hint="default"/>
          <w:sz w:val="18"/>
          <w:szCs w:val="18"/>
        </w:rPr>
      </w:pPr>
      <w:r>
        <w:rPr>
          <w:rFonts w:ascii="宋体" w:hAnsi="宋体" w:cs="宋体" w:eastAsia="宋体" w:hint="default"/>
          <w:sz w:val="18"/>
          <w:szCs w:val="18"/>
        </w:rPr>
        <w:t>包装物 摊销方法：一次摊销法</w:t>
      </w:r>
    </w:p>
    <w:p>
      <w:pPr>
        <w:spacing w:line="240" w:lineRule="auto" w:before="1"/>
        <w:rPr>
          <w:rFonts w:ascii="宋体" w:hAnsi="宋体" w:cs="宋体" w:eastAsia="宋体" w:hint="default"/>
          <w:sz w:val="21"/>
          <w:szCs w:val="21"/>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3"/>
        <w:rPr>
          <w:rFonts w:ascii="宋体" w:hAnsi="宋体" w:cs="宋体" w:eastAsia="宋体" w:hint="default"/>
          <w:b/>
          <w:bCs/>
          <w:sz w:val="28"/>
          <w:szCs w:val="28"/>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）投资成本的确定</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73" w:lineRule="auto"/>
        <w:ind w:right="1136" w:firstLine="960"/>
        <w:jc w:val="both"/>
      </w:pPr>
      <w:r>
        <w:rPr/>
        <w:t>对于企业合并形成的长期股权投资，如为同一控制下的企业合并取得的长期股权投 资，在合并日按照取得被合并方所有者权益账面价值的份额作为初始投资成本。通过非同一</w:t>
      </w:r>
      <w:r>
        <w:rPr>
          <w:spacing w:val="-91"/>
        </w:rPr>
        <w:t> </w:t>
      </w:r>
      <w:r>
        <w:rPr>
          <w:spacing w:val="-91"/>
        </w:rPr>
      </w:r>
      <w:r>
        <w:rPr/>
        <w:t>控制下的企业合并取得的长期股权投资，企业合并成本包括购买方付出的资产、发生或承担</w:t>
      </w:r>
      <w:r>
        <w:rPr>
          <w:spacing w:val="-91"/>
        </w:rPr>
        <w:t> </w:t>
      </w:r>
      <w:r>
        <w:rPr>
          <w:spacing w:val="-91"/>
        </w:rPr>
      </w:r>
      <w:r>
        <w:rPr/>
        <w:t>的负债、发行的权益性证券的公允价值之和；购买方为企业合并发生的审计、法律服务、评</w:t>
      </w:r>
      <w:r>
        <w:rPr>
          <w:spacing w:val="-91"/>
        </w:rPr>
        <w:t> </w:t>
      </w:r>
      <w:r>
        <w:rPr>
          <w:spacing w:val="-91"/>
        </w:rPr>
      </w:r>
      <w:r>
        <w:rPr/>
        <w:t>估咨询等中介费用以及其他相关管理费用，应当于发生时计入当期损益；购买方作为合并对</w:t>
      </w:r>
      <w:r>
        <w:rPr>
          <w:spacing w:val="-91"/>
        </w:rPr>
        <w:t> </w:t>
      </w:r>
      <w:r>
        <w:rPr>
          <w:spacing w:val="-91"/>
        </w:rPr>
      </w:r>
      <w:r>
        <w:rPr/>
        <w:t>价发行的权益性证券或债务性证券的交易费用，应当计入权益性证券或债务性证券的初始确</w:t>
      </w:r>
      <w:r>
        <w:rPr>
          <w:spacing w:val="-91"/>
        </w:rPr>
        <w:t> </w:t>
      </w:r>
      <w:r>
        <w:rPr>
          <w:spacing w:val="-91"/>
        </w:rPr>
      </w:r>
      <w:r>
        <w:rPr/>
        <w:t>认金额。</w:t>
      </w:r>
    </w:p>
    <w:p>
      <w:pPr>
        <w:pStyle w:val="BodyText"/>
        <w:spacing w:line="273" w:lineRule="auto" w:before="10"/>
        <w:ind w:right="1132" w:firstLine="600"/>
        <w:jc w:val="both"/>
      </w:pPr>
      <w:r>
        <w:rPr>
          <w:spacing w:val="-3"/>
        </w:rPr>
        <w:t>除企业合并形成的长期股权投资外的其他股权投资，按成本进行初始计量，该成本视长</w:t>
      </w:r>
      <w:r>
        <w:rPr/>
        <w:t> 期股权投资取得方式的不同，分别按照本集团实际支付的现金购买价款、本集团发行的权益</w:t>
      </w:r>
      <w:r>
        <w:rPr>
          <w:spacing w:val="-91"/>
        </w:rPr>
        <w:t> </w:t>
      </w:r>
      <w:r>
        <w:rPr>
          <w:spacing w:val="-91"/>
        </w:rPr>
      </w:r>
      <w:r>
        <w:rPr/>
        <w:t>性证券的公允价值、投资合同或协议约定的价值、非货币性资产交换交易中换出资产的公允</w:t>
      </w:r>
      <w:r>
        <w:rPr>
          <w:spacing w:val="-91"/>
        </w:rPr>
        <w:t> </w:t>
      </w:r>
      <w:r>
        <w:rPr>
          <w:spacing w:val="-91"/>
        </w:rPr>
      </w:r>
      <w:r>
        <w:rPr/>
        <w:t>价值或原账面价值、该项长期股权投资自身的公允价值等方式确定。与取得长期股权投资直</w:t>
      </w:r>
      <w:r>
        <w:rPr>
          <w:spacing w:val="-91"/>
        </w:rPr>
        <w:t> </w:t>
      </w:r>
      <w:r>
        <w:rPr>
          <w:spacing w:val="-91"/>
        </w:rPr>
      </w:r>
      <w:r>
        <w:rPr/>
        <w:t>接相关的费用、税金及其他必要支出也计入投资成本。</w:t>
      </w:r>
    </w:p>
    <w:p>
      <w:pPr>
        <w:spacing w:line="240" w:lineRule="auto" w:before="11"/>
        <w:rPr>
          <w:rFonts w:ascii="宋体" w:hAnsi="宋体" w:cs="宋体" w:eastAsia="宋体" w:hint="default"/>
          <w:sz w:val="25"/>
          <w:szCs w:val="25"/>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）后续计量及损益确认</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pStyle w:val="BodyText"/>
        <w:spacing w:line="273" w:lineRule="auto"/>
        <w:ind w:right="1136" w:firstLine="480"/>
        <w:jc w:val="both"/>
      </w:pPr>
      <w:r>
        <w:rPr/>
        <w:t>对被投资单位不具有共同控制或重大影响并且在活跃市场中没有报价、公允价值不能可 靠计量的长期股权投资，采用成本法核算；对被投资单位具有共同控制或重大影响的长期股</w:t>
      </w:r>
      <w:r>
        <w:rPr>
          <w:spacing w:val="-89"/>
        </w:rPr>
        <w:t> </w:t>
      </w:r>
      <w:r>
        <w:rPr>
          <w:spacing w:val="-89"/>
        </w:rPr>
      </w:r>
      <w:r>
        <w:rPr/>
        <w:t>权投资，采用权益法核算；对被投资单位不具有控制、共同控制或重大影响并且公允价值能</w:t>
      </w:r>
      <w:r>
        <w:rPr>
          <w:spacing w:val="-91"/>
        </w:rPr>
        <w:t> </w:t>
      </w:r>
      <w:r>
        <w:rPr>
          <w:spacing w:val="-91"/>
        </w:rPr>
      </w:r>
      <w:r>
        <w:rPr/>
        <w:t>够可靠计量的长期股权投资，作为可供出售金融资产核算。此外，公司财务报表采用成本法</w:t>
      </w:r>
      <w:r>
        <w:rPr>
          <w:spacing w:val="-91"/>
        </w:rPr>
        <w:t> </w:t>
      </w:r>
      <w:r>
        <w:rPr>
          <w:spacing w:val="-91"/>
        </w:rPr>
      </w:r>
      <w:r>
        <w:rPr/>
        <w:t>核算能够对被投资单位实施控制的长期股权投资。</w:t>
      </w:r>
    </w:p>
    <w:p>
      <w:pPr>
        <w:spacing w:after="0" w:line="273" w:lineRule="auto"/>
        <w:jc w:val="both"/>
        <w:sectPr>
          <w:pgSz w:w="11910" w:h="16840"/>
          <w:pgMar w:header="877" w:footer="1309" w:top="1060" w:bottom="1500" w:left="980" w:right="0"/>
        </w:sectPr>
      </w:pPr>
    </w:p>
    <w:p>
      <w:pPr>
        <w:spacing w:line="240" w:lineRule="auto" w:before="6"/>
        <w:rPr>
          <w:rFonts w:ascii="宋体" w:hAnsi="宋体" w:cs="宋体" w:eastAsia="宋体" w:hint="default"/>
          <w:sz w:val="25"/>
          <w:szCs w:val="25"/>
        </w:rPr>
      </w:pPr>
    </w:p>
    <w:p>
      <w:pPr>
        <w:pStyle w:val="BodyText"/>
        <w:spacing w:line="273" w:lineRule="auto" w:before="26"/>
        <w:ind w:right="1136" w:firstLine="600"/>
        <w:jc w:val="both"/>
      </w:pPr>
      <w:r>
        <w:rPr/>
        <w:t>① 成本法核算的长期股权投资</w:t>
      </w:r>
      <w:r>
        <w:rPr>
          <w:spacing w:val="31"/>
        </w:rPr>
        <w:t> </w:t>
      </w:r>
      <w:r>
        <w:rPr/>
        <w:t>采用成本法核算时，长期股权投资按初始投资成本</w:t>
      </w:r>
      <w:r>
        <w:rPr/>
        <w:t> 计价，除取得投资时实际支付的价款或者对价中包含的已宣告但尚未发放的现金股利或者利</w:t>
      </w:r>
      <w:r>
        <w:rPr>
          <w:spacing w:val="-91"/>
        </w:rPr>
        <w:t> </w:t>
      </w:r>
      <w:r>
        <w:rPr>
          <w:spacing w:val="-91"/>
        </w:rPr>
      </w:r>
      <w:r>
        <w:rPr/>
        <w:t>润外，当期投资收益按照享有被投资单位宣告发放的现金股利或利润确认。</w:t>
      </w:r>
    </w:p>
    <w:p>
      <w:pPr>
        <w:pStyle w:val="BodyText"/>
        <w:tabs>
          <w:tab w:pos="4353" w:val="left" w:leader="none"/>
        </w:tabs>
        <w:spacing w:line="273" w:lineRule="auto" w:before="10"/>
        <w:ind w:right="1013" w:firstLine="480"/>
        <w:jc w:val="left"/>
      </w:pPr>
      <w:r>
        <w:rPr/>
        <w:t>② 权益法核算的长期股权投资</w:t>
        <w:tab/>
      </w:r>
      <w:r>
        <w:rPr>
          <w:spacing w:val="-4"/>
        </w:rPr>
        <w:t>采用权益法核算时，长期股权投资的初始投资成本大</w:t>
      </w:r>
      <w:r>
        <w:rPr/>
        <w:t> 于投资时应享有被投资单位可辨认净资产公允价值份额的，不调整长期股权投资的初始投资</w:t>
      </w:r>
      <w:r>
        <w:rPr>
          <w:spacing w:val="-91"/>
        </w:rPr>
        <w:t> </w:t>
      </w:r>
      <w:r>
        <w:rPr>
          <w:spacing w:val="-91"/>
        </w:rPr>
      </w:r>
      <w:r>
        <w:rPr/>
        <w:t>成本；初始投资成本小于投资时应享有被投资单位可辨认净资产公允价值份额的，其差额计</w:t>
      </w:r>
      <w:r>
        <w:rPr>
          <w:spacing w:val="-91"/>
        </w:rPr>
        <w:t> </w:t>
      </w:r>
      <w:r>
        <w:rPr>
          <w:spacing w:val="-91"/>
        </w:rPr>
      </w:r>
      <w:r>
        <w:rPr/>
        <w:t>入当期损益，同时调整长期股权投资的成本。采用权益法核算时，当期投资损益为应享有或</w:t>
      </w:r>
      <w:r>
        <w:rPr>
          <w:spacing w:val="-91"/>
        </w:rPr>
        <w:t> </w:t>
      </w:r>
      <w:r>
        <w:rPr>
          <w:spacing w:val="-91"/>
        </w:rPr>
      </w:r>
      <w:r>
        <w:rPr/>
        <w:t>应分担的被投资单位当年实现的净损益的份额。在确认应享有被投资单位净损益的份额时，</w:t>
      </w:r>
      <w:r>
        <w:rPr>
          <w:spacing w:val="-91"/>
        </w:rPr>
        <w:t> </w:t>
      </w:r>
      <w:r>
        <w:rPr>
          <w:spacing w:val="-91"/>
        </w:rPr>
      </w:r>
      <w:r>
        <w:rPr/>
        <w:t>以取得投资时被投资单位各项可辨认资产等的公允价值为基础，并按照本集团的会计政策及</w:t>
      </w:r>
      <w:r>
        <w:rPr>
          <w:spacing w:val="-91"/>
        </w:rPr>
        <w:t> </w:t>
      </w:r>
      <w:r>
        <w:rPr>
          <w:spacing w:val="-91"/>
        </w:rPr>
      </w:r>
      <w:r>
        <w:rPr/>
        <w:t>会计期间，对被投资单位的净利润进行调整后确认。对于本集团与联营企业及合营之间发生</w:t>
      </w:r>
      <w:r>
        <w:rPr>
          <w:spacing w:val="-88"/>
        </w:rPr>
        <w:t> </w:t>
      </w:r>
      <w:r>
        <w:rPr>
          <w:spacing w:val="-88"/>
        </w:rPr>
      </w:r>
      <w:r>
        <w:rPr/>
        <w:t>的未实现内部交易损益，按照持股比例计算属于本集团的部分予以抵销，在此基础上确认投</w:t>
      </w:r>
      <w:r>
        <w:rPr>
          <w:spacing w:val="-91"/>
        </w:rPr>
        <w:t> </w:t>
      </w:r>
      <w:r>
        <w:rPr>
          <w:spacing w:val="-91"/>
        </w:rPr>
      </w:r>
      <w:r>
        <w:rPr>
          <w:spacing w:val="-2"/>
        </w:rPr>
        <w:t>资损益。但本集团与被投资单位发生的未实现内部交易损失，按照《企业会计准则第</w:t>
      </w:r>
      <w:r>
        <w:rPr>
          <w:rFonts w:ascii="宋体" w:hAnsi="宋体" w:cs="宋体" w:eastAsia="宋体" w:hint="default"/>
          <w:spacing w:val="-2"/>
        </w:rPr>
        <w:t>8</w:t>
      </w:r>
      <w:r>
        <w:rPr>
          <w:spacing w:val="-2"/>
        </w:rPr>
        <w:t>号——</w:t>
      </w:r>
      <w:r>
        <w:rPr/>
        <w:t> </w:t>
      </w:r>
      <w:r>
        <w:rPr>
          <w:spacing w:val="-3"/>
        </w:rPr>
        <w:t>资产减值》等规定属于所转让资产减值损失的，不予以抵销。对被投资单位的其他综合收益，</w:t>
      </w:r>
      <w:r>
        <w:rPr>
          <w:spacing w:val="-81"/>
        </w:rPr>
        <w:t> </w:t>
      </w:r>
      <w:r>
        <w:rPr>
          <w:spacing w:val="-81"/>
        </w:rPr>
      </w:r>
      <w:r>
        <w:rPr/>
        <w:t>相应调整长期股权投资的账面价值确认为其他综合收益并计入资本公积。在确认应分担被投</w:t>
      </w:r>
      <w:r>
        <w:rPr>
          <w:spacing w:val="-91"/>
        </w:rPr>
        <w:t> </w:t>
      </w:r>
      <w:r>
        <w:rPr>
          <w:spacing w:val="-91"/>
        </w:rPr>
      </w:r>
      <w:r>
        <w:rPr/>
        <w:t>资单位发生的净亏损时，以长期股权投资的账面价值和其他实质上构成对被投资单位净投资</w:t>
      </w:r>
      <w:r>
        <w:rPr>
          <w:spacing w:val="-91"/>
        </w:rPr>
        <w:t> </w:t>
      </w:r>
      <w:r>
        <w:rPr>
          <w:spacing w:val="-91"/>
        </w:rPr>
      </w:r>
      <w:r>
        <w:rPr/>
        <w:t>的长期权益减记至零为限。此外，如本集团对被投资单位负有承担额外损失的义务，则按预</w:t>
      </w:r>
      <w:r>
        <w:rPr>
          <w:spacing w:val="-86"/>
        </w:rPr>
        <w:t> </w:t>
      </w:r>
      <w:r>
        <w:rPr>
          <w:spacing w:val="-86"/>
        </w:rPr>
      </w:r>
      <w:r>
        <w:rPr/>
        <w:t>计承担的义务确认预计负债，计入当期投资损失。被投资单位以后期间实现净利润的，本集</w:t>
      </w:r>
      <w:r>
        <w:rPr>
          <w:spacing w:val="-91"/>
        </w:rPr>
        <w:t> </w:t>
      </w:r>
      <w:r>
        <w:rPr>
          <w:spacing w:val="-91"/>
        </w:rPr>
      </w:r>
      <w:r>
        <w:rPr/>
        <w:t>团在收益分享额弥补未确认的亏损分担额后，恢复确认收益分享额。</w:t>
      </w:r>
    </w:p>
    <w:p>
      <w:pPr>
        <w:pStyle w:val="BodyText"/>
        <w:spacing w:line="273" w:lineRule="auto" w:before="12"/>
        <w:ind w:right="1132" w:firstLine="480"/>
        <w:jc w:val="both"/>
      </w:pPr>
      <w:r>
        <w:rPr/>
        <w:t>③ 收购少数股权</w:t>
      </w:r>
      <w:r>
        <w:rPr>
          <w:spacing w:val="4"/>
        </w:rPr>
        <w:t> </w:t>
      </w:r>
      <w:r>
        <w:rPr>
          <w:spacing w:val="-3"/>
        </w:rPr>
        <w:t>在编制合并财务报表时，因购买少数股权新增的长期股权投资与按</w:t>
      </w:r>
      <w:r>
        <w:rPr/>
        <w:t> 照新增持股比例计算应享有子公司自购买日（或合并日）开始持续计算的净资产份额之间的</w:t>
      </w:r>
      <w:r>
        <w:rPr>
          <w:spacing w:val="-91"/>
        </w:rPr>
        <w:t> </w:t>
      </w:r>
      <w:r>
        <w:rPr>
          <w:spacing w:val="-91"/>
        </w:rPr>
      </w:r>
      <w:r>
        <w:rPr/>
        <w:t>差额，调整资本公积，资本公积不足冲减的，调整留存收益。</w:t>
      </w:r>
    </w:p>
    <w:p>
      <w:pPr>
        <w:pStyle w:val="BodyText"/>
        <w:spacing w:line="273" w:lineRule="auto" w:before="10"/>
        <w:ind w:right="1133" w:firstLine="600"/>
        <w:jc w:val="both"/>
      </w:pPr>
      <w:r>
        <w:rPr/>
        <w:t>④ 处置长期股权投资</w:t>
      </w:r>
      <w:r>
        <w:rPr>
          <w:spacing w:val="31"/>
        </w:rPr>
        <w:t> </w:t>
      </w:r>
      <w:r>
        <w:rPr/>
        <w:t>在合并财务报表中，母公司在不丧失控制权的情况下部分处</w:t>
      </w:r>
      <w:r>
        <w:rPr/>
        <w:t> 置对子公司的长期股权投资，处置价款与处置长期股权投资相对应享有子公司净资产的差额</w:t>
      </w:r>
      <w:r>
        <w:rPr>
          <w:spacing w:val="-88"/>
        </w:rPr>
        <w:t> </w:t>
      </w:r>
      <w:r>
        <w:rPr>
          <w:spacing w:val="-88"/>
        </w:rPr>
      </w:r>
      <w:r>
        <w:rPr/>
        <w:t>计入所有者权益；母公司部分处置对子公司的长期股权投资导致丧失对子公司控制权的，按</w:t>
      </w:r>
      <w:r>
        <w:rPr>
          <w:spacing w:val="-91"/>
        </w:rPr>
        <w:t> </w:t>
      </w:r>
      <w:r>
        <w:rPr>
          <w:spacing w:val="-91"/>
        </w:rPr>
      </w:r>
      <w:r>
        <w:rPr/>
        <w:t>“合并财务报表编制的方法”中所述的相关会计政策处理。</w:t>
      </w:r>
      <w:r>
        <w:rPr>
          <w:spacing w:val="34"/>
        </w:rPr>
        <w:t> </w:t>
      </w:r>
      <w:r>
        <w:rPr/>
        <w:t>其他情形下的长期股权投资</w:t>
      </w:r>
      <w:r>
        <w:rPr/>
        <w:t> 处置，对于处置的股权，其账面价值与实际取得价款的差额，计入当期损益；采用权益法核</w:t>
      </w:r>
      <w:r>
        <w:rPr>
          <w:spacing w:val="-91"/>
        </w:rPr>
        <w:t> </w:t>
      </w:r>
      <w:r>
        <w:rPr>
          <w:spacing w:val="-91"/>
        </w:rPr>
      </w:r>
      <w:r>
        <w:rPr/>
        <w:t>算的长期股权投资，在处置时将原计入所有者权益的其他综合收益部分按相应的比例转入当</w:t>
      </w:r>
      <w:r>
        <w:rPr>
          <w:spacing w:val="-91"/>
        </w:rPr>
        <w:t> </w:t>
      </w:r>
      <w:r>
        <w:rPr>
          <w:spacing w:val="-91"/>
        </w:rPr>
      </w:r>
      <w:r>
        <w:rPr/>
        <w:t>期损益。对于剩余股权，按其账面价值确认为长期股权投资或其他相关金融资产，并按前述</w:t>
      </w:r>
      <w:r>
        <w:rPr>
          <w:spacing w:val="-91"/>
        </w:rPr>
        <w:t> </w:t>
      </w:r>
      <w:r>
        <w:rPr>
          <w:spacing w:val="-91"/>
        </w:rPr>
      </w:r>
      <w:r>
        <w:rPr/>
        <w:t>长期股权投资或金融资产的会计政策进行后续计量。涉及对剩余股权由成本法转为权益法核</w:t>
      </w:r>
      <w:r>
        <w:rPr>
          <w:spacing w:val="-91"/>
        </w:rPr>
        <w:t> </w:t>
      </w:r>
      <w:r>
        <w:rPr>
          <w:spacing w:val="-91"/>
        </w:rPr>
      </w:r>
      <w:r>
        <w:rPr/>
        <w:t>算的，按相关规定进行追溯调整。</w:t>
      </w:r>
    </w:p>
    <w:p>
      <w:pPr>
        <w:spacing w:line="240" w:lineRule="auto" w:before="11"/>
        <w:rPr>
          <w:rFonts w:ascii="宋体" w:hAnsi="宋体" w:cs="宋体" w:eastAsia="宋体" w:hint="default"/>
          <w:sz w:val="25"/>
          <w:szCs w:val="25"/>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）确定对被投资单位具有共同控制、重大影响的依据</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pStyle w:val="BodyText"/>
        <w:spacing w:line="273" w:lineRule="auto"/>
        <w:ind w:right="1136" w:firstLine="960"/>
        <w:jc w:val="both"/>
      </w:pPr>
      <w:r>
        <w:rPr/>
        <w:t>控制是指有权决定一个企业的财务和经营政策，并能据以从该企业的经营活动中获 取利益。共同控制是指按照合同约定对某项经济活动所共有的控制，仅在与该项经济活动相</w:t>
      </w:r>
      <w:r>
        <w:rPr>
          <w:spacing w:val="-91"/>
        </w:rPr>
        <w:t> </w:t>
      </w:r>
      <w:r>
        <w:rPr>
          <w:spacing w:val="-91"/>
        </w:rPr>
      </w:r>
      <w:r>
        <w:rPr/>
        <w:t>关的重要财务和经营决策需要分享控制权的投资方一致同意时存在。重大影响是指对一个企</w:t>
      </w:r>
      <w:r>
        <w:rPr>
          <w:spacing w:val="-91"/>
        </w:rPr>
        <w:t> </w:t>
      </w:r>
      <w:r>
        <w:rPr>
          <w:spacing w:val="-91"/>
        </w:rPr>
      </w:r>
      <w:r>
        <w:rPr/>
        <w:t>业的财务和经营政策有参与决策的权力，但并不能够控制或者与其他方一起共同控制这些政</w:t>
      </w:r>
      <w:r>
        <w:rPr>
          <w:spacing w:val="-91"/>
        </w:rPr>
        <w:t> </w:t>
      </w:r>
      <w:r>
        <w:rPr>
          <w:spacing w:val="-91"/>
        </w:rPr>
      </w:r>
      <w:r>
        <w:rPr/>
        <w:t>策的制定。在确定能否对被投资单位实施控制或施加重大影响时，已考虑投资企业和其他持</w:t>
      </w:r>
      <w:r>
        <w:rPr>
          <w:spacing w:val="-91"/>
        </w:rPr>
        <w:t> </w:t>
      </w:r>
      <w:r>
        <w:rPr>
          <w:spacing w:val="-91"/>
        </w:rPr>
      </w:r>
      <w:r>
        <w:rPr/>
        <w:t>有的被投资单位当期可转换公司债券、当期可执行认股权证等潜在表决权因素。</w:t>
      </w:r>
    </w:p>
    <w:p>
      <w:pPr>
        <w:spacing w:after="0" w:line="273" w:lineRule="auto"/>
        <w:jc w:val="both"/>
        <w:sectPr>
          <w:pgSz w:w="11910" w:h="16840"/>
          <w:pgMar w:header="877" w:footer="1309" w:top="1060" w:bottom="1500" w:left="980" w:right="0"/>
        </w:sectPr>
      </w:pPr>
    </w:p>
    <w:p>
      <w:pPr>
        <w:spacing w:line="240" w:lineRule="auto" w:before="8"/>
        <w:rPr>
          <w:rFonts w:ascii="宋体" w:hAnsi="宋体" w:cs="宋体" w:eastAsia="宋体" w:hint="default"/>
          <w:sz w:val="26"/>
          <w:szCs w:val="26"/>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73" w:lineRule="auto"/>
        <w:ind w:right="1139" w:firstLine="480"/>
        <w:jc w:val="both"/>
      </w:pPr>
      <w:r>
        <w:rPr/>
        <w:t>本集团在每一个资产负债表日检查长期股权投资是否存在可能发生减值的迹象。如果该 资产存在减值迹象，则估计其可收回金额。如果资产的可收回金额低于其账面价值，按其差</w:t>
      </w:r>
      <w:r>
        <w:rPr>
          <w:spacing w:val="-91"/>
        </w:rPr>
        <w:t> </w:t>
      </w:r>
      <w:r>
        <w:rPr>
          <w:spacing w:val="-91"/>
        </w:rPr>
      </w:r>
      <w:r>
        <w:rPr/>
        <w:t>额计提资产减值准备，并计入当期损益。</w:t>
      </w:r>
    </w:p>
    <w:p>
      <w:pPr>
        <w:pStyle w:val="BodyText"/>
        <w:spacing w:line="240" w:lineRule="auto" w:before="12"/>
        <w:ind w:left="1113" w:right="1125"/>
        <w:jc w:val="left"/>
      </w:pPr>
      <w:r>
        <w:rPr/>
        <w:t>长期股权投资的减值损失一经确认，在以后会计期间不予转回。</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1"/>
          <w:szCs w:val="31"/>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pStyle w:val="BodyText"/>
        <w:spacing w:line="276" w:lineRule="auto"/>
        <w:ind w:right="1125" w:firstLine="480"/>
        <w:jc w:val="left"/>
      </w:pPr>
      <w:r>
        <w:rPr/>
        <w:t>投资性房地产是指为赚取租金或资本增值，或两者兼有而持有的房地产。包括已出租的 土地使用权、持有并准备增值后转让的土地使用权、已出租的建筑物等。</w:t>
      </w:r>
    </w:p>
    <w:p>
      <w:pPr>
        <w:pStyle w:val="BodyText"/>
        <w:spacing w:line="273" w:lineRule="auto" w:before="7"/>
        <w:ind w:right="996" w:firstLine="480"/>
        <w:jc w:val="left"/>
      </w:pPr>
      <w:r>
        <w:rPr/>
        <w:t>投资性房地产按成本进行初始计量。与投资性房地产有关的后续支出，如果与该资产有 </w:t>
      </w:r>
      <w:r>
        <w:rPr>
          <w:spacing w:val="-2"/>
        </w:rPr>
        <w:t>关的经济利益很可能流入且其成本能可靠地计量，则计入投资性房地产成本。其他后续支出，</w:t>
      </w:r>
      <w:r>
        <w:rPr/>
        <w:t> 在发生时计入当期损益。</w:t>
      </w:r>
    </w:p>
    <w:p>
      <w:pPr>
        <w:pStyle w:val="BodyText"/>
        <w:spacing w:line="273" w:lineRule="auto" w:before="12"/>
        <w:ind w:right="1125" w:firstLine="480"/>
        <w:jc w:val="left"/>
      </w:pPr>
      <w:r>
        <w:rPr/>
        <w:t>本集团采用成本模式对投资性房地产进行后续计量，并按照与房屋建筑物或土地使用权 一致的政策进行折旧或摊销。</w:t>
      </w:r>
    </w:p>
    <w:p>
      <w:pPr>
        <w:pStyle w:val="BodyText"/>
        <w:spacing w:line="273" w:lineRule="auto" w:before="12"/>
        <w:ind w:right="1133" w:firstLine="480"/>
        <w:jc w:val="both"/>
      </w:pPr>
      <w:r>
        <w:rPr/>
        <w:t>对于以成本模式计量的投资性房地产，本集团于资产负债表日判断是否存在减值迹象。 如存在减值迹象的，则估计其可收回金额，进行减值测试。减值测试结果表明资产的可收回</w:t>
      </w:r>
      <w:r>
        <w:rPr>
          <w:spacing w:val="-91"/>
        </w:rPr>
        <w:t> </w:t>
      </w:r>
      <w:r>
        <w:rPr>
          <w:spacing w:val="-91"/>
        </w:rPr>
      </w:r>
      <w:r>
        <w:rPr/>
        <w:t>金额低于其账面价值的，按其差额计提减值准备并计入减值损失。可收回金额为资产的公允</w:t>
      </w:r>
      <w:r>
        <w:rPr>
          <w:spacing w:val="-86"/>
        </w:rPr>
        <w:t> </w:t>
      </w:r>
      <w:r>
        <w:rPr>
          <w:spacing w:val="-86"/>
        </w:rPr>
      </w:r>
      <w:r>
        <w:rPr/>
        <w:t>价值减去处置费用后的净额与资产预计未来现金流量的现值两者之间的较高者。资产的公允</w:t>
      </w:r>
      <w:r>
        <w:rPr>
          <w:spacing w:val="-91"/>
        </w:rPr>
        <w:t> </w:t>
      </w:r>
      <w:r>
        <w:rPr>
          <w:spacing w:val="-91"/>
        </w:rPr>
      </w:r>
      <w:r>
        <w:rPr/>
        <w:t>价值根据公平交易中销售协议价格确定；不存在销售协议但存在资产活跃市场的，公允价值</w:t>
      </w:r>
      <w:r>
        <w:rPr>
          <w:spacing w:val="-91"/>
        </w:rPr>
        <w:t> </w:t>
      </w:r>
      <w:r>
        <w:rPr>
          <w:spacing w:val="-91"/>
        </w:rPr>
      </w:r>
      <w:r>
        <w:rPr/>
        <w:t>按照该资产的买方出价确定；不存在销售协议和资产活跃市场的，则以可获取的最佳信息为</w:t>
      </w:r>
      <w:r>
        <w:rPr>
          <w:spacing w:val="-91"/>
        </w:rPr>
        <w:t> </w:t>
      </w:r>
      <w:r>
        <w:rPr>
          <w:spacing w:val="-91"/>
        </w:rPr>
      </w:r>
      <w:r>
        <w:rPr/>
        <w:t>基础估计资产的公允价值。处置费用包括与资产处置有关的法律费用、相关税费、搬运费以</w:t>
      </w:r>
      <w:r>
        <w:rPr>
          <w:spacing w:val="-91"/>
        </w:rPr>
        <w:t> </w:t>
      </w:r>
      <w:r>
        <w:rPr>
          <w:spacing w:val="-91"/>
        </w:rPr>
      </w:r>
      <w:r>
        <w:rPr/>
        <w:t>及为使资产达到可销售状态所发生的直接费用。资产预计未来现金流量的现值，按照资产在</w:t>
      </w:r>
      <w:r>
        <w:rPr>
          <w:spacing w:val="-91"/>
        </w:rPr>
        <w:t> </w:t>
      </w:r>
      <w:r>
        <w:rPr>
          <w:spacing w:val="-91"/>
        </w:rPr>
      </w:r>
      <w:r>
        <w:rPr/>
        <w:t>持续使用过程中和最终处置时所产生的预计未来现金流量，选择恰当的折现率对其进行折现</w:t>
      </w:r>
      <w:r>
        <w:rPr>
          <w:spacing w:val="-91"/>
        </w:rPr>
        <w:t> </w:t>
      </w:r>
      <w:r>
        <w:rPr>
          <w:spacing w:val="-91"/>
        </w:rPr>
      </w:r>
      <w:r>
        <w:rPr/>
        <w:t>后的金额加以确定。资产减值准备按单项资产为基础计算并确认，如果难以对单项资产的可</w:t>
      </w:r>
      <w:r>
        <w:rPr>
          <w:spacing w:val="-89"/>
        </w:rPr>
        <w:t> </w:t>
      </w:r>
      <w:r>
        <w:rPr>
          <w:spacing w:val="-89"/>
        </w:rPr>
      </w:r>
      <w:r>
        <w:rPr/>
        <w:t>收回金额进行估计的，以该资产所属的资产组确定资产组的可收回金额。资产组是能够独立</w:t>
      </w:r>
      <w:r>
        <w:rPr>
          <w:spacing w:val="-91"/>
        </w:rPr>
        <w:t> </w:t>
      </w:r>
      <w:r>
        <w:rPr>
          <w:spacing w:val="-91"/>
        </w:rPr>
      </w:r>
      <w:r>
        <w:rPr/>
        <w:t>产生现金流入的最小资产组合。上述资产减值损失一经确认，以后期间不予转回价值得以恢</w:t>
      </w:r>
      <w:r>
        <w:rPr>
          <w:spacing w:val="-91"/>
        </w:rPr>
        <w:t> </w:t>
      </w:r>
      <w:r>
        <w:rPr>
          <w:spacing w:val="-91"/>
        </w:rPr>
      </w:r>
      <w:r>
        <w:rPr/>
        <w:t>复的部分。</w:t>
      </w:r>
    </w:p>
    <w:p>
      <w:pPr>
        <w:pStyle w:val="BodyText"/>
        <w:spacing w:line="276" w:lineRule="auto" w:before="10"/>
        <w:ind w:right="1125" w:firstLine="480"/>
        <w:jc w:val="left"/>
      </w:pPr>
      <w:r>
        <w:rPr/>
        <w:t>自用房地产或存货转换为投资性房地产或投资性房地产转换为自用房地产时，按转换前 的账面价值作为转换后的入账价值。</w:t>
      </w:r>
    </w:p>
    <w:p>
      <w:pPr>
        <w:pStyle w:val="BodyText"/>
        <w:spacing w:line="273" w:lineRule="auto" w:before="7"/>
        <w:ind w:right="996" w:firstLine="480"/>
        <w:jc w:val="left"/>
      </w:pPr>
      <w:r>
        <w:rPr/>
        <w:t>投资性房地产的用途改变为自用时，自改变之日起，将该投资性房地产转换为固定资产 或无形资产。自用房地产的用途改变为赚取租金或资本增值时，自改变之日起，将固定资产</w:t>
      </w:r>
      <w:r>
        <w:rPr>
          <w:spacing w:val="-91"/>
        </w:rPr>
        <w:t> </w:t>
      </w:r>
      <w:r>
        <w:rPr>
          <w:spacing w:val="-91"/>
        </w:rPr>
      </w:r>
      <w:r>
        <w:rPr>
          <w:spacing w:val="-2"/>
        </w:rPr>
        <w:t>或无形资产转换为投资性房地产。发生转换时，转换为采用成本模式计量的投资性房地产的，</w:t>
      </w:r>
      <w:r>
        <w:rPr/>
        <w:t> </w:t>
      </w:r>
      <w:r>
        <w:rPr>
          <w:spacing w:val="-2"/>
        </w:rPr>
        <w:t>以转换前的账面价值作为转换后的入账价值；转换为以公允价值模式计量的投资性房地产的，</w:t>
      </w:r>
      <w:r>
        <w:rPr/>
        <w:t> 以转换日的公允价值作为转换后的入账价值。</w:t>
      </w:r>
    </w:p>
    <w:p>
      <w:pPr>
        <w:pStyle w:val="BodyText"/>
        <w:spacing w:line="273" w:lineRule="auto" w:before="12"/>
        <w:ind w:right="0" w:firstLine="960"/>
        <w:jc w:val="left"/>
      </w:pPr>
      <w:r>
        <w:rPr>
          <w:spacing w:val="-3"/>
        </w:rPr>
        <w:t>当投资性房地产被处置、或者永久退出使用且预计不能从其处置中取得经济利益时，</w:t>
      </w:r>
      <w:r>
        <w:rPr/>
        <w:t> 终止确认该项投资性房地产。投资性房地产出售、转让、报废或毁损的处置收入扣除其账面</w:t>
      </w:r>
    </w:p>
    <w:p>
      <w:pPr>
        <w:spacing w:after="0" w:line="273" w:lineRule="auto"/>
        <w:jc w:val="left"/>
        <w:sectPr>
          <w:pgSz w:w="11910" w:h="16840"/>
          <w:pgMar w:header="877" w:footer="1309" w:top="1060" w:bottom="1500" w:left="980" w:right="0"/>
        </w:sectPr>
      </w:pPr>
    </w:p>
    <w:p>
      <w:pPr>
        <w:spacing w:line="240" w:lineRule="auto" w:before="6"/>
        <w:rPr>
          <w:rFonts w:ascii="宋体" w:hAnsi="宋体" w:cs="宋体" w:eastAsia="宋体" w:hint="default"/>
          <w:sz w:val="25"/>
          <w:szCs w:val="25"/>
        </w:rPr>
      </w:pPr>
    </w:p>
    <w:p>
      <w:pPr>
        <w:pStyle w:val="BodyText"/>
        <w:spacing w:line="240" w:lineRule="auto" w:before="26"/>
        <w:ind w:right="1125"/>
        <w:jc w:val="left"/>
      </w:pPr>
      <w:r>
        <w:rPr/>
        <w:t>价值和相关税费后计入当期损益。</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1"/>
          <w:szCs w:val="31"/>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0"/>
        <w:rPr>
          <w:rFonts w:ascii="宋体" w:hAnsi="宋体" w:cs="宋体" w:eastAsia="宋体" w:hint="default"/>
          <w:b/>
          <w:bCs/>
          <w:sz w:val="28"/>
          <w:szCs w:val="28"/>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73" w:lineRule="auto"/>
        <w:ind w:right="1125" w:firstLine="480"/>
        <w:jc w:val="left"/>
      </w:pPr>
      <w:r>
        <w:rPr/>
        <w:t>固定资产是指为生产商品、提供劳务、出租或经营管理而持有的，使用寿命超过一个会 计年度的有形资产。</w:t>
      </w:r>
    </w:p>
    <w:p>
      <w:pPr>
        <w:spacing w:line="240" w:lineRule="auto" w:before="11"/>
        <w:rPr>
          <w:rFonts w:ascii="宋体" w:hAnsi="宋体" w:cs="宋体" w:eastAsia="宋体" w:hint="default"/>
          <w:sz w:val="25"/>
          <w:szCs w:val="25"/>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）融资租入固定资产的认定依据、计价方法</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73" w:lineRule="auto"/>
        <w:ind w:right="1136" w:firstLine="960"/>
        <w:jc w:val="both"/>
      </w:pPr>
      <w:r>
        <w:rPr/>
        <w:t>融资租赁为实质上转移了与资产所有权有关的全部风险和报酬的租赁，其所有权最 终可能转移，也可能不转移。以融资租赁方式租入的固定资产采用与自有固定资产一致的政</w:t>
      </w:r>
      <w:r>
        <w:rPr>
          <w:spacing w:val="-91"/>
        </w:rPr>
        <w:t> </w:t>
      </w:r>
      <w:r>
        <w:rPr>
          <w:spacing w:val="-91"/>
        </w:rPr>
      </w:r>
      <w:r>
        <w:rPr/>
        <w:t>策计提租赁资产折旧。能够合理确定租赁期届满时取得租赁资产所有权的在租赁资产使用寿</w:t>
      </w:r>
      <w:r>
        <w:rPr>
          <w:spacing w:val="-91"/>
        </w:rPr>
        <w:t> </w:t>
      </w:r>
      <w:r>
        <w:rPr>
          <w:spacing w:val="-91"/>
        </w:rPr>
      </w:r>
      <w:r>
        <w:rPr/>
        <w:t>命内计提折旧，无法合理确定租赁期届满能够取得租赁资产所有权的，在租赁期与租赁资产</w:t>
      </w:r>
      <w:r>
        <w:rPr>
          <w:spacing w:val="-91"/>
        </w:rPr>
        <w:t> </w:t>
      </w:r>
      <w:r>
        <w:rPr>
          <w:spacing w:val="-91"/>
        </w:rPr>
      </w:r>
      <w:r>
        <w:rPr/>
        <w:t>使用寿命两者中较短的期间内计提折旧。</w:t>
      </w:r>
    </w:p>
    <w:p>
      <w:pPr>
        <w:spacing w:line="240" w:lineRule="auto" w:before="11"/>
        <w:rPr>
          <w:rFonts w:ascii="宋体" w:hAnsi="宋体" w:cs="宋体" w:eastAsia="宋体" w:hint="default"/>
          <w:sz w:val="25"/>
          <w:szCs w:val="25"/>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）各类固定资产的折旧方法</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pStyle w:val="BodyText"/>
        <w:spacing w:line="273" w:lineRule="auto"/>
        <w:ind w:right="1131" w:firstLine="960"/>
        <w:jc w:val="both"/>
      </w:pPr>
      <w:r>
        <w:rPr/>
        <w:t>固定资产按成本并考虑预计弃置费用因素的影响进行初始计量。固定资产从达到预 定可使用状态的次月起，采用年限平均法在使用寿命内计提折旧。预计净残值是指假定固定</w:t>
      </w:r>
      <w:r>
        <w:rPr>
          <w:spacing w:val="-87"/>
        </w:rPr>
        <w:t> </w:t>
      </w:r>
      <w:r>
        <w:rPr>
          <w:spacing w:val="-87"/>
        </w:rPr>
      </w:r>
      <w:r>
        <w:rPr/>
        <w:t>资产预计使用寿命已满并处于使用寿命终了时的预期状态，本集团目前从该项资产处置中获</w:t>
      </w:r>
      <w:r>
        <w:rPr>
          <w:spacing w:val="-91"/>
        </w:rPr>
        <w:t> </w:t>
      </w:r>
      <w:r>
        <w:rPr>
          <w:spacing w:val="-91"/>
        </w:rPr>
      </w:r>
      <w:r>
        <w:rPr/>
        <w:t>得的扣除预计处置费用后的金额。各类固定资产的使用寿命、预计净残值和年折旧率如下：</w:t>
      </w:r>
    </w:p>
    <w:tbl>
      <w:tblPr>
        <w:tblW w:w="0" w:type="auto"/>
        <w:jc w:val="left"/>
        <w:tblInd w:w="148" w:type="dxa"/>
        <w:tblLayout w:type="fixed"/>
        <w:tblCellMar>
          <w:top w:w="0" w:type="dxa"/>
          <w:left w:w="0" w:type="dxa"/>
          <w:bottom w:w="0" w:type="dxa"/>
          <w:right w:w="0" w:type="dxa"/>
        </w:tblCellMar>
        <w:tblLook w:val="01E0"/>
      </w:tblPr>
      <w:tblGrid>
        <w:gridCol w:w="2518"/>
        <w:gridCol w:w="2105"/>
        <w:gridCol w:w="2220"/>
        <w:gridCol w:w="2727"/>
      </w:tblGrid>
      <w:tr>
        <w:trPr>
          <w:trHeight w:val="449"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41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58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74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49"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05" w:type="dxa"/>
            <w:tcBorders>
              <w:top w:val="single" w:sz="4" w:space="0" w:color="000000"/>
              <w:left w:val="single" w:sz="12" w:space="0" w:color="D2D2D2"/>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727"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05" w:type="dxa"/>
            <w:tcBorders>
              <w:top w:val="single" w:sz="4" w:space="0" w:color="000000"/>
              <w:left w:val="single" w:sz="12" w:space="0" w:color="D2D2D2"/>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single" w:sz="4" w:space="0" w:color="000000"/>
            </w:tcBorders>
          </w:tcPr>
          <w:p>
            <w:pPr/>
          </w:p>
        </w:tc>
        <w:tc>
          <w:tcPr>
            <w:tcW w:w="2727"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4"/>
              <w:jc w:val="right"/>
              <w:rPr>
                <w:rFonts w:ascii="Times New Roman" w:hAnsi="Times New Roman" w:cs="Times New Roman" w:eastAsia="Times New Roman" w:hint="default"/>
                <w:sz w:val="18"/>
                <w:szCs w:val="18"/>
              </w:rPr>
            </w:pPr>
            <w:r>
              <w:rPr>
                <w:rFonts w:ascii="Times New Roman"/>
                <w:sz w:val="18"/>
              </w:rPr>
              <w:t>19%</w:t>
            </w:r>
          </w:p>
        </w:tc>
      </w:tr>
      <w:tr>
        <w:trPr>
          <w:trHeight w:val="449"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z w:val="18"/>
              </w:rPr>
              <w:t>8</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6"/>
              <w:jc w:val="right"/>
              <w:rPr>
                <w:rFonts w:ascii="Times New Roman" w:hAnsi="Times New Roman" w:cs="Times New Roman" w:eastAsia="Times New Roman" w:hint="default"/>
                <w:sz w:val="18"/>
                <w:szCs w:val="18"/>
              </w:rPr>
            </w:pPr>
            <w:r>
              <w:rPr>
                <w:rFonts w:ascii="Times New Roman"/>
                <w:spacing w:val="-1"/>
                <w:sz w:val="18"/>
              </w:rPr>
              <w:t>11.88%</w:t>
            </w:r>
          </w:p>
        </w:tc>
      </w:tr>
      <w:tr>
        <w:trPr>
          <w:trHeight w:val="449"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z w:val="18"/>
              </w:rPr>
              <w:t>8</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6"/>
              <w:jc w:val="right"/>
              <w:rPr>
                <w:rFonts w:ascii="Times New Roman" w:hAnsi="Times New Roman" w:cs="Times New Roman" w:eastAsia="Times New Roman" w:hint="default"/>
                <w:sz w:val="18"/>
                <w:szCs w:val="18"/>
              </w:rPr>
            </w:pPr>
            <w:r>
              <w:rPr>
                <w:rFonts w:ascii="Times New Roman"/>
                <w:spacing w:val="-1"/>
                <w:sz w:val="18"/>
              </w:rPr>
              <w:t>11.88%</w:t>
            </w:r>
          </w:p>
        </w:tc>
      </w:tr>
      <w:tr>
        <w:trPr>
          <w:trHeight w:val="449"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办公家具及管理用具</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z w:val="18"/>
              </w:rPr>
              <w:t>8</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6"/>
              <w:jc w:val="right"/>
              <w:rPr>
                <w:rFonts w:ascii="Times New Roman" w:hAnsi="Times New Roman" w:cs="Times New Roman" w:eastAsia="Times New Roman" w:hint="default"/>
                <w:sz w:val="18"/>
                <w:szCs w:val="18"/>
              </w:rPr>
            </w:pPr>
            <w:r>
              <w:rPr>
                <w:rFonts w:ascii="Times New Roman"/>
                <w:spacing w:val="-1"/>
                <w:sz w:val="18"/>
              </w:rPr>
              <w:t>11.88%</w:t>
            </w:r>
          </w:p>
        </w:tc>
      </w:tr>
      <w:tr>
        <w:trPr>
          <w:trHeight w:val="449"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房屋及建筑物（管理用房）</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Times New Roman" w:hAnsi="Times New Roman" w:cs="Times New Roman" w:eastAsia="Times New Roman" w:hint="default"/>
                <w:sz w:val="18"/>
                <w:szCs w:val="18"/>
              </w:rPr>
            </w:pPr>
            <w:r>
              <w:rPr>
                <w:rFonts w:ascii="Times New Roman"/>
                <w:sz w:val="18"/>
              </w:rPr>
              <w:t>45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2"/>
                <w:sz w:val="18"/>
              </w:rPr>
              <w:t>2.11%</w:t>
            </w:r>
          </w:p>
        </w:tc>
      </w:tr>
      <w:tr>
        <w:trPr>
          <w:trHeight w:val="449" w:hRule="exact"/>
        </w:trPr>
        <w:tc>
          <w:tcPr>
            <w:tcW w:w="251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73"/>
              <w:ind w:left="24" w:right="-43"/>
              <w:jc w:val="left"/>
              <w:rPr>
                <w:rFonts w:ascii="宋体" w:hAnsi="宋体" w:cs="宋体" w:eastAsia="宋体" w:hint="default"/>
                <w:sz w:val="18"/>
                <w:szCs w:val="18"/>
              </w:rPr>
            </w:pPr>
            <w:r>
              <w:rPr>
                <w:rFonts w:ascii="宋体" w:hAnsi="宋体" w:cs="宋体" w:eastAsia="宋体" w:hint="default"/>
                <w:sz w:val="18"/>
                <w:szCs w:val="18"/>
              </w:rPr>
              <w:t>房屋及建筑物（生产经营用房）</w:t>
            </w:r>
          </w:p>
        </w:tc>
        <w:tc>
          <w:tcPr>
            <w:tcW w:w="210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115"/>
              <w:ind w:right="17"/>
              <w:jc w:val="right"/>
              <w:rPr>
                <w:rFonts w:ascii="Times New Roman" w:hAnsi="Times New Roman" w:cs="Times New Roman" w:eastAsia="Times New Roman" w:hint="default"/>
                <w:sz w:val="18"/>
                <w:szCs w:val="18"/>
              </w:rPr>
            </w:pPr>
            <w:r>
              <w:rPr>
                <w:rFonts w:ascii="Times New Roman"/>
                <w:sz w:val="18"/>
              </w:rPr>
              <w:t>40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z w:val="18"/>
              </w:rPr>
              <w:t>2.38%</w:t>
            </w:r>
          </w:p>
        </w:tc>
      </w:tr>
      <w:tr>
        <w:trPr>
          <w:trHeight w:val="45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房屋附属设施</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6"/>
              <w:jc w:val="right"/>
              <w:rPr>
                <w:rFonts w:ascii="Times New Roman" w:hAnsi="Times New Roman" w:cs="Times New Roman" w:eastAsia="Times New Roman" w:hint="default"/>
                <w:sz w:val="18"/>
                <w:szCs w:val="18"/>
              </w:rPr>
            </w:pPr>
            <w:r>
              <w:rPr>
                <w:rFonts w:ascii="Times New Roman"/>
                <w:sz w:val="18"/>
              </w:rPr>
              <w:t>9.5%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09" w:top="1060" w:bottom="1500" w:left="980" w:right="0"/>
        </w:sectPr>
      </w:pPr>
    </w:p>
    <w:p>
      <w:pPr>
        <w:spacing w:line="240" w:lineRule="auto" w:before="8"/>
        <w:rPr>
          <w:rFonts w:ascii="宋体" w:hAnsi="宋体" w:cs="宋体" w:eastAsia="宋体" w:hint="default"/>
          <w:sz w:val="26"/>
          <w:szCs w:val="26"/>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）固定资产的减值测试方法、减值准备计提方法</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76" w:lineRule="auto"/>
        <w:ind w:right="1140" w:firstLine="480"/>
        <w:jc w:val="both"/>
      </w:pPr>
      <w:r>
        <w:rPr/>
        <w:t>对于固定资产，本集团于资产负债表日判断是否存在减值迹象。如存在减值迹象的，则 估计其可收回金额，进行减值测试。</w:t>
      </w:r>
    </w:p>
    <w:p>
      <w:pPr>
        <w:pStyle w:val="BodyText"/>
        <w:spacing w:line="273" w:lineRule="auto" w:before="7"/>
        <w:ind w:right="1133" w:firstLine="480"/>
        <w:jc w:val="both"/>
      </w:pPr>
      <w:r>
        <w:rPr/>
        <w:t>减值测试结果表明资产的可收回金额低于其账面价值的，按其差额计提减值准备并计入 减值损失。可收回金额为资产的公允价值减去处置费用后的净额与资产预计未来现金流量的</w:t>
      </w:r>
      <w:r>
        <w:rPr>
          <w:spacing w:val="-91"/>
        </w:rPr>
        <w:t> </w:t>
      </w:r>
      <w:r>
        <w:rPr>
          <w:spacing w:val="-91"/>
        </w:rPr>
      </w:r>
      <w:r>
        <w:rPr/>
        <w:t>现值两者之间的较高者。资产的公允价值根据公平交易中销售协议价格确定；不存在销售协</w:t>
      </w:r>
      <w:r>
        <w:rPr>
          <w:spacing w:val="-86"/>
        </w:rPr>
        <w:t> </w:t>
      </w:r>
      <w:r>
        <w:rPr>
          <w:spacing w:val="-86"/>
        </w:rPr>
      </w:r>
      <w:r>
        <w:rPr/>
        <w:t>议但存在资产活跃市场的，公允价值按照该资产的买方出价确定；不存在销售协议和资产活</w:t>
      </w:r>
      <w:r>
        <w:rPr>
          <w:spacing w:val="-91"/>
        </w:rPr>
        <w:t> </w:t>
      </w:r>
      <w:r>
        <w:rPr>
          <w:spacing w:val="-91"/>
        </w:rPr>
      </w:r>
      <w:r>
        <w:rPr/>
        <w:t>跃市场的，则以可获取的最佳信息为基础估计资产的公允价值。处置费用包括与资产处置有</w:t>
      </w:r>
      <w:r>
        <w:rPr>
          <w:spacing w:val="-91"/>
        </w:rPr>
        <w:t> </w:t>
      </w:r>
      <w:r>
        <w:rPr>
          <w:spacing w:val="-91"/>
        </w:rPr>
      </w:r>
      <w:r>
        <w:rPr/>
        <w:t>关的法律费用、相关税费、搬运费以及为使资产达到可销售状态所发生的直接费用。资产预</w:t>
      </w:r>
      <w:r>
        <w:rPr>
          <w:spacing w:val="-91"/>
        </w:rPr>
        <w:t> </w:t>
      </w:r>
      <w:r>
        <w:rPr>
          <w:spacing w:val="-91"/>
        </w:rPr>
      </w:r>
      <w:r>
        <w:rPr/>
        <w:t>计未来现金流量的现值，按照资产在持续使用过程中和最终处置时所产生的预计未来现金流</w:t>
      </w:r>
      <w:r>
        <w:rPr>
          <w:spacing w:val="-91"/>
        </w:rPr>
        <w:t> </w:t>
      </w:r>
      <w:r>
        <w:rPr>
          <w:spacing w:val="-91"/>
        </w:rPr>
      </w:r>
      <w:r>
        <w:rPr/>
        <w:t>量，选择恰当的折现率对其进行折现后的金额加以确定。资产减值准备按单项资产为基础计</w:t>
      </w:r>
      <w:r>
        <w:rPr>
          <w:spacing w:val="-91"/>
        </w:rPr>
        <w:t> </w:t>
      </w:r>
      <w:r>
        <w:rPr>
          <w:spacing w:val="-91"/>
        </w:rPr>
      </w:r>
      <w:r>
        <w:rPr/>
        <w:t>算并确认，如果难以对单项资产的可收回金额进行估计的，以该资产所属的资产组确定资产</w:t>
      </w:r>
      <w:r>
        <w:rPr>
          <w:spacing w:val="-91"/>
        </w:rPr>
        <w:t> </w:t>
      </w:r>
      <w:r>
        <w:rPr>
          <w:spacing w:val="-91"/>
        </w:rPr>
      </w:r>
      <w:r>
        <w:rPr/>
        <w:t>组的可收回金额。资产组是能够独立产生现金流入的最小资产组合。</w:t>
      </w:r>
    </w:p>
    <w:p>
      <w:pPr>
        <w:pStyle w:val="BodyText"/>
        <w:spacing w:line="240" w:lineRule="auto" w:before="10"/>
        <w:ind w:left="1113" w:right="1125"/>
        <w:jc w:val="left"/>
      </w:pPr>
      <w:r>
        <w:rPr/>
        <w:t>上述资产减值损失一经确认，以后期间不予转回价值得以恢复的部分。</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6"/>
          <w:szCs w:val="26"/>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04" w:lineRule="auto"/>
        <w:ind w:right="1171" w:firstLine="480"/>
        <w:jc w:val="both"/>
      </w:pPr>
      <w:r>
        <w:rPr/>
        <w:t>与固定资产有关的后续支出，如果与该固定资产有关的经济利益很可能流入且其成本能 可靠地计量，则计入固定资产成本，并终止确认被替换部分的账面价值。除此以外的其他后 续支出，在发生时计入当期损益。</w:t>
      </w:r>
    </w:p>
    <w:p>
      <w:pPr>
        <w:pStyle w:val="BodyText"/>
        <w:spacing w:line="307" w:lineRule="auto" w:before="60"/>
        <w:ind w:right="1171" w:firstLine="480"/>
        <w:jc w:val="both"/>
      </w:pPr>
      <w:r>
        <w:rPr/>
        <w:t>固定资产出售、转让、报废或毁损的处置收入扣除其账面价值和相关税费后的差额计入 当期损益。</w:t>
      </w:r>
    </w:p>
    <w:p>
      <w:pPr>
        <w:pStyle w:val="BodyText"/>
        <w:spacing w:line="307" w:lineRule="auto" w:before="58"/>
        <w:ind w:right="1171" w:firstLine="480"/>
        <w:jc w:val="both"/>
      </w:pPr>
      <w:r>
        <w:rPr/>
        <w:t>本集团至少于年度终了对固定资产的使用寿命、预计净残值和折旧方法进行复核，如发 生改变则作为会计估计变更处理。</w:t>
      </w:r>
    </w:p>
    <w:p>
      <w:pPr>
        <w:spacing w:line="240" w:lineRule="auto" w:before="4"/>
        <w:rPr>
          <w:rFonts w:ascii="宋体" w:hAnsi="宋体" w:cs="宋体" w:eastAsia="宋体" w:hint="default"/>
          <w:sz w:val="20"/>
          <w:szCs w:val="20"/>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right="1125"/>
        <w:jc w:val="left"/>
      </w:pPr>
      <w:r>
        <w:rPr/>
        <w:t>在建工程以立项项目分类核算。</w:t>
      </w:r>
    </w:p>
    <w:p>
      <w:pPr>
        <w:spacing w:line="240" w:lineRule="auto" w:before="7"/>
        <w:rPr>
          <w:rFonts w:ascii="宋体" w:hAnsi="宋体" w:cs="宋体" w:eastAsia="宋体" w:hint="default"/>
          <w:sz w:val="26"/>
          <w:szCs w:val="26"/>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73" w:lineRule="auto"/>
        <w:ind w:right="1139" w:firstLine="480"/>
        <w:jc w:val="both"/>
      </w:pPr>
      <w:r>
        <w:rPr/>
        <w:t>在建工程成本按实际工程支出确定，包括在建期间发生的各项工程支出、工程达到预定 可使用状态前的资本化的借款费用以及其他相关费用等。在建工程在达到预定可使用状态后</w:t>
      </w:r>
      <w:r>
        <w:rPr>
          <w:spacing w:val="-91"/>
        </w:rPr>
        <w:t> </w:t>
      </w:r>
      <w:r>
        <w:rPr>
          <w:spacing w:val="-91"/>
        </w:rPr>
      </w:r>
      <w:r>
        <w:rPr/>
        <w:t>结转为固定资产。</w:t>
      </w:r>
    </w:p>
    <w:p>
      <w:pPr>
        <w:spacing w:after="0" w:line="273" w:lineRule="auto"/>
        <w:jc w:val="both"/>
        <w:sectPr>
          <w:pgSz w:w="11910" w:h="16840"/>
          <w:pgMar w:header="877" w:footer="1309" w:top="1060" w:bottom="1500" w:left="980" w:right="0"/>
        </w:sectPr>
      </w:pPr>
    </w:p>
    <w:p>
      <w:pPr>
        <w:spacing w:line="240" w:lineRule="auto" w:before="8"/>
        <w:rPr>
          <w:rFonts w:ascii="宋体" w:hAnsi="宋体" w:cs="宋体" w:eastAsia="宋体" w:hint="default"/>
          <w:sz w:val="26"/>
          <w:szCs w:val="26"/>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）在建工程的减值测试方法、减值准备计提方法</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76" w:lineRule="auto"/>
        <w:ind w:right="1140" w:firstLine="480"/>
        <w:jc w:val="both"/>
      </w:pPr>
      <w:r>
        <w:rPr/>
        <w:t>对于在建工程，本集团于资产负债表日判断是否存在减值迹象。如存在减值迹象的，则 估计其可收回金额，进行减值测试。</w:t>
      </w:r>
    </w:p>
    <w:p>
      <w:pPr>
        <w:pStyle w:val="BodyText"/>
        <w:spacing w:line="273" w:lineRule="auto" w:before="7"/>
        <w:ind w:right="1136" w:firstLine="480"/>
        <w:jc w:val="both"/>
      </w:pPr>
      <w:r>
        <w:rPr/>
        <w:t>减值测试结果表明资产的可收回金额低于其账面价值的，按其差额计提减值准备并计入 减值损失。可收回金额为资产的公允价值减去处置费用后的净额与资产预计未来现金流量的</w:t>
      </w:r>
      <w:r>
        <w:rPr>
          <w:spacing w:val="-91"/>
        </w:rPr>
        <w:t> </w:t>
      </w:r>
      <w:r>
        <w:rPr>
          <w:spacing w:val="-91"/>
        </w:rPr>
      </w:r>
      <w:r>
        <w:rPr/>
        <w:t>现值两者之间的较高者。资产的公允价值根据公平交易中销售协议价格确定；不存在销售协</w:t>
      </w:r>
      <w:r>
        <w:rPr>
          <w:spacing w:val="-91"/>
        </w:rPr>
        <w:t> </w:t>
      </w:r>
      <w:r>
        <w:rPr>
          <w:spacing w:val="-91"/>
        </w:rPr>
      </w:r>
      <w:r>
        <w:rPr/>
        <w:t>议但存在资产活跃市场的，公允价值按照该资产的买方出价确定；不存在销售协议和资产活</w:t>
      </w:r>
      <w:r>
        <w:rPr>
          <w:spacing w:val="-91"/>
        </w:rPr>
        <w:t> </w:t>
      </w:r>
      <w:r>
        <w:rPr>
          <w:spacing w:val="-91"/>
        </w:rPr>
      </w:r>
      <w:r>
        <w:rPr/>
        <w:t>跃市场的，则以可获取的最佳信息为基础估计资产的公允价值。处置费用包括与资产处置有</w:t>
      </w:r>
      <w:r>
        <w:rPr>
          <w:spacing w:val="-91"/>
        </w:rPr>
        <w:t> </w:t>
      </w:r>
      <w:r>
        <w:rPr>
          <w:spacing w:val="-91"/>
        </w:rPr>
      </w:r>
      <w:r>
        <w:rPr/>
        <w:t>关的法律费用、相关税费、搬运费以及为使资产达到可销售状态所发生的直接费用。资产预</w:t>
      </w:r>
      <w:r>
        <w:rPr>
          <w:spacing w:val="-91"/>
        </w:rPr>
        <w:t> </w:t>
      </w:r>
      <w:r>
        <w:rPr>
          <w:spacing w:val="-91"/>
        </w:rPr>
      </w:r>
      <w:r>
        <w:rPr/>
        <w:t>计未来现金流量的现值，按照资产在持续使用过程中和最终处置时所产生的预计未来现金流</w:t>
      </w:r>
      <w:r>
        <w:rPr>
          <w:spacing w:val="-91"/>
        </w:rPr>
        <w:t> </w:t>
      </w:r>
      <w:r>
        <w:rPr>
          <w:spacing w:val="-91"/>
        </w:rPr>
      </w:r>
      <w:r>
        <w:rPr/>
        <w:t>量，选择恰当的折现率对其进行折现后的金额加以确定。资产减值准备按单项资产为基础计</w:t>
      </w:r>
      <w:r>
        <w:rPr>
          <w:spacing w:val="-89"/>
        </w:rPr>
        <w:t> </w:t>
      </w:r>
      <w:r>
        <w:rPr>
          <w:spacing w:val="-89"/>
        </w:rPr>
      </w:r>
      <w:r>
        <w:rPr/>
        <w:t>算并确认，如果难以对单项资产的可收回金额进行估计的，以该资产所属的资产组确定资产</w:t>
      </w:r>
      <w:r>
        <w:rPr>
          <w:spacing w:val="-91"/>
        </w:rPr>
        <w:t> </w:t>
      </w:r>
      <w:r>
        <w:rPr>
          <w:spacing w:val="-91"/>
        </w:rPr>
      </w:r>
      <w:r>
        <w:rPr/>
        <w:t>组的可收回金额。资产组是能够独立产生现金流入的最小资产组合。</w:t>
      </w:r>
    </w:p>
    <w:p>
      <w:pPr>
        <w:pStyle w:val="BodyText"/>
        <w:spacing w:line="240" w:lineRule="auto" w:before="10"/>
        <w:ind w:left="1113" w:right="1125"/>
        <w:jc w:val="left"/>
      </w:pPr>
      <w:r>
        <w:rPr/>
        <w:t>上述资产减值损失一经确认，以后期间不予转回价值得以恢复的部分。</w:t>
      </w:r>
    </w:p>
    <w:p>
      <w:pPr>
        <w:spacing w:line="240" w:lineRule="auto" w:before="5"/>
        <w:rPr>
          <w:rFonts w:ascii="宋体" w:hAnsi="宋体" w:cs="宋体" w:eastAsia="宋体" w:hint="default"/>
          <w:sz w:val="28"/>
          <w:szCs w:val="28"/>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0"/>
        <w:rPr>
          <w:rFonts w:ascii="宋体" w:hAnsi="宋体" w:cs="宋体" w:eastAsia="宋体" w:hint="default"/>
          <w:b/>
          <w:bCs/>
          <w:sz w:val="28"/>
          <w:szCs w:val="28"/>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73" w:lineRule="auto"/>
        <w:ind w:right="1136" w:firstLine="480"/>
        <w:jc w:val="both"/>
      </w:pPr>
      <w:r>
        <w:rPr/>
        <w:t>借款费用包括借款利息、折价或溢价的摊销、辅助费用以及因外币借款而发生的汇兑差 额等。可直接归属于符合资本化条件的资产的购建或者生产的借款费用，在资产支出已经发</w:t>
      </w:r>
      <w:r>
        <w:rPr>
          <w:spacing w:val="-91"/>
        </w:rPr>
        <w:t> </w:t>
      </w:r>
      <w:r>
        <w:rPr>
          <w:spacing w:val="-91"/>
        </w:rPr>
      </w:r>
      <w:r>
        <w:rPr/>
        <w:t>生、借款费用已经发生、为使资产达到预定可使用或可销售状态所必要的购建或生产活动已</w:t>
      </w:r>
      <w:r>
        <w:rPr>
          <w:spacing w:val="-89"/>
        </w:rPr>
        <w:t> </w:t>
      </w:r>
      <w:r>
        <w:rPr>
          <w:spacing w:val="-89"/>
        </w:rPr>
      </w:r>
      <w:r>
        <w:rPr/>
        <w:t>经开始时，开始资本化；构建或者生产的符合资本化条件的资产达到预定可使用状态或者可</w:t>
      </w:r>
      <w:r>
        <w:rPr>
          <w:spacing w:val="-91"/>
        </w:rPr>
        <w:t> </w:t>
      </w:r>
      <w:r>
        <w:rPr>
          <w:spacing w:val="-91"/>
        </w:rPr>
      </w:r>
      <w:r>
        <w:rPr/>
        <w:t>销售状态时，停止资本化。其余借款费用在发生当期确认为费用。</w:t>
      </w:r>
    </w:p>
    <w:p>
      <w:pPr>
        <w:pStyle w:val="BodyText"/>
        <w:spacing w:line="276" w:lineRule="auto" w:before="10"/>
        <w:ind w:right="1140" w:firstLine="480"/>
        <w:jc w:val="both"/>
      </w:pPr>
      <w:r>
        <w:rPr/>
        <w:t>符合资本化条件的资产指需要经过相当长时间的购建或者生产活动才能达到预定可使用 或可销售状态的固定资产、投资性房地产和存货等资产。</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2"/>
          <w:szCs w:val="32"/>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73" w:lineRule="auto"/>
        <w:ind w:right="1136" w:firstLine="960"/>
        <w:jc w:val="both"/>
      </w:pPr>
      <w:r>
        <w:rPr/>
        <w:t>可直接归属于符合资本化条件的资产的购建或者生产的借款费用，在资产支出已经 发生、借款费用已经发生、为使资产达到预定可使用或可销售状态所必要的购建或生产活动</w:t>
      </w:r>
      <w:r>
        <w:rPr>
          <w:spacing w:val="-91"/>
        </w:rPr>
        <w:t> </w:t>
      </w:r>
      <w:r>
        <w:rPr>
          <w:spacing w:val="-91"/>
        </w:rPr>
      </w:r>
      <w:r>
        <w:rPr/>
        <w:t>已经开始时，开始资本化；构建或者生产的符合资本化条件的资产达到预定可使用状态或者</w:t>
      </w:r>
      <w:r>
        <w:rPr>
          <w:spacing w:val="-90"/>
        </w:rPr>
        <w:t> </w:t>
      </w:r>
      <w:r>
        <w:rPr>
          <w:spacing w:val="-90"/>
        </w:rPr>
      </w:r>
      <w:r>
        <w:rPr/>
        <w:t>可销售状态时，停止资本化。</w:t>
      </w:r>
    </w:p>
    <w:p>
      <w:pPr>
        <w:spacing w:line="240" w:lineRule="auto" w:before="11"/>
        <w:rPr>
          <w:rFonts w:ascii="宋体" w:hAnsi="宋体" w:cs="宋体" w:eastAsia="宋体" w:hint="default"/>
          <w:sz w:val="25"/>
          <w:szCs w:val="25"/>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）暂停资本化期间</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pStyle w:val="BodyText"/>
        <w:spacing w:line="240" w:lineRule="auto"/>
        <w:ind w:left="993" w:right="0"/>
        <w:jc w:val="left"/>
      </w:pPr>
      <w:r>
        <w:rPr>
          <w:spacing w:val="-3"/>
        </w:rPr>
        <w:t>如果符合资本化条件的资产在购建或生产过程中发生非正常中断、并且中断时间连续</w:t>
      </w:r>
    </w:p>
    <w:p>
      <w:pPr>
        <w:spacing w:after="0" w:line="240" w:lineRule="auto"/>
        <w:jc w:val="left"/>
        <w:sectPr>
          <w:footerReference w:type="default" r:id="rId57"/>
          <w:pgSz w:w="11910" w:h="16840"/>
          <w:pgMar w:footer="1340" w:header="877" w:top="1060" w:bottom="1540" w:left="980" w:right="0"/>
          <w:pgNumType w:start="110"/>
        </w:sectPr>
      </w:pPr>
    </w:p>
    <w:p>
      <w:pPr>
        <w:spacing w:line="240" w:lineRule="auto" w:before="6"/>
        <w:rPr>
          <w:rFonts w:ascii="宋体" w:hAnsi="宋体" w:cs="宋体" w:eastAsia="宋体" w:hint="default"/>
          <w:sz w:val="25"/>
          <w:szCs w:val="25"/>
        </w:rPr>
      </w:pPr>
    </w:p>
    <w:p>
      <w:pPr>
        <w:pStyle w:val="BodyText"/>
        <w:spacing w:line="240" w:lineRule="auto" w:before="26"/>
        <w:ind w:right="1125"/>
        <w:jc w:val="left"/>
      </w:pPr>
      <w:r>
        <w:rPr/>
        <w:t>超过</w:t>
      </w:r>
      <w:r>
        <w:rPr>
          <w:rFonts w:ascii="宋体" w:hAnsi="宋体" w:cs="宋体" w:eastAsia="宋体" w:hint="default"/>
        </w:rPr>
        <w:t>3</w:t>
      </w:r>
      <w:r>
        <w:rPr/>
        <w:t>个月的，暂停借款费用的资本化，直至资产的购建或生产活动重新开始。</w:t>
      </w:r>
    </w:p>
    <w:p>
      <w:pPr>
        <w:spacing w:line="240" w:lineRule="auto" w:before="3"/>
        <w:rPr>
          <w:rFonts w:ascii="宋体" w:hAnsi="宋体" w:cs="宋体" w:eastAsia="宋体" w:hint="default"/>
          <w:sz w:val="28"/>
          <w:szCs w:val="28"/>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73" w:lineRule="auto"/>
        <w:ind w:right="1135" w:firstLine="480"/>
        <w:jc w:val="both"/>
      </w:pPr>
      <w:r>
        <w:rPr/>
        <w:t>专门借款当期实际发生的利息费用，减去尚未动用的借款资金存入银行取得的利息收入 或进行暂时性投资取得的投资收益后的金额予以资本化；一般借款根据累计资产支出超过专</w:t>
      </w:r>
      <w:r>
        <w:rPr>
          <w:spacing w:val="-91"/>
        </w:rPr>
        <w:t> </w:t>
      </w:r>
      <w:r>
        <w:rPr>
          <w:spacing w:val="-91"/>
        </w:rPr>
      </w:r>
      <w:r>
        <w:rPr/>
        <w:t>门借款部分的资产支出加权平均数乘以所占用一般借款的资本化率，确定资本化金额。资本</w:t>
      </w:r>
      <w:r>
        <w:rPr>
          <w:spacing w:val="-88"/>
        </w:rPr>
        <w:t> </w:t>
      </w:r>
      <w:r>
        <w:rPr>
          <w:spacing w:val="-88"/>
        </w:rPr>
      </w:r>
      <w:r>
        <w:rPr/>
        <w:t>化率根据一般借款的加权平均利率计算确定。</w:t>
      </w:r>
    </w:p>
    <w:p>
      <w:pPr>
        <w:pStyle w:val="BodyText"/>
        <w:spacing w:line="273" w:lineRule="auto" w:before="12"/>
        <w:ind w:right="1125" w:firstLine="480"/>
        <w:jc w:val="left"/>
      </w:pPr>
      <w:r>
        <w:rPr/>
        <w:t>资本化期间内，外币专门借款的汇兑差额全部予以资本化；外币一般借款的汇兑差额计 入当期损益。</w:t>
      </w:r>
    </w:p>
    <w:p>
      <w:pPr>
        <w:spacing w:line="240" w:lineRule="auto" w:before="11"/>
        <w:rPr>
          <w:rFonts w:ascii="宋体" w:hAnsi="宋体" w:cs="宋体" w:eastAsia="宋体" w:hint="default"/>
          <w:sz w:val="25"/>
          <w:szCs w:val="25"/>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、生物资产</w:t>
      </w:r>
      <w:r>
        <w:rPr>
          <w:rFonts w:ascii="宋体" w:hAnsi="宋体" w:cs="宋体" w:eastAsia="宋体" w:hint="default"/>
          <w:sz w:val="21"/>
          <w:szCs w:val="21"/>
        </w:rPr>
      </w:r>
    </w:p>
    <w:p>
      <w:pPr>
        <w:spacing w:line="240" w:lineRule="auto" w:before="0"/>
        <w:rPr>
          <w:rFonts w:ascii="宋体" w:hAnsi="宋体" w:cs="宋体" w:eastAsia="宋体" w:hint="default"/>
          <w:b/>
          <w:bCs/>
          <w:sz w:val="28"/>
          <w:szCs w:val="28"/>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3"/>
        <w:rPr>
          <w:rFonts w:ascii="宋体" w:hAnsi="宋体" w:cs="宋体" w:eastAsia="宋体" w:hint="default"/>
          <w:b/>
          <w:bCs/>
          <w:sz w:val="28"/>
          <w:szCs w:val="28"/>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0"/>
        <w:rPr>
          <w:rFonts w:ascii="宋体" w:hAnsi="宋体" w:cs="宋体" w:eastAsia="宋体" w:hint="default"/>
          <w:b/>
          <w:bCs/>
          <w:sz w:val="28"/>
          <w:szCs w:val="28"/>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73" w:lineRule="auto"/>
        <w:ind w:left="633" w:right="1125"/>
        <w:jc w:val="left"/>
      </w:pPr>
      <w:r>
        <w:rPr/>
        <w:t>无形资产是指本集团拥有或者控制的没有实物形态的可辨认非货币性资产。 无形资产按成本进行初始计量。与无形资产有关的支出，如果相关的经济利益很可能流</w:t>
      </w:r>
    </w:p>
    <w:p>
      <w:pPr>
        <w:pStyle w:val="BodyText"/>
        <w:spacing w:line="273" w:lineRule="auto" w:before="12"/>
        <w:ind w:right="1125"/>
        <w:jc w:val="left"/>
      </w:pPr>
      <w:r>
        <w:rPr/>
        <w:t>入本集团且其成本能可靠地计量，则计入无形资产成本。除此以外的其他项目的支出，在发</w:t>
      </w:r>
      <w:r>
        <w:rPr>
          <w:spacing w:val="-91"/>
        </w:rPr>
        <w:t> </w:t>
      </w:r>
      <w:r>
        <w:rPr>
          <w:spacing w:val="-91"/>
        </w:rPr>
      </w:r>
      <w:r>
        <w:rPr/>
        <w:t>生时计入当期损益。</w:t>
      </w:r>
    </w:p>
    <w:p>
      <w:pPr>
        <w:pStyle w:val="BodyText"/>
        <w:spacing w:line="273" w:lineRule="auto" w:before="12"/>
        <w:ind w:right="996" w:firstLine="480"/>
        <w:jc w:val="left"/>
      </w:pPr>
      <w:r>
        <w:rPr/>
        <w:t>取得的土地使用权通常作为无形资产核算。自行开发建造厂房等建筑物，相关的土地使 </w:t>
      </w:r>
      <w:r>
        <w:rPr>
          <w:spacing w:val="-2"/>
        </w:rPr>
        <w:t>用权支出和建筑物建造成本则分别作为无形资产和固定资产核算。如为外购的房屋及建筑物，</w:t>
      </w:r>
      <w:r>
        <w:rPr/>
        <w:t> 则将有关价款在土地使用权和建筑物之间进行分配，难以合理分配的，全部作为固定资产处</w:t>
      </w:r>
      <w:r>
        <w:rPr>
          <w:spacing w:val="-91"/>
        </w:rPr>
        <w:t> </w:t>
      </w:r>
      <w:r>
        <w:rPr>
          <w:spacing w:val="-91"/>
        </w:rPr>
      </w:r>
      <w:r>
        <w:rPr/>
        <w:t>理。</w:t>
      </w:r>
    </w:p>
    <w:p>
      <w:pPr>
        <w:pStyle w:val="BodyText"/>
        <w:spacing w:line="273" w:lineRule="auto" w:before="12"/>
        <w:ind w:right="1139" w:firstLine="480"/>
        <w:jc w:val="both"/>
      </w:pPr>
      <w:r>
        <w:rPr/>
        <w:t>使用寿命有限的无形资产自可供使用时起，对其原值减去预计净残值和已计提的减值准 备累计金额在其预计使用寿命内采用直线法分期平均摊销。使用寿命不确定的无形资产不予</w:t>
      </w:r>
      <w:r>
        <w:rPr>
          <w:spacing w:val="-91"/>
        </w:rPr>
        <w:t> </w:t>
      </w:r>
      <w:r>
        <w:rPr>
          <w:spacing w:val="-91"/>
        </w:rPr>
      </w:r>
      <w:r>
        <w:rPr/>
        <w:t>摊销。</w:t>
      </w:r>
    </w:p>
    <w:p>
      <w:pPr>
        <w:pStyle w:val="BodyText"/>
        <w:spacing w:line="273" w:lineRule="auto" w:before="10"/>
        <w:ind w:right="1134" w:firstLine="960"/>
        <w:jc w:val="both"/>
      </w:pPr>
      <w:r>
        <w:rPr/>
        <w:t>期末，对使用寿命有限的无形资产的使用寿命和摊销方法进行复核，如发生变更则 作为会计估计变更处理。此外，还对使用寿命不确定的无形资产的使用寿命进行复核，如果</w:t>
      </w:r>
      <w:r>
        <w:rPr>
          <w:spacing w:val="-87"/>
        </w:rPr>
        <w:t> </w:t>
      </w:r>
      <w:r>
        <w:rPr>
          <w:spacing w:val="-87"/>
        </w:rPr>
      </w:r>
      <w:r>
        <w:rPr/>
        <w:t>有证据表明该无形资产为企业带来经济利益的期限是可预见的，则估计其使用寿命并按照使</w:t>
      </w:r>
      <w:r>
        <w:rPr>
          <w:spacing w:val="-91"/>
        </w:rPr>
        <w:t> </w:t>
      </w:r>
      <w:r>
        <w:rPr>
          <w:spacing w:val="-91"/>
        </w:rPr>
      </w:r>
      <w:r>
        <w:rPr/>
        <w:t>用寿命有限的无形资产的摊销政策进行摊销。</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9"/>
          <w:szCs w:val="29"/>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）使用寿命有限的无形资产的使用寿命估计情况</w:t>
      </w:r>
      <w:r>
        <w:rPr>
          <w:rFonts w:ascii="宋体" w:hAnsi="宋体" w:cs="宋体" w:eastAsia="宋体" w:hint="default"/>
          <w:sz w:val="21"/>
          <w:szCs w:val="21"/>
        </w:rPr>
      </w:r>
    </w:p>
    <w:p>
      <w:pPr>
        <w:spacing w:line="240" w:lineRule="auto" w:before="3"/>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2279"/>
        <w:gridCol w:w="2216"/>
        <w:gridCol w:w="5075"/>
      </w:tblGrid>
      <w:tr>
        <w:trPr>
          <w:trHeight w:val="449" w:hRule="exact"/>
        </w:trPr>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依据</w:t>
            </w:r>
          </w:p>
        </w:tc>
      </w:tr>
    </w:tbl>
    <w:p>
      <w:pPr>
        <w:spacing w:after="0" w:line="240" w:lineRule="auto"/>
        <w:jc w:val="center"/>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280"/>
        <w:gridCol w:w="2216"/>
        <w:gridCol w:w="5075"/>
      </w:tblGrid>
      <w:tr>
        <w:trPr>
          <w:trHeight w:val="449"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-10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合同约定或参考能为公司带来经济利益的期限确定使用寿命</w:t>
            </w:r>
          </w:p>
        </w:tc>
      </w:tr>
      <w:tr>
        <w:trPr>
          <w:trHeight w:val="449"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合同约定或参考能为公司带来经济利益的期限确定使用寿命</w:t>
            </w:r>
          </w:p>
        </w:tc>
      </w:tr>
      <w:tr>
        <w:trPr>
          <w:trHeight w:val="449"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特许权</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合同约定或参考能为公司带来经济利益的期限确定使用寿命</w:t>
            </w:r>
          </w:p>
        </w:tc>
      </w:tr>
      <w:tr>
        <w:trPr>
          <w:trHeight w:val="449"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-10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合同约定或参考能为公司带来经济利益的期限确定使用寿命</w:t>
            </w:r>
          </w:p>
        </w:tc>
      </w:tr>
    </w:tbl>
    <w:p>
      <w:pPr>
        <w:spacing w:line="240" w:lineRule="auto" w:before="0"/>
        <w:rPr>
          <w:rFonts w:ascii="宋体" w:hAnsi="宋体" w:cs="宋体" w:eastAsia="宋体" w:hint="default"/>
          <w:b/>
          <w:bCs/>
          <w:sz w:val="21"/>
          <w:szCs w:val="21"/>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）使用寿命不确定的无形资产的判断依据</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1113" w:right="1125"/>
        <w:jc w:val="left"/>
      </w:pPr>
      <w:r>
        <w:rPr/>
        <w:t>无法预见无形资产为企业带来经济利益期限的，视为使用寿命不确定的无形资产。</w:t>
      </w:r>
    </w:p>
    <w:p>
      <w:pPr>
        <w:spacing w:line="240" w:lineRule="auto" w:before="3"/>
        <w:rPr>
          <w:rFonts w:ascii="宋体" w:hAnsi="宋体" w:cs="宋体" w:eastAsia="宋体" w:hint="default"/>
          <w:sz w:val="28"/>
          <w:szCs w:val="28"/>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）无形资产减值准备的计提</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73" w:lineRule="auto"/>
        <w:ind w:right="1139" w:firstLine="480"/>
        <w:jc w:val="both"/>
      </w:pPr>
      <w:r>
        <w:rPr/>
        <w:t>对于使用寿命有限的无形资产，本集团于资产负债表日判断是否存在减值迹象。如存在 减值迹象的，则估计其可收回金额，进行减值测试。使用寿命不确定的无形资产和尚未达到</w:t>
      </w:r>
      <w:r>
        <w:rPr>
          <w:spacing w:val="-91"/>
        </w:rPr>
        <w:t> </w:t>
      </w:r>
      <w:r>
        <w:rPr>
          <w:spacing w:val="-91"/>
        </w:rPr>
      </w:r>
      <w:r>
        <w:rPr/>
        <w:t>可使用状态的无形资产，无论是否存在减值迹象，每年均进行减值测试。</w:t>
      </w:r>
    </w:p>
    <w:p>
      <w:pPr>
        <w:pStyle w:val="BodyText"/>
        <w:spacing w:line="273" w:lineRule="auto" w:before="10"/>
        <w:ind w:right="1135" w:firstLine="480"/>
        <w:jc w:val="both"/>
      </w:pPr>
      <w:r>
        <w:rPr/>
        <w:t>减值测试结果表明资产的可收回金额低于其账面价值的，按其差额计提减值准备并计入 减值损失。可收回金额为资产的公允价值减去处置费用后的净额与资产预计未来现金流量的</w:t>
      </w:r>
      <w:r>
        <w:rPr>
          <w:spacing w:val="-87"/>
        </w:rPr>
        <w:t> </w:t>
      </w:r>
      <w:r>
        <w:rPr>
          <w:spacing w:val="-87"/>
        </w:rPr>
      </w:r>
      <w:r>
        <w:rPr/>
        <w:t>现值两者之间的较高者。资产的公允价值根据公平交易中销售协议价格确定；不存在销售协</w:t>
      </w:r>
      <w:r>
        <w:rPr>
          <w:spacing w:val="-91"/>
        </w:rPr>
        <w:t> </w:t>
      </w:r>
      <w:r>
        <w:rPr>
          <w:spacing w:val="-91"/>
        </w:rPr>
      </w:r>
      <w:r>
        <w:rPr/>
        <w:t>议但存在资产活跃市场的，公允价值按照该资产的买方出价确定；不存在销售协议和资产活</w:t>
      </w:r>
      <w:r>
        <w:rPr>
          <w:spacing w:val="-91"/>
        </w:rPr>
        <w:t> </w:t>
      </w:r>
      <w:r>
        <w:rPr>
          <w:spacing w:val="-91"/>
        </w:rPr>
      </w:r>
      <w:r>
        <w:rPr/>
        <w:t>跃市场的，则以可获取的最佳信息为基础估计资产的公允价值。处置费用包括与资产处置有</w:t>
      </w:r>
      <w:r>
        <w:rPr>
          <w:spacing w:val="-91"/>
        </w:rPr>
        <w:t> </w:t>
      </w:r>
      <w:r>
        <w:rPr>
          <w:spacing w:val="-91"/>
        </w:rPr>
      </w:r>
      <w:r>
        <w:rPr/>
        <w:t>关的法律费用、相关税费、搬运费以及为使资产达到可销售状态所发生的直接费用。资产预</w:t>
      </w:r>
      <w:r>
        <w:rPr>
          <w:spacing w:val="-91"/>
        </w:rPr>
        <w:t> </w:t>
      </w:r>
      <w:r>
        <w:rPr>
          <w:spacing w:val="-91"/>
        </w:rPr>
      </w:r>
      <w:r>
        <w:rPr/>
        <w:t>计未来现金流量的现值，按照资产在持续使用过程中和最终处置时所产生的预计未来现金流</w:t>
      </w:r>
      <w:r>
        <w:rPr>
          <w:spacing w:val="-91"/>
        </w:rPr>
        <w:t> </w:t>
      </w:r>
      <w:r>
        <w:rPr>
          <w:spacing w:val="-91"/>
        </w:rPr>
      </w:r>
      <w:r>
        <w:rPr/>
        <w:t>量，选择恰当的折现率对其进行折现后的金额加以确定。资产减值准备按单项资产为基础计</w:t>
      </w:r>
      <w:r>
        <w:rPr>
          <w:spacing w:val="-91"/>
        </w:rPr>
        <w:t> </w:t>
      </w:r>
      <w:r>
        <w:rPr>
          <w:spacing w:val="-91"/>
        </w:rPr>
      </w:r>
      <w:r>
        <w:rPr/>
        <w:t>算并确认，如果难以对单项资产的可收回金额进行估计的，以该资产所属的资产组确定资产</w:t>
      </w:r>
      <w:r>
        <w:rPr>
          <w:spacing w:val="-91"/>
        </w:rPr>
        <w:t> </w:t>
      </w:r>
      <w:r>
        <w:rPr>
          <w:spacing w:val="-91"/>
        </w:rPr>
      </w:r>
      <w:r>
        <w:rPr/>
        <w:t>组的可收回金额。资产组是能够独立产生现金流入的最小资产组合。</w:t>
      </w:r>
    </w:p>
    <w:p>
      <w:pPr>
        <w:pStyle w:val="BodyText"/>
        <w:spacing w:line="240" w:lineRule="auto" w:before="10"/>
        <w:ind w:left="1113" w:right="1125"/>
        <w:jc w:val="left"/>
      </w:pPr>
      <w:r>
        <w:rPr/>
        <w:t>上述资产减值损失一经确认，以后期间不予转回价值得以恢复的部分。</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1"/>
          <w:szCs w:val="31"/>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73" w:lineRule="auto"/>
        <w:ind w:right="1140" w:firstLine="480"/>
        <w:jc w:val="both"/>
      </w:pPr>
      <w:r>
        <w:rPr/>
        <w:t>开发阶段的支出同时满足下列条件的，确认为无形资产，不能满足下述条件的开发阶段 的支出计入当期损益：</w:t>
      </w:r>
    </w:p>
    <w:p>
      <w:pPr>
        <w:pStyle w:val="BodyText"/>
        <w:spacing w:line="240" w:lineRule="auto" w:before="12"/>
        <w:ind w:left="633" w:right="1125"/>
        <w:jc w:val="left"/>
      </w:pPr>
      <w:r>
        <w:rPr/>
        <w:t>① 完成该无形资产以使其能够使用或出售在技术上具有可行性；</w:t>
      </w:r>
    </w:p>
    <w:p>
      <w:pPr>
        <w:pStyle w:val="BodyText"/>
        <w:spacing w:line="240" w:lineRule="auto" w:before="43"/>
        <w:ind w:left="633" w:right="1125"/>
        <w:jc w:val="left"/>
      </w:pPr>
      <w:r>
        <w:rPr/>
        <w:t>② 具有完成该无形资产并使用或出售的意图；</w:t>
      </w:r>
    </w:p>
    <w:p>
      <w:pPr>
        <w:pStyle w:val="BodyText"/>
        <w:spacing w:line="273" w:lineRule="auto" w:before="46"/>
        <w:ind w:right="1132" w:firstLine="480"/>
        <w:jc w:val="both"/>
      </w:pPr>
      <w:r>
        <w:rPr/>
        <w:t>③</w:t>
      </w:r>
      <w:r>
        <w:rPr>
          <w:spacing w:val="27"/>
        </w:rPr>
        <w:t> </w:t>
      </w:r>
      <w:r>
        <w:rPr>
          <w:spacing w:val="-3"/>
        </w:rPr>
        <w:t>无形资产产生经济利益的方式，包括能够证明运用该无形资产生产的产品存在市场或</w:t>
      </w:r>
      <w:r>
        <w:rPr/>
        <w:t> 无形资产自身存在市场，无形资产将在内部使用的，能够证明其有用性；</w:t>
      </w:r>
    </w:p>
    <w:p>
      <w:pPr>
        <w:pStyle w:val="BodyText"/>
        <w:spacing w:line="273" w:lineRule="auto" w:before="12"/>
        <w:ind w:right="1130" w:firstLine="480"/>
        <w:jc w:val="both"/>
      </w:pPr>
      <w:r>
        <w:rPr/>
        <w:t>④</w:t>
      </w:r>
      <w:r>
        <w:rPr>
          <w:spacing w:val="27"/>
        </w:rPr>
        <w:t> </w:t>
      </w:r>
      <w:r>
        <w:rPr>
          <w:spacing w:val="-3"/>
        </w:rPr>
        <w:t>有足够的技术、财务资源和其他资源支持，以完成该无形资产的开发，并有能力使用</w:t>
      </w:r>
      <w:r>
        <w:rPr/>
        <w:t> 或出售该无形资产；</w:t>
      </w:r>
    </w:p>
    <w:p>
      <w:pPr>
        <w:pStyle w:val="BodyText"/>
        <w:spacing w:line="240" w:lineRule="auto" w:before="12"/>
        <w:ind w:left="633" w:right="1125"/>
        <w:jc w:val="left"/>
      </w:pPr>
      <w:r>
        <w:rPr/>
        <w:t>⑤ 归属于该无形资产开发阶段的支出能够可靠地计量。</w:t>
      </w:r>
    </w:p>
    <w:p>
      <w:pPr>
        <w:spacing w:after="0" w:line="240" w:lineRule="auto"/>
        <w:jc w:val="left"/>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）内部研究开发项目支出的核算</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pStyle w:val="BodyText"/>
        <w:spacing w:line="273" w:lineRule="auto"/>
        <w:ind w:left="633" w:right="1125"/>
        <w:jc w:val="left"/>
      </w:pPr>
      <w:r>
        <w:rPr/>
        <w:t>本集团内部研究开发项目的支出分为研究阶段支出与开发阶段支出。 研究阶段的支出，于发生时计入当期损益。 开发阶段的支出同时满足有关条件的，确认为无形资产，不能满足有关条件的开发阶段</w:t>
      </w:r>
    </w:p>
    <w:p>
      <w:pPr>
        <w:pStyle w:val="BodyText"/>
        <w:spacing w:line="273" w:lineRule="auto" w:before="12"/>
        <w:ind w:left="633" w:right="1633" w:hanging="481"/>
        <w:jc w:val="left"/>
      </w:pPr>
      <w:r>
        <w:rPr/>
        <w:t>的支出计入当期损益。 无法区分研究阶段支出和开发阶段支出的，将发生的研发支出全部计入当期损益。</w:t>
      </w:r>
    </w:p>
    <w:p>
      <w:pPr>
        <w:spacing w:line="240" w:lineRule="auto" w:before="11"/>
        <w:rPr>
          <w:rFonts w:ascii="宋体" w:hAnsi="宋体" w:cs="宋体" w:eastAsia="宋体" w:hint="default"/>
          <w:sz w:val="25"/>
          <w:szCs w:val="25"/>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pStyle w:val="BodyText"/>
        <w:spacing w:line="276" w:lineRule="auto"/>
        <w:ind w:right="1125" w:firstLine="960"/>
        <w:jc w:val="left"/>
      </w:pPr>
      <w:r>
        <w:rPr/>
        <w:t>长期待摊费用为已经发生但应由报告期和以后各期负担的分摊期限在一年以上的各 项费用。长期待摊费用在预计受益期间按直线法摊销。</w:t>
      </w:r>
    </w:p>
    <w:p>
      <w:pPr>
        <w:spacing w:line="240" w:lineRule="auto" w:before="6"/>
        <w:rPr>
          <w:rFonts w:ascii="宋体" w:hAnsi="宋体" w:cs="宋体" w:eastAsia="宋体" w:hint="default"/>
          <w:sz w:val="25"/>
          <w:szCs w:val="25"/>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、附回购条件的资产转让</w:t>
      </w:r>
      <w:r>
        <w:rPr>
          <w:rFonts w:ascii="宋体" w:hAnsi="宋体" w:cs="宋体" w:eastAsia="宋体" w:hint="default"/>
          <w:sz w:val="21"/>
          <w:szCs w:val="21"/>
        </w:rPr>
      </w:r>
    </w:p>
    <w:p>
      <w:pPr>
        <w:spacing w:line="240" w:lineRule="auto" w:before="3"/>
        <w:rPr>
          <w:rFonts w:ascii="宋体" w:hAnsi="宋体" w:cs="宋体" w:eastAsia="宋体" w:hint="default"/>
          <w:b/>
          <w:bCs/>
          <w:sz w:val="28"/>
          <w:szCs w:val="28"/>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3"/>
          <w:szCs w:val="23"/>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pStyle w:val="BodyText"/>
        <w:spacing w:line="273" w:lineRule="auto"/>
        <w:ind w:right="1131" w:firstLine="480"/>
        <w:jc w:val="both"/>
      </w:pPr>
      <w:r>
        <w:rPr>
          <w:spacing w:val="-3"/>
        </w:rPr>
        <w:t>当与或有事项相关的义务同时符合以下条件，确认为预计负债：（</w:t>
      </w:r>
      <w:r>
        <w:rPr>
          <w:rFonts w:ascii="宋体" w:hAnsi="宋体" w:cs="宋体" w:eastAsia="宋体" w:hint="default"/>
          <w:spacing w:val="-3"/>
        </w:rPr>
        <w:t>1</w:t>
      </w:r>
      <w:r>
        <w:rPr>
          <w:spacing w:val="-3"/>
        </w:rPr>
        <w:t>）该义务是本集团承</w:t>
      </w:r>
      <w:r>
        <w:rPr/>
        <w:t> 担的现时义务；（</w:t>
      </w:r>
      <w:r>
        <w:rPr>
          <w:rFonts w:ascii="宋体" w:hAnsi="宋体" w:cs="宋体" w:eastAsia="宋体" w:hint="default"/>
        </w:rPr>
        <w:t>2</w:t>
      </w:r>
      <w:r>
        <w:rPr/>
        <w:t>）履行该义务很可能导致经济利益流出；（</w:t>
      </w:r>
      <w:r>
        <w:rPr>
          <w:rFonts w:ascii="宋体" w:hAnsi="宋体" w:cs="宋体" w:eastAsia="宋体" w:hint="default"/>
        </w:rPr>
        <w:t>3</w:t>
      </w:r>
      <w:r>
        <w:rPr/>
        <w:t>）该义务的金额能够可靠地</w:t>
      </w:r>
      <w:r>
        <w:rPr>
          <w:spacing w:val="-85"/>
        </w:rPr>
        <w:t> </w:t>
      </w:r>
      <w:r>
        <w:rPr>
          <w:spacing w:val="-85"/>
        </w:rPr>
      </w:r>
      <w:r>
        <w:rPr/>
        <w:t>计量。</w:t>
      </w:r>
    </w:p>
    <w:p>
      <w:pPr>
        <w:spacing w:line="240" w:lineRule="auto" w:before="11"/>
        <w:rPr>
          <w:rFonts w:ascii="宋体" w:hAnsi="宋体" w:cs="宋体" w:eastAsia="宋体" w:hint="default"/>
          <w:sz w:val="25"/>
          <w:szCs w:val="25"/>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76" w:lineRule="auto"/>
        <w:ind w:right="1170" w:firstLine="480"/>
        <w:jc w:val="both"/>
      </w:pPr>
      <w:r>
        <w:rPr/>
        <w:t>在资产负债表日，考虑与或有事项有关的风险、不确定性和货币时间价值等因素，按照 履行相关现时义务所需支出的最佳估计数对预计负债进行计量。</w:t>
      </w:r>
    </w:p>
    <w:p>
      <w:pPr>
        <w:pStyle w:val="BodyText"/>
        <w:spacing w:line="276" w:lineRule="auto" w:before="7"/>
        <w:ind w:right="1171" w:firstLine="480"/>
        <w:jc w:val="both"/>
      </w:pPr>
      <w:r>
        <w:rPr/>
        <w:t>如果清偿预计负债所需支出全部或部分预期由第三方补偿的，补偿金额在基本确定能够 收到时，作为资产单独确认，且确认的补偿金额不超过预计负债的账面价值。</w:t>
      </w:r>
    </w:p>
    <w:p>
      <w:pPr>
        <w:spacing w:after="0" w:line="276" w:lineRule="auto"/>
        <w:jc w:val="both"/>
        <w:sectPr>
          <w:pgSz w:w="11910" w:h="16840"/>
          <w:pgMar w:header="877" w:footer="1340" w:top="1060" w:bottom="1540" w:left="980" w:right="0"/>
        </w:sectPr>
      </w:pPr>
    </w:p>
    <w:p>
      <w:pPr>
        <w:spacing w:line="240" w:lineRule="auto" w:before="8"/>
        <w:rPr>
          <w:rFonts w:ascii="宋体" w:hAnsi="宋体" w:cs="宋体" w:eastAsia="宋体" w:hint="default"/>
          <w:sz w:val="26"/>
          <w:szCs w:val="26"/>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、股份支付及权益工具</w:t>
      </w:r>
      <w:r>
        <w:rPr>
          <w:rFonts w:ascii="宋体" w:hAnsi="宋体" w:cs="宋体" w:eastAsia="宋体" w:hint="default"/>
          <w:sz w:val="21"/>
          <w:szCs w:val="21"/>
        </w:rPr>
      </w:r>
    </w:p>
    <w:p>
      <w:pPr>
        <w:spacing w:line="240" w:lineRule="auto" w:before="1"/>
        <w:rPr>
          <w:rFonts w:ascii="宋体" w:hAnsi="宋体" w:cs="宋体" w:eastAsia="宋体" w:hint="default"/>
          <w:b/>
          <w:bCs/>
          <w:sz w:val="28"/>
          <w:szCs w:val="28"/>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sz w:val="21"/>
          <w:szCs w:val="21"/>
        </w:rPr>
      </w:r>
    </w:p>
    <w:p>
      <w:pPr>
        <w:spacing w:line="240" w:lineRule="auto" w:before="3"/>
        <w:rPr>
          <w:rFonts w:ascii="宋体" w:hAnsi="宋体" w:cs="宋体" w:eastAsia="宋体" w:hint="default"/>
          <w:b/>
          <w:bCs/>
          <w:sz w:val="28"/>
          <w:szCs w:val="28"/>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sz w:val="21"/>
          <w:szCs w:val="21"/>
        </w:rPr>
      </w:r>
    </w:p>
    <w:p>
      <w:pPr>
        <w:spacing w:line="240" w:lineRule="auto" w:before="0"/>
        <w:rPr>
          <w:rFonts w:ascii="宋体" w:hAnsi="宋体" w:cs="宋体" w:eastAsia="宋体" w:hint="default"/>
          <w:b/>
          <w:bCs/>
          <w:sz w:val="28"/>
          <w:szCs w:val="28"/>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）确认可行权权益工具最佳估计的依据</w:t>
      </w:r>
      <w:r>
        <w:rPr>
          <w:rFonts w:ascii="宋体" w:hAnsi="宋体" w:cs="宋体" w:eastAsia="宋体" w:hint="default"/>
          <w:sz w:val="21"/>
          <w:szCs w:val="21"/>
        </w:rPr>
      </w:r>
    </w:p>
    <w:p>
      <w:pPr>
        <w:spacing w:line="240" w:lineRule="auto" w:before="3"/>
        <w:rPr>
          <w:rFonts w:ascii="宋体" w:hAnsi="宋体" w:cs="宋体" w:eastAsia="宋体" w:hint="default"/>
          <w:b/>
          <w:bCs/>
          <w:sz w:val="28"/>
          <w:szCs w:val="28"/>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）实施、修改、终止股份支付计划的相关会计处理</w:t>
      </w:r>
      <w:r>
        <w:rPr>
          <w:rFonts w:ascii="宋体" w:hAnsi="宋体" w:cs="宋体" w:eastAsia="宋体" w:hint="default"/>
          <w:sz w:val="21"/>
          <w:szCs w:val="21"/>
        </w:rPr>
      </w:r>
    </w:p>
    <w:p>
      <w:pPr>
        <w:spacing w:line="240" w:lineRule="auto" w:before="0"/>
        <w:rPr>
          <w:rFonts w:ascii="宋体" w:hAnsi="宋体" w:cs="宋体" w:eastAsia="宋体" w:hint="default"/>
          <w:b/>
          <w:bCs/>
          <w:sz w:val="28"/>
          <w:szCs w:val="28"/>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、回购本公司股份</w:t>
      </w:r>
      <w:r>
        <w:rPr>
          <w:rFonts w:ascii="宋体" w:hAnsi="宋体" w:cs="宋体" w:eastAsia="宋体" w:hint="default"/>
          <w:sz w:val="21"/>
          <w:szCs w:val="21"/>
        </w:rPr>
      </w:r>
    </w:p>
    <w:p>
      <w:pPr>
        <w:spacing w:line="240" w:lineRule="auto" w:before="3"/>
        <w:rPr>
          <w:rFonts w:ascii="宋体" w:hAnsi="宋体" w:cs="宋体" w:eastAsia="宋体" w:hint="default"/>
          <w:b/>
          <w:bCs/>
          <w:sz w:val="28"/>
          <w:szCs w:val="28"/>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0"/>
        <w:rPr>
          <w:rFonts w:ascii="宋体" w:hAnsi="宋体" w:cs="宋体" w:eastAsia="宋体" w:hint="default"/>
          <w:b/>
          <w:bCs/>
          <w:sz w:val="28"/>
          <w:szCs w:val="28"/>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73" w:lineRule="auto"/>
        <w:ind w:right="1171" w:firstLine="960"/>
        <w:jc w:val="both"/>
      </w:pPr>
      <w:r>
        <w:rPr/>
        <w:t>在已将商品所有权上的主要风险和报酬转移给买方，既没有保留通常与所有权相联 系的继续管理权，也没有对已售商品实施有效控制，收入的金额能够可靠地计量，相关的经 济利益很可能流入企业，相关的已发生或将发生的成本能够可靠地计量时，确认商品销售收 入的实现。</w:t>
      </w:r>
    </w:p>
    <w:p>
      <w:pPr>
        <w:spacing w:line="240" w:lineRule="auto" w:before="11"/>
        <w:rPr>
          <w:rFonts w:ascii="宋体" w:hAnsi="宋体" w:cs="宋体" w:eastAsia="宋体" w:hint="default"/>
          <w:sz w:val="25"/>
          <w:szCs w:val="25"/>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633" w:right="1125"/>
        <w:jc w:val="left"/>
      </w:pPr>
      <w:r>
        <w:rPr/>
        <w:t>根据有关合同或协议，按权责发生制确认收入。</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1"/>
          <w:szCs w:val="31"/>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）确认提供劳务收入的依据</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73" w:lineRule="auto"/>
        <w:ind w:right="1171" w:firstLine="480"/>
        <w:jc w:val="both"/>
      </w:pPr>
      <w:r>
        <w:rPr/>
        <w:t>在提供劳务交易的结果能够可靠估计的情况下，于资产负债表日按照完工百分比法确认 提供的劳务收入。劳务交易的完工进度按已经提供的劳务占应提供劳务总量的比例确定。</w:t>
      </w:r>
    </w:p>
    <w:p>
      <w:pPr>
        <w:pStyle w:val="BodyText"/>
        <w:spacing w:line="273" w:lineRule="auto" w:before="12"/>
        <w:ind w:right="1002" w:firstLine="480"/>
        <w:jc w:val="left"/>
      </w:pPr>
      <w:r>
        <w:rPr>
          <w:spacing w:val="-8"/>
        </w:rPr>
        <w:t>提供劳务交易的结果能够可靠估计是指同时满足：（</w:t>
      </w:r>
      <w:r>
        <w:rPr>
          <w:rFonts w:ascii="宋体" w:hAnsi="宋体" w:cs="宋体" w:eastAsia="宋体" w:hint="default"/>
          <w:spacing w:val="-8"/>
        </w:rPr>
        <w:t>1</w:t>
      </w:r>
      <w:r>
        <w:rPr>
          <w:spacing w:val="-8"/>
        </w:rPr>
        <w:t>）收入的金额能够可靠地计量；（</w:t>
      </w:r>
      <w:r>
        <w:rPr>
          <w:rFonts w:ascii="宋体" w:hAnsi="宋体" w:cs="宋体" w:eastAsia="宋体" w:hint="default"/>
          <w:spacing w:val="-8"/>
        </w:rPr>
        <w:t>2</w:t>
      </w:r>
      <w:r>
        <w:rPr>
          <w:spacing w:val="-8"/>
        </w:rPr>
        <w:t>）</w:t>
      </w:r>
      <w:r>
        <w:rPr/>
        <w:t> 相关的经济利益很可能流入企业；（</w:t>
      </w:r>
      <w:r>
        <w:rPr>
          <w:rFonts w:ascii="宋体" w:hAnsi="宋体" w:cs="宋体" w:eastAsia="宋体" w:hint="default"/>
        </w:rPr>
        <w:t>3</w:t>
      </w:r>
      <w:r>
        <w:rPr/>
        <w:t>）交易的完工程度能够可靠地确定；（</w:t>
      </w:r>
      <w:r>
        <w:rPr>
          <w:rFonts w:ascii="宋体" w:hAnsi="宋体" w:cs="宋体" w:eastAsia="宋体" w:hint="default"/>
        </w:rPr>
        <w:t>4</w:t>
      </w:r>
      <w:r>
        <w:rPr/>
        <w:t>）交易中已发 生和将发生的成本能够可靠地计量。</w:t>
      </w:r>
    </w:p>
    <w:p>
      <w:pPr>
        <w:pStyle w:val="BodyText"/>
        <w:spacing w:line="273" w:lineRule="auto" w:before="10"/>
        <w:ind w:right="1171" w:firstLine="480"/>
        <w:jc w:val="both"/>
      </w:pPr>
      <w:r>
        <w:rPr/>
        <w:t>如果提供劳务交易的结果不能够可靠估计，则按已经发生并预计能够得到补偿的劳务成 本金额确认提供的劳务收入，并将已发生的劳务成本作为当期费用。已经发生的劳务成本如 预计不能得到补偿的，则不确认收入。</w:t>
      </w:r>
    </w:p>
    <w:p>
      <w:pPr>
        <w:pStyle w:val="BodyText"/>
        <w:spacing w:line="273" w:lineRule="auto" w:before="12"/>
        <w:ind w:right="1170" w:firstLine="480"/>
        <w:jc w:val="both"/>
      </w:pPr>
      <w:r>
        <w:rPr/>
        <w:t>本集团与其他企业签订的合同或协议包括销售商品和提供劳务时，如销售商品部分和提 供劳务部分能够区分并单独计量的，将销售商品部分和提供劳务部分分别处理；如销售商品 部分和提供劳务部分不能够区分，或虽能区分但不能够单独计量的，将该合同全部作为销售 商品处理。</w:t>
      </w:r>
    </w:p>
    <w:p>
      <w:pPr>
        <w:spacing w:after="0" w:line="273" w:lineRule="auto"/>
        <w:jc w:val="both"/>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）按完工百分比法确认提供劳务的收入和建造合同收入时，确定合同完工进度的依据和方法</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73" w:lineRule="auto"/>
        <w:ind w:right="1002" w:firstLine="480"/>
        <w:jc w:val="left"/>
      </w:pPr>
      <w:r>
        <w:rPr>
          <w:spacing w:val="-8"/>
        </w:rPr>
        <w:t>提供劳务交易的结果能够可靠估计是指同时满足：（</w:t>
      </w:r>
      <w:r>
        <w:rPr>
          <w:rFonts w:ascii="宋体" w:hAnsi="宋体" w:cs="宋体" w:eastAsia="宋体" w:hint="default"/>
          <w:spacing w:val="-8"/>
        </w:rPr>
        <w:t>1</w:t>
      </w:r>
      <w:r>
        <w:rPr>
          <w:spacing w:val="-8"/>
        </w:rPr>
        <w:t>）收入的金额能够可靠地计量；（</w:t>
      </w:r>
      <w:r>
        <w:rPr>
          <w:rFonts w:ascii="宋体" w:hAnsi="宋体" w:cs="宋体" w:eastAsia="宋体" w:hint="default"/>
          <w:spacing w:val="-8"/>
        </w:rPr>
        <w:t>2</w:t>
      </w:r>
      <w:r>
        <w:rPr>
          <w:spacing w:val="-8"/>
        </w:rPr>
        <w:t>）</w:t>
      </w:r>
      <w:r>
        <w:rPr/>
        <w:t> 相关的经济利益很可能流入企业；（</w:t>
      </w:r>
      <w:r>
        <w:rPr>
          <w:rFonts w:ascii="宋体" w:hAnsi="宋体" w:cs="宋体" w:eastAsia="宋体" w:hint="default"/>
        </w:rPr>
        <w:t>3</w:t>
      </w:r>
      <w:r>
        <w:rPr/>
        <w:t>）交易的完工程度能够可靠地确定；（</w:t>
      </w:r>
      <w:r>
        <w:rPr>
          <w:rFonts w:ascii="宋体" w:hAnsi="宋体" w:cs="宋体" w:eastAsia="宋体" w:hint="default"/>
        </w:rPr>
        <w:t>4</w:t>
      </w:r>
      <w:r>
        <w:rPr/>
        <w:t>）交易中已发 生和将发生的成本能够可靠地计量。</w:t>
      </w:r>
    </w:p>
    <w:p>
      <w:pPr>
        <w:pStyle w:val="BodyText"/>
        <w:spacing w:line="273" w:lineRule="auto" w:before="10"/>
        <w:ind w:right="1170" w:firstLine="480"/>
        <w:jc w:val="both"/>
      </w:pPr>
      <w:r>
        <w:rPr/>
        <w:t>如果提供劳务交易的结果不能够可靠估计，则按已经发生并预计能够得到补偿的劳务成 本金额确认提供的劳务收入，并将已发生的劳务成本作为当期费用。已经发生的劳务成本如 预计不能得到补偿的，则不确认收入。</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9"/>
          <w:szCs w:val="29"/>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3"/>
        <w:rPr>
          <w:rFonts w:ascii="宋体" w:hAnsi="宋体" w:cs="宋体" w:eastAsia="宋体" w:hint="default"/>
          <w:b/>
          <w:bCs/>
          <w:sz w:val="28"/>
          <w:szCs w:val="28"/>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）类型</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pStyle w:val="BodyText"/>
        <w:spacing w:line="276" w:lineRule="auto"/>
        <w:ind w:right="1154" w:firstLine="960"/>
        <w:jc w:val="left"/>
      </w:pPr>
      <w:r>
        <w:rPr/>
        <w:t>政府补助是指本集团从政府无偿取得货币性资产和非货币性资产，不包括政府作为 所有者投入的资本。政府补助分为与资产相关的政府补助和与收益相关的政府补助。</w:t>
      </w:r>
    </w:p>
    <w:p>
      <w:pPr>
        <w:spacing w:line="240" w:lineRule="auto" w:before="6"/>
        <w:rPr>
          <w:rFonts w:ascii="宋体" w:hAnsi="宋体" w:cs="宋体" w:eastAsia="宋体" w:hint="default"/>
          <w:sz w:val="25"/>
          <w:szCs w:val="25"/>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）会计处理方法</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73" w:lineRule="auto"/>
        <w:ind w:right="1171" w:firstLine="480"/>
        <w:jc w:val="both"/>
      </w:pPr>
      <w:r>
        <w:rPr/>
        <w:t>政府补助为货币性资产的，按照收到或应收的金额计量。政府补助为非货币性资产的， 按照公允价值计量；公允价值不能够可靠取得的，按照名义金额计量。按照名义金额计量的 政府补助，直接计入当期损益。</w:t>
      </w:r>
    </w:p>
    <w:p>
      <w:pPr>
        <w:pStyle w:val="BodyText"/>
        <w:spacing w:line="273" w:lineRule="auto" w:before="10"/>
        <w:ind w:right="996" w:firstLine="480"/>
        <w:jc w:val="left"/>
      </w:pPr>
      <w:r>
        <w:rPr/>
        <w:t>与资产相关的政府补助，确认为递延收益，并在相关资产的使用寿命内平均分配计入当 </w:t>
      </w:r>
      <w:r>
        <w:rPr>
          <w:spacing w:val="-2"/>
        </w:rPr>
        <w:t>期损益。与收益相关的政府补助，用于补偿以后期间的相关费用和损失的，确认为递延收益，</w:t>
      </w:r>
      <w:r>
        <w:rPr/>
        <w:t> 并在确认相关费用的期间计入当期损益；用于补偿已经发生的相关费用和损失的，直接计入 当期损益。</w:t>
      </w:r>
    </w:p>
    <w:p>
      <w:pPr>
        <w:pStyle w:val="BodyText"/>
        <w:spacing w:line="276" w:lineRule="auto" w:before="10"/>
        <w:ind w:right="0" w:firstLine="480"/>
        <w:jc w:val="left"/>
      </w:pPr>
      <w:r>
        <w:rPr>
          <w:spacing w:val="-3"/>
        </w:rPr>
        <w:t>已确认的政府补助需要返还时，存在相关递延收益余额的，冲减相关递延收益账面余额，</w:t>
      </w:r>
      <w:r>
        <w:rPr/>
        <w:t> 超出部分计入当期损益；不存在相关递延收益的，直接计入当期损益。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9"/>
          <w:szCs w:val="29"/>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、递延所得税资产和递延所得税负债</w:t>
      </w:r>
      <w:r>
        <w:rPr>
          <w:rFonts w:ascii="宋体" w:hAnsi="宋体" w:cs="宋体" w:eastAsia="宋体" w:hint="default"/>
          <w:sz w:val="21"/>
          <w:szCs w:val="21"/>
        </w:rPr>
      </w:r>
    </w:p>
    <w:p>
      <w:pPr>
        <w:spacing w:line="240" w:lineRule="auto" w:before="0"/>
        <w:rPr>
          <w:rFonts w:ascii="宋体" w:hAnsi="宋体" w:cs="宋体" w:eastAsia="宋体" w:hint="default"/>
          <w:b/>
          <w:bCs/>
          <w:sz w:val="28"/>
          <w:szCs w:val="28"/>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73" w:lineRule="auto"/>
        <w:ind w:right="1171" w:firstLine="480"/>
        <w:jc w:val="both"/>
      </w:pPr>
      <w:r>
        <w:rPr/>
        <w:t>某些资产、负债项目的账面价值与其计税基础之间的差额，以及未作为资产和负债确认 但按照税法规定可以确定其计税基础的项目的账面价值与计税基础之间的差额产生的暂时性 差异，采用资产负债表债务法确认递延所得税资产及递延所得税负债。与商誉的初始确认有 关，以及与既不是企业合并、发生时也不影响会计利润和应纳税所得额（或可抵扣亏损）的</w:t>
      </w:r>
    </w:p>
    <w:p>
      <w:pPr>
        <w:spacing w:after="0" w:line="273" w:lineRule="auto"/>
        <w:jc w:val="both"/>
        <w:sectPr>
          <w:pgSz w:w="11910" w:h="16840"/>
          <w:pgMar w:header="877" w:footer="1340" w:top="1060" w:bottom="1540" w:left="980" w:right="0"/>
        </w:sectPr>
      </w:pPr>
    </w:p>
    <w:p>
      <w:pPr>
        <w:spacing w:line="240" w:lineRule="auto" w:before="6"/>
        <w:rPr>
          <w:rFonts w:ascii="宋体" w:hAnsi="宋体" w:cs="宋体" w:eastAsia="宋体" w:hint="default"/>
          <w:sz w:val="25"/>
          <w:szCs w:val="25"/>
        </w:rPr>
      </w:pPr>
    </w:p>
    <w:p>
      <w:pPr>
        <w:pStyle w:val="BodyText"/>
        <w:tabs>
          <w:tab w:pos="9313" w:val="left" w:leader="none"/>
        </w:tabs>
        <w:spacing w:line="273" w:lineRule="auto" w:before="26"/>
        <w:ind w:right="1013"/>
        <w:jc w:val="left"/>
      </w:pPr>
      <w:r>
        <w:rPr/>
        <w:t>交易中产生的资产或负债的初始确认有关的应纳税暂时性差异，不予确认有关的递延所得税 负债。此外，对与子公司、联营企业及合营企业投资相关的应纳税暂时性差异，如果本集团 能够控制暂时性差异转回的时间，而且该暂时性差异在可预见的未来很可能不会转回，也不 予确认有关的递延所得税负债。除上述例外情况，本集团确认其他所有应纳税暂时性差异产 生的递延所得税负债。与既不是企业合并、发生时也不影响会计利润和应纳税所得额（或可 抵扣亏损）的交易中产生的资产或负债的初始确认有关的可抵扣暂时性差异，不予确认有关 </w:t>
      </w:r>
      <w:r>
        <w:rPr>
          <w:spacing w:val="-3"/>
        </w:rPr>
        <w:t>的递延所得税资产。此外，对与子公司、联营企业及合营企业投资相关的可抵扣暂时性差异，</w:t>
      </w:r>
      <w:r>
        <w:rPr>
          <w:spacing w:val="-81"/>
        </w:rPr>
        <w:t> </w:t>
      </w:r>
      <w:r>
        <w:rPr>
          <w:spacing w:val="-81"/>
        </w:rPr>
      </w:r>
      <w:r>
        <w:rPr/>
        <w:t>如果暂时性差异在可预见的未来不是很可能转回，或者未来不是很可能获得用来抵扣可抵扣 暂时性差异的应纳税所得额，不予确认有关的递延所得税资产。除上述例外情况，本集团以 很可能取得用来抵扣可抵扣暂时性差异的应纳税所得额为限，确认其他可抵扣暂时性差异产</w:t>
      </w:r>
      <w:r>
        <w:rPr/>
        <w:t> 生的递延所得税资产。对于能够结转以后年度的可抵扣亏损和税款抵减，以很可能获得用来 </w:t>
      </w:r>
      <w:r>
        <w:rPr>
          <w:spacing w:val="-2"/>
        </w:rPr>
        <w:t>抵扣可抵扣亏损和税款抵减的未来应纳税所得额为限，确认相应的递延所得税资产。</w:t>
        <w:tab/>
      </w:r>
      <w:r>
        <w:rPr/>
        <w:t>资产</w:t>
      </w:r>
      <w:r>
        <w:rPr/>
        <w:t> 负债表日，对于递延所得税资产和递延所得税负债，根据税法规定，按照预期收回相关资产 或清偿相关负债期间的适用税率计量。于资产负债表日，对递延所得税资产的账面价值进行 复核，如果未来很可能无法获得足够的应纳税所得额用以抵扣递延所得税资产的利益，则减 </w:t>
      </w:r>
      <w:r>
        <w:rPr>
          <w:spacing w:val="-2"/>
        </w:rPr>
        <w:t>记递延所得税资产的账面价值。在很可能获得足够的应纳税所得额时，减记的金额予以转回。</w:t>
      </w:r>
    </w:p>
    <w:p>
      <w:pPr>
        <w:spacing w:line="240" w:lineRule="auto" w:before="11"/>
        <w:rPr>
          <w:rFonts w:ascii="宋体" w:hAnsi="宋体" w:cs="宋体" w:eastAsia="宋体" w:hint="default"/>
          <w:sz w:val="25"/>
          <w:szCs w:val="25"/>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pStyle w:val="BodyText"/>
        <w:tabs>
          <w:tab w:pos="8074" w:val="left" w:leader="none"/>
        </w:tabs>
        <w:spacing w:line="273" w:lineRule="auto"/>
        <w:ind w:right="1010" w:firstLine="600"/>
        <w:jc w:val="left"/>
      </w:pPr>
      <w:r>
        <w:rPr>
          <w:spacing w:val="-3"/>
        </w:rPr>
        <w:t>某些资产、负债项目的账面价值与其计税基础之间的差额，以及未作为资产和负债确认</w:t>
      </w:r>
      <w:r>
        <w:rPr/>
        <w:t> 但按照税法规定可以确定其计税基础的项目的账面价值与计税基础之间的差额产生的暂时性 差异，采用资产负债表债务法确认递延所得税资产及递延所得税负债。</w:t>
        <w:tab/>
        <w:t>与商誉的初始确 </w:t>
      </w:r>
      <w:r>
        <w:rPr>
          <w:spacing w:val="-2"/>
        </w:rPr>
        <w:t>认有关，以及与既不是企业合并、发生时也不影响会计利润和应纳税所得额（或可抵扣亏损）</w:t>
      </w:r>
      <w:r>
        <w:rPr/>
        <w:t> 的交易中产生的资产或负债的初始确认有关的应纳税暂时性差异，不予确认有关的递延所得 税负债。此外，对与子公司、联营企业及合营企业投资相关的应纳税暂时性差异，如果本集 团能够控制暂时性差异转回的时间，而且该暂时性差异在可预见的未来很可能不会转回，也 不予确认有关的递延所得税负债。除上述例外情况，本集团确认其他所有应纳税暂时性差异 产生的递延所得税负债。与既不是企业合并、发生时也不影响会计利润和应纳税所得额（或 可抵扣亏损）的交易中产生的资产或负债的初始确认有关的可抵扣暂时性差异，不予确认有 关的递延所得税资产。此外，对与子公司、联营企业及合营企业投资相关的可抵扣暂时性差 异，如果暂时性差异在可预见的未来不是很可能转回，或者未来不是很可能获得用来抵扣可 抵扣暂时性差异的应纳税所得额，不予确认有关的递延所得税资产。除上述例外情况，本集 团以很可能取得用来抵扣可抵扣暂时性差异的应纳税所得额为限，确认其他可抵扣暂时性差 异产生的递延所得税资产。对于能够结转以后年度的可抵扣亏损和税款抵减，以很可能获得 用来抵扣可抵扣亏损和税款抵减的未来应纳税所得额为限，确认相应的递延所得税资产。 资产负债表日，对于递延所得税资产和递延所得税负债，根据税法规定，按照预期收回相关 资产或清偿相关负债期间的适用税率计量。于资产负债表日，对递延所得税资产的账面价值 进行复核，如果未来很可能无法获得足够的应纳税所得额用以抵扣递延所得税资产的利益， 则减记递延所得税资产的账面价值。在很可能获得足够的应纳税所得额时，减记的金额予以</w:t>
      </w:r>
    </w:p>
    <w:p>
      <w:pPr>
        <w:spacing w:after="0" w:line="273" w:lineRule="auto"/>
        <w:jc w:val="left"/>
        <w:sectPr>
          <w:pgSz w:w="11910" w:h="16840"/>
          <w:pgMar w:header="877" w:footer="1340" w:top="1060" w:bottom="1540" w:left="980" w:right="0"/>
        </w:sectPr>
      </w:pPr>
    </w:p>
    <w:p>
      <w:pPr>
        <w:spacing w:line="240" w:lineRule="auto" w:before="6"/>
        <w:rPr>
          <w:rFonts w:ascii="宋体" w:hAnsi="宋体" w:cs="宋体" w:eastAsia="宋体" w:hint="default"/>
          <w:sz w:val="25"/>
          <w:szCs w:val="25"/>
        </w:rPr>
      </w:pPr>
    </w:p>
    <w:p>
      <w:pPr>
        <w:pStyle w:val="BodyText"/>
        <w:spacing w:line="240" w:lineRule="auto" w:before="26"/>
        <w:ind w:right="0"/>
        <w:jc w:val="both"/>
      </w:pPr>
      <w:r>
        <w:rPr/>
        <w:t>转回。</w:t>
      </w:r>
    </w:p>
    <w:p>
      <w:pPr>
        <w:spacing w:line="240" w:lineRule="auto" w:before="3"/>
        <w:rPr>
          <w:rFonts w:ascii="宋体" w:hAnsi="宋体" w:cs="宋体" w:eastAsia="宋体" w:hint="default"/>
          <w:sz w:val="28"/>
          <w:szCs w:val="28"/>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、经营租赁、融资租赁</w:t>
      </w:r>
      <w:r>
        <w:rPr>
          <w:rFonts w:ascii="宋体" w:hAnsi="宋体" w:cs="宋体" w:eastAsia="宋体" w:hint="default"/>
          <w:sz w:val="21"/>
          <w:szCs w:val="21"/>
        </w:rPr>
      </w:r>
    </w:p>
    <w:p>
      <w:pPr>
        <w:spacing w:line="240" w:lineRule="auto" w:before="3"/>
        <w:rPr>
          <w:rFonts w:ascii="宋体" w:hAnsi="宋体" w:cs="宋体" w:eastAsia="宋体" w:hint="default"/>
          <w:b/>
          <w:bCs/>
          <w:sz w:val="28"/>
          <w:szCs w:val="28"/>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）经营租赁会计处理</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pStyle w:val="BodyText"/>
        <w:spacing w:line="276" w:lineRule="auto"/>
        <w:ind w:left="633" w:right="1153"/>
        <w:jc w:val="left"/>
      </w:pPr>
      <w:r>
        <w:rPr/>
        <w:t>①本集团作为承租人记录经营租赁业务 经营租赁的租金支出在租赁期内的各个期间按直线法计入相关资产成本或当期损益。初</w:t>
      </w:r>
    </w:p>
    <w:p>
      <w:pPr>
        <w:pStyle w:val="BodyText"/>
        <w:spacing w:line="240" w:lineRule="auto" w:before="7"/>
        <w:ind w:right="0"/>
        <w:jc w:val="both"/>
      </w:pPr>
      <w:r>
        <w:rPr/>
        <w:t>始直接费用计入当期损益。或有租金于实际发生时计入当期损益。</w:t>
      </w:r>
    </w:p>
    <w:p>
      <w:pPr>
        <w:pStyle w:val="BodyText"/>
        <w:spacing w:line="273" w:lineRule="auto" w:before="46"/>
        <w:ind w:left="633" w:right="1153"/>
        <w:jc w:val="left"/>
      </w:pPr>
      <w:r>
        <w:rPr/>
        <w:t>②本集团作为出租人记录经营租赁业务 经营租赁的租金收入在租赁期内的各个期间按直线法确认为当期损益。对金额较大的初</w:t>
      </w:r>
    </w:p>
    <w:p>
      <w:pPr>
        <w:pStyle w:val="BodyText"/>
        <w:spacing w:line="273" w:lineRule="auto" w:before="13"/>
        <w:ind w:right="1169"/>
        <w:jc w:val="both"/>
      </w:pPr>
      <w:r>
        <w:rPr/>
        <w:t>始直接费用于发生时予以资本化，在整个租赁期间内按照与确认租金收入相同的基础分期计 入当期损益；其他金额较小的初始直接费用于发生时计入当期损益。或有租金于实际发生时 计入当期损益。</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9"/>
          <w:szCs w:val="29"/>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）融资租赁会计处理</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pStyle w:val="BodyText"/>
        <w:spacing w:line="276" w:lineRule="auto"/>
        <w:ind w:left="633" w:right="1153"/>
        <w:jc w:val="left"/>
      </w:pPr>
      <w:r>
        <w:rPr/>
        <w:t>①本集团作为承租人记录融资租赁业务 于租赁期开始日，将租赁开始日租赁资产的公允价值与最低租赁付款额现值两者中较低</w:t>
      </w:r>
    </w:p>
    <w:p>
      <w:pPr>
        <w:pStyle w:val="BodyText"/>
        <w:spacing w:line="273" w:lineRule="auto" w:before="7"/>
        <w:ind w:right="1171"/>
        <w:jc w:val="both"/>
      </w:pPr>
      <w:r>
        <w:rPr/>
        <w:t>者作为租入资产的入账价值，将最低租赁付款额作为长期应付款的入账价值，其差额作为未 确认融资费用。此外，在租赁谈判和签订租赁合同过程中发生的，可归属于租赁项目的初始 直接费用也计入租入资产价值。最低租赁付款额扣除未确认融资费用后的余额分别长期负债 和一年内到期的长期负债列示。</w:t>
      </w:r>
    </w:p>
    <w:p>
      <w:pPr>
        <w:pStyle w:val="BodyText"/>
        <w:spacing w:line="276" w:lineRule="auto" w:before="10"/>
        <w:ind w:right="1154" w:firstLine="480"/>
        <w:jc w:val="left"/>
      </w:pPr>
      <w:r>
        <w:rPr/>
        <w:t>未确认融资费用在租赁期内采用实际利率法计算确认当期的融资费用。或有租金于实际 发生时计入当期损益。</w:t>
      </w:r>
    </w:p>
    <w:p>
      <w:pPr>
        <w:pStyle w:val="BodyText"/>
        <w:spacing w:line="276" w:lineRule="auto" w:before="7"/>
        <w:ind w:left="633" w:right="1153"/>
        <w:jc w:val="left"/>
      </w:pPr>
      <w:r>
        <w:rPr/>
        <w:t>②本集团作为出租人记录融资租赁业务 于租赁期开始日，将租赁开始日最低租赁收款额与初始直接费用之和作为应收融资租赁</w:t>
      </w:r>
    </w:p>
    <w:p>
      <w:pPr>
        <w:pStyle w:val="BodyText"/>
        <w:spacing w:line="273" w:lineRule="auto" w:before="7"/>
        <w:ind w:right="1171"/>
        <w:jc w:val="both"/>
      </w:pPr>
      <w:r>
        <w:rPr/>
        <w:t>款的入账价值，同时记录未担保余值；将最低租赁收款额、初始直接费用及未担保余值之和 与其现值之和的差额确认为未实现融资收益。应收融资租赁款扣除未实现融资收益后的余额 分别长期债权和一年内到期的长期债权列示。</w:t>
      </w:r>
    </w:p>
    <w:p>
      <w:pPr>
        <w:pStyle w:val="BodyText"/>
        <w:spacing w:line="273" w:lineRule="auto" w:before="13"/>
        <w:ind w:right="1154" w:firstLine="480"/>
        <w:jc w:val="left"/>
      </w:pPr>
      <w:r>
        <w:rPr/>
        <w:t>未实现融资收益在租赁期内采用实际利率法计算确认当期的融资收入。或有租金于实际 发生时计入当期损益。</w:t>
      </w:r>
    </w:p>
    <w:p>
      <w:pPr>
        <w:spacing w:after="0" w:line="273" w:lineRule="auto"/>
        <w:jc w:val="left"/>
        <w:sectPr>
          <w:pgSz w:w="11910" w:h="16840"/>
          <w:pgMar w:header="877" w:footer="1340" w:top="1060" w:bottom="1540" w:left="980" w:right="0"/>
        </w:sectPr>
      </w:pPr>
    </w:p>
    <w:p>
      <w:pPr>
        <w:spacing w:line="240" w:lineRule="auto" w:before="8"/>
        <w:rPr>
          <w:rFonts w:ascii="宋体" w:hAnsi="宋体" w:cs="宋体" w:eastAsia="宋体" w:hint="default"/>
          <w:sz w:val="26"/>
          <w:szCs w:val="26"/>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）售后租回的会计处理</w:t>
      </w:r>
      <w:r>
        <w:rPr>
          <w:rFonts w:ascii="宋体" w:hAnsi="宋体" w:cs="宋体" w:eastAsia="宋体" w:hint="default"/>
          <w:sz w:val="21"/>
          <w:szCs w:val="21"/>
        </w:rPr>
      </w:r>
    </w:p>
    <w:p>
      <w:pPr>
        <w:spacing w:line="240" w:lineRule="auto" w:before="1"/>
        <w:rPr>
          <w:rFonts w:ascii="宋体" w:hAnsi="宋体" w:cs="宋体" w:eastAsia="宋体" w:hint="default"/>
          <w:b/>
          <w:bCs/>
          <w:sz w:val="28"/>
          <w:szCs w:val="28"/>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40" w:lineRule="auto" w:before="3"/>
        <w:rPr>
          <w:rFonts w:ascii="宋体" w:hAnsi="宋体" w:cs="宋体" w:eastAsia="宋体" w:hint="default"/>
          <w:b/>
          <w:bCs/>
          <w:sz w:val="28"/>
          <w:szCs w:val="28"/>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）持有待售资产确认标准</w:t>
      </w:r>
      <w:r>
        <w:rPr>
          <w:rFonts w:ascii="宋体" w:hAnsi="宋体" w:cs="宋体" w:eastAsia="宋体" w:hint="default"/>
          <w:sz w:val="21"/>
          <w:szCs w:val="21"/>
        </w:rPr>
      </w:r>
    </w:p>
    <w:p>
      <w:pPr>
        <w:spacing w:line="240" w:lineRule="auto" w:before="0"/>
        <w:rPr>
          <w:rFonts w:ascii="宋体" w:hAnsi="宋体" w:cs="宋体" w:eastAsia="宋体" w:hint="default"/>
          <w:b/>
          <w:bCs/>
          <w:sz w:val="28"/>
          <w:szCs w:val="28"/>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）持有待售资产的会计处理方法</w:t>
      </w:r>
      <w:r>
        <w:rPr>
          <w:rFonts w:ascii="宋体" w:hAnsi="宋体" w:cs="宋体" w:eastAsia="宋体" w:hint="default"/>
          <w:sz w:val="21"/>
          <w:szCs w:val="21"/>
        </w:rPr>
      </w:r>
    </w:p>
    <w:p>
      <w:pPr>
        <w:spacing w:line="240" w:lineRule="auto" w:before="3"/>
        <w:rPr>
          <w:rFonts w:ascii="宋体" w:hAnsi="宋体" w:cs="宋体" w:eastAsia="宋体" w:hint="default"/>
          <w:b/>
          <w:bCs/>
          <w:sz w:val="28"/>
          <w:szCs w:val="28"/>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、资产证券化业务</w:t>
      </w:r>
      <w:r>
        <w:rPr>
          <w:rFonts w:ascii="宋体" w:hAnsi="宋体" w:cs="宋体" w:eastAsia="宋体" w:hint="default"/>
          <w:sz w:val="21"/>
          <w:szCs w:val="21"/>
        </w:rPr>
      </w:r>
    </w:p>
    <w:p>
      <w:pPr>
        <w:spacing w:line="240" w:lineRule="auto" w:before="0"/>
        <w:rPr>
          <w:rFonts w:ascii="宋体" w:hAnsi="宋体" w:cs="宋体" w:eastAsia="宋体" w:hint="default"/>
          <w:b/>
          <w:bCs/>
          <w:sz w:val="28"/>
          <w:szCs w:val="28"/>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、套期会计</w:t>
      </w:r>
      <w:r>
        <w:rPr>
          <w:rFonts w:ascii="宋体" w:hAnsi="宋体" w:cs="宋体" w:eastAsia="宋体" w:hint="default"/>
          <w:sz w:val="21"/>
          <w:szCs w:val="21"/>
        </w:rPr>
      </w:r>
    </w:p>
    <w:p>
      <w:pPr>
        <w:spacing w:line="240" w:lineRule="auto" w:before="3"/>
        <w:rPr>
          <w:rFonts w:ascii="宋体" w:hAnsi="宋体" w:cs="宋体" w:eastAsia="宋体" w:hint="default"/>
          <w:b/>
          <w:bCs/>
          <w:sz w:val="28"/>
          <w:szCs w:val="28"/>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、主要会计政策、会计估计的变更</w:t>
      </w:r>
      <w:r>
        <w:rPr>
          <w:rFonts w:ascii="宋体" w:hAnsi="宋体" w:cs="宋体" w:eastAsia="宋体" w:hint="default"/>
          <w:sz w:val="21"/>
          <w:szCs w:val="21"/>
        </w:rPr>
      </w:r>
    </w:p>
    <w:p>
      <w:pPr>
        <w:spacing w:line="240" w:lineRule="auto" w:before="8"/>
        <w:rPr>
          <w:rFonts w:ascii="宋体" w:hAnsi="宋体" w:cs="宋体" w:eastAsia="宋体" w:hint="default"/>
          <w:b/>
          <w:bCs/>
          <w:sz w:val="29"/>
          <w:szCs w:val="29"/>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本报告期主要会计政策、会计估计是否变更</w:t>
      </w:r>
    </w:p>
    <w:p>
      <w:pPr>
        <w:spacing w:line="240" w:lineRule="auto" w:before="8"/>
        <w:rPr>
          <w:rFonts w:ascii="宋体" w:hAnsi="宋体" w:cs="宋体" w:eastAsia="宋体" w:hint="default"/>
          <w:sz w:val="12"/>
          <w:szCs w:val="12"/>
        </w:rPr>
      </w:pPr>
    </w:p>
    <w:p>
      <w:pPr>
        <w:spacing w:before="0"/>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spacing w:before="152"/>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）会计政策变更</w:t>
      </w:r>
      <w:r>
        <w:rPr>
          <w:rFonts w:ascii="宋体" w:hAnsi="宋体" w:cs="宋体" w:eastAsia="宋体" w:hint="default"/>
          <w:sz w:val="21"/>
          <w:szCs w:val="21"/>
        </w:rPr>
      </w:r>
    </w:p>
    <w:p>
      <w:pPr>
        <w:spacing w:line="240" w:lineRule="auto" w:before="10"/>
        <w:rPr>
          <w:rFonts w:ascii="宋体" w:hAnsi="宋体" w:cs="宋体" w:eastAsia="宋体" w:hint="default"/>
          <w:b/>
          <w:bCs/>
          <w:sz w:val="29"/>
          <w:szCs w:val="29"/>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本报告期主要会计政策是否变更</w:t>
      </w:r>
    </w:p>
    <w:p>
      <w:pPr>
        <w:spacing w:line="240" w:lineRule="auto" w:before="6"/>
        <w:rPr>
          <w:rFonts w:ascii="宋体" w:hAnsi="宋体" w:cs="宋体" w:eastAsia="宋体" w:hint="default"/>
          <w:sz w:val="12"/>
          <w:szCs w:val="12"/>
        </w:rPr>
      </w:pPr>
    </w:p>
    <w:p>
      <w:pPr>
        <w:spacing w:before="0"/>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spacing w:before="152"/>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）会计估计变更</w:t>
      </w:r>
      <w:r>
        <w:rPr>
          <w:rFonts w:ascii="宋体" w:hAnsi="宋体" w:cs="宋体" w:eastAsia="宋体" w:hint="default"/>
          <w:sz w:val="21"/>
          <w:szCs w:val="21"/>
        </w:rPr>
      </w:r>
    </w:p>
    <w:p>
      <w:pPr>
        <w:spacing w:line="240" w:lineRule="auto" w:before="10"/>
        <w:rPr>
          <w:rFonts w:ascii="宋体" w:hAnsi="宋体" w:cs="宋体" w:eastAsia="宋体" w:hint="default"/>
          <w:b/>
          <w:bCs/>
          <w:sz w:val="29"/>
          <w:szCs w:val="29"/>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本报告期主要会计估计是否变更</w:t>
      </w:r>
    </w:p>
    <w:p>
      <w:pPr>
        <w:spacing w:line="240" w:lineRule="auto" w:before="6"/>
        <w:rPr>
          <w:rFonts w:ascii="宋体" w:hAnsi="宋体" w:cs="宋体" w:eastAsia="宋体" w:hint="default"/>
          <w:sz w:val="12"/>
          <w:szCs w:val="12"/>
        </w:rPr>
      </w:pPr>
    </w:p>
    <w:p>
      <w:pPr>
        <w:spacing w:before="0"/>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spacing w:before="152"/>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40" w:lineRule="auto" w:before="10"/>
        <w:rPr>
          <w:rFonts w:ascii="宋体" w:hAnsi="宋体" w:cs="宋体" w:eastAsia="宋体" w:hint="default"/>
          <w:b/>
          <w:bCs/>
          <w:sz w:val="29"/>
          <w:szCs w:val="29"/>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本报告期是否发现前期会计差错</w:t>
      </w:r>
    </w:p>
    <w:p>
      <w:pPr>
        <w:spacing w:line="240" w:lineRule="auto" w:before="6"/>
        <w:rPr>
          <w:rFonts w:ascii="宋体" w:hAnsi="宋体" w:cs="宋体" w:eastAsia="宋体" w:hint="default"/>
          <w:sz w:val="12"/>
          <w:szCs w:val="12"/>
        </w:rPr>
      </w:pPr>
    </w:p>
    <w:p>
      <w:pPr>
        <w:spacing w:before="0"/>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BodyText"/>
        <w:spacing w:line="240" w:lineRule="auto" w:before="103"/>
        <w:ind w:left="633" w:right="1125"/>
        <w:jc w:val="left"/>
      </w:pPr>
      <w:r>
        <w:rPr/>
        <w:t>本期未发生前期会计差错更正事项。</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1"/>
          <w:szCs w:val="31"/>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line="240" w:lineRule="auto" w:before="10"/>
        <w:rPr>
          <w:rFonts w:ascii="宋体" w:hAnsi="宋体" w:cs="宋体" w:eastAsia="宋体" w:hint="default"/>
          <w:b/>
          <w:bCs/>
          <w:sz w:val="29"/>
          <w:szCs w:val="29"/>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本报告期是否发现采用追溯重述法的前期会计差错</w:t>
      </w:r>
    </w:p>
    <w:p>
      <w:pPr>
        <w:spacing w:line="240" w:lineRule="auto" w:before="6"/>
        <w:rPr>
          <w:rFonts w:ascii="宋体" w:hAnsi="宋体" w:cs="宋体" w:eastAsia="宋体" w:hint="default"/>
          <w:sz w:val="12"/>
          <w:szCs w:val="12"/>
        </w:rPr>
      </w:pPr>
    </w:p>
    <w:p>
      <w:pPr>
        <w:spacing w:before="0"/>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8"/>
        <w:rPr>
          <w:rFonts w:ascii="宋体" w:hAnsi="宋体" w:cs="宋体" w:eastAsia="宋体" w:hint="default"/>
          <w:sz w:val="26"/>
          <w:szCs w:val="26"/>
        </w:rPr>
      </w:pPr>
    </w:p>
    <w:p>
      <w:pPr>
        <w:spacing w:before="36"/>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40" w:lineRule="auto" w:before="8"/>
        <w:rPr>
          <w:rFonts w:ascii="宋体" w:hAnsi="宋体" w:cs="宋体" w:eastAsia="宋体" w:hint="default"/>
          <w:b/>
          <w:bCs/>
          <w:sz w:val="29"/>
          <w:szCs w:val="29"/>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本报告期是否发现采用未来适用法的前期会计差错</w:t>
      </w:r>
    </w:p>
    <w:p>
      <w:pPr>
        <w:spacing w:line="240" w:lineRule="auto" w:before="8"/>
        <w:rPr>
          <w:rFonts w:ascii="宋体" w:hAnsi="宋体" w:cs="宋体" w:eastAsia="宋体" w:hint="default"/>
          <w:sz w:val="12"/>
          <w:szCs w:val="12"/>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spacing w:before="152"/>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、其他主要会计政策、会计估计和财务报表编制方法</w:t>
      </w:r>
      <w:r>
        <w:rPr>
          <w:rFonts w:ascii="宋体" w:hAnsi="宋体" w:cs="宋体" w:eastAsia="宋体" w:hint="default"/>
          <w:sz w:val="21"/>
          <w:szCs w:val="21"/>
        </w:rPr>
      </w:r>
    </w:p>
    <w:p>
      <w:pPr>
        <w:spacing w:line="240" w:lineRule="auto" w:before="4"/>
        <w:rPr>
          <w:rFonts w:ascii="宋体" w:hAnsi="宋体" w:cs="宋体" w:eastAsia="宋体" w:hint="default"/>
          <w:b/>
          <w:bCs/>
          <w:sz w:val="30"/>
          <w:szCs w:val="30"/>
        </w:rPr>
      </w:pPr>
    </w:p>
    <w:p>
      <w:pPr>
        <w:pStyle w:val="BodyText"/>
        <w:spacing w:line="304" w:lineRule="auto"/>
        <w:ind w:right="1139" w:firstLine="480"/>
        <w:jc w:val="both"/>
      </w:pPr>
      <w:r>
        <w:rPr/>
        <w:t>本集团在运用会计政策过程中，由于经营活动内在的不确定性，本集团需要对无法准确 计量的报表项目的账面价值进行判断、估计和假设。这些判断、估计和假设是基于本集团管</w:t>
      </w:r>
      <w:r>
        <w:rPr>
          <w:spacing w:val="-91"/>
        </w:rPr>
        <w:t> </w:t>
      </w:r>
      <w:r>
        <w:rPr>
          <w:spacing w:val="-91"/>
        </w:rPr>
      </w:r>
      <w:r>
        <w:rPr/>
        <w:t>理层过去的历史经验，并在考虑其他相关因素的基础上做出的。这些判断、估计和假设会影</w:t>
      </w:r>
      <w:r>
        <w:rPr>
          <w:spacing w:val="-91"/>
        </w:rPr>
        <w:t> </w:t>
      </w:r>
      <w:r>
        <w:rPr>
          <w:spacing w:val="-91"/>
        </w:rPr>
      </w:r>
      <w:r>
        <w:rPr/>
        <w:t>响收入、费用、资产和负债的报告金额以及资产负债表日或有负债的披露。然而，这些估计</w:t>
      </w:r>
      <w:r>
        <w:rPr>
          <w:spacing w:val="-91"/>
        </w:rPr>
        <w:t> </w:t>
      </w:r>
      <w:r>
        <w:rPr>
          <w:spacing w:val="-91"/>
        </w:rPr>
      </w:r>
      <w:r>
        <w:rPr/>
        <w:t>的不确定性所导致的结果可能造成对未来受影响的资产或负债的账面金额进行重大调整。</w:t>
      </w:r>
    </w:p>
    <w:p>
      <w:pPr>
        <w:pStyle w:val="BodyText"/>
        <w:spacing w:line="304" w:lineRule="auto" w:before="62"/>
        <w:ind w:right="1139" w:firstLine="480"/>
        <w:jc w:val="both"/>
      </w:pPr>
      <w:r>
        <w:rPr/>
        <w:t>本集团对前述判断、估计和假设在持续经营的基础上进行定期复核，会计估计的变更仅 影响变更当期的，其影响数在变更当期予以确认；既影响变更当期又影响未来期间的，其影</w:t>
      </w:r>
      <w:r>
        <w:rPr>
          <w:spacing w:val="-91"/>
        </w:rPr>
        <w:t> </w:t>
      </w:r>
      <w:r>
        <w:rPr>
          <w:spacing w:val="-91"/>
        </w:rPr>
      </w:r>
      <w:r>
        <w:rPr/>
        <w:t>响数在变更当期和未来期间予以确认。</w:t>
      </w:r>
    </w:p>
    <w:p>
      <w:pPr>
        <w:pStyle w:val="BodyText"/>
        <w:spacing w:line="240" w:lineRule="auto" w:before="60"/>
        <w:ind w:left="633" w:right="0"/>
        <w:jc w:val="left"/>
      </w:pPr>
      <w:r>
        <w:rPr>
          <w:spacing w:val="-3"/>
        </w:rPr>
        <w:t>于资产负债表日，本集团需对财务报表项目金额进行判断、估计和假设的重要领域如下：</w:t>
      </w:r>
    </w:p>
    <w:p>
      <w:pPr>
        <w:pStyle w:val="BodyText"/>
        <w:spacing w:line="336" w:lineRule="auto" w:before="127"/>
        <w:ind w:left="633" w:right="1125"/>
        <w:jc w:val="left"/>
      </w:pPr>
      <w:r>
        <w:rPr/>
        <w:t>（</w:t>
      </w:r>
      <w:r>
        <w:rPr>
          <w:rFonts w:ascii="宋体" w:hAnsi="宋体" w:cs="宋体" w:eastAsia="宋体" w:hint="default"/>
        </w:rPr>
        <w:t>1</w:t>
      </w:r>
      <w:r>
        <w:rPr/>
        <w:t>）坏账准备计提 本集团根据应收款项的会计政策，采用备抵法核算坏账损失。应收账款减值是基于评估</w:t>
      </w:r>
    </w:p>
    <w:p>
      <w:pPr>
        <w:pStyle w:val="BodyText"/>
        <w:spacing w:line="304" w:lineRule="auto"/>
        <w:ind w:right="1133"/>
        <w:jc w:val="both"/>
      </w:pPr>
      <w:r>
        <w:rPr/>
        <w:t>应收账款的可收回性。鉴定应收账款减值要求管理层的判断和估计。实际的结果与原先估计</w:t>
      </w:r>
      <w:r>
        <w:rPr>
          <w:spacing w:val="-86"/>
        </w:rPr>
        <w:t> </w:t>
      </w:r>
      <w:r>
        <w:rPr>
          <w:spacing w:val="-86"/>
        </w:rPr>
      </w:r>
      <w:r>
        <w:rPr/>
        <w:t>的差异将在估计被改变的期间影响应收账款的账面价值及应收账款坏账准备的计提或转回。</w:t>
      </w:r>
    </w:p>
    <w:p>
      <w:pPr>
        <w:pStyle w:val="BodyText"/>
        <w:spacing w:line="336" w:lineRule="auto" w:before="62"/>
        <w:ind w:left="633" w:right="1125"/>
        <w:jc w:val="left"/>
      </w:pPr>
      <w:r>
        <w:rPr/>
        <w:t>（</w:t>
      </w:r>
      <w:r>
        <w:rPr>
          <w:rFonts w:ascii="宋体" w:hAnsi="宋体" w:cs="宋体" w:eastAsia="宋体" w:hint="default"/>
        </w:rPr>
        <w:t>2</w:t>
      </w:r>
      <w:r>
        <w:rPr/>
        <w:t>）存货跌价准备 本集团根据存货会计政策，按照成本与可变现净值孰低计量，对成本高于可变现净值及</w:t>
      </w:r>
    </w:p>
    <w:p>
      <w:pPr>
        <w:pStyle w:val="BodyText"/>
        <w:spacing w:line="304" w:lineRule="auto"/>
        <w:ind w:right="1139"/>
        <w:jc w:val="both"/>
      </w:pPr>
      <w:r>
        <w:rPr/>
        <w:t>陈旧和滞销的存货，计提存货跌价准备。存货减值至可变现净值是基于评估存货的可售性及</w:t>
      </w:r>
      <w:r>
        <w:rPr>
          <w:spacing w:val="-91"/>
        </w:rPr>
        <w:t> </w:t>
      </w:r>
      <w:r>
        <w:rPr>
          <w:spacing w:val="-91"/>
        </w:rPr>
      </w:r>
      <w:r>
        <w:rPr/>
        <w:t>其可变现净值。鉴定存货减值要求管理层在取得确凿证据，并且考虑持有存货的目的、资产</w:t>
      </w:r>
      <w:r>
        <w:rPr>
          <w:spacing w:val="-91"/>
        </w:rPr>
        <w:t> </w:t>
      </w:r>
      <w:r>
        <w:rPr>
          <w:spacing w:val="-91"/>
        </w:rPr>
      </w:r>
      <w:r>
        <w:rPr/>
        <w:t>负债表日后事项的影响等因素的基础上作出判断和估计。实际的结果与原先估计的差异将在</w:t>
      </w:r>
      <w:r>
        <w:rPr>
          <w:spacing w:val="-91"/>
        </w:rPr>
        <w:t> </w:t>
      </w:r>
      <w:r>
        <w:rPr>
          <w:spacing w:val="-91"/>
        </w:rPr>
      </w:r>
      <w:r>
        <w:rPr/>
        <w:t>估计被改变的期间影响存货的账面价值及存货跌价准备的计提或转回。</w:t>
      </w:r>
    </w:p>
    <w:p>
      <w:pPr>
        <w:pStyle w:val="BodyText"/>
        <w:spacing w:line="336" w:lineRule="auto" w:before="60"/>
        <w:ind w:left="633" w:right="1125"/>
        <w:jc w:val="left"/>
      </w:pPr>
      <w:r>
        <w:rPr/>
        <w:t>（</w:t>
      </w:r>
      <w:r>
        <w:rPr>
          <w:rFonts w:ascii="宋体" w:hAnsi="宋体" w:cs="宋体" w:eastAsia="宋体" w:hint="default"/>
        </w:rPr>
        <w:t>3</w:t>
      </w:r>
      <w:r>
        <w:rPr/>
        <w:t>）非金融非流动资产减值准备 本集团于资产负债表日对除金融资产之外的非流动资产判断是否存在可能发生减值的迹</w:t>
      </w:r>
    </w:p>
    <w:p>
      <w:pPr>
        <w:pStyle w:val="BodyText"/>
        <w:spacing w:line="304" w:lineRule="auto"/>
        <w:ind w:right="1139"/>
        <w:jc w:val="both"/>
      </w:pPr>
      <w:r>
        <w:rPr/>
        <w:t>象。对使用寿命不确定的无形资产，除每年进行的减值测试外，当其存在减值迹象时，也进</w:t>
      </w:r>
      <w:r>
        <w:rPr>
          <w:spacing w:val="-91"/>
        </w:rPr>
        <w:t> </w:t>
      </w:r>
      <w:r>
        <w:rPr>
          <w:spacing w:val="-91"/>
        </w:rPr>
      </w:r>
      <w:r>
        <w:rPr/>
        <w:t>行减值测试。其他除金融资产之外的非流动资产，当存在迹象表明其账面金额不可收回时，</w:t>
      </w:r>
      <w:r>
        <w:rPr>
          <w:spacing w:val="-91"/>
        </w:rPr>
        <w:t> </w:t>
      </w:r>
      <w:r>
        <w:rPr>
          <w:spacing w:val="-91"/>
        </w:rPr>
      </w:r>
      <w:r>
        <w:rPr/>
        <w:t>进行减值测试。</w:t>
      </w:r>
    </w:p>
    <w:p>
      <w:pPr>
        <w:pStyle w:val="BodyText"/>
        <w:spacing w:line="304" w:lineRule="auto" w:before="62"/>
        <w:ind w:right="1140" w:firstLine="480"/>
        <w:jc w:val="both"/>
      </w:pPr>
      <w:r>
        <w:rPr/>
        <w:t>当资产或资产组的账面价值高于可收回金额，即公允价值减去处置费用后的净额和预计 未来现金流量的现值中的较高者，表明发生了减值。</w:t>
      </w:r>
    </w:p>
    <w:p>
      <w:pPr>
        <w:pStyle w:val="BodyText"/>
        <w:spacing w:line="240" w:lineRule="auto" w:before="62"/>
        <w:ind w:left="633" w:right="1125"/>
        <w:jc w:val="left"/>
      </w:pPr>
      <w:r>
        <w:rPr/>
        <w:t>公允价值减去处置费用后的净额，参考公平交易中类似资产的销售协议价格或可观察到</w:t>
      </w:r>
    </w:p>
    <w:p>
      <w:pPr>
        <w:spacing w:after="0" w:line="240" w:lineRule="auto"/>
        <w:jc w:val="left"/>
        <w:sectPr>
          <w:pgSz w:w="11910" w:h="16840"/>
          <w:pgMar w:header="877" w:footer="1340" w:top="1060" w:bottom="1540" w:left="980" w:right="0"/>
        </w:sectPr>
      </w:pPr>
    </w:p>
    <w:p>
      <w:pPr>
        <w:spacing w:line="240" w:lineRule="auto" w:before="6"/>
        <w:rPr>
          <w:rFonts w:ascii="宋体" w:hAnsi="宋体" w:cs="宋体" w:eastAsia="宋体" w:hint="default"/>
          <w:sz w:val="29"/>
          <w:szCs w:val="29"/>
        </w:rPr>
      </w:pPr>
    </w:p>
    <w:p>
      <w:pPr>
        <w:pStyle w:val="BodyText"/>
        <w:spacing w:line="336" w:lineRule="auto" w:before="26"/>
        <w:ind w:left="633" w:right="1125" w:hanging="481"/>
        <w:jc w:val="left"/>
      </w:pPr>
      <w:r>
        <w:rPr/>
        <w:t>的市场价格，减去可直接归属于该资产处置的增量成本确定。 在预计未来现金流量现值时，需要对该资产（或资产组）的产量、售价、相关经营成本</w:t>
      </w:r>
    </w:p>
    <w:p>
      <w:pPr>
        <w:pStyle w:val="BodyText"/>
        <w:spacing w:line="304" w:lineRule="auto"/>
        <w:ind w:right="1139"/>
        <w:jc w:val="both"/>
      </w:pPr>
      <w:r>
        <w:rPr/>
        <w:t>以及计算现值时使用的折现率等作出重大判断。本集团在估计可收回金额时会采用所有能够</w:t>
      </w:r>
      <w:r>
        <w:rPr>
          <w:spacing w:val="-91"/>
        </w:rPr>
        <w:t> </w:t>
      </w:r>
      <w:r>
        <w:rPr>
          <w:spacing w:val="-91"/>
        </w:rPr>
      </w:r>
      <w:r>
        <w:rPr/>
        <w:t>获得的相关资料，包括根据合理和可支持的假设所作出有关产量、售价和相关经营成本的预</w:t>
      </w:r>
      <w:r>
        <w:rPr>
          <w:spacing w:val="-91"/>
        </w:rPr>
        <w:t> </w:t>
      </w:r>
      <w:r>
        <w:rPr>
          <w:spacing w:val="-91"/>
        </w:rPr>
      </w:r>
      <w:r>
        <w:rPr/>
        <w:t>测。</w:t>
      </w:r>
    </w:p>
    <w:p>
      <w:pPr>
        <w:pStyle w:val="BodyText"/>
        <w:spacing w:line="336" w:lineRule="auto" w:before="62"/>
        <w:ind w:left="633" w:right="1125"/>
        <w:jc w:val="left"/>
      </w:pPr>
      <w:r>
        <w:rPr/>
        <w:t>（</w:t>
      </w:r>
      <w:r>
        <w:rPr>
          <w:rFonts w:ascii="宋体" w:hAnsi="宋体" w:cs="宋体" w:eastAsia="宋体" w:hint="default"/>
        </w:rPr>
        <w:t>4</w:t>
      </w:r>
      <w:r>
        <w:rPr/>
        <w:t>）折旧和摊销 本集团对投资性房地产、固定资产和无形资产在考虑其残值后，在使用寿命内按直线法</w:t>
      </w:r>
    </w:p>
    <w:p>
      <w:pPr>
        <w:pStyle w:val="BodyText"/>
        <w:spacing w:line="304" w:lineRule="auto"/>
        <w:ind w:right="1139"/>
        <w:jc w:val="both"/>
      </w:pPr>
      <w:r>
        <w:rPr/>
        <w:t>计提折旧和摊销。本集团定期复核使用寿命，以决定将计入每个报告期的折旧和摊销费用数</w:t>
      </w:r>
      <w:r>
        <w:rPr>
          <w:spacing w:val="-91"/>
        </w:rPr>
        <w:t> </w:t>
      </w:r>
      <w:r>
        <w:rPr>
          <w:spacing w:val="-91"/>
        </w:rPr>
      </w:r>
      <w:r>
        <w:rPr/>
        <w:t>额。使用寿命是本集团根据对同类资产的以往经验并结合预期的技术更新而确定的。如果以</w:t>
      </w:r>
      <w:r>
        <w:rPr>
          <w:spacing w:val="-91"/>
        </w:rPr>
        <w:t> </w:t>
      </w:r>
      <w:r>
        <w:rPr>
          <w:spacing w:val="-91"/>
        </w:rPr>
      </w:r>
      <w:r>
        <w:rPr/>
        <w:t>前的估计发生重大变化，则会在未来期间对折旧和摊销费用进行调整。</w:t>
      </w:r>
    </w:p>
    <w:p>
      <w:pPr>
        <w:pStyle w:val="BodyText"/>
        <w:spacing w:line="338" w:lineRule="auto" w:before="60"/>
        <w:ind w:left="633" w:right="1125"/>
        <w:jc w:val="left"/>
      </w:pPr>
      <w:r>
        <w:rPr/>
        <w:t>（</w:t>
      </w:r>
      <w:r>
        <w:rPr>
          <w:rFonts w:ascii="宋体" w:hAnsi="宋体" w:cs="宋体" w:eastAsia="宋体" w:hint="default"/>
        </w:rPr>
        <w:t>5</w:t>
      </w:r>
      <w:r>
        <w:rPr/>
        <w:t>）递延所得税资产 在很有可能有足够的应纳税利润来抵扣亏损的限度内，本集团就所有未利用的税务亏损</w:t>
      </w:r>
    </w:p>
    <w:p>
      <w:pPr>
        <w:pStyle w:val="BodyText"/>
        <w:spacing w:line="307" w:lineRule="auto"/>
        <w:ind w:right="1139"/>
        <w:jc w:val="both"/>
      </w:pPr>
      <w:r>
        <w:rPr/>
        <w:t>确认递延所得税资产。这需要本集团管理层运用大量的判断来估计未来应纳税利润发生的时</w:t>
      </w:r>
      <w:r>
        <w:rPr>
          <w:spacing w:val="-91"/>
        </w:rPr>
        <w:t> </w:t>
      </w:r>
      <w:r>
        <w:rPr>
          <w:spacing w:val="-91"/>
        </w:rPr>
      </w:r>
      <w:r>
        <w:rPr/>
        <w:t>间和金额，结合纳税筹划策略，以决定应确认的递延所得税资产的金额。</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3"/>
          <w:szCs w:val="23"/>
        </w:rPr>
      </w:pPr>
    </w:p>
    <w:p>
      <w:pPr>
        <w:pStyle w:val="Heading2"/>
        <w:spacing w:line="240" w:lineRule="auto" w:before="0"/>
        <w:ind w:right="0"/>
        <w:jc w:val="both"/>
        <w:rPr>
          <w:b w:val="0"/>
          <w:bCs w:val="0"/>
        </w:rPr>
      </w:pPr>
      <w:r>
        <w:rPr/>
        <w:t>五、税项</w:t>
      </w:r>
      <w:r>
        <w:rPr>
          <w:b w:val="0"/>
          <w:bCs w:val="0"/>
        </w:rPr>
      </w:r>
    </w:p>
    <w:p>
      <w:pPr>
        <w:spacing w:line="240" w:lineRule="auto" w:before="5"/>
        <w:rPr>
          <w:rFonts w:ascii="宋体" w:hAnsi="宋体" w:cs="宋体" w:eastAsia="宋体" w:hint="default"/>
          <w:b/>
          <w:bCs/>
          <w:sz w:val="28"/>
          <w:szCs w:val="28"/>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、公司主要税种和税率</w:t>
      </w:r>
      <w:r>
        <w:rPr>
          <w:rFonts w:ascii="宋体" w:hAnsi="宋体" w:cs="宋体" w:eastAsia="宋体" w:hint="default"/>
          <w:sz w:val="21"/>
          <w:szCs w:val="21"/>
        </w:rPr>
      </w:r>
    </w:p>
    <w:p>
      <w:pPr>
        <w:spacing w:line="240" w:lineRule="auto" w:before="2"/>
        <w:rPr>
          <w:rFonts w:ascii="宋体" w:hAnsi="宋体" w:cs="宋体" w:eastAsia="宋体" w:hint="default"/>
          <w:b/>
          <w:bCs/>
          <w:sz w:val="27"/>
          <w:szCs w:val="27"/>
        </w:rPr>
      </w:pPr>
    </w:p>
    <w:tbl>
      <w:tblPr>
        <w:tblW w:w="0" w:type="auto"/>
        <w:jc w:val="left"/>
        <w:tblInd w:w="160" w:type="dxa"/>
        <w:tblLayout w:type="fixed"/>
        <w:tblCellMar>
          <w:top w:w="0" w:type="dxa"/>
          <w:left w:w="0" w:type="dxa"/>
          <w:bottom w:w="0" w:type="dxa"/>
          <w:right w:w="0" w:type="dxa"/>
        </w:tblCellMar>
        <w:tblLook w:val="01E0"/>
      </w:tblPr>
      <w:tblGrid>
        <w:gridCol w:w="3493"/>
        <w:gridCol w:w="3036"/>
        <w:gridCol w:w="3027"/>
      </w:tblGrid>
      <w:tr>
        <w:trPr>
          <w:trHeight w:val="449"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6"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49"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49"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应纳营业税额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49"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6" w:right="0"/>
              <w:jc w:val="left"/>
              <w:rPr>
                <w:rFonts w:ascii="Times New Roman" w:hAnsi="Times New Roman" w:cs="Times New Roman" w:eastAsia="Times New Roman" w:hint="default"/>
                <w:sz w:val="18"/>
                <w:szCs w:val="18"/>
              </w:rPr>
            </w:pPr>
            <w:r>
              <w:rPr>
                <w:rFonts w:ascii="Times New Roman"/>
                <w:sz w:val="18"/>
              </w:rPr>
              <w:t>7%</w:t>
            </w:r>
          </w:p>
        </w:tc>
      </w:tr>
      <w:tr>
        <w:trPr>
          <w:trHeight w:val="449"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各分公司、分厂执行的所得税税率</w:t>
      </w:r>
    </w:p>
    <w:p>
      <w:pPr>
        <w:pStyle w:val="BodyText"/>
        <w:spacing w:line="357" w:lineRule="auto" w:before="148"/>
        <w:ind w:left="633" w:right="4633"/>
        <w:jc w:val="left"/>
        <w:rPr>
          <w:rFonts w:ascii="宋体" w:hAnsi="宋体" w:cs="宋体" w:eastAsia="宋体" w:hint="default"/>
        </w:rPr>
      </w:pPr>
      <w:r>
        <w:rPr/>
        <w:t>大唐高鸿数据网络技术股份有限公司所得税税率为</w:t>
      </w:r>
      <w:r>
        <w:rPr>
          <w:rFonts w:ascii="宋体" w:hAnsi="宋体" w:cs="宋体" w:eastAsia="宋体" w:hint="default"/>
        </w:rPr>
        <w:t>25% </w:t>
      </w:r>
      <w:r>
        <w:rPr/>
        <w:t>北京大唐高鸿数据网络技术有限公司所得税税率为</w:t>
      </w:r>
      <w:r>
        <w:rPr>
          <w:rFonts w:ascii="宋体" w:hAnsi="宋体" w:cs="宋体" w:eastAsia="宋体" w:hint="default"/>
        </w:rPr>
        <w:t>15% </w:t>
      </w:r>
      <w:r>
        <w:rPr/>
        <w:t>北京大唐高鸿软件技术有限公司所得税税率为</w:t>
      </w:r>
      <w:r>
        <w:rPr>
          <w:rFonts w:ascii="宋体" w:hAnsi="宋体" w:cs="宋体" w:eastAsia="宋体" w:hint="default"/>
        </w:rPr>
        <w:t>15% </w:t>
      </w:r>
      <w:r>
        <w:rPr/>
        <w:t>大唐高鸿通信技术有限公司所得税税率为</w:t>
      </w:r>
      <w:r>
        <w:rPr>
          <w:rFonts w:ascii="宋体" w:hAnsi="宋体" w:cs="宋体" w:eastAsia="宋体" w:hint="default"/>
        </w:rPr>
        <w:t>25% </w:t>
      </w:r>
      <w:r>
        <w:rPr/>
        <w:t>大唐高鸿信息技术有限公司所得税税率为</w:t>
      </w:r>
      <w:r>
        <w:rPr>
          <w:rFonts w:ascii="宋体" w:hAnsi="宋体" w:cs="宋体" w:eastAsia="宋体" w:hint="default"/>
        </w:rPr>
        <w:t>25% </w:t>
      </w:r>
      <w:r>
        <w:rPr/>
        <w:t>北京大唐高鸿科技发展有限公司所得税税率为</w:t>
      </w:r>
      <w:r>
        <w:rPr>
          <w:rFonts w:ascii="宋体" w:hAnsi="宋体" w:cs="宋体" w:eastAsia="宋体" w:hint="default"/>
        </w:rPr>
        <w:t>25% </w:t>
      </w:r>
      <w:r>
        <w:rPr/>
        <w:t>大唐高鸿济宁电子信息技术有限公司所得税税率为</w:t>
      </w:r>
      <w:r>
        <w:rPr>
          <w:rFonts w:ascii="宋体" w:hAnsi="宋体" w:cs="宋体" w:eastAsia="宋体" w:hint="default"/>
        </w:rPr>
        <w:t>25%</w:t>
      </w:r>
    </w:p>
    <w:p>
      <w:pPr>
        <w:spacing w:after="0" w:line="357" w:lineRule="auto"/>
        <w:jc w:val="left"/>
        <w:rPr>
          <w:rFonts w:ascii="宋体" w:hAnsi="宋体" w:cs="宋体" w:eastAsia="宋体" w:hint="default"/>
        </w:rPr>
        <w:sectPr>
          <w:footerReference w:type="default" r:id="rId58"/>
          <w:pgSz w:w="11910" w:h="16840"/>
          <w:pgMar w:footer="1340" w:header="877" w:top="1060" w:bottom="1540" w:left="980" w:right="0"/>
          <w:pgNumType w:start="120"/>
        </w:sectPr>
      </w:pPr>
    </w:p>
    <w:p>
      <w:pPr>
        <w:spacing w:line="240" w:lineRule="auto" w:before="6"/>
        <w:rPr>
          <w:rFonts w:ascii="宋体" w:hAnsi="宋体" w:cs="宋体" w:eastAsia="宋体" w:hint="default"/>
          <w:sz w:val="29"/>
          <w:szCs w:val="29"/>
        </w:rPr>
      </w:pPr>
      <w:r>
        <w:rPr/>
        <w:pict>
          <v:group style="position:absolute;margin-left:460.320007pt;margin-top:764.919983pt;width:135pt;height:77pt;mso-position-horizontal-relative:page;mso-position-vertical-relative:page;z-index:-1261192" coordorigin="9206,15298" coordsize="2700,1540">
            <v:shape style="position:absolute;left:9206;top:15298;width:2700;height:1540" type="#_x0000_t75" stroked="false">
              <v:imagedata r:id="rId18"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121</w:t>
                    </w:r>
                  </w:p>
                </w:txbxContent>
              </v:textbox>
              <w10:wrap type="none"/>
            </v:shape>
            <w10:wrap type="none"/>
          </v:group>
        </w:pict>
      </w:r>
    </w:p>
    <w:p>
      <w:pPr>
        <w:pStyle w:val="BodyText"/>
        <w:spacing w:line="240" w:lineRule="auto" w:before="26"/>
        <w:ind w:left="633" w:right="1125"/>
        <w:jc w:val="left"/>
        <w:rPr>
          <w:rFonts w:ascii="宋体" w:hAnsi="宋体" w:cs="宋体" w:eastAsia="宋体" w:hint="default"/>
        </w:rPr>
      </w:pPr>
      <w:r>
        <w:rPr/>
        <w:t>北京大唐融合通信技术有限公司所得税税率为</w:t>
      </w:r>
      <w:r>
        <w:rPr>
          <w:rFonts w:ascii="宋体" w:hAnsi="宋体" w:cs="宋体" w:eastAsia="宋体" w:hint="default"/>
        </w:rPr>
        <w:t>15%</w:t>
      </w:r>
    </w:p>
    <w:p>
      <w:pPr>
        <w:spacing w:line="240" w:lineRule="auto" w:before="10"/>
        <w:rPr>
          <w:rFonts w:ascii="宋体" w:hAnsi="宋体" w:cs="宋体" w:eastAsia="宋体" w:hint="default"/>
          <w:sz w:val="30"/>
          <w:szCs w:val="30"/>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、税收优惠及批文</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ind w:right="1034" w:firstLine="480"/>
        <w:jc w:val="left"/>
      </w:pPr>
      <w:r>
        <w:rPr/>
        <w:t>（</w:t>
      </w:r>
      <w:r>
        <w:rPr>
          <w:rFonts w:ascii="宋体" w:hAnsi="宋体" w:cs="宋体" w:eastAsia="宋体" w:hint="default"/>
        </w:rPr>
        <w:t>1</w:t>
      </w:r>
      <w:r>
        <w:rPr/>
        <w:t>）子公司北京大唐高鸿数据网络技术有限公司于</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11</w:t>
      </w:r>
      <w:r>
        <w:rPr/>
        <w:t>日取得了编号为 </w:t>
      </w:r>
      <w:r>
        <w:rPr>
          <w:rFonts w:ascii="宋体" w:hAnsi="宋体" w:cs="宋体" w:eastAsia="宋体" w:hint="default"/>
        </w:rPr>
        <w:t>GF201111001842</w:t>
      </w:r>
      <w:r>
        <w:rPr/>
        <w:t>的高新技术企业证书，有效期三年，经北京市海淀区国家税务局海国税 </w:t>
      </w:r>
      <w:r>
        <w:rPr>
          <w:rFonts w:ascii="宋体" w:hAnsi="宋体" w:cs="宋体" w:eastAsia="宋体" w:hint="default"/>
        </w:rPr>
        <w:t>201207JMS0900052</w:t>
      </w:r>
      <w:r>
        <w:rPr/>
        <w:t>文件批复，自</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日止按</w:t>
      </w:r>
      <w:r>
        <w:rPr>
          <w:rFonts w:ascii="宋体" w:hAnsi="宋体" w:cs="宋体" w:eastAsia="宋体" w:hint="default"/>
        </w:rPr>
        <w:t>15%</w:t>
      </w:r>
      <w:r>
        <w:rPr/>
        <w:t>征收企业所得税。</w:t>
      </w:r>
    </w:p>
    <w:p>
      <w:pPr>
        <w:pStyle w:val="BodyText"/>
        <w:spacing w:line="357" w:lineRule="auto" w:before="36"/>
        <w:ind w:right="1125" w:firstLine="480"/>
        <w:jc w:val="left"/>
      </w:pPr>
      <w:r>
        <w:rPr/>
        <w:t>（</w:t>
      </w:r>
      <w:r>
        <w:rPr>
          <w:rFonts w:ascii="宋体" w:hAnsi="宋体" w:cs="宋体" w:eastAsia="宋体" w:hint="default"/>
        </w:rPr>
        <w:t>2</w:t>
      </w:r>
      <w:r>
        <w:rPr/>
        <w:t>）子公司北京大唐高鸿软件技术有限公司于</w:t>
      </w: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11</w:t>
      </w:r>
      <w:r>
        <w:rPr/>
        <w:t>日取得证号为 </w:t>
      </w:r>
      <w:r>
        <w:rPr>
          <w:rFonts w:ascii="宋体" w:hAnsi="宋体" w:cs="宋体" w:eastAsia="宋体" w:hint="default"/>
        </w:rPr>
        <w:t>GF201111001626</w:t>
      </w:r>
      <w:r>
        <w:rPr/>
        <w:t>号的高新技术企业证书，有效期三年，经北京市海淀区国家税务局海国税 </w:t>
      </w:r>
      <w:r>
        <w:rPr>
          <w:rFonts w:ascii="宋体" w:hAnsi="宋体" w:cs="宋体" w:eastAsia="宋体" w:hint="default"/>
          <w:spacing w:val="-2"/>
        </w:rPr>
        <w:t>201207JMS0900051</w:t>
      </w:r>
      <w:r>
        <w:rPr>
          <w:spacing w:val="-2"/>
        </w:rPr>
        <w:t>文件批复，自</w:t>
      </w: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日起至</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日止按</w:t>
      </w:r>
      <w:r>
        <w:rPr>
          <w:rFonts w:ascii="宋体" w:hAnsi="宋体" w:cs="宋体" w:eastAsia="宋体" w:hint="default"/>
          <w:spacing w:val="-2"/>
        </w:rPr>
        <w:t>15%</w:t>
      </w:r>
      <w:r>
        <w:rPr>
          <w:spacing w:val="-2"/>
        </w:rPr>
        <w:t>减半征收企业所得</w:t>
      </w:r>
      <w:r>
        <w:rPr>
          <w:spacing w:val="-88"/>
        </w:rPr>
        <w:t> </w:t>
      </w:r>
      <w:r>
        <w:rPr/>
        <w:t>税。自</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日止按</w:t>
      </w:r>
      <w:r>
        <w:rPr>
          <w:rFonts w:ascii="宋体" w:hAnsi="宋体" w:cs="宋体" w:eastAsia="宋体" w:hint="default"/>
        </w:rPr>
        <w:t>15%</w:t>
      </w:r>
      <w:r>
        <w:rPr/>
        <w:t>征收企业所得税。</w:t>
      </w:r>
    </w:p>
    <w:p>
      <w:pPr>
        <w:pStyle w:val="BodyText"/>
        <w:spacing w:line="240" w:lineRule="auto" w:before="36"/>
        <w:ind w:left="633" w:right="1125"/>
        <w:jc w:val="left"/>
      </w:pPr>
      <w:r>
        <w:rPr/>
        <w:t>该公司同时还享受软件业务增值税即征即退优惠政策。</w:t>
      </w:r>
    </w:p>
    <w:p>
      <w:pPr>
        <w:pStyle w:val="BodyText"/>
        <w:spacing w:line="357" w:lineRule="auto" w:before="154"/>
        <w:ind w:right="1131" w:firstLine="480"/>
        <w:jc w:val="both"/>
      </w:pPr>
      <w:r>
        <w:rPr/>
        <w:t>（</w:t>
      </w:r>
      <w:r>
        <w:rPr>
          <w:rFonts w:ascii="宋体" w:hAnsi="宋体" w:cs="宋体" w:eastAsia="宋体" w:hint="default"/>
        </w:rPr>
        <w:t>3</w:t>
      </w:r>
      <w:r>
        <w:rPr/>
        <w:t>）子公司北京大唐融合通信技术有限公司于</w:t>
      </w:r>
      <w:r>
        <w:rPr>
          <w:rFonts w:ascii="宋体" w:hAnsi="宋体" w:cs="宋体" w:eastAsia="宋体" w:hint="default"/>
        </w:rPr>
        <w:t>2012 </w:t>
      </w:r>
      <w:r>
        <w:rPr/>
        <w:t>年</w:t>
      </w:r>
      <w:r>
        <w:rPr>
          <w:rFonts w:ascii="宋体" w:hAnsi="宋体" w:cs="宋体" w:eastAsia="宋体" w:hint="default"/>
        </w:rPr>
        <w:t>11</w:t>
      </w:r>
      <w:r>
        <w:rPr/>
        <w:t>月</w:t>
      </w:r>
      <w:r>
        <w:rPr>
          <w:rFonts w:ascii="宋体" w:hAnsi="宋体" w:cs="宋体" w:eastAsia="宋体" w:hint="default"/>
        </w:rPr>
        <w:t>22</w:t>
      </w:r>
      <w:r>
        <w:rPr/>
        <w:t>日获得了高新技术企业批 准证书。经北京市海淀区国家税务局海国税</w:t>
      </w:r>
      <w:r>
        <w:rPr>
          <w:rFonts w:ascii="宋体" w:hAnsi="宋体" w:cs="宋体" w:eastAsia="宋体" w:hint="default"/>
        </w:rPr>
        <w:t>201207JMS0900354 </w:t>
      </w:r>
      <w:r>
        <w:rPr>
          <w:spacing w:val="-4"/>
        </w:rPr>
        <w:t>号文件批复，自</w:t>
      </w:r>
      <w:r>
        <w:rPr>
          <w:rFonts w:ascii="宋体" w:hAnsi="宋体" w:cs="宋体" w:eastAsia="宋体" w:hint="default"/>
          <w:spacing w:val="-4"/>
        </w:rPr>
        <w:t>2012 </w:t>
      </w:r>
      <w:r>
        <w:rPr/>
        <w:t>年</w:t>
      </w:r>
      <w:r>
        <w:rPr>
          <w:rFonts w:ascii="宋体" w:hAnsi="宋体" w:cs="宋体" w:eastAsia="宋体" w:hint="default"/>
        </w:rPr>
        <w:t>1</w:t>
      </w:r>
      <w:r>
        <w:rPr>
          <w:rFonts w:ascii="宋体" w:hAnsi="宋体" w:cs="宋体" w:eastAsia="宋体" w:hint="default"/>
          <w:spacing w:val="-33"/>
        </w:rPr>
        <w:t> </w:t>
      </w:r>
      <w:r>
        <w:rPr/>
        <w:t>月</w:t>
      </w:r>
      <w:r>
        <w:rPr>
          <w:rFonts w:ascii="宋体" w:hAnsi="宋体" w:cs="宋体" w:eastAsia="宋体" w:hint="default"/>
        </w:rPr>
        <w:t>1 </w:t>
      </w:r>
      <w:r>
        <w:rPr/>
        <w:t>日起至</w:t>
      </w:r>
      <w:r>
        <w:rPr>
          <w:rFonts w:ascii="宋体" w:hAnsi="宋体" w:cs="宋体" w:eastAsia="宋体" w:hint="default"/>
        </w:rPr>
        <w:t>2014</w:t>
      </w:r>
      <w:r>
        <w:rPr/>
        <w:t>年</w:t>
      </w:r>
      <w:r>
        <w:rPr>
          <w:rFonts w:ascii="宋体" w:hAnsi="宋体" w:cs="宋体" w:eastAsia="宋体" w:hint="default"/>
        </w:rPr>
        <w:t>12</w:t>
      </w:r>
      <w:r>
        <w:rPr>
          <w:rFonts w:ascii="宋体" w:hAnsi="宋体" w:cs="宋体" w:eastAsia="宋体" w:hint="default"/>
          <w:spacing w:val="-1"/>
        </w:rPr>
        <w:t> </w:t>
      </w:r>
      <w:r>
        <w:rPr/>
        <w:t>月</w:t>
      </w:r>
      <w:r>
        <w:rPr>
          <w:rFonts w:ascii="宋体" w:hAnsi="宋体" w:cs="宋体" w:eastAsia="宋体" w:hint="default"/>
        </w:rPr>
        <w:t>31</w:t>
      </w:r>
      <w:r>
        <w:rPr/>
        <w:t>日止按</w:t>
      </w:r>
      <w:r>
        <w:rPr>
          <w:rFonts w:ascii="宋体" w:hAnsi="宋体" w:cs="宋体" w:eastAsia="宋体" w:hint="default"/>
        </w:rPr>
        <w:t>15%</w:t>
      </w:r>
      <w:r>
        <w:rPr/>
        <w:t>征收企业所得税。</w:t>
      </w:r>
    </w:p>
    <w:p>
      <w:pPr>
        <w:pStyle w:val="BodyText"/>
        <w:spacing w:line="240" w:lineRule="auto" w:before="36"/>
        <w:ind w:left="633" w:right="1125"/>
        <w:jc w:val="left"/>
      </w:pPr>
      <w:r>
        <w:rPr/>
        <w:t>该公司同时还享受软件业务增值税即征即退优惠政策。</w:t>
      </w:r>
    </w:p>
    <w:p>
      <w:pPr>
        <w:spacing w:line="240" w:lineRule="auto" w:before="10"/>
        <w:rPr>
          <w:rFonts w:ascii="宋体" w:hAnsi="宋体" w:cs="宋体" w:eastAsia="宋体" w:hint="default"/>
          <w:sz w:val="30"/>
          <w:szCs w:val="30"/>
        </w:rPr>
      </w:pPr>
    </w:p>
    <w:p>
      <w:pPr>
        <w:spacing w:line="487" w:lineRule="auto" w:before="0"/>
        <w:ind w:left="152" w:right="76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spacing w:val="-104"/>
          <w:sz w:val="21"/>
          <w:szCs w:val="21"/>
        </w:rPr>
        <w:t> </w:t>
      </w:r>
      <w:r>
        <w:rPr>
          <w:rFonts w:ascii="宋体" w:hAnsi="宋体" w:cs="宋体" w:eastAsia="宋体" w:hint="default"/>
          <w:b/>
          <w:bCs/>
          <w:sz w:val="24"/>
          <w:szCs w:val="24"/>
        </w:rPr>
        <w:t>六、企业合并及合并财务报表</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before="81"/>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）通过设立或投资等方式取得的子公司</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1"/>
        <w:gridCol w:w="283"/>
        <w:gridCol w:w="425"/>
        <w:gridCol w:w="566"/>
        <w:gridCol w:w="709"/>
        <w:gridCol w:w="1702"/>
        <w:gridCol w:w="708"/>
        <w:gridCol w:w="710"/>
        <w:gridCol w:w="566"/>
        <w:gridCol w:w="850"/>
        <w:gridCol w:w="569"/>
        <w:gridCol w:w="708"/>
        <w:gridCol w:w="487"/>
        <w:gridCol w:w="673"/>
      </w:tblGrid>
      <w:tr>
        <w:trPr>
          <w:trHeight w:val="3795"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330" w:right="60" w:hanging="272"/>
              <w:jc w:val="left"/>
              <w:rPr>
                <w:rFonts w:ascii="宋体" w:hAnsi="宋体" w:cs="宋体" w:eastAsia="宋体" w:hint="default"/>
                <w:sz w:val="18"/>
                <w:szCs w:val="18"/>
              </w:rPr>
            </w:pPr>
            <w:r>
              <w:rPr>
                <w:rFonts w:ascii="宋体" w:hAnsi="宋体" w:cs="宋体" w:eastAsia="宋体" w:hint="default"/>
                <w:sz w:val="18"/>
                <w:szCs w:val="18"/>
              </w:rPr>
              <w:t>子公司全 称</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47" w:right="43"/>
              <w:jc w:val="both"/>
              <w:rPr>
                <w:rFonts w:ascii="宋体" w:hAnsi="宋体" w:cs="宋体" w:eastAsia="宋体" w:hint="default"/>
                <w:sz w:val="18"/>
                <w:szCs w:val="18"/>
              </w:rPr>
            </w:pPr>
            <w:r>
              <w:rPr>
                <w:rFonts w:ascii="宋体" w:hAnsi="宋体" w:cs="宋体" w:eastAsia="宋体" w:hint="default"/>
                <w:sz w:val="18"/>
                <w:szCs w:val="18"/>
              </w:rPr>
              <w:t>子 公 司 类 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117" w:right="24" w:hanging="89"/>
              <w:jc w:val="left"/>
              <w:rPr>
                <w:rFonts w:ascii="宋体" w:hAnsi="宋体" w:cs="宋体" w:eastAsia="宋体" w:hint="default"/>
                <w:sz w:val="18"/>
                <w:szCs w:val="18"/>
              </w:rPr>
            </w:pPr>
            <w:r>
              <w:rPr>
                <w:rFonts w:ascii="宋体" w:hAnsi="宋体" w:cs="宋体" w:eastAsia="宋体" w:hint="default"/>
                <w:sz w:val="18"/>
                <w:szCs w:val="18"/>
              </w:rPr>
              <w:t>注册 地</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16" w:lineRule="auto"/>
              <w:ind w:left="79" w:right="77"/>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81" w:right="77"/>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38" w:lineRule="auto"/>
              <w:ind w:left="98"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196" w:right="59"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 例</w:t>
            </w:r>
            <w:r>
              <w:rPr>
                <w:rFonts w:ascii="Times New Roman" w:hAnsi="Times New Roman" w:cs="Times New Roman" w:eastAsia="Times New Roman" w:hint="default"/>
                <w:sz w:val="18"/>
                <w:szCs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16" w:lineRule="auto"/>
              <w:ind w:left="98" w:right="99"/>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59" w:right="55"/>
              <w:jc w:val="both"/>
              <w:rPr>
                <w:rFonts w:ascii="宋体" w:hAnsi="宋体" w:cs="宋体" w:eastAsia="宋体" w:hint="default"/>
                <w:sz w:val="18"/>
                <w:szCs w:val="18"/>
              </w:rPr>
            </w:pPr>
            <w:r>
              <w:rPr>
                <w:rFonts w:ascii="宋体" w:hAnsi="宋体" w:cs="宋体" w:eastAsia="宋体" w:hint="default"/>
                <w:sz w:val="18"/>
                <w:szCs w:val="18"/>
              </w:rPr>
              <w:t>少数 股东 权益 中用 于冲 减少 数股 东损 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54"/>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w:t>
            </w:r>
          </w:p>
        </w:tc>
      </w:tr>
    </w:tbl>
    <w:p>
      <w:pPr>
        <w:spacing w:after="0" w:line="316" w:lineRule="auto"/>
        <w:jc w:val="both"/>
        <w:rPr>
          <w:rFonts w:ascii="宋体" w:hAnsi="宋体" w:cs="宋体" w:eastAsia="宋体" w:hint="default"/>
          <w:sz w:val="18"/>
          <w:szCs w:val="18"/>
        </w:rPr>
        <w:sectPr>
          <w:footerReference w:type="default" r:id="rId59"/>
          <w:pgSz w:w="11910" w:h="16840"/>
          <w:pgMar w:footer="0" w:header="877" w:top="1060" w:bottom="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41.610001pt;margin-top:168.61998pt;width:77.2pt;height:70.2pt;mso-position-horizontal-relative:page;mso-position-vertical-relative:page;z-index:-1261120" type="#_x0000_t202" filled="false" stroked="false">
            <v:textbox inset="0,0,0,0">
              <w:txbxContent>
                <w:p>
                  <w:pPr>
                    <w:spacing w:line="316" w:lineRule="auto" w:before="49"/>
                    <w:ind w:left="0" w:right="641" w:firstLine="0"/>
                    <w:jc w:val="left"/>
                    <w:rPr>
                      <w:rFonts w:ascii="宋体" w:hAnsi="宋体" w:cs="宋体" w:eastAsia="宋体" w:hint="default"/>
                      <w:sz w:val="18"/>
                      <w:szCs w:val="18"/>
                    </w:rPr>
                  </w:pPr>
                  <w:r>
                    <w:rPr>
                      <w:rFonts w:ascii="宋体" w:hAnsi="宋体" w:cs="宋体" w:eastAsia="宋体" w:hint="default"/>
                      <w:sz w:val="18"/>
                      <w:szCs w:val="18"/>
                    </w:rPr>
                    <w:t>技术转让、 技术服务、</w:t>
                  </w:r>
                </w:p>
              </w:txbxContent>
            </v:textbox>
            <w10:wrap type="none"/>
          </v:shape>
        </w:pict>
      </w:r>
      <w:r>
        <w:rPr/>
        <w:pict>
          <v:shape style="position:absolute;margin-left:213.287003pt;margin-top:344.689972pt;width:105.55pt;height:132.65pt;mso-position-horizontal-relative:page;mso-position-vertical-relative:page;z-index:-12610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4"/>
                    <w:ind w:left="0" w:right="0" w:firstLine="0"/>
                    <w:jc w:val="left"/>
                    <w:rPr>
                      <w:rFonts w:ascii="宋体" w:hAnsi="宋体" w:cs="宋体" w:eastAsia="宋体" w:hint="default"/>
                      <w:sz w:val="18"/>
                      <w:szCs w:val="18"/>
                    </w:rPr>
                  </w:pPr>
                  <w:r>
                    <w:rPr>
                      <w:rFonts w:ascii="宋体" w:hAnsi="宋体" w:cs="宋体" w:eastAsia="宋体" w:hint="default"/>
                      <w:sz w:val="18"/>
                      <w:szCs w:val="18"/>
                    </w:rPr>
                    <w:t>（除新闻、出版、</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spacing w:line="636" w:lineRule="auto" w:before="0"/>
                    <w:ind w:left="206" w:right="641" w:hanging="27"/>
                    <w:jc w:val="left"/>
                    <w:rPr>
                      <w:rFonts w:ascii="宋体" w:hAnsi="宋体" w:cs="宋体" w:eastAsia="宋体" w:hint="default"/>
                      <w:sz w:val="18"/>
                      <w:szCs w:val="18"/>
                    </w:rPr>
                  </w:pPr>
                  <w:r>
                    <w:rPr>
                      <w:rFonts w:ascii="宋体" w:hAnsi="宋体" w:cs="宋体" w:eastAsia="宋体" w:hint="default"/>
                      <w:sz w:val="18"/>
                      <w:szCs w:val="18"/>
                    </w:rPr>
                    <w:t>。货物进出口、 应用软件服务。</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52"/>
        <w:gridCol w:w="283"/>
        <w:gridCol w:w="425"/>
        <w:gridCol w:w="566"/>
        <w:gridCol w:w="709"/>
        <w:gridCol w:w="1702"/>
        <w:gridCol w:w="708"/>
        <w:gridCol w:w="710"/>
        <w:gridCol w:w="566"/>
        <w:gridCol w:w="850"/>
        <w:gridCol w:w="569"/>
        <w:gridCol w:w="708"/>
        <w:gridCol w:w="487"/>
        <w:gridCol w:w="684"/>
      </w:tblGrid>
      <w:tr>
        <w:trPr>
          <w:trHeight w:val="1918"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7" w:right="65"/>
              <w:jc w:val="both"/>
              <w:rPr>
                <w:rFonts w:ascii="宋体" w:hAnsi="宋体" w:cs="宋体" w:eastAsia="宋体" w:hint="default"/>
                <w:sz w:val="18"/>
                <w:szCs w:val="18"/>
              </w:rPr>
            </w:pPr>
            <w:r>
              <w:rPr>
                <w:rFonts w:ascii="宋体" w:hAnsi="宋体" w:cs="宋体" w:eastAsia="宋体" w:hint="default"/>
                <w:sz w:val="18"/>
                <w:szCs w:val="18"/>
              </w:rPr>
              <w:t>年初所 有者权 益中所 享有份 额后的 余额</w:t>
            </w:r>
          </w:p>
        </w:tc>
      </w:tr>
      <w:tr>
        <w:trPr>
          <w:trHeight w:val="352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北京大唐 高鸿数据 网络技术 有限公司</w:t>
            </w:r>
          </w:p>
          <w:p>
            <w:pPr>
              <w:pStyle w:val="TableParagraph"/>
              <w:spacing w:line="316" w:lineRule="auto" w:before="19"/>
              <w:ind w:left="24" w:right="96"/>
              <w:jc w:val="left"/>
              <w:rPr>
                <w:rFonts w:ascii="宋体" w:hAnsi="宋体" w:cs="宋体" w:eastAsia="宋体" w:hint="default"/>
                <w:sz w:val="18"/>
                <w:szCs w:val="18"/>
              </w:rPr>
            </w:pPr>
            <w:r>
              <w:rPr>
                <w:rFonts w:ascii="宋体" w:hAnsi="宋体" w:cs="宋体" w:eastAsia="宋体" w:hint="default"/>
                <w:sz w:val="18"/>
                <w:szCs w:val="18"/>
              </w:rPr>
              <w:t>（简称： 高鸿有 限）</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2"/>
              <w:ind w:left="23" w:right="67"/>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9" w:lineRule="auto"/>
              <w:ind w:left="23" w:right="29"/>
              <w:jc w:val="left"/>
              <w:rPr>
                <w:rFonts w:ascii="宋体" w:hAnsi="宋体" w:cs="宋体" w:eastAsia="宋体" w:hint="default"/>
                <w:sz w:val="18"/>
                <w:szCs w:val="18"/>
              </w:rPr>
            </w:pPr>
            <w:r>
              <w:rPr>
                <w:rFonts w:ascii="宋体" w:hAnsi="宋体" w:cs="宋体" w:eastAsia="宋体" w:hint="default"/>
                <w:sz w:val="18"/>
                <w:szCs w:val="18"/>
              </w:rPr>
              <w:t>北京 市</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2"/>
              <w:ind w:left="24" w:right="-8"/>
              <w:jc w:val="left"/>
              <w:rPr>
                <w:rFonts w:ascii="宋体" w:hAnsi="宋体" w:cs="宋体" w:eastAsia="宋体" w:hint="default"/>
                <w:sz w:val="18"/>
                <w:szCs w:val="18"/>
              </w:rPr>
            </w:pPr>
            <w:r>
              <w:rPr>
                <w:rFonts w:ascii="宋体" w:hAnsi="宋体" w:cs="宋体" w:eastAsia="宋体" w:hint="default"/>
                <w:sz w:val="18"/>
                <w:szCs w:val="18"/>
              </w:rPr>
              <w:t>通讯 设备 系统 集成、 贸易</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146,250,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2"/>
              <w:jc w:val="left"/>
              <w:rPr>
                <w:rFonts w:ascii="宋体" w:hAnsi="宋体" w:cs="宋体" w:eastAsia="宋体" w:hint="default"/>
                <w:sz w:val="18"/>
                <w:szCs w:val="18"/>
              </w:rPr>
            </w:pPr>
            <w:r>
              <w:rPr>
                <w:rFonts w:ascii="宋体" w:hAnsi="宋体" w:cs="宋体" w:eastAsia="宋体" w:hint="default"/>
                <w:sz w:val="18"/>
                <w:szCs w:val="18"/>
              </w:rPr>
              <w:t>技术开发、 技术咨询、 技术推广；销售通讯 设备、机械设备、计 算机、软件及辅助设 备、电子设备；计算 机系统服务；货物进 出口、技术进出口、 代理进出口；专业承 </w:t>
            </w:r>
            <w:r>
              <w:rPr>
                <w:rFonts w:ascii="宋体" w:hAnsi="宋体" w:cs="宋体" w:eastAsia="宋体" w:hint="default"/>
                <w:spacing w:val="-16"/>
                <w:sz w:val="18"/>
                <w:szCs w:val="18"/>
              </w:rPr>
              <w:t>包。（未取得行政许可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的项目除外）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404"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pict>
                <v:group style="width:34.950pt;height:70.2pt;mso-position-horizontal-relative:char;mso-position-vertical-relative:line" coordorigin="0,0" coordsize="699,1404">
                  <v:group style="position:absolute;left:0;top:0;width:699;height:1404" coordorigin="0,0" coordsize="699,1404">
                    <v:shape style="position:absolute;left:0;top:0;width:699;height:1404" coordorigin="0,0" coordsize="699,1404" path="m0,1404l699,1404,699,0,0,0,0,1404xe" filled="true" fillcolor="#ffffff" stroked="false">
                      <v:path arrowok="t"/>
                      <v:fill type="solid"/>
                    </v:shape>
                  </v:group>
                </v:group>
              </w:pict>
            </w:r>
            <w:r>
              <w:rPr>
                <w:rFonts w:ascii="Times New Roman" w:hAnsi="Times New Roman" w:cs="Times New Roman" w:eastAsia="Times New Roman" w:hint="default"/>
                <w:position w:val="-27"/>
                <w:sz w:val="20"/>
                <w:szCs w:val="20"/>
              </w:rPr>
            </w:r>
          </w:p>
          <w:p>
            <w:pPr>
              <w:pStyle w:val="TableParagraph"/>
              <w:spacing w:line="240" w:lineRule="auto" w:before="96"/>
              <w:ind w:left="24" w:right="0"/>
              <w:jc w:val="center"/>
              <w:rPr>
                <w:rFonts w:ascii="Times New Roman" w:hAnsi="Times New Roman" w:cs="Times New Roman" w:eastAsia="Times New Roman" w:hint="default"/>
                <w:sz w:val="18"/>
                <w:szCs w:val="18"/>
              </w:rPr>
            </w:pPr>
            <w:r>
              <w:rPr>
                <w:rFonts w:ascii="Times New Roman"/>
                <w:sz w:val="18"/>
              </w:rPr>
              <w:t>189,405,</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856.90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5"/>
                <w:szCs w:val="25"/>
              </w:rPr>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6020"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北京大唐 高鸿软件 技术有限 公司（简 称：高鸿 软件）</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67"/>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北京 市</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4" w:right="170"/>
              <w:jc w:val="left"/>
              <w:rPr>
                <w:rFonts w:ascii="宋体" w:hAnsi="宋体" w:cs="宋体" w:eastAsia="宋体" w:hint="default"/>
                <w:sz w:val="18"/>
                <w:szCs w:val="18"/>
              </w:rPr>
            </w:pPr>
            <w:r>
              <w:rPr>
                <w:rFonts w:ascii="宋体" w:hAnsi="宋体" w:cs="宋体" w:eastAsia="宋体" w:hint="default"/>
                <w:sz w:val="18"/>
                <w:szCs w:val="18"/>
              </w:rPr>
              <w:t>软件 开发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7"/>
              <w:jc w:val="left"/>
              <w:rPr>
                <w:rFonts w:ascii="宋体" w:hAnsi="宋体" w:cs="宋体" w:eastAsia="宋体" w:hint="default"/>
                <w:sz w:val="18"/>
                <w:szCs w:val="18"/>
              </w:rPr>
            </w:pPr>
            <w:r>
              <w:rPr>
                <w:rFonts w:ascii="宋体" w:hAnsi="宋体" w:cs="宋体" w:eastAsia="宋体" w:hint="default"/>
                <w:sz w:val="18"/>
                <w:szCs w:val="18"/>
              </w:rPr>
              <w:t>互联网信息服务业 务。 教育、医疗保健、药 品、医疗器械以外的 内容） 技术进出口、代理进 出口；</w:t>
            </w:r>
          </w:p>
          <w:p>
            <w:pPr>
              <w:pStyle w:val="TableParagraph"/>
              <w:spacing w:line="316" w:lineRule="auto" w:before="19"/>
              <w:ind w:left="24" w:right="47"/>
              <w:jc w:val="left"/>
              <w:rPr>
                <w:rFonts w:ascii="宋体" w:hAnsi="宋体" w:cs="宋体" w:eastAsia="宋体" w:hint="default"/>
                <w:sz w:val="18"/>
                <w:szCs w:val="18"/>
              </w:rPr>
            </w:pPr>
            <w:r>
              <w:rPr>
                <w:rFonts w:ascii="宋体" w:hAnsi="宋体" w:cs="宋体" w:eastAsia="宋体" w:hint="default"/>
                <w:sz w:val="18"/>
                <w:szCs w:val="18"/>
              </w:rPr>
              <w:t>（法律、行政法规、 国务院决定禁止的， 不得经营；法律、行 政法规、国务院决定 规定应经许可的，经 审批机关批准并经工 商行政管理机关登记 注册后方可经营；法 律、行政法规、国务 院决定未规定许可 的，自主选择经营项 </w:t>
            </w:r>
            <w:r>
              <w:rPr>
                <w:rFonts w:ascii="宋体" w:hAnsi="宋体" w:cs="宋体" w:eastAsia="宋体" w:hint="default"/>
                <w:spacing w:val="-11"/>
                <w:sz w:val="18"/>
                <w:szCs w:val="18"/>
              </w:rPr>
              <w:t>目开展经营活动。）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2"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2"/>
                <w:sz w:val="20"/>
                <w:szCs w:val="20"/>
              </w:rPr>
              <w:pict>
                <v:group style="width:34.950pt;height:132.65pt;mso-position-horizontal-relative:char;mso-position-vertical-relative:line" coordorigin="0,0" coordsize="699,2653">
                  <v:group style="position:absolute;left:0;top:0;width:699;height:2653" coordorigin="0,0" coordsize="699,2653">
                    <v:shape style="position:absolute;left:0;top:0;width:699;height:2653" coordorigin="0,0" coordsize="699,2653" path="m0,2652l699,2652,699,0,0,0,0,2652xe" filled="true" fillcolor="#ffffff" stroked="false">
                      <v:path arrowok="t"/>
                      <v:fill type="solid"/>
                    </v:shape>
                  </v:group>
                </v:group>
              </w:pict>
            </w:r>
            <w:r>
              <w:rPr>
                <w:rFonts w:ascii="Times New Roman" w:hAnsi="Times New Roman" w:cs="Times New Roman" w:eastAsia="Times New Roman" w:hint="default"/>
                <w:position w:val="-52"/>
                <w:sz w:val="20"/>
                <w:szCs w:val="20"/>
              </w:rPr>
            </w:r>
          </w:p>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23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大唐高鸿 通信技术 有限公司</w:t>
            </w:r>
          </w:p>
          <w:p>
            <w:pPr>
              <w:pStyle w:val="TableParagraph"/>
              <w:spacing w:line="316" w:lineRule="auto" w:before="19"/>
              <w:ind w:left="24" w:right="96"/>
              <w:jc w:val="left"/>
              <w:rPr>
                <w:rFonts w:ascii="宋体" w:hAnsi="宋体" w:cs="宋体" w:eastAsia="宋体" w:hint="default"/>
                <w:sz w:val="18"/>
                <w:szCs w:val="18"/>
              </w:rPr>
            </w:pPr>
            <w:r>
              <w:rPr>
                <w:rFonts w:ascii="宋体" w:hAnsi="宋体" w:cs="宋体" w:eastAsia="宋体" w:hint="default"/>
                <w:sz w:val="18"/>
                <w:szCs w:val="18"/>
              </w:rPr>
              <w:t>（简称： 高鸿通 信）</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3" w:right="67"/>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4" w:lineRule="auto"/>
              <w:ind w:left="23" w:right="29"/>
              <w:jc w:val="left"/>
              <w:rPr>
                <w:rFonts w:ascii="宋体" w:hAnsi="宋体" w:cs="宋体" w:eastAsia="宋体" w:hint="default"/>
                <w:sz w:val="18"/>
                <w:szCs w:val="18"/>
              </w:rPr>
            </w:pPr>
            <w:r>
              <w:rPr>
                <w:rFonts w:ascii="宋体" w:hAnsi="宋体" w:cs="宋体" w:eastAsia="宋体" w:hint="default"/>
                <w:sz w:val="18"/>
                <w:szCs w:val="18"/>
              </w:rPr>
              <w:t>北京 市</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4" w:right="170"/>
              <w:jc w:val="both"/>
              <w:rPr>
                <w:rFonts w:ascii="宋体" w:hAnsi="宋体" w:cs="宋体" w:eastAsia="宋体" w:hint="default"/>
                <w:sz w:val="18"/>
                <w:szCs w:val="18"/>
              </w:rPr>
            </w:pPr>
            <w:r>
              <w:rPr>
                <w:rFonts w:ascii="宋体" w:hAnsi="宋体" w:cs="宋体" w:eastAsia="宋体" w:hint="default"/>
                <w:sz w:val="18"/>
                <w:szCs w:val="18"/>
              </w:rPr>
              <w:t>互联 网增 值信 息服 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185,000,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7"/>
              <w:jc w:val="both"/>
              <w:rPr>
                <w:rFonts w:ascii="宋体" w:hAnsi="宋体" w:cs="宋体" w:eastAsia="宋体" w:hint="default"/>
                <w:sz w:val="18"/>
                <w:szCs w:val="18"/>
              </w:rPr>
            </w:pPr>
            <w:r>
              <w:rPr>
                <w:rFonts w:ascii="宋体" w:hAnsi="宋体" w:cs="宋体" w:eastAsia="宋体" w:hint="default"/>
                <w:sz w:val="18"/>
                <w:szCs w:val="18"/>
              </w:rPr>
              <w:t>第二类增值电信业务 中的信息服务业务</w:t>
            </w:r>
          </w:p>
          <w:p>
            <w:pPr>
              <w:pStyle w:val="TableParagraph"/>
              <w:spacing w:line="316" w:lineRule="auto" w:before="19"/>
              <w:ind w:left="24" w:right="22"/>
              <w:jc w:val="both"/>
              <w:rPr>
                <w:rFonts w:ascii="宋体" w:hAnsi="宋体" w:cs="宋体" w:eastAsia="宋体" w:hint="default"/>
                <w:sz w:val="18"/>
                <w:szCs w:val="18"/>
              </w:rPr>
            </w:pPr>
            <w:r>
              <w:rPr>
                <w:rFonts w:ascii="宋体" w:hAnsi="宋体" w:cs="宋体" w:eastAsia="宋体" w:hint="default"/>
                <w:sz w:val="18"/>
                <w:szCs w:val="18"/>
              </w:rPr>
              <w:t>（不含固定网电话信 </w:t>
            </w:r>
            <w:r>
              <w:rPr>
                <w:rFonts w:ascii="宋体" w:hAnsi="宋体" w:cs="宋体" w:eastAsia="宋体" w:hint="default"/>
                <w:spacing w:val="-16"/>
                <w:sz w:val="18"/>
                <w:szCs w:val="18"/>
              </w:rPr>
              <w:t>息服务）；互联网的技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术服务；网络工程技 术开发、转让；信息 </w:t>
            </w:r>
            <w:r>
              <w:rPr>
                <w:rFonts w:ascii="宋体" w:hAnsi="宋体" w:cs="宋体" w:eastAsia="宋体" w:hint="default"/>
                <w:spacing w:val="-16"/>
                <w:sz w:val="18"/>
                <w:szCs w:val="18"/>
              </w:rPr>
              <w:t>咨询（中介除外）；计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184,930,</w:t>
            </w:r>
          </w:p>
          <w:p>
            <w:pPr>
              <w:pStyle w:val="TableParagraph"/>
              <w:spacing w:line="240" w:lineRule="auto" w:before="102"/>
              <w:ind w:left="161" w:right="0"/>
              <w:jc w:val="center"/>
              <w:rPr>
                <w:rFonts w:ascii="Times New Roman" w:hAnsi="Times New Roman" w:cs="Times New Roman" w:eastAsia="Times New Roman" w:hint="default"/>
                <w:sz w:val="18"/>
                <w:szCs w:val="18"/>
              </w:rPr>
            </w:pPr>
            <w:r>
              <w:rPr>
                <w:rFonts w:ascii="Times New Roman"/>
                <w:sz w:val="18"/>
              </w:rPr>
              <w:t>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0"/>
          <w:pgSz w:w="11910" w:h="16840"/>
          <w:pgMar w:footer="1340" w:header="877" w:top="1060" w:bottom="1540" w:left="980" w:right="0"/>
          <w:pgNumType w:start="122"/>
        </w:sectPr>
      </w:pPr>
    </w:p>
    <w:p>
      <w:pPr>
        <w:spacing w:line="240" w:lineRule="auto" w:before="0"/>
        <w:rPr>
          <w:rFonts w:ascii="Times New Roman" w:hAnsi="Times New Roman" w:cs="Times New Roman" w:eastAsia="Times New Roman" w:hint="default"/>
          <w:sz w:val="20"/>
          <w:szCs w:val="20"/>
        </w:rPr>
      </w:pPr>
      <w:r>
        <w:rPr/>
        <w:pict>
          <v:shape style="position:absolute;margin-left:241.484009pt;margin-top:199.825989pt;width:77.350pt;height:78.05pt;mso-position-horizontal-relative:page;mso-position-vertical-relative:page;z-index:-1261024" type="#_x0000_t202" filled="false" stroked="false">
            <v:textbox inset="0,0,0,0">
              <w:txbxContent>
                <w:p>
                  <w:pPr>
                    <w:spacing w:line="240" w:lineRule="auto" w:before="0"/>
                    <w:rPr>
                      <w:rFonts w:ascii="宋体" w:hAnsi="宋体" w:cs="宋体" w:eastAsia="宋体" w:hint="default"/>
                      <w:sz w:val="18"/>
                      <w:szCs w:val="18"/>
                    </w:rPr>
                  </w:pPr>
                </w:p>
                <w:p>
                  <w:pPr>
                    <w:spacing w:before="125"/>
                    <w:ind w:left="0" w:right="0" w:firstLine="360"/>
                    <w:jc w:val="left"/>
                    <w:rPr>
                      <w:rFonts w:ascii="宋体" w:hAnsi="宋体" w:cs="宋体" w:eastAsia="宋体" w:hint="default"/>
                      <w:sz w:val="18"/>
                      <w:szCs w:val="18"/>
                    </w:rPr>
                  </w:pPr>
                  <w:r>
                    <w:rPr>
                      <w:rFonts w:ascii="宋体" w:hAnsi="宋体" w:cs="宋体" w:eastAsia="宋体" w:hint="default"/>
                      <w:sz w:val="18"/>
                      <w:szCs w:val="18"/>
                    </w:rPr>
                    <w:t>转让；</w:t>
                  </w:r>
                </w:p>
                <w:p>
                  <w:pPr>
                    <w:spacing w:line="240" w:lineRule="auto" w:before="13"/>
                    <w:rPr>
                      <w:rFonts w:ascii="宋体" w:hAnsi="宋体" w:cs="宋体" w:eastAsia="宋体" w:hint="default"/>
                      <w:sz w:val="23"/>
                      <w:szCs w:val="23"/>
                    </w:rPr>
                  </w:pPr>
                </w:p>
                <w:p>
                  <w:pPr>
                    <w:spacing w:line="310" w:lineRule="atLeast" w:before="0"/>
                    <w:ind w:left="2" w:right="641" w:hanging="3"/>
                    <w:jc w:val="left"/>
                    <w:rPr>
                      <w:rFonts w:ascii="宋体" w:hAnsi="宋体" w:cs="宋体" w:eastAsia="宋体" w:hint="default"/>
                      <w:sz w:val="18"/>
                      <w:szCs w:val="18"/>
                    </w:rPr>
                  </w:pPr>
                  <w:r>
                    <w:rPr>
                      <w:rFonts w:ascii="宋体" w:hAnsi="宋体" w:cs="宋体" w:eastAsia="宋体" w:hint="default"/>
                      <w:sz w:val="18"/>
                      <w:szCs w:val="18"/>
                    </w:rPr>
                    <w:t>辅助器材、 机械设备、</w:t>
                  </w:r>
                </w:p>
              </w:txbxContent>
            </v:textbox>
            <w10:wrap type="none"/>
          </v:shape>
        </w:pict>
      </w:r>
      <w:r>
        <w:rPr/>
        <w:pict>
          <v:shape style="position:absolute;margin-left:241.610001pt;margin-top:313.009979pt;width:77.2pt;height:78pt;mso-position-horizontal-relative:page;mso-position-vertical-relative:page;z-index:-1261000" type="#_x0000_t202" filled="false" stroked="false">
            <v:textbox inset="0,0,0,0">
              <w:txbxContent>
                <w:p>
                  <w:pPr>
                    <w:spacing w:line="240" w:lineRule="auto" w:before="7"/>
                    <w:rPr>
                      <w:rFonts w:ascii="宋体" w:hAnsi="宋体" w:cs="宋体" w:eastAsia="宋体" w:hint="default"/>
                      <w:sz w:val="21"/>
                      <w:szCs w:val="21"/>
                    </w:rPr>
                  </w:pPr>
                </w:p>
                <w:p>
                  <w:pPr>
                    <w:spacing w:line="316" w:lineRule="auto" w:before="0"/>
                    <w:ind w:left="0" w:right="641" w:firstLine="360"/>
                    <w:jc w:val="both"/>
                    <w:rPr>
                      <w:rFonts w:ascii="宋体" w:hAnsi="宋体" w:cs="宋体" w:eastAsia="宋体" w:hint="default"/>
                      <w:sz w:val="18"/>
                      <w:szCs w:val="18"/>
                    </w:rPr>
                  </w:pPr>
                  <w:r>
                    <w:rPr>
                      <w:rFonts w:ascii="宋体" w:hAnsi="宋体" w:cs="宋体" w:eastAsia="宋体" w:hint="default"/>
                      <w:sz w:val="18"/>
                      <w:szCs w:val="18"/>
                    </w:rPr>
                    <w:t>硬件、 通讯设备、 仪器仪表、</w:t>
                  </w:r>
                </w:p>
              </w:txbxContent>
            </v:textbox>
            <w10:wrap type="none"/>
          </v:shape>
        </w:pict>
      </w:r>
      <w:r>
        <w:rPr/>
        <w:pict>
          <v:shape style="position:absolute;margin-left:241.610001pt;margin-top:277.849976pt;width:76pt;height:17.650pt;mso-position-horizontal-relative:page;mso-position-vertical-relative:page;z-index:-126097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仪器仪表、</w:t>
                  </w:r>
                </w:p>
              </w:txbxContent>
            </v:textbox>
            <w10:wrap type="none"/>
          </v:shape>
        </w:pict>
      </w:r>
      <w:r>
        <w:rPr/>
        <w:pict>
          <v:shape style="position:absolute;margin-left:241.610001pt;margin-top:420.115601pt;width:76pt;height:20.25pt;mso-position-horizontal-relative:page;mso-position-vertical-relative:page;z-index:-126095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硬件开发；</w:t>
                  </w:r>
                </w:p>
              </w:txbxContent>
            </v:textbox>
            <w10:wrap type="none"/>
          </v:shape>
        </w:pict>
      </w:r>
      <w:r>
        <w:rPr/>
        <w:pict>
          <v:shape style="position:absolute;margin-left:259.484009pt;margin-top:489.669983pt;width:59.35pt;height:101.4pt;mso-position-horizontal-relative:page;mso-position-vertical-relative:page;z-index:-1260928" type="#_x0000_t202" filled="false" stroked="false">
            <v:textbox inset="0,0,0,0">
              <w:txbxContent>
                <w:p>
                  <w:pPr>
                    <w:spacing w:line="240" w:lineRule="auto" w:before="0"/>
                    <w:rPr>
                      <w:rFonts w:ascii="宋体" w:hAnsi="宋体" w:cs="宋体" w:eastAsia="宋体" w:hint="default"/>
                      <w:sz w:val="18"/>
                      <w:szCs w:val="18"/>
                    </w:rPr>
                  </w:pPr>
                </w:p>
                <w:p>
                  <w:pPr>
                    <w:spacing w:before="125"/>
                    <w:ind w:left="0" w:right="0" w:firstLine="0"/>
                    <w:jc w:val="left"/>
                    <w:rPr>
                      <w:rFonts w:ascii="宋体" w:hAnsi="宋体" w:cs="宋体" w:eastAsia="宋体" w:hint="default"/>
                      <w:sz w:val="18"/>
                      <w:szCs w:val="18"/>
                    </w:rPr>
                  </w:pPr>
                  <w:r>
                    <w:rPr>
                      <w:rFonts w:ascii="宋体" w:hAnsi="宋体" w:cs="宋体" w:eastAsia="宋体" w:hint="default"/>
                      <w:sz w:val="18"/>
                      <w:szCs w:val="18"/>
                    </w:rPr>
                    <w:t>转让；</w:t>
                  </w:r>
                </w:p>
              </w:txbxContent>
            </v:textbox>
            <w10:wrap type="none"/>
          </v:shape>
        </w:pict>
      </w:r>
      <w:r>
        <w:rPr/>
        <w:pict>
          <v:group style="position:absolute;margin-left:283.850006pt;margin-top:313.009979pt;width:34.950pt;height:127.35pt;mso-position-horizontal-relative:page;mso-position-vertical-relative:page;z-index:-1260880" coordorigin="5677,6260" coordsize="699,2547">
            <v:group style="position:absolute;left:5677;top:6260;width:699;height:1560" coordorigin="5677,6260" coordsize="699,1560">
              <v:shape style="position:absolute;left:5677;top:6260;width:699;height:1560" coordorigin="5677,6260" coordsize="699,1560" path="m5677,7820l6376,7820,6376,6260,5677,6260,5677,7820xe" filled="true" fillcolor="#ffffff" stroked="false">
                <v:path arrowok="t"/>
                <v:fill type="solid"/>
              </v:shape>
            </v:group>
            <v:group style="position:absolute;left:5677;top:7830;width:699;height:624" coordorigin="5677,7830" coordsize="699,624">
              <v:shape style="position:absolute;left:5677;top:7830;width:699;height:624" coordorigin="5677,7830" coordsize="699,624" path="m5677,8454l6376,8454,6376,7830,5677,7830,5677,8454xe" filled="true" fillcolor="#ffffff" stroked="false">
                <v:path arrowok="t"/>
                <v:fill type="solid"/>
              </v:shape>
            </v:group>
            <v:group style="position:absolute;left:5699;top:8454;width:654;height:353" coordorigin="5699,8454" coordsize="654,353">
              <v:shape style="position:absolute;left:5699;top:8454;width:654;height:353" coordorigin="5699,8454" coordsize="654,353" path="m5699,8807l6352,8807,6352,8454,5699,8454,5699,880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52"/>
        <w:gridCol w:w="283"/>
        <w:gridCol w:w="425"/>
        <w:gridCol w:w="566"/>
        <w:gridCol w:w="709"/>
        <w:gridCol w:w="1702"/>
        <w:gridCol w:w="708"/>
        <w:gridCol w:w="710"/>
        <w:gridCol w:w="566"/>
        <w:gridCol w:w="850"/>
        <w:gridCol w:w="569"/>
        <w:gridCol w:w="708"/>
        <w:gridCol w:w="487"/>
        <w:gridCol w:w="684"/>
      </w:tblGrid>
      <w:tr>
        <w:trPr>
          <w:trHeight w:val="2547" w:hRule="exact"/>
        </w:trPr>
        <w:tc>
          <w:tcPr>
            <w:tcW w:w="85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7"/>
              <w:jc w:val="both"/>
              <w:rPr>
                <w:rFonts w:ascii="宋体" w:hAnsi="宋体" w:cs="宋体" w:eastAsia="宋体" w:hint="default"/>
                <w:sz w:val="18"/>
                <w:szCs w:val="18"/>
              </w:rPr>
            </w:pPr>
            <w:r>
              <w:rPr>
                <w:rFonts w:ascii="宋体" w:hAnsi="宋体" w:cs="宋体" w:eastAsia="宋体" w:hint="default"/>
                <w:sz w:val="18"/>
                <w:szCs w:val="18"/>
              </w:rPr>
              <w:t>算机网络综合布线、 集成；研发、销售计 算机软硬件及外围设 备、电子产品、网络 产品、通信器材、通 信终端设备；销售办 公用品、建筑材料、 日用百货。</w:t>
            </w: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83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4" w:right="96"/>
              <w:jc w:val="both"/>
              <w:rPr>
                <w:rFonts w:ascii="宋体" w:hAnsi="宋体" w:cs="宋体" w:eastAsia="宋体" w:hint="default"/>
                <w:sz w:val="18"/>
                <w:szCs w:val="18"/>
              </w:rPr>
            </w:pPr>
            <w:r>
              <w:rPr>
                <w:rFonts w:ascii="宋体" w:hAnsi="宋体" w:cs="宋体" w:eastAsia="宋体" w:hint="default"/>
                <w:sz w:val="18"/>
                <w:szCs w:val="18"/>
              </w:rPr>
              <w:t>大唐高鸿 信息技术 有限公司</w:t>
            </w:r>
          </w:p>
          <w:p>
            <w:pPr>
              <w:pStyle w:val="TableParagraph"/>
              <w:spacing w:line="316" w:lineRule="auto" w:before="17"/>
              <w:ind w:left="24" w:right="96"/>
              <w:jc w:val="left"/>
              <w:rPr>
                <w:rFonts w:ascii="宋体" w:hAnsi="宋体" w:cs="宋体" w:eastAsia="宋体" w:hint="default"/>
                <w:sz w:val="18"/>
                <w:szCs w:val="18"/>
              </w:rPr>
            </w:pPr>
            <w:r>
              <w:rPr>
                <w:rFonts w:ascii="宋体" w:hAnsi="宋体" w:cs="宋体" w:eastAsia="宋体" w:hint="default"/>
                <w:sz w:val="18"/>
                <w:szCs w:val="18"/>
              </w:rPr>
              <w:t>（简称： 高鸿信 息）</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67"/>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29"/>
              <w:jc w:val="left"/>
              <w:rPr>
                <w:rFonts w:ascii="宋体" w:hAnsi="宋体" w:cs="宋体" w:eastAsia="宋体" w:hint="default"/>
                <w:sz w:val="18"/>
                <w:szCs w:val="18"/>
              </w:rPr>
            </w:pPr>
            <w:r>
              <w:rPr>
                <w:rFonts w:ascii="宋体" w:hAnsi="宋体" w:cs="宋体" w:eastAsia="宋体" w:hint="default"/>
                <w:sz w:val="18"/>
                <w:szCs w:val="18"/>
              </w:rPr>
              <w:t>北京 市</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70"/>
              <w:jc w:val="both"/>
              <w:rPr>
                <w:rFonts w:ascii="宋体" w:hAnsi="宋体" w:cs="宋体" w:eastAsia="宋体" w:hint="default"/>
                <w:sz w:val="18"/>
                <w:szCs w:val="18"/>
              </w:rPr>
            </w:pPr>
            <w:r>
              <w:rPr>
                <w:rFonts w:ascii="宋体" w:hAnsi="宋体" w:cs="宋体" w:eastAsia="宋体" w:hint="default"/>
                <w:sz w:val="18"/>
                <w:szCs w:val="18"/>
              </w:rPr>
              <w:t>电子 产品 销售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1702"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计算机系统集成的技 </w:t>
            </w:r>
            <w:r>
              <w:rPr>
                <w:rFonts w:ascii="宋体" w:hAnsi="宋体" w:cs="宋体" w:eastAsia="宋体" w:hint="default"/>
                <w:spacing w:val="-5"/>
                <w:sz w:val="18"/>
                <w:szCs w:val="18"/>
              </w:rPr>
              <w:t>术开发、服务、</w:t>
            </w:r>
            <w:r>
              <w:rPr>
                <w:rFonts w:ascii="宋体" w:hAnsi="宋体" w:cs="宋体" w:eastAsia="宋体" w:hint="default"/>
                <w:sz w:val="18"/>
                <w:szCs w:val="18"/>
              </w:rPr>
              <w:t> 销售计算机及计算机 </w:t>
            </w:r>
            <w:r>
              <w:rPr>
                <w:rFonts w:ascii="宋体" w:hAnsi="宋体" w:cs="宋体" w:eastAsia="宋体" w:hint="default"/>
                <w:spacing w:val="-7"/>
                <w:sz w:val="18"/>
                <w:szCs w:val="18"/>
              </w:rPr>
              <w:t>软、硬件、</w:t>
            </w:r>
            <w:r>
              <w:rPr>
                <w:rFonts w:ascii="宋体" w:hAnsi="宋体" w:cs="宋体" w:eastAsia="宋体" w:hint="default"/>
                <w:sz w:val="18"/>
                <w:szCs w:val="18"/>
              </w:rPr>
              <w:t> 通讯设备、 文化用品、 家用电器、工艺美术 品、箱包；提供计算 机及计算机软、 辅助器材、 机械电器、 电脑维修。</w:t>
            </w:r>
          </w:p>
        </w:tc>
        <w:tc>
          <w:tcPr>
            <w:tcW w:w="70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257,300,</w:t>
            </w:r>
          </w:p>
          <w:p>
            <w:pPr>
              <w:pStyle w:val="TableParagraph"/>
              <w:spacing w:line="240" w:lineRule="auto" w:before="105"/>
              <w:ind w:left="155" w:right="0"/>
              <w:jc w:val="center"/>
              <w:rPr>
                <w:rFonts w:ascii="Times New Roman" w:hAnsi="Times New Roman" w:cs="Times New Roman" w:eastAsia="Times New Roman" w:hint="default"/>
                <w:sz w:val="18"/>
                <w:szCs w:val="18"/>
              </w:rPr>
            </w:pPr>
            <w:r>
              <w:rPr>
                <w:rFonts w:ascii="Times New Roman"/>
                <w:sz w:val="18"/>
              </w:rPr>
              <w:t>000.00</w:t>
            </w:r>
          </w:p>
          <w:p>
            <w:pPr>
              <w:pStyle w:val="TableParagraph"/>
              <w:spacing w:line="1913" w:lineRule="exact"/>
              <w:ind w:left="-4"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7"/>
                <w:sz w:val="20"/>
                <w:szCs w:val="20"/>
              </w:rPr>
              <w:pict>
                <v:group style="width:34.950pt;height:95.7pt;mso-position-horizontal-relative:char;mso-position-vertical-relative:line" coordorigin="0,0" coordsize="699,1914">
                  <v:group style="position:absolute;left:0;top:0;width:699;height:1561" coordorigin="0,0" coordsize="699,1561">
                    <v:shape style="position:absolute;left:0;top:0;width:699;height:1561" coordorigin="0,0" coordsize="699,1561" path="m0,1560l699,1560,699,0,0,0,0,1560xe" filled="true" fillcolor="#ffffff" stroked="false">
                      <v:path arrowok="t"/>
                      <v:fill type="solid"/>
                    </v:shape>
                  </v:group>
                  <v:group style="position:absolute;left:22;top:1560;width:654;height:353" coordorigin="22,1560" coordsize="654,353">
                    <v:shape style="position:absolute;left:22;top:1560;width:654;height:353" coordorigin="22,1560" coordsize="654,353" path="m22,1913l675,1913,675,1560,22,1560,22,1913xe" filled="true" fillcolor="#ffffff" stroked="false">
                      <v:path arrowok="t"/>
                      <v:fill type="solid"/>
                    </v:shape>
                  </v:group>
                </v:group>
              </w:pict>
            </w:r>
            <w:r>
              <w:rPr>
                <w:rFonts w:ascii="Times New Roman" w:hAnsi="Times New Roman" w:cs="Times New Roman" w:eastAsia="Times New Roman" w:hint="default"/>
                <w:position w:val="-37"/>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6"/>
                <w:szCs w:val="26"/>
              </w:rPr>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85.77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6"/>
              <w:jc w:val="right"/>
              <w:rPr>
                <w:rFonts w:ascii="Times New Roman" w:hAnsi="Times New Roman" w:cs="Times New Roman" w:eastAsia="Times New Roman" w:hint="default"/>
                <w:sz w:val="18"/>
                <w:szCs w:val="18"/>
              </w:rPr>
            </w:pPr>
            <w:r>
              <w:rPr>
                <w:rFonts w:ascii="Times New Roman"/>
                <w:sz w:val="18"/>
              </w:rPr>
              <w:t>90.87%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29,308,0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35.39</w:t>
            </w:r>
          </w:p>
        </w:tc>
        <w:tc>
          <w:tcPr>
            <w:tcW w:w="4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北京大唐 高鸿科技 发展有限 公司（简 称：高鸿 科技）</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67"/>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3" w:right="29"/>
              <w:jc w:val="left"/>
              <w:rPr>
                <w:rFonts w:ascii="宋体" w:hAnsi="宋体" w:cs="宋体" w:eastAsia="宋体" w:hint="default"/>
                <w:sz w:val="18"/>
                <w:szCs w:val="18"/>
              </w:rPr>
            </w:pPr>
            <w:r>
              <w:rPr>
                <w:rFonts w:ascii="宋体" w:hAnsi="宋体" w:cs="宋体" w:eastAsia="宋体" w:hint="default"/>
                <w:sz w:val="18"/>
                <w:szCs w:val="18"/>
              </w:rPr>
              <w:t>北京 市</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4" w:right="170"/>
              <w:jc w:val="both"/>
              <w:rPr>
                <w:rFonts w:ascii="宋体" w:hAnsi="宋体" w:cs="宋体" w:eastAsia="宋体" w:hint="default"/>
                <w:sz w:val="18"/>
                <w:szCs w:val="18"/>
              </w:rPr>
            </w:pPr>
            <w:r>
              <w:rPr>
                <w:rFonts w:ascii="宋体" w:hAnsi="宋体" w:cs="宋体" w:eastAsia="宋体" w:hint="default"/>
                <w:sz w:val="18"/>
                <w:szCs w:val="18"/>
              </w:rPr>
              <w:t>计算 机软 硬件 销售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1702"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4" w:right="35"/>
              <w:jc w:val="left"/>
              <w:rPr>
                <w:rFonts w:ascii="宋体" w:hAnsi="宋体" w:cs="宋体" w:eastAsia="宋体" w:hint="default"/>
                <w:sz w:val="18"/>
                <w:szCs w:val="18"/>
              </w:rPr>
            </w:pPr>
            <w:r>
              <w:rPr>
                <w:rFonts w:ascii="宋体" w:hAnsi="宋体" w:cs="宋体" w:eastAsia="宋体" w:hint="default"/>
                <w:sz w:val="18"/>
                <w:szCs w:val="18"/>
              </w:rPr>
              <w:t>计算机软、 销售计算机、软件及 辅助设备</w:t>
            </w:r>
          </w:p>
        </w:tc>
        <w:tc>
          <w:tcPr>
            <w:tcW w:w="70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45,000,0</w:t>
            </w:r>
          </w:p>
          <w:p>
            <w:pPr>
              <w:pStyle w:val="TableParagraph"/>
              <w:spacing w:line="240" w:lineRule="auto" w:before="105"/>
              <w:ind w:left="259" w:right="0"/>
              <w:jc w:val="left"/>
              <w:rPr>
                <w:rFonts w:ascii="Times New Roman" w:hAnsi="Times New Roman" w:cs="Times New Roman" w:eastAsia="Times New Roman" w:hint="default"/>
                <w:sz w:val="18"/>
                <w:szCs w:val="18"/>
              </w:rPr>
            </w:pPr>
            <w:r>
              <w:rPr>
                <w:rFonts w:ascii="Times New Roman"/>
                <w:sz w:val="18"/>
              </w:rPr>
              <w:t>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69.23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141,725.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4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769"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大唐高鸿 济宁电子 信息技术 有限公司</w:t>
            </w:r>
          </w:p>
          <w:p>
            <w:pPr>
              <w:pStyle w:val="TableParagraph"/>
              <w:spacing w:line="316" w:lineRule="auto" w:before="19"/>
              <w:ind w:left="24" w:right="96"/>
              <w:jc w:val="left"/>
              <w:rPr>
                <w:rFonts w:ascii="宋体" w:hAnsi="宋体" w:cs="宋体" w:eastAsia="宋体" w:hint="default"/>
                <w:sz w:val="18"/>
                <w:szCs w:val="18"/>
              </w:rPr>
            </w:pPr>
            <w:r>
              <w:rPr>
                <w:rFonts w:ascii="宋体" w:hAnsi="宋体" w:cs="宋体" w:eastAsia="宋体" w:hint="default"/>
                <w:sz w:val="18"/>
                <w:szCs w:val="18"/>
              </w:rPr>
              <w:t>（简称： 济宁高 鸿）</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0"/>
              <w:ind w:left="23" w:right="67"/>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3" w:right="29"/>
              <w:jc w:val="left"/>
              <w:rPr>
                <w:rFonts w:ascii="宋体" w:hAnsi="宋体" w:cs="宋体" w:eastAsia="宋体" w:hint="default"/>
                <w:sz w:val="18"/>
                <w:szCs w:val="18"/>
              </w:rPr>
            </w:pPr>
            <w:r>
              <w:rPr>
                <w:rFonts w:ascii="宋体" w:hAnsi="宋体" w:cs="宋体" w:eastAsia="宋体" w:hint="default"/>
                <w:sz w:val="18"/>
                <w:szCs w:val="18"/>
              </w:rPr>
              <w:t>山东 济宁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4" w:right="170"/>
              <w:jc w:val="both"/>
              <w:rPr>
                <w:rFonts w:ascii="宋体" w:hAnsi="宋体" w:cs="宋体" w:eastAsia="宋体" w:hint="default"/>
                <w:sz w:val="18"/>
                <w:szCs w:val="18"/>
              </w:rPr>
            </w:pPr>
            <w:r>
              <w:rPr>
                <w:rFonts w:ascii="宋体" w:hAnsi="宋体" w:cs="宋体" w:eastAsia="宋体" w:hint="default"/>
                <w:sz w:val="18"/>
                <w:szCs w:val="18"/>
              </w:rPr>
              <w:t>电子 产品 销售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计算机系统集成的技 </w:t>
            </w:r>
            <w:r>
              <w:rPr>
                <w:rFonts w:ascii="宋体" w:hAnsi="宋体" w:cs="宋体" w:eastAsia="宋体" w:hint="default"/>
                <w:spacing w:val="-5"/>
                <w:sz w:val="18"/>
                <w:szCs w:val="18"/>
              </w:rPr>
              <w:t>术开发、服务、</w:t>
            </w:r>
            <w:r>
              <w:rPr>
                <w:rFonts w:ascii="宋体" w:hAnsi="宋体" w:cs="宋体" w:eastAsia="宋体" w:hint="default"/>
                <w:sz w:val="18"/>
                <w:szCs w:val="18"/>
              </w:rPr>
              <w:t> 房地产开发销售（评 资质证书开展经营活 </w:t>
            </w:r>
            <w:r>
              <w:rPr>
                <w:rFonts w:ascii="宋体" w:hAnsi="宋体" w:cs="宋体" w:eastAsia="宋体" w:hint="default"/>
                <w:spacing w:val="-16"/>
                <w:sz w:val="18"/>
                <w:szCs w:val="18"/>
              </w:rPr>
              <w:t>动）；计算机及计算机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软硬件、辅助器材、 通讯设备（不含有专 </w:t>
            </w:r>
            <w:r>
              <w:rPr>
                <w:rFonts w:ascii="宋体" w:hAnsi="宋体" w:cs="宋体" w:eastAsia="宋体" w:hint="default"/>
                <w:spacing w:val="-16"/>
                <w:sz w:val="18"/>
                <w:szCs w:val="18"/>
              </w:rPr>
              <w:t>项规定的商品）、机械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设备、办公用品、仪 器仪表、家用电器、 工艺品（不含文物） 箱包的销售；房屋租 赁；柜台出租；电脑 维修；综合布线工艺 施工。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28" w:lineRule="exact"/>
              <w:ind w:left="2"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0"/>
                <w:sz w:val="20"/>
                <w:szCs w:val="20"/>
              </w:rPr>
              <w:pict>
                <v:group style="width:34.950pt;height:101.4pt;mso-position-horizontal-relative:char;mso-position-vertical-relative:line" coordorigin="0,0" coordsize="699,2028">
                  <v:group style="position:absolute;left:0;top:0;width:699;height:2028" coordorigin="0,0" coordsize="699,2028">
                    <v:shape style="position:absolute;left:0;top:0;width:699;height:2028" coordorigin="0,0" coordsize="699,2028" path="m0,2028l699,2028,699,0,0,0,0,2028xe" filled="true" fillcolor="#ffffff" stroked="false">
                      <v:path arrowok="t"/>
                      <v:fill type="solid"/>
                    </v:shape>
                  </v:group>
                </v:group>
              </w:pict>
            </w:r>
            <w:r>
              <w:rPr>
                <w:rFonts w:ascii="Times New Roman" w:hAnsi="Times New Roman" w:cs="Times New Roman" w:eastAsia="Times New Roman" w:hint="default"/>
                <w:position w:val="-40"/>
                <w:sz w:val="20"/>
                <w:szCs w:val="20"/>
              </w:rPr>
            </w:r>
          </w:p>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29,400,0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55,165.3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4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25" w:firstLine="0"/>
        <w:jc w:val="left"/>
        <w:rPr>
          <w:rFonts w:ascii="宋体" w:hAnsi="宋体" w:cs="宋体" w:eastAsia="宋体" w:hint="default"/>
          <w:sz w:val="18"/>
          <w:szCs w:val="18"/>
        </w:rPr>
      </w:pPr>
      <w:r>
        <w:rPr/>
        <w:pict>
          <v:shape style="position:absolute;margin-left:276.287018pt;margin-top:-101.878281pt;width:42.55pt;height:101.4pt;mso-position-horizontal-relative:page;mso-position-vertical-relative:paragraph;z-index:-126090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83.850006pt;margin-top:-101.878281pt;width:34.950pt;height:101.4pt;mso-position-horizontal-relative:page;mso-position-vertical-relative:paragraph;z-index:-1260856" coordorigin="5677,-2038" coordsize="699,2028">
            <v:shape style="position:absolute;left:5677;top:-2038;width:699;height:2028" coordorigin="5677,-2038" coordsize="699,2028" path="m5677,-10l6376,-10,6376,-2038,5677,-2038,5677,-10xe" filled="true" fillcolor="#ffffff" stroked="false">
              <v:path arrowok="t"/>
              <v:fill type="solid"/>
            </v:shape>
            <w10:wrap type="none"/>
          </v:group>
        </w:pict>
      </w:r>
      <w:r>
        <w:rPr>
          <w:rFonts w:ascii="宋体" w:hAnsi="宋体" w:cs="宋体" w:eastAsia="宋体" w:hint="default"/>
          <w:sz w:val="18"/>
          <w:szCs w:val="18"/>
        </w:rPr>
        <w:t>通过设立或投资等方式取得的子公司的其他说明</w:t>
      </w:r>
    </w:p>
    <w:p>
      <w:pPr>
        <w:spacing w:before="141"/>
        <w:ind w:left="152" w:right="1125" w:firstLine="0"/>
        <w:jc w:val="left"/>
        <w:rPr>
          <w:rFonts w:ascii="宋体" w:hAnsi="宋体" w:cs="宋体" w:eastAsia="宋体" w:hint="default"/>
          <w:sz w:val="18"/>
          <w:szCs w:val="18"/>
        </w:rPr>
      </w:pPr>
      <w:r>
        <w:rPr>
          <w:rFonts w:ascii="宋体" w:hAnsi="宋体" w:cs="宋体" w:eastAsia="宋体" w:hint="default"/>
          <w:sz w:val="18"/>
          <w:szCs w:val="18"/>
        </w:rPr>
        <w:t>①公司通过子公司高鸿有限间接持有高鸿信息</w:t>
      </w:r>
      <w:r>
        <w:rPr>
          <w:rFonts w:ascii="Times New Roman" w:hAnsi="Times New Roman" w:cs="Times New Roman" w:eastAsia="Times New Roman" w:hint="default"/>
          <w:sz w:val="18"/>
          <w:szCs w:val="18"/>
        </w:rPr>
        <w:t>5.10%</w:t>
      </w:r>
      <w:r>
        <w:rPr>
          <w:rFonts w:ascii="宋体" w:hAnsi="宋体" w:cs="宋体" w:eastAsia="宋体" w:hint="default"/>
          <w:sz w:val="18"/>
          <w:szCs w:val="18"/>
        </w:rPr>
        <w:t>股权，因此，公司直接、间接拥有高鸿信息</w:t>
      </w:r>
      <w:r>
        <w:rPr>
          <w:rFonts w:ascii="Times New Roman" w:hAnsi="Times New Roman" w:cs="Times New Roman" w:eastAsia="Times New Roman" w:hint="default"/>
          <w:sz w:val="18"/>
          <w:szCs w:val="18"/>
        </w:rPr>
        <w:t>90.87%</w:t>
      </w:r>
      <w:r>
        <w:rPr>
          <w:rFonts w:ascii="宋体" w:hAnsi="宋体" w:cs="宋体" w:eastAsia="宋体" w:hint="default"/>
          <w:sz w:val="18"/>
          <w:szCs w:val="18"/>
        </w:rPr>
        <w:t>股权。</w:t>
      </w:r>
    </w:p>
    <w:p>
      <w:pPr>
        <w:spacing w:after="0"/>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7"/>
        <w:rPr>
          <w:rFonts w:ascii="宋体" w:hAnsi="宋体" w:cs="宋体" w:eastAsia="宋体" w:hint="default"/>
          <w:sz w:val="27"/>
          <w:szCs w:val="27"/>
        </w:rPr>
      </w:pPr>
    </w:p>
    <w:p>
      <w:pPr>
        <w:spacing w:before="44"/>
        <w:ind w:left="152" w:right="1125" w:firstLine="0"/>
        <w:jc w:val="left"/>
        <w:rPr>
          <w:rFonts w:ascii="宋体" w:hAnsi="宋体" w:cs="宋体" w:eastAsia="宋体" w:hint="default"/>
          <w:sz w:val="18"/>
          <w:szCs w:val="18"/>
        </w:rPr>
      </w:pPr>
      <w:r>
        <w:rPr>
          <w:rFonts w:ascii="宋体" w:hAnsi="宋体" w:cs="宋体" w:eastAsia="宋体" w:hint="default"/>
          <w:sz w:val="18"/>
          <w:szCs w:val="18"/>
        </w:rPr>
        <w:t>②公司通过子公司高鸿信息间接持有高鸿科技</w:t>
      </w:r>
      <w:r>
        <w:rPr>
          <w:rFonts w:ascii="Times New Roman" w:hAnsi="Times New Roman" w:cs="Times New Roman" w:eastAsia="Times New Roman" w:hint="default"/>
          <w:sz w:val="18"/>
          <w:szCs w:val="18"/>
        </w:rPr>
        <w:t>30.77%</w:t>
      </w:r>
      <w:r>
        <w:rPr>
          <w:rFonts w:ascii="宋体" w:hAnsi="宋体" w:cs="宋体" w:eastAsia="宋体" w:hint="default"/>
          <w:sz w:val="18"/>
          <w:szCs w:val="18"/>
        </w:rPr>
        <w:t>股权，因此，公司直接、间接拥有高鸿科技</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p>
      <w:pPr>
        <w:spacing w:before="109"/>
        <w:ind w:left="152" w:right="1125" w:firstLine="0"/>
        <w:jc w:val="left"/>
        <w:rPr>
          <w:rFonts w:ascii="宋体" w:hAnsi="宋体" w:cs="宋体" w:eastAsia="宋体" w:hint="default"/>
          <w:sz w:val="18"/>
          <w:szCs w:val="18"/>
        </w:rPr>
      </w:pPr>
      <w:r>
        <w:rPr>
          <w:rFonts w:ascii="宋体" w:hAnsi="宋体" w:cs="宋体" w:eastAsia="宋体" w:hint="default"/>
          <w:sz w:val="18"/>
          <w:szCs w:val="18"/>
        </w:rPr>
        <w:t>③公司通过子公司高鸿信息间接持有济宁高鸿</w:t>
      </w:r>
      <w:r>
        <w:rPr>
          <w:rFonts w:ascii="Times New Roman" w:hAnsi="Times New Roman" w:cs="Times New Roman" w:eastAsia="Times New Roman" w:hint="default"/>
          <w:sz w:val="18"/>
          <w:szCs w:val="18"/>
        </w:rPr>
        <w:t>2%</w:t>
      </w:r>
      <w:r>
        <w:rPr>
          <w:rFonts w:ascii="宋体" w:hAnsi="宋体" w:cs="宋体" w:eastAsia="宋体" w:hint="default"/>
          <w:sz w:val="18"/>
          <w:szCs w:val="18"/>
        </w:rPr>
        <w:t>股权，因此，公司直接、间接拥有济宁高鸿</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④高鸿信息的子公司情况：</w:t>
      </w:r>
    </w:p>
    <w:p>
      <w:pPr>
        <w:spacing w:line="240" w:lineRule="auto" w:before="11"/>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2848"/>
        <w:gridCol w:w="1883"/>
        <w:gridCol w:w="1125"/>
        <w:gridCol w:w="888"/>
        <w:gridCol w:w="893"/>
        <w:gridCol w:w="1202"/>
        <w:gridCol w:w="1527"/>
      </w:tblGrid>
      <w:tr>
        <w:trPr>
          <w:trHeight w:val="891" w:hRule="exact"/>
        </w:trPr>
        <w:tc>
          <w:tcPr>
            <w:tcW w:w="2848" w:type="dxa"/>
            <w:tcBorders>
              <w:top w:val="nil" w:sz="6" w:space="0" w:color="auto"/>
              <w:left w:val="nil" w:sz="6" w:space="0" w:color="auto"/>
              <w:bottom w:val="single" w:sz="8" w:space="0" w:color="000000"/>
              <w:right w:val="nil" w:sz="6" w:space="0" w:color="auto"/>
            </w:tcBorders>
          </w:tcPr>
          <w:p>
            <w:pPr>
              <w:pStyle w:val="TableParagraph"/>
              <w:spacing w:line="180" w:lineRule="exact"/>
              <w:ind w:right="18"/>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883" w:type="dxa"/>
            <w:tcBorders>
              <w:top w:val="nil" w:sz="6" w:space="0" w:color="auto"/>
              <w:left w:val="nil" w:sz="6" w:space="0" w:color="auto"/>
              <w:bottom w:val="single" w:sz="8" w:space="0" w:color="000000"/>
              <w:right w:val="nil" w:sz="6" w:space="0" w:color="auto"/>
            </w:tcBorders>
          </w:tcPr>
          <w:p>
            <w:pPr>
              <w:pStyle w:val="TableParagraph"/>
              <w:spacing w:line="180" w:lineRule="exact"/>
              <w:ind w:left="805" w:right="0"/>
              <w:jc w:val="left"/>
              <w:rPr>
                <w:rFonts w:ascii="宋体" w:hAnsi="宋体" w:cs="宋体" w:eastAsia="宋体" w:hint="default"/>
                <w:sz w:val="18"/>
                <w:szCs w:val="18"/>
              </w:rPr>
            </w:pPr>
            <w:r>
              <w:rPr>
                <w:rFonts w:ascii="宋体" w:hAnsi="宋体" w:cs="宋体" w:eastAsia="宋体" w:hint="default"/>
                <w:sz w:val="18"/>
                <w:szCs w:val="18"/>
              </w:rPr>
              <w:t>注册号</w:t>
            </w:r>
          </w:p>
        </w:tc>
        <w:tc>
          <w:tcPr>
            <w:tcW w:w="1125" w:type="dxa"/>
            <w:tcBorders>
              <w:top w:val="nil" w:sz="6" w:space="0" w:color="auto"/>
              <w:left w:val="nil" w:sz="6" w:space="0" w:color="auto"/>
              <w:bottom w:val="single" w:sz="8" w:space="0" w:color="000000"/>
              <w:right w:val="nil" w:sz="6" w:space="0" w:color="auto"/>
            </w:tcBorders>
          </w:tcPr>
          <w:p>
            <w:pPr>
              <w:pStyle w:val="TableParagraph"/>
              <w:spacing w:line="180" w:lineRule="exact"/>
              <w:ind w:left="56" w:right="0"/>
              <w:jc w:val="center"/>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76"/>
              <w:ind w:left="5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888" w:type="dxa"/>
            <w:tcBorders>
              <w:top w:val="nil" w:sz="6" w:space="0" w:color="auto"/>
              <w:left w:val="nil" w:sz="6" w:space="0" w:color="auto"/>
              <w:bottom w:val="single" w:sz="8" w:space="0" w:color="000000"/>
              <w:right w:val="nil" w:sz="6" w:space="0" w:color="auto"/>
            </w:tcBorders>
          </w:tcPr>
          <w:p>
            <w:pPr>
              <w:pStyle w:val="TableParagraph"/>
              <w:spacing w:line="180" w:lineRule="exact"/>
              <w:ind w:left="154" w:right="0"/>
              <w:jc w:val="left"/>
              <w:rPr>
                <w:rFonts w:ascii="宋体" w:hAnsi="宋体" w:cs="宋体" w:eastAsia="宋体" w:hint="default"/>
                <w:sz w:val="18"/>
                <w:szCs w:val="18"/>
              </w:rPr>
            </w:pPr>
            <w:r>
              <w:rPr>
                <w:rFonts w:ascii="宋体" w:hAnsi="宋体" w:cs="宋体" w:eastAsia="宋体" w:hint="default"/>
                <w:sz w:val="18"/>
                <w:szCs w:val="18"/>
              </w:rPr>
              <w:t>高鸿信</w:t>
            </w:r>
          </w:p>
          <w:p>
            <w:pPr>
              <w:pStyle w:val="TableParagraph"/>
              <w:spacing w:line="316" w:lineRule="auto" w:before="76"/>
              <w:ind w:left="243" w:right="191" w:hanging="89"/>
              <w:jc w:val="left"/>
              <w:rPr>
                <w:rFonts w:ascii="宋体" w:hAnsi="宋体" w:cs="宋体" w:eastAsia="宋体" w:hint="default"/>
                <w:sz w:val="18"/>
                <w:szCs w:val="18"/>
              </w:rPr>
            </w:pPr>
            <w:r>
              <w:rPr>
                <w:rFonts w:ascii="宋体" w:hAnsi="宋体" w:cs="宋体" w:eastAsia="宋体" w:hint="default"/>
                <w:sz w:val="18"/>
                <w:szCs w:val="18"/>
              </w:rPr>
              <w:t>息持股 比例</w:t>
            </w:r>
          </w:p>
        </w:tc>
        <w:tc>
          <w:tcPr>
            <w:tcW w:w="893" w:type="dxa"/>
            <w:tcBorders>
              <w:top w:val="nil" w:sz="6" w:space="0" w:color="auto"/>
              <w:left w:val="nil" w:sz="6" w:space="0" w:color="auto"/>
              <w:bottom w:val="single" w:sz="8" w:space="0" w:color="000000"/>
              <w:right w:val="nil" w:sz="6" w:space="0" w:color="auto"/>
            </w:tcBorders>
          </w:tcPr>
          <w:p>
            <w:pPr>
              <w:pStyle w:val="TableParagraph"/>
              <w:spacing w:line="180" w:lineRule="exact"/>
              <w:ind w:left="150" w:right="0"/>
              <w:jc w:val="left"/>
              <w:rPr>
                <w:rFonts w:ascii="宋体" w:hAnsi="宋体" w:cs="宋体" w:eastAsia="宋体" w:hint="default"/>
                <w:sz w:val="18"/>
                <w:szCs w:val="18"/>
              </w:rPr>
            </w:pPr>
            <w:r>
              <w:rPr>
                <w:rFonts w:ascii="宋体" w:hAnsi="宋体" w:cs="宋体" w:eastAsia="宋体" w:hint="default"/>
                <w:sz w:val="18"/>
                <w:szCs w:val="18"/>
              </w:rPr>
              <w:t>高鸿信</w:t>
            </w:r>
          </w:p>
          <w:p>
            <w:pPr>
              <w:pStyle w:val="TableParagraph"/>
              <w:spacing w:line="316" w:lineRule="auto" w:before="76"/>
              <w:ind w:left="150" w:right="201"/>
              <w:jc w:val="left"/>
              <w:rPr>
                <w:rFonts w:ascii="宋体" w:hAnsi="宋体" w:cs="宋体" w:eastAsia="宋体" w:hint="default"/>
                <w:sz w:val="18"/>
                <w:szCs w:val="18"/>
              </w:rPr>
            </w:pPr>
            <w:r>
              <w:rPr>
                <w:rFonts w:ascii="宋体" w:hAnsi="宋体" w:cs="宋体" w:eastAsia="宋体" w:hint="default"/>
                <w:sz w:val="18"/>
                <w:szCs w:val="18"/>
              </w:rPr>
              <w:t>息表决 权比例</w:t>
            </w:r>
          </w:p>
        </w:tc>
        <w:tc>
          <w:tcPr>
            <w:tcW w:w="1202" w:type="dxa"/>
            <w:tcBorders>
              <w:top w:val="nil" w:sz="6" w:space="0" w:color="auto"/>
              <w:left w:val="nil" w:sz="6" w:space="0" w:color="auto"/>
              <w:bottom w:val="single" w:sz="8" w:space="0" w:color="000000"/>
              <w:right w:val="nil" w:sz="6" w:space="0" w:color="auto"/>
            </w:tcBorders>
          </w:tcPr>
          <w:p>
            <w:pPr>
              <w:pStyle w:val="TableParagraph"/>
              <w:spacing w:line="180" w:lineRule="exact"/>
              <w:ind w:right="339"/>
              <w:jc w:val="center"/>
              <w:rPr>
                <w:rFonts w:ascii="宋体" w:hAnsi="宋体" w:cs="宋体" w:eastAsia="宋体" w:hint="default"/>
                <w:sz w:val="18"/>
                <w:szCs w:val="18"/>
              </w:rPr>
            </w:pPr>
            <w:r>
              <w:rPr>
                <w:rFonts w:ascii="宋体" w:hAnsi="宋体" w:cs="宋体" w:eastAsia="宋体" w:hint="default"/>
                <w:sz w:val="18"/>
                <w:szCs w:val="18"/>
              </w:rPr>
              <w:t>是否合</w:t>
            </w:r>
          </w:p>
          <w:p>
            <w:pPr>
              <w:pStyle w:val="TableParagraph"/>
              <w:spacing w:line="240" w:lineRule="auto" w:before="76"/>
              <w:ind w:right="339"/>
              <w:jc w:val="center"/>
              <w:rPr>
                <w:rFonts w:ascii="宋体" w:hAnsi="宋体" w:cs="宋体" w:eastAsia="宋体" w:hint="default"/>
                <w:sz w:val="18"/>
                <w:szCs w:val="18"/>
              </w:rPr>
            </w:pPr>
            <w:r>
              <w:rPr>
                <w:rFonts w:ascii="宋体" w:hAnsi="宋体" w:cs="宋体" w:eastAsia="宋体" w:hint="default"/>
                <w:sz w:val="18"/>
                <w:szCs w:val="18"/>
              </w:rPr>
              <w:t>并</w:t>
            </w:r>
          </w:p>
        </w:tc>
        <w:tc>
          <w:tcPr>
            <w:tcW w:w="1527" w:type="dxa"/>
            <w:tcBorders>
              <w:top w:val="nil" w:sz="6" w:space="0" w:color="auto"/>
              <w:left w:val="nil" w:sz="6" w:space="0" w:color="auto"/>
              <w:bottom w:val="single" w:sz="8" w:space="0" w:color="000000"/>
              <w:right w:val="nil" w:sz="6" w:space="0" w:color="auto"/>
            </w:tcBorders>
          </w:tcPr>
          <w:p>
            <w:pPr>
              <w:pStyle w:val="TableParagraph"/>
              <w:spacing w:line="180" w:lineRule="exact"/>
              <w:ind w:left="501"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43" w:hRule="exact"/>
        </w:trPr>
        <w:tc>
          <w:tcPr>
            <w:tcW w:w="2848"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高鸿恒昌科技有限公司</w:t>
            </w:r>
          </w:p>
        </w:tc>
        <w:tc>
          <w:tcPr>
            <w:tcW w:w="1883"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301" w:right="0"/>
              <w:jc w:val="left"/>
              <w:rPr>
                <w:rFonts w:ascii="Times New Roman" w:hAnsi="Times New Roman" w:cs="Times New Roman" w:eastAsia="Times New Roman" w:hint="default"/>
                <w:sz w:val="18"/>
                <w:szCs w:val="18"/>
              </w:rPr>
            </w:pPr>
            <w:r>
              <w:rPr>
                <w:rFonts w:ascii="Times New Roman"/>
                <w:sz w:val="18"/>
              </w:rPr>
              <w:t>110000001927220</w:t>
            </w:r>
          </w:p>
        </w:tc>
        <w:tc>
          <w:tcPr>
            <w:tcW w:w="1125"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154"/>
              <w:jc w:val="right"/>
              <w:rPr>
                <w:rFonts w:ascii="Times New Roman" w:hAnsi="Times New Roman" w:cs="Times New Roman" w:eastAsia="Times New Roman" w:hint="default"/>
                <w:sz w:val="18"/>
                <w:szCs w:val="18"/>
              </w:rPr>
            </w:pPr>
            <w:r>
              <w:rPr>
                <w:rFonts w:ascii="Times New Roman"/>
                <w:sz w:val="18"/>
              </w:rPr>
              <w:t>6850</w:t>
            </w:r>
          </w:p>
        </w:tc>
        <w:tc>
          <w:tcPr>
            <w:tcW w:w="888"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148"/>
              <w:jc w:val="right"/>
              <w:rPr>
                <w:rFonts w:ascii="Times New Roman" w:hAnsi="Times New Roman" w:cs="Times New Roman" w:eastAsia="Times New Roman" w:hint="default"/>
                <w:sz w:val="18"/>
                <w:szCs w:val="18"/>
              </w:rPr>
            </w:pPr>
            <w:r>
              <w:rPr>
                <w:rFonts w:ascii="Times New Roman"/>
                <w:sz w:val="18"/>
              </w:rPr>
              <w:t>100%</w:t>
            </w:r>
          </w:p>
        </w:tc>
        <w:tc>
          <w:tcPr>
            <w:tcW w:w="893"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157"/>
              <w:jc w:val="right"/>
              <w:rPr>
                <w:rFonts w:ascii="Times New Roman" w:hAnsi="Times New Roman" w:cs="Times New Roman" w:eastAsia="Times New Roman" w:hint="default"/>
                <w:sz w:val="18"/>
                <w:szCs w:val="18"/>
              </w:rPr>
            </w:pPr>
            <w:r>
              <w:rPr>
                <w:rFonts w:ascii="Times New Roman"/>
                <w:sz w:val="18"/>
              </w:rPr>
              <w:t>100%</w:t>
            </w:r>
          </w:p>
        </w:tc>
        <w:tc>
          <w:tcPr>
            <w:tcW w:w="1202"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33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27" w:type="dxa"/>
            <w:tcBorders>
              <w:top w:val="single" w:sz="8" w:space="0" w:color="000000"/>
              <w:left w:val="nil" w:sz="6" w:space="0" w:color="auto"/>
              <w:bottom w:val="single" w:sz="8" w:space="0" w:color="000000"/>
              <w:right w:val="nil" w:sz="6" w:space="0" w:color="auto"/>
            </w:tcBorders>
          </w:tcPr>
          <w:p>
            <w:pPr/>
          </w:p>
        </w:tc>
      </w:tr>
      <w:tr>
        <w:trPr>
          <w:trHeight w:val="343" w:hRule="exact"/>
        </w:trPr>
        <w:tc>
          <w:tcPr>
            <w:tcW w:w="2848" w:type="dxa"/>
            <w:tcBorders>
              <w:top w:val="single" w:sz="8" w:space="0" w:color="000000"/>
              <w:left w:val="nil" w:sz="6" w:space="0" w:color="auto"/>
              <w:bottom w:val="single" w:sz="8"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烟台高鸿电子信息技术有限公司</w:t>
            </w:r>
          </w:p>
        </w:tc>
        <w:tc>
          <w:tcPr>
            <w:tcW w:w="188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301" w:right="0"/>
              <w:jc w:val="left"/>
              <w:rPr>
                <w:rFonts w:ascii="Times New Roman" w:hAnsi="Times New Roman" w:cs="Times New Roman" w:eastAsia="Times New Roman" w:hint="default"/>
                <w:sz w:val="18"/>
                <w:szCs w:val="18"/>
              </w:rPr>
            </w:pPr>
            <w:r>
              <w:rPr>
                <w:rFonts w:ascii="Times New Roman"/>
                <w:sz w:val="18"/>
              </w:rPr>
              <w:t>370635200022603</w:t>
            </w:r>
          </w:p>
        </w:tc>
        <w:tc>
          <w:tcPr>
            <w:tcW w:w="1125"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152"/>
              <w:jc w:val="right"/>
              <w:rPr>
                <w:rFonts w:ascii="Times New Roman" w:hAnsi="Times New Roman" w:cs="Times New Roman" w:eastAsia="Times New Roman" w:hint="default"/>
                <w:sz w:val="18"/>
                <w:szCs w:val="18"/>
              </w:rPr>
            </w:pPr>
            <w:r>
              <w:rPr>
                <w:rFonts w:ascii="Times New Roman"/>
                <w:sz w:val="18"/>
              </w:rPr>
              <w:t>100</w:t>
            </w:r>
          </w:p>
        </w:tc>
        <w:tc>
          <w:tcPr>
            <w:tcW w:w="888"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148"/>
              <w:jc w:val="right"/>
              <w:rPr>
                <w:rFonts w:ascii="Times New Roman" w:hAnsi="Times New Roman" w:cs="Times New Roman" w:eastAsia="Times New Roman" w:hint="default"/>
                <w:sz w:val="18"/>
                <w:szCs w:val="18"/>
              </w:rPr>
            </w:pPr>
            <w:r>
              <w:rPr>
                <w:rFonts w:ascii="Times New Roman"/>
                <w:sz w:val="18"/>
              </w:rPr>
              <w:t>100%</w:t>
            </w:r>
          </w:p>
        </w:tc>
        <w:tc>
          <w:tcPr>
            <w:tcW w:w="89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157"/>
              <w:jc w:val="right"/>
              <w:rPr>
                <w:rFonts w:ascii="Times New Roman" w:hAnsi="Times New Roman" w:cs="Times New Roman" w:eastAsia="Times New Roman" w:hint="default"/>
                <w:sz w:val="18"/>
                <w:szCs w:val="18"/>
              </w:rPr>
            </w:pPr>
            <w:r>
              <w:rPr>
                <w:rFonts w:ascii="Times New Roman"/>
                <w:sz w:val="18"/>
              </w:rPr>
              <w:t>100%</w:t>
            </w:r>
          </w:p>
        </w:tc>
        <w:tc>
          <w:tcPr>
            <w:tcW w:w="1202" w:type="dxa"/>
            <w:tcBorders>
              <w:top w:val="single" w:sz="8" w:space="0" w:color="000000"/>
              <w:left w:val="nil" w:sz="6" w:space="0" w:color="auto"/>
              <w:bottom w:val="single" w:sz="8" w:space="0" w:color="000000"/>
              <w:right w:val="nil" w:sz="6" w:space="0" w:color="auto"/>
            </w:tcBorders>
          </w:tcPr>
          <w:p>
            <w:pPr>
              <w:pStyle w:val="TableParagraph"/>
              <w:spacing w:line="240" w:lineRule="auto" w:before="8"/>
              <w:ind w:left="33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27" w:type="dxa"/>
            <w:tcBorders>
              <w:top w:val="single" w:sz="8" w:space="0" w:color="000000"/>
              <w:left w:val="nil" w:sz="6" w:space="0" w:color="auto"/>
              <w:bottom w:val="single" w:sz="8" w:space="0" w:color="000000"/>
              <w:right w:val="nil" w:sz="6" w:space="0" w:color="auto"/>
            </w:tcBorders>
          </w:tcPr>
          <w:p>
            <w:pPr/>
          </w:p>
        </w:tc>
      </w:tr>
    </w:tbl>
    <w:p>
      <w:pPr>
        <w:spacing w:line="240" w:lineRule="auto" w:before="1"/>
        <w:rPr>
          <w:rFonts w:ascii="宋体" w:hAnsi="宋体" w:cs="宋体" w:eastAsia="宋体" w:hint="default"/>
          <w:sz w:val="21"/>
          <w:szCs w:val="21"/>
        </w:rPr>
      </w:pPr>
    </w:p>
    <w:p>
      <w:pPr>
        <w:spacing w:before="44"/>
        <w:ind w:left="152" w:right="1125" w:firstLine="0"/>
        <w:jc w:val="left"/>
        <w:rPr>
          <w:rFonts w:ascii="宋体" w:hAnsi="宋体" w:cs="宋体" w:eastAsia="宋体" w:hint="default"/>
          <w:sz w:val="18"/>
          <w:szCs w:val="18"/>
        </w:rPr>
      </w:pPr>
      <w:r>
        <w:rPr>
          <w:rFonts w:ascii="宋体" w:hAnsi="宋体" w:cs="宋体" w:eastAsia="宋体" w:hint="default"/>
          <w:sz w:val="18"/>
          <w:szCs w:val="18"/>
        </w:rPr>
        <w:t>⑤高鸿科技的子公司情况：</w:t>
      </w:r>
    </w:p>
    <w:p>
      <w:pPr>
        <w:spacing w:line="240" w:lineRule="auto" w:before="11"/>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2848"/>
        <w:gridCol w:w="1884"/>
        <w:gridCol w:w="1124"/>
        <w:gridCol w:w="888"/>
        <w:gridCol w:w="893"/>
        <w:gridCol w:w="1202"/>
        <w:gridCol w:w="1527"/>
      </w:tblGrid>
      <w:tr>
        <w:trPr>
          <w:trHeight w:val="892" w:hRule="exact"/>
        </w:trPr>
        <w:tc>
          <w:tcPr>
            <w:tcW w:w="2848" w:type="dxa"/>
            <w:tcBorders>
              <w:top w:val="nil" w:sz="6" w:space="0" w:color="auto"/>
              <w:left w:val="nil" w:sz="6" w:space="0" w:color="auto"/>
              <w:bottom w:val="single" w:sz="8" w:space="0" w:color="000000"/>
              <w:right w:val="nil" w:sz="6" w:space="0" w:color="auto"/>
            </w:tcBorders>
          </w:tcPr>
          <w:p>
            <w:pPr>
              <w:pStyle w:val="TableParagraph"/>
              <w:spacing w:line="180" w:lineRule="exact"/>
              <w:ind w:right="18"/>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884" w:type="dxa"/>
            <w:tcBorders>
              <w:top w:val="nil" w:sz="6" w:space="0" w:color="auto"/>
              <w:left w:val="nil" w:sz="6" w:space="0" w:color="auto"/>
              <w:bottom w:val="single" w:sz="8" w:space="0" w:color="000000"/>
              <w:right w:val="nil" w:sz="6" w:space="0" w:color="auto"/>
            </w:tcBorders>
          </w:tcPr>
          <w:p>
            <w:pPr>
              <w:pStyle w:val="TableParagraph"/>
              <w:spacing w:line="180" w:lineRule="exact"/>
              <w:ind w:left="805" w:right="0"/>
              <w:jc w:val="left"/>
              <w:rPr>
                <w:rFonts w:ascii="宋体" w:hAnsi="宋体" w:cs="宋体" w:eastAsia="宋体" w:hint="default"/>
                <w:sz w:val="18"/>
                <w:szCs w:val="18"/>
              </w:rPr>
            </w:pPr>
            <w:r>
              <w:rPr>
                <w:rFonts w:ascii="宋体" w:hAnsi="宋体" w:cs="宋体" w:eastAsia="宋体" w:hint="default"/>
                <w:sz w:val="18"/>
                <w:szCs w:val="18"/>
              </w:rPr>
              <w:t>注册号</w:t>
            </w:r>
          </w:p>
        </w:tc>
        <w:tc>
          <w:tcPr>
            <w:tcW w:w="1124" w:type="dxa"/>
            <w:tcBorders>
              <w:top w:val="nil" w:sz="6" w:space="0" w:color="auto"/>
              <w:left w:val="nil" w:sz="6" w:space="0" w:color="auto"/>
              <w:bottom w:val="single" w:sz="8" w:space="0" w:color="000000"/>
              <w:right w:val="nil" w:sz="6" w:space="0" w:color="auto"/>
            </w:tcBorders>
          </w:tcPr>
          <w:p>
            <w:pPr>
              <w:pStyle w:val="TableParagraph"/>
              <w:spacing w:line="180" w:lineRule="exact"/>
              <w:ind w:left="59" w:right="0"/>
              <w:jc w:val="center"/>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77"/>
              <w:ind w:left="5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888" w:type="dxa"/>
            <w:tcBorders>
              <w:top w:val="nil" w:sz="6" w:space="0" w:color="auto"/>
              <w:left w:val="nil" w:sz="6" w:space="0" w:color="auto"/>
              <w:bottom w:val="single" w:sz="8" w:space="0" w:color="000000"/>
              <w:right w:val="nil" w:sz="6" w:space="0" w:color="auto"/>
            </w:tcBorders>
          </w:tcPr>
          <w:p>
            <w:pPr>
              <w:pStyle w:val="TableParagraph"/>
              <w:spacing w:line="180" w:lineRule="exact"/>
              <w:ind w:left="154" w:right="0"/>
              <w:jc w:val="left"/>
              <w:rPr>
                <w:rFonts w:ascii="宋体" w:hAnsi="宋体" w:cs="宋体" w:eastAsia="宋体" w:hint="default"/>
                <w:sz w:val="18"/>
                <w:szCs w:val="18"/>
              </w:rPr>
            </w:pPr>
            <w:r>
              <w:rPr>
                <w:rFonts w:ascii="宋体" w:hAnsi="宋体" w:cs="宋体" w:eastAsia="宋体" w:hint="default"/>
                <w:sz w:val="18"/>
                <w:szCs w:val="18"/>
              </w:rPr>
              <w:t>高鸿科</w:t>
            </w:r>
          </w:p>
          <w:p>
            <w:pPr>
              <w:pStyle w:val="TableParagraph"/>
              <w:spacing w:line="316" w:lineRule="auto" w:before="77"/>
              <w:ind w:left="245" w:right="191" w:hanging="92"/>
              <w:jc w:val="left"/>
              <w:rPr>
                <w:rFonts w:ascii="宋体" w:hAnsi="宋体" w:cs="宋体" w:eastAsia="宋体" w:hint="default"/>
                <w:sz w:val="18"/>
                <w:szCs w:val="18"/>
              </w:rPr>
            </w:pPr>
            <w:r>
              <w:rPr>
                <w:rFonts w:ascii="宋体" w:hAnsi="宋体" w:cs="宋体" w:eastAsia="宋体" w:hint="default"/>
                <w:sz w:val="18"/>
                <w:szCs w:val="18"/>
              </w:rPr>
              <w:t>技持股 比例</w:t>
            </w:r>
          </w:p>
        </w:tc>
        <w:tc>
          <w:tcPr>
            <w:tcW w:w="893" w:type="dxa"/>
            <w:tcBorders>
              <w:top w:val="nil" w:sz="6" w:space="0" w:color="auto"/>
              <w:left w:val="nil" w:sz="6" w:space="0" w:color="auto"/>
              <w:bottom w:val="single" w:sz="8" w:space="0" w:color="000000"/>
              <w:right w:val="nil" w:sz="6" w:space="0" w:color="auto"/>
            </w:tcBorders>
          </w:tcPr>
          <w:p>
            <w:pPr>
              <w:pStyle w:val="TableParagraph"/>
              <w:spacing w:line="180" w:lineRule="exact"/>
              <w:ind w:left="150" w:right="0"/>
              <w:jc w:val="left"/>
              <w:rPr>
                <w:rFonts w:ascii="宋体" w:hAnsi="宋体" w:cs="宋体" w:eastAsia="宋体" w:hint="default"/>
                <w:sz w:val="18"/>
                <w:szCs w:val="18"/>
              </w:rPr>
            </w:pPr>
            <w:r>
              <w:rPr>
                <w:rFonts w:ascii="宋体" w:hAnsi="宋体" w:cs="宋体" w:eastAsia="宋体" w:hint="default"/>
                <w:sz w:val="18"/>
                <w:szCs w:val="18"/>
              </w:rPr>
              <w:t>高鸿科</w:t>
            </w:r>
          </w:p>
          <w:p>
            <w:pPr>
              <w:pStyle w:val="TableParagraph"/>
              <w:spacing w:line="316" w:lineRule="auto" w:before="77"/>
              <w:ind w:left="150" w:right="201"/>
              <w:jc w:val="left"/>
              <w:rPr>
                <w:rFonts w:ascii="宋体" w:hAnsi="宋体" w:cs="宋体" w:eastAsia="宋体" w:hint="default"/>
                <w:sz w:val="18"/>
                <w:szCs w:val="18"/>
              </w:rPr>
            </w:pPr>
            <w:r>
              <w:rPr>
                <w:rFonts w:ascii="宋体" w:hAnsi="宋体" w:cs="宋体" w:eastAsia="宋体" w:hint="default"/>
                <w:sz w:val="18"/>
                <w:szCs w:val="18"/>
              </w:rPr>
              <w:t>技表决 权比例</w:t>
            </w:r>
          </w:p>
        </w:tc>
        <w:tc>
          <w:tcPr>
            <w:tcW w:w="1202" w:type="dxa"/>
            <w:tcBorders>
              <w:top w:val="nil" w:sz="6" w:space="0" w:color="auto"/>
              <w:left w:val="nil" w:sz="6" w:space="0" w:color="auto"/>
              <w:bottom w:val="single" w:sz="8" w:space="0" w:color="000000"/>
              <w:right w:val="nil" w:sz="6" w:space="0" w:color="auto"/>
            </w:tcBorders>
          </w:tcPr>
          <w:p>
            <w:pPr>
              <w:pStyle w:val="TableParagraph"/>
              <w:spacing w:line="180" w:lineRule="exact"/>
              <w:ind w:right="339"/>
              <w:jc w:val="center"/>
              <w:rPr>
                <w:rFonts w:ascii="宋体" w:hAnsi="宋体" w:cs="宋体" w:eastAsia="宋体" w:hint="default"/>
                <w:sz w:val="18"/>
                <w:szCs w:val="18"/>
              </w:rPr>
            </w:pPr>
            <w:r>
              <w:rPr>
                <w:rFonts w:ascii="宋体" w:hAnsi="宋体" w:cs="宋体" w:eastAsia="宋体" w:hint="default"/>
                <w:sz w:val="18"/>
                <w:szCs w:val="18"/>
              </w:rPr>
              <w:t>是否合</w:t>
            </w:r>
          </w:p>
          <w:p>
            <w:pPr>
              <w:pStyle w:val="TableParagraph"/>
              <w:spacing w:line="240" w:lineRule="auto" w:before="77"/>
              <w:ind w:right="339"/>
              <w:jc w:val="center"/>
              <w:rPr>
                <w:rFonts w:ascii="宋体" w:hAnsi="宋体" w:cs="宋体" w:eastAsia="宋体" w:hint="default"/>
                <w:sz w:val="18"/>
                <w:szCs w:val="18"/>
              </w:rPr>
            </w:pPr>
            <w:r>
              <w:rPr>
                <w:rFonts w:ascii="宋体" w:hAnsi="宋体" w:cs="宋体" w:eastAsia="宋体" w:hint="default"/>
                <w:sz w:val="18"/>
                <w:szCs w:val="18"/>
              </w:rPr>
              <w:t>并</w:t>
            </w:r>
          </w:p>
        </w:tc>
        <w:tc>
          <w:tcPr>
            <w:tcW w:w="1527" w:type="dxa"/>
            <w:tcBorders>
              <w:top w:val="nil" w:sz="6" w:space="0" w:color="auto"/>
              <w:left w:val="nil" w:sz="6" w:space="0" w:color="auto"/>
              <w:bottom w:val="single" w:sz="8" w:space="0" w:color="000000"/>
              <w:right w:val="nil" w:sz="6" w:space="0" w:color="auto"/>
            </w:tcBorders>
          </w:tcPr>
          <w:p>
            <w:pPr>
              <w:pStyle w:val="TableParagraph"/>
              <w:spacing w:line="180" w:lineRule="exact"/>
              <w:ind w:left="501"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43" w:hRule="exact"/>
        </w:trPr>
        <w:tc>
          <w:tcPr>
            <w:tcW w:w="2848" w:type="dxa"/>
            <w:tcBorders>
              <w:top w:val="single" w:sz="8" w:space="0" w:color="000000"/>
              <w:left w:val="nil" w:sz="6" w:space="0" w:color="auto"/>
              <w:bottom w:val="single" w:sz="8"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北京大唐高鸿电子商贸有限公司</w:t>
            </w:r>
          </w:p>
        </w:tc>
        <w:tc>
          <w:tcPr>
            <w:tcW w:w="1884"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301" w:right="0"/>
              <w:jc w:val="left"/>
              <w:rPr>
                <w:rFonts w:ascii="Times New Roman" w:hAnsi="Times New Roman" w:cs="Times New Roman" w:eastAsia="Times New Roman" w:hint="default"/>
                <w:sz w:val="18"/>
                <w:szCs w:val="18"/>
              </w:rPr>
            </w:pPr>
            <w:r>
              <w:rPr>
                <w:rFonts w:ascii="Times New Roman"/>
                <w:sz w:val="18"/>
              </w:rPr>
              <w:t>110113014352999</w:t>
            </w:r>
          </w:p>
        </w:tc>
        <w:tc>
          <w:tcPr>
            <w:tcW w:w="1124"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608" w:right="0"/>
              <w:jc w:val="left"/>
              <w:rPr>
                <w:rFonts w:ascii="Times New Roman" w:hAnsi="Times New Roman" w:cs="Times New Roman" w:eastAsia="Times New Roman" w:hint="default"/>
                <w:sz w:val="18"/>
                <w:szCs w:val="18"/>
              </w:rPr>
            </w:pPr>
            <w:r>
              <w:rPr>
                <w:rFonts w:ascii="Times New Roman"/>
                <w:sz w:val="18"/>
              </w:rPr>
              <w:t>3000</w:t>
            </w:r>
          </w:p>
        </w:tc>
        <w:tc>
          <w:tcPr>
            <w:tcW w:w="888"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403" w:right="0"/>
              <w:jc w:val="left"/>
              <w:rPr>
                <w:rFonts w:ascii="Times New Roman" w:hAnsi="Times New Roman" w:cs="Times New Roman" w:eastAsia="Times New Roman" w:hint="default"/>
                <w:sz w:val="18"/>
                <w:szCs w:val="18"/>
              </w:rPr>
            </w:pPr>
            <w:r>
              <w:rPr>
                <w:rFonts w:ascii="Times New Roman"/>
                <w:sz w:val="18"/>
              </w:rPr>
              <w:t>95%</w:t>
            </w:r>
          </w:p>
        </w:tc>
        <w:tc>
          <w:tcPr>
            <w:tcW w:w="89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left="399" w:right="0"/>
              <w:jc w:val="left"/>
              <w:rPr>
                <w:rFonts w:ascii="Times New Roman" w:hAnsi="Times New Roman" w:cs="Times New Roman" w:eastAsia="Times New Roman" w:hint="default"/>
                <w:sz w:val="18"/>
                <w:szCs w:val="18"/>
              </w:rPr>
            </w:pPr>
            <w:r>
              <w:rPr>
                <w:rFonts w:ascii="Times New Roman"/>
                <w:sz w:val="18"/>
              </w:rPr>
              <w:t>95%</w:t>
            </w:r>
          </w:p>
        </w:tc>
        <w:tc>
          <w:tcPr>
            <w:tcW w:w="1202" w:type="dxa"/>
            <w:tcBorders>
              <w:top w:val="single" w:sz="8" w:space="0" w:color="000000"/>
              <w:left w:val="nil" w:sz="6" w:space="0" w:color="auto"/>
              <w:bottom w:val="single" w:sz="8" w:space="0" w:color="000000"/>
              <w:right w:val="nil" w:sz="6" w:space="0" w:color="auto"/>
            </w:tcBorders>
          </w:tcPr>
          <w:p>
            <w:pPr>
              <w:pStyle w:val="TableParagraph"/>
              <w:spacing w:line="240" w:lineRule="auto" w:before="8"/>
              <w:ind w:left="33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527" w:type="dxa"/>
            <w:tcBorders>
              <w:top w:val="single" w:sz="8" w:space="0" w:color="000000"/>
              <w:left w:val="nil" w:sz="6" w:space="0" w:color="auto"/>
              <w:bottom w:val="single" w:sz="8"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）同一控制下企业合并取得的子公司</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528"/>
        <w:gridCol w:w="991"/>
        <w:gridCol w:w="710"/>
        <w:gridCol w:w="708"/>
        <w:gridCol w:w="708"/>
        <w:gridCol w:w="708"/>
        <w:gridCol w:w="427"/>
        <w:gridCol w:w="685"/>
        <w:gridCol w:w="682"/>
        <w:gridCol w:w="673"/>
      </w:tblGrid>
      <w:tr>
        <w:trPr>
          <w:trHeight w:val="5706"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79" w:right="79"/>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79" w:right="77"/>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24" w:right="77"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35" w:right="31" w:firstLine="43"/>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28" w:right="26"/>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1298"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北京大 唐融合 通信技 术有限</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电信增 值业务</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5"/>
              <w:jc w:val="both"/>
              <w:rPr>
                <w:rFonts w:ascii="宋体" w:hAnsi="宋体" w:cs="宋体" w:eastAsia="宋体" w:hint="default"/>
                <w:sz w:val="18"/>
                <w:szCs w:val="18"/>
              </w:rPr>
            </w:pPr>
            <w:r>
              <w:rPr>
                <w:rFonts w:ascii="宋体" w:hAnsi="宋体" w:cs="宋体" w:eastAsia="宋体" w:hint="default"/>
                <w:sz w:val="18"/>
                <w:szCs w:val="18"/>
              </w:rPr>
              <w:t>第二类增值 电信业务中 的呼叫中心 业务；技术</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5" w:right="0"/>
              <w:jc w:val="left"/>
              <w:rPr>
                <w:rFonts w:ascii="Times New Roman" w:hAnsi="Times New Roman" w:cs="Times New Roman" w:eastAsia="Times New Roman" w:hint="default"/>
                <w:sz w:val="18"/>
                <w:szCs w:val="18"/>
              </w:rPr>
            </w:pPr>
            <w:r>
              <w:rPr>
                <w:rFonts w:ascii="Times New Roman"/>
                <w:sz w:val="18"/>
              </w:rPr>
              <w:t>3,923,62</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2.36</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75%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75%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86" w:right="0"/>
              <w:jc w:val="center"/>
              <w:rPr>
                <w:rFonts w:ascii="Times New Roman" w:hAnsi="Times New Roman" w:cs="Times New Roman" w:eastAsia="Times New Roman" w:hint="default"/>
                <w:sz w:val="18"/>
                <w:szCs w:val="18"/>
              </w:rPr>
            </w:pPr>
            <w:r>
              <w:rPr>
                <w:rFonts w:ascii="Times New Roman"/>
                <w:sz w:val="18"/>
              </w:rPr>
              <w:t>3,157,3</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39.53</w:t>
            </w:r>
          </w:p>
        </w:tc>
        <w:tc>
          <w:tcPr>
            <w:tcW w:w="68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687"/>
        <w:gridCol w:w="684"/>
        <w:gridCol w:w="684"/>
        <w:gridCol w:w="682"/>
        <w:gridCol w:w="528"/>
        <w:gridCol w:w="991"/>
        <w:gridCol w:w="710"/>
        <w:gridCol w:w="708"/>
        <w:gridCol w:w="708"/>
        <w:gridCol w:w="708"/>
        <w:gridCol w:w="427"/>
        <w:gridCol w:w="685"/>
        <w:gridCol w:w="682"/>
        <w:gridCol w:w="684"/>
      </w:tblGrid>
      <w:tr>
        <w:trPr>
          <w:trHeight w:val="2547"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55"/>
              <w:jc w:val="left"/>
              <w:rPr>
                <w:rFonts w:ascii="宋体" w:hAnsi="宋体" w:cs="宋体" w:eastAsia="宋体" w:hint="default"/>
                <w:sz w:val="18"/>
                <w:szCs w:val="18"/>
              </w:rPr>
            </w:pPr>
            <w:r>
              <w:rPr>
                <w:rFonts w:ascii="宋体" w:hAnsi="宋体" w:cs="宋体" w:eastAsia="宋体" w:hint="default"/>
                <w:sz w:val="18"/>
                <w:szCs w:val="18"/>
              </w:rPr>
              <w:t>服务；销售 通信、机电 和计算机系 统集成设 备；开发、 生产、销售 计算机软、 硬件</w:t>
            </w:r>
            <w:r>
              <w:rPr>
                <w:rFonts w:ascii="宋体" w:hAnsi="宋体" w:cs="宋体" w:eastAsia="宋体" w:hint="default"/>
                <w:spacing w:val="1"/>
                <w:sz w:val="18"/>
                <w:szCs w:val="18"/>
              </w:rPr>
              <w:t> </w:t>
            </w:r>
            <w:r>
              <w:rPr>
                <w:rFonts w:ascii="宋体" w:hAnsi="宋体" w:cs="宋体" w:eastAsia="宋体"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通过同一控制下企业合并取得的子公司的其他说明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）非同一控制下企业合并取得的子公司</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6"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bl>
    <w:p>
      <w:pPr>
        <w:spacing w:before="50"/>
        <w:ind w:left="152" w:right="1125" w:firstLine="0"/>
        <w:jc w:val="left"/>
        <w:rPr>
          <w:rFonts w:ascii="宋体" w:hAnsi="宋体" w:cs="宋体" w:eastAsia="宋体" w:hint="default"/>
          <w:sz w:val="18"/>
          <w:szCs w:val="18"/>
        </w:rPr>
      </w:pPr>
      <w:r>
        <w:rPr>
          <w:rFonts w:ascii="宋体" w:hAnsi="宋体" w:cs="宋体" w:eastAsia="宋体" w:hint="default"/>
          <w:sz w:val="18"/>
          <w:szCs w:val="18"/>
        </w:rPr>
        <w:t>通过非同一控制下企业合并取得的子公司的其他说明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、特殊目的主体或通过受托经营或承租等方式形成控制权的经营实体</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83"/>
        <w:gridCol w:w="4688"/>
      </w:tblGrid>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7"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特殊目的主体或通过受托经营或承租等方式形成控制权的经营实体的其他说明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、合并范围发生变更的说明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合并报表范围发生变更说明</w:t>
      </w:r>
    </w:p>
    <w:p>
      <w:pPr>
        <w:spacing w:before="117"/>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9"/>
          <w:szCs w:val="29"/>
        </w:rPr>
      </w:pPr>
    </w:p>
    <w:p>
      <w:pPr>
        <w:pStyle w:val="BodyText"/>
        <w:spacing w:line="357" w:lineRule="auto" w:before="26"/>
        <w:ind w:left="753" w:right="1125" w:hanging="120"/>
        <w:jc w:val="left"/>
      </w:pPr>
      <w:r>
        <w:rPr/>
        <w:t>与上年相比本年（期）新增合并单位</w:t>
      </w:r>
      <w:r>
        <w:rPr>
          <w:rFonts w:ascii="宋体" w:hAnsi="宋体" w:cs="宋体" w:eastAsia="宋体" w:hint="default"/>
        </w:rPr>
        <w:t>1</w:t>
      </w:r>
      <w:r>
        <w:rPr/>
        <w:t>家，原因为 </w:t>
      </w:r>
      <w:r>
        <w:rPr>
          <w:spacing w:val="-3"/>
        </w:rPr>
        <w:t>经公司第六届第二十七次董事会会议审议通过，同意公司和控股子公司高鸿信息合计投</w:t>
      </w:r>
    </w:p>
    <w:p>
      <w:pPr>
        <w:pStyle w:val="BodyText"/>
        <w:spacing w:line="357" w:lineRule="auto" w:before="36"/>
        <w:ind w:right="1128"/>
        <w:jc w:val="both"/>
      </w:pPr>
      <w:r>
        <w:rPr/>
        <w:t>资</w:t>
      </w:r>
      <w:r>
        <w:rPr>
          <w:rFonts w:ascii="宋体" w:hAnsi="宋体" w:cs="宋体" w:eastAsia="宋体" w:hint="default"/>
        </w:rPr>
        <w:t>3,000</w:t>
      </w:r>
      <w:r>
        <w:rPr/>
        <w:t>万元在山东济宁设立子公司</w:t>
      </w:r>
      <w:r>
        <w:rPr>
          <w:rFonts w:ascii="宋体" w:hAnsi="宋体" w:cs="宋体" w:eastAsia="宋体" w:hint="default"/>
        </w:rPr>
        <w:t>"</w:t>
      </w:r>
      <w:r>
        <w:rPr/>
        <w:t>大唐高鸿济宁电子信息技术有限公司</w:t>
      </w:r>
      <w:r>
        <w:rPr>
          <w:rFonts w:ascii="宋体" w:hAnsi="宋体" w:cs="宋体" w:eastAsia="宋体" w:hint="default"/>
        </w:rPr>
        <w:t>"</w:t>
      </w:r>
      <w:r>
        <w:rPr/>
        <w:t>。公司出资</w:t>
      </w:r>
      <w:r>
        <w:rPr>
          <w:rFonts w:ascii="宋体" w:hAnsi="宋体" w:cs="宋体" w:eastAsia="宋体" w:hint="default"/>
        </w:rPr>
        <w:t>2,940</w:t>
      </w:r>
      <w:r>
        <w:rPr>
          <w:rFonts w:ascii="宋体" w:hAnsi="宋体" w:cs="宋体" w:eastAsia="宋体" w:hint="default"/>
          <w:spacing w:val="-86"/>
        </w:rPr>
        <w:t> </w:t>
      </w:r>
      <w:r>
        <w:rPr>
          <w:rFonts w:ascii="宋体" w:hAnsi="宋体" w:cs="宋体" w:eastAsia="宋体" w:hint="default"/>
          <w:spacing w:val="-86"/>
        </w:rPr>
      </w:r>
      <w:r>
        <w:rPr/>
        <w:t>万元，持有其</w:t>
      </w:r>
      <w:r>
        <w:rPr>
          <w:rFonts w:ascii="宋体" w:hAnsi="宋体" w:cs="宋体" w:eastAsia="宋体" w:hint="default"/>
        </w:rPr>
        <w:t>98%</w:t>
      </w:r>
      <w:r>
        <w:rPr/>
        <w:t>股权；高鸿信息出资</w:t>
      </w:r>
      <w:r>
        <w:rPr>
          <w:rFonts w:ascii="宋体" w:hAnsi="宋体" w:cs="宋体" w:eastAsia="宋体" w:hint="default"/>
        </w:rPr>
        <w:t>60</w:t>
      </w:r>
      <w:r>
        <w:rPr/>
        <w:t>万元持有其</w:t>
      </w:r>
      <w:r>
        <w:rPr>
          <w:rFonts w:ascii="宋体" w:hAnsi="宋体" w:cs="宋体" w:eastAsia="宋体" w:hint="default"/>
        </w:rPr>
        <w:t>2%</w:t>
      </w:r>
      <w:r>
        <w:rPr/>
        <w:t>股权。高鸿济宁公司</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26</w:t>
      </w:r>
      <w:r>
        <w:rPr/>
        <w:t>日成</w:t>
      </w:r>
      <w:r>
        <w:rPr>
          <w:spacing w:val="-85"/>
        </w:rPr>
        <w:t> </w:t>
      </w:r>
      <w:r>
        <w:rPr/>
        <w:t>立，注册资本</w:t>
      </w:r>
      <w:r>
        <w:rPr>
          <w:rFonts w:ascii="宋体" w:hAnsi="宋体" w:cs="宋体" w:eastAsia="宋体" w:hint="default"/>
        </w:rPr>
        <w:t>6,000</w:t>
      </w:r>
      <w:r>
        <w:rPr/>
        <w:t>万元，截至</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30</w:t>
      </w:r>
      <w:r>
        <w:rPr/>
        <w:t>日，高鸿济宁公司实收资本为</w:t>
      </w:r>
      <w:r>
        <w:rPr>
          <w:rFonts w:ascii="宋体" w:hAnsi="宋体" w:cs="宋体" w:eastAsia="宋体" w:hint="default"/>
        </w:rPr>
        <w:t>3,000</w:t>
      </w:r>
      <w:r>
        <w:rPr/>
        <w:t>万元。</w:t>
      </w:r>
    </w:p>
    <w:p>
      <w:pPr>
        <w:spacing w:line="240" w:lineRule="auto" w:before="10"/>
        <w:rPr>
          <w:rFonts w:ascii="宋体" w:hAnsi="宋体" w:cs="宋体" w:eastAsia="宋体" w:hint="default"/>
          <w:sz w:val="21"/>
          <w:szCs w:val="21"/>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、报告期内新纳入合并范围的主体和报告期内不再纳入合并范围的主体</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25" w:firstLine="0"/>
        <w:jc w:val="left"/>
        <w:rPr>
          <w:rFonts w:ascii="宋体" w:hAnsi="宋体" w:cs="宋体" w:eastAsia="宋体" w:hint="default"/>
          <w:sz w:val="18"/>
          <w:szCs w:val="18"/>
        </w:rPr>
      </w:pPr>
      <w:r>
        <w:rPr>
          <w:rFonts w:ascii="宋体" w:hAnsi="宋体" w:cs="宋体" w:eastAsia="宋体" w:hint="default"/>
          <w:sz w:val="18"/>
          <w:szCs w:val="18"/>
        </w:rPr>
        <w:t>本期新纳入合并范围的子公司、特殊目的主体、通过受托经营或承租等方式形成控制权的经营实体</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1"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大唐高鸿济宁电子信息技术有限公司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83" w:right="0"/>
              <w:jc w:val="left"/>
              <w:rPr>
                <w:rFonts w:ascii="Times New Roman" w:hAnsi="Times New Roman" w:cs="Times New Roman" w:eastAsia="Times New Roman" w:hint="default"/>
                <w:sz w:val="18"/>
                <w:szCs w:val="18"/>
              </w:rPr>
            </w:pPr>
            <w:r>
              <w:rPr>
                <w:rFonts w:ascii="Times New Roman"/>
                <w:sz w:val="18"/>
              </w:rPr>
              <w:t>30,156,257.05</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156,257.05</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本期不再纳入合并范围的子公司、特殊目的主体、通过受托经营或承租等方式形成控制权的经营实体</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2"/>
        <w:gridCol w:w="2634"/>
      </w:tblGrid>
      <w:tr>
        <w:trPr>
          <w:trHeight w:val="403" w:hRule="exact"/>
        </w:trPr>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新纳入合并范围的主体和不再纳入合并范围的主体的其他说明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、报告期内发生的同一控制下企业合并</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94"/>
        <w:gridCol w:w="1556"/>
        <w:gridCol w:w="1553"/>
        <w:gridCol w:w="1556"/>
        <w:gridCol w:w="1557"/>
        <w:gridCol w:w="1543"/>
      </w:tblGrid>
      <w:tr>
        <w:trPr>
          <w:trHeight w:val="713" w:hRule="exact"/>
        </w:trPr>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24" w:right="51" w:hanging="272"/>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2" w:right="52"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1" w:right="41"/>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同一控制下企业合并的其他说明</w:t>
      </w:r>
    </w:p>
    <w:p>
      <w:pPr>
        <w:spacing w:line="240" w:lineRule="auto" w:before="0"/>
        <w:rPr>
          <w:rFonts w:ascii="宋体" w:hAnsi="宋体" w:cs="宋体" w:eastAsia="宋体" w:hint="default"/>
          <w:sz w:val="18"/>
          <w:szCs w:val="18"/>
        </w:rPr>
      </w:pPr>
    </w:p>
    <w:p>
      <w:pPr>
        <w:spacing w:before="12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、报告期内发生的非同一控制下企业合并</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76"/>
        <w:gridCol w:w="3032"/>
        <w:gridCol w:w="3850"/>
      </w:tblGrid>
      <w:tr>
        <w:trPr>
          <w:trHeight w:val="403" w:hRule="exact"/>
        </w:trPr>
        <w:tc>
          <w:tcPr>
            <w:tcW w:w="2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非同一控制下企业合并的其他说明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、报告期内出售丧失控制权的股权而减少子公司</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84"/>
        <w:gridCol w:w="2489"/>
        <w:gridCol w:w="3085"/>
      </w:tblGrid>
      <w:tr>
        <w:trPr>
          <w:trHeight w:val="402" w:hRule="exact"/>
        </w:trPr>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bl>
    <w:p>
      <w:pPr>
        <w:spacing w:before="50"/>
        <w:ind w:left="152" w:right="1125" w:firstLine="0"/>
        <w:jc w:val="left"/>
        <w:rPr>
          <w:rFonts w:ascii="宋体" w:hAnsi="宋体" w:cs="宋体" w:eastAsia="宋体" w:hint="default"/>
          <w:sz w:val="18"/>
          <w:szCs w:val="18"/>
        </w:rPr>
      </w:pPr>
      <w:r>
        <w:rPr>
          <w:rFonts w:ascii="宋体" w:hAnsi="宋体" w:cs="宋体" w:eastAsia="宋体" w:hint="default"/>
          <w:sz w:val="18"/>
          <w:szCs w:val="18"/>
        </w:rPr>
        <w:t>出售丧失控制权的股权而减少的子公司的其他说明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、报告期内发生的反向购买</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3"/>
        <w:gridCol w:w="2380"/>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9" w:right="0"/>
              <w:jc w:val="left"/>
              <w:rPr>
                <w:rFonts w:ascii="宋体" w:hAnsi="宋体" w:cs="宋体" w:eastAsia="宋体" w:hint="default"/>
                <w:sz w:val="18"/>
                <w:szCs w:val="18"/>
              </w:rPr>
            </w:pPr>
            <w:r>
              <w:rPr>
                <w:rFonts w:ascii="宋体" w:hAnsi="宋体" w:cs="宋体" w:eastAsia="宋体" w:hint="default"/>
                <w:sz w:val="18"/>
                <w:szCs w:val="18"/>
              </w:rPr>
              <w:t>合并中确认的商誉或计入当</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36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1" w:right="0"/>
              <w:jc w:val="left"/>
              <w:rPr>
                <w:rFonts w:ascii="宋体" w:hAnsi="宋体" w:cs="宋体" w:eastAsia="宋体" w:hint="default"/>
                <w:sz w:val="18"/>
                <w:szCs w:val="18"/>
              </w:rPr>
            </w:pPr>
            <w:r>
              <w:rPr>
                <w:rFonts w:ascii="宋体" w:hAnsi="宋体" w:cs="宋体" w:eastAsia="宋体" w:hint="default"/>
                <w:sz w:val="18"/>
                <w:szCs w:val="18"/>
              </w:rPr>
              <w:t>期的损益的计算方法</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反向购买的其他说明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、本报告期发生的吸收合并</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41"/>
        <w:gridCol w:w="1481"/>
        <w:gridCol w:w="1484"/>
        <w:gridCol w:w="1481"/>
        <w:gridCol w:w="1483"/>
      </w:tblGrid>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0"/>
        <w:ind w:left="152" w:right="1125" w:firstLine="0"/>
        <w:jc w:val="left"/>
        <w:rPr>
          <w:rFonts w:ascii="宋体" w:hAnsi="宋体" w:cs="宋体" w:eastAsia="宋体" w:hint="default"/>
          <w:sz w:val="18"/>
          <w:szCs w:val="18"/>
        </w:rPr>
      </w:pPr>
      <w:r>
        <w:rPr>
          <w:rFonts w:ascii="宋体" w:hAnsi="宋体" w:cs="宋体" w:eastAsia="宋体" w:hint="default"/>
          <w:sz w:val="18"/>
          <w:szCs w:val="18"/>
        </w:rPr>
        <w:t>吸收合并的其他说明</w:t>
      </w:r>
    </w:p>
    <w:p>
      <w:pPr>
        <w:spacing w:line="240" w:lineRule="auto" w:before="0"/>
        <w:rPr>
          <w:rFonts w:ascii="宋体" w:hAnsi="宋体" w:cs="宋体" w:eastAsia="宋体" w:hint="default"/>
          <w:sz w:val="18"/>
          <w:szCs w:val="18"/>
        </w:rPr>
      </w:pPr>
    </w:p>
    <w:p>
      <w:pPr>
        <w:spacing w:line="487" w:lineRule="auto" w:before="118"/>
        <w:ind w:left="152" w:right="6434"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10</w:t>
      </w:r>
      <w:r>
        <w:rPr>
          <w:rFonts w:ascii="宋体" w:hAnsi="宋体" w:cs="宋体" w:eastAsia="宋体" w:hint="default"/>
          <w:b/>
          <w:bCs/>
          <w:spacing w:val="-1"/>
          <w:sz w:val="21"/>
          <w:szCs w:val="21"/>
        </w:rPr>
        <w:t>、境外经营实体主要报表项目的折算汇率</w:t>
      </w:r>
      <w:r>
        <w:rPr>
          <w:rFonts w:ascii="宋体" w:hAnsi="宋体" w:cs="宋体" w:eastAsia="宋体" w:hint="default"/>
          <w:b/>
          <w:bCs/>
          <w:spacing w:val="-83"/>
          <w:sz w:val="21"/>
          <w:szCs w:val="21"/>
        </w:rPr>
        <w:t> </w:t>
      </w:r>
      <w:r>
        <w:rPr>
          <w:rFonts w:ascii="宋体" w:hAnsi="宋体" w:cs="宋体" w:eastAsia="宋体" w:hint="default"/>
          <w:b/>
          <w:bCs/>
          <w:spacing w:val="-83"/>
          <w:sz w:val="21"/>
          <w:szCs w:val="21"/>
        </w:rPr>
      </w:r>
      <w:r>
        <w:rPr>
          <w:rFonts w:ascii="宋体" w:hAnsi="宋体" w:cs="宋体" w:eastAsia="宋体" w:hint="default"/>
          <w:b/>
          <w:bCs/>
          <w:sz w:val="24"/>
          <w:szCs w:val="24"/>
        </w:rPr>
        <w:t>七、合并财务报表主要项目注释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325"/>
        <w:gridCol w:w="931"/>
        <w:gridCol w:w="1462"/>
        <w:gridCol w:w="1327"/>
        <w:gridCol w:w="932"/>
        <w:gridCol w:w="1594"/>
      </w:tblGrid>
      <w:tr>
        <w:trPr>
          <w:trHeight w:val="206"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2D2D2"/>
          </w:tcPr>
          <w:p>
            <w:pPr/>
          </w:p>
        </w:tc>
        <w:tc>
          <w:tcPr>
            <w:tcW w:w="385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5"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165,653.58</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649,673.19</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165,653.58</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649,673.19</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1,187,842,465.08</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306,575,947.54</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1,187,842,429.57</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302,008,099.66</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5.65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4" w:right="0"/>
              <w:jc w:val="left"/>
              <w:rPr>
                <w:rFonts w:ascii="Times New Roman" w:hAnsi="Times New Roman" w:cs="Times New Roman" w:eastAsia="Times New Roman" w:hint="default"/>
                <w:sz w:val="18"/>
                <w:szCs w:val="18"/>
              </w:rPr>
            </w:pPr>
            <w:r>
              <w:rPr>
                <w:rFonts w:ascii="Times New Roman"/>
                <w:sz w:val="18"/>
              </w:rPr>
              <w:t>6.29%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35.51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724,951.63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4,567,847.72</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1325"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0.16</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1,006,894.45</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6,686,423.55</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1,006,894.45</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6,686,423.55</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1,189,015,013.11</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313,912,044.28</w:t>
            </w:r>
          </w:p>
        </w:tc>
      </w:tr>
    </w:tbl>
    <w:p>
      <w:pPr>
        <w:spacing w:line="357" w:lineRule="auto" w:before="49"/>
        <w:ind w:left="152" w:right="3554" w:firstLine="0"/>
        <w:jc w:val="left"/>
        <w:rPr>
          <w:rFonts w:ascii="宋体" w:hAnsi="宋体" w:cs="宋体" w:eastAsia="宋体" w:hint="default"/>
          <w:sz w:val="18"/>
          <w:szCs w:val="18"/>
        </w:rPr>
      </w:pPr>
      <w:r>
        <w:rPr>
          <w:rFonts w:ascii="宋体" w:hAnsi="宋体" w:cs="宋体" w:eastAsia="宋体" w:hint="default"/>
          <w:sz w:val="18"/>
          <w:szCs w:val="18"/>
        </w:rPr>
        <w:t>如有因抵押、质押或冻结等对使用有限制、存放在境外、有潜在回收风险的款项应单独说明 无</w:t>
      </w:r>
    </w:p>
    <w:p>
      <w:pPr>
        <w:spacing w:line="240" w:lineRule="auto" w:before="6"/>
        <w:rPr>
          <w:rFonts w:ascii="宋体" w:hAnsi="宋体" w:cs="宋体" w:eastAsia="宋体" w:hint="default"/>
          <w:sz w:val="20"/>
          <w:szCs w:val="20"/>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、交易性金融资产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）交易性金融资产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pict>
          <v:group style="position:absolute;margin-left:460.320007pt;margin-top:58.971722pt;width:135pt;height:77pt;mso-position-horizontal-relative:page;mso-position-vertical-relative:paragraph;z-index:-1260808" coordorigin="9206,1179" coordsize="2700,1540">
            <v:shape style="position:absolute;left:9206;top:1179;width:2700;height:1540" type="#_x0000_t75" stroked="false">
              <v:imagedata r:id="rId18" o:title=""/>
            </v:shape>
            <v:shape style="position:absolute;left:10502;top:1540;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127</w:t>
                    </w:r>
                  </w:p>
                </w:txbxContent>
              </v:textbox>
              <w10:wrap type="none"/>
            </v:shape>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3"/>
        <w:gridCol w:w="2668"/>
        <w:gridCol w:w="2657"/>
      </w:tblGrid>
      <w:tr>
        <w:trPr>
          <w:trHeight w:val="403"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3"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1"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交易性债券投资</w:t>
            </w:r>
          </w:p>
        </w:tc>
        <w:tc>
          <w:tcPr>
            <w:tcW w:w="2668" w:type="dxa"/>
            <w:tcBorders>
              <w:top w:val="single" w:sz="4" w:space="0" w:color="000000"/>
              <w:left w:val="single" w:sz="10"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headerReference w:type="default" r:id="rId61"/>
          <w:footerReference w:type="default" r:id="rId62"/>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5"/>
        <w:gridCol w:w="2657"/>
        <w:gridCol w:w="2657"/>
      </w:tblGrid>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交易性权益工具投资</w:t>
            </w:r>
          </w:p>
        </w:tc>
        <w:tc>
          <w:tcPr>
            <w:tcW w:w="2657"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4"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指定为以公允价值计量且变动计入当期损益的金融资 产</w:t>
            </w:r>
          </w:p>
        </w:tc>
        <w:tc>
          <w:tcPr>
            <w:tcW w:w="2657"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657"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套期工具</w:t>
            </w:r>
          </w:p>
        </w:tc>
        <w:tc>
          <w:tcPr>
            <w:tcW w:w="2657"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57"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）变现有限制的交易性金融资产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0"/>
        <w:gridCol w:w="3852"/>
        <w:gridCol w:w="2165"/>
      </w:tblGrid>
      <w:tr>
        <w:trPr>
          <w:trHeight w:val="402" w:hRule="exact"/>
        </w:trPr>
        <w:tc>
          <w:tcPr>
            <w:tcW w:w="3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2"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2" w:right="0"/>
              <w:jc w:val="left"/>
              <w:rPr>
                <w:rFonts w:ascii="宋体" w:hAnsi="宋体" w:cs="宋体" w:eastAsia="宋体" w:hint="default"/>
                <w:sz w:val="18"/>
                <w:szCs w:val="18"/>
              </w:rPr>
            </w:pPr>
            <w:r>
              <w:rPr>
                <w:rFonts w:ascii="宋体" w:hAnsi="宋体" w:cs="宋体" w:eastAsia="宋体" w:hint="default"/>
                <w:sz w:val="18"/>
                <w:szCs w:val="18"/>
              </w:rPr>
              <w:t>期末金额</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）套期工具及对相关套期交易的说明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）应收票据的分类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22,135,829.50</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22,135,829.50</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）期末已质押的应收票据情况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spacing w:line="256" w:lineRule="auto"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）因出票人无力履约而将票据转为应收账款的票据，以及期末公司已经背书给他方但尚未到期的票据</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before="44"/>
        <w:ind w:left="152" w:right="1125" w:firstLine="0"/>
        <w:jc w:val="left"/>
        <w:rPr>
          <w:rFonts w:ascii="宋体" w:hAnsi="宋体" w:cs="宋体" w:eastAsia="宋体" w:hint="default"/>
          <w:sz w:val="18"/>
          <w:szCs w:val="18"/>
        </w:rPr>
      </w:pPr>
      <w:r>
        <w:rPr>
          <w:rFonts w:ascii="宋体" w:hAnsi="宋体" w:cs="宋体" w:eastAsia="宋体" w:hint="default"/>
          <w:sz w:val="18"/>
          <w:szCs w:val="18"/>
        </w:rPr>
        <w:t>因出票人无力履约而将票据转为应收账款的票据</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2"/>
        <w:gridCol w:w="1915"/>
        <w:gridCol w:w="1902"/>
        <w:gridCol w:w="1938"/>
        <w:gridCol w:w="1892"/>
      </w:tblGrid>
      <w:tr>
        <w:trPr>
          <w:trHeight w:val="403" w:hRule="exact"/>
        </w:trPr>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出票日期</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1938" w:type="dxa"/>
            <w:tcBorders>
              <w:top w:val="single" w:sz="4" w:space="0" w:color="000000"/>
              <w:left w:val="single" w:sz="10" w:space="0" w:color="D2D2D2"/>
              <w:bottom w:val="single" w:sz="4" w:space="0" w:color="000000"/>
              <w:right w:val="single" w:sz="14" w:space="0" w:color="D2D2D2"/>
            </w:tcBorders>
          </w:tcPr>
          <w:p>
            <w:pPr>
              <w:pStyle w:val="TableParagraph"/>
              <w:spacing w:line="240" w:lineRule="auto" w:before="91"/>
              <w:ind w:left="1073" w:right="0"/>
              <w:jc w:val="left"/>
              <w:rPr>
                <w:rFonts w:ascii="Times New Roman" w:hAnsi="Times New Roman" w:cs="Times New Roman" w:eastAsia="Times New Roman" w:hint="default"/>
                <w:sz w:val="18"/>
                <w:szCs w:val="18"/>
              </w:rPr>
            </w:pPr>
            <w:r>
              <w:rPr>
                <w:rFonts w:ascii="Times New Roman"/>
                <w:sz w:val="18"/>
              </w:rPr>
              <w:t>180,000.00</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63"/>
          <w:pgSz w:w="11910" w:h="16840"/>
          <w:pgMar w:footer="1340" w:header="877" w:top="1060" w:bottom="1540" w:left="980" w:right="0"/>
          <w:pgNumType w:start="128"/>
        </w:sectPr>
      </w:pPr>
    </w:p>
    <w:p>
      <w:pPr>
        <w:spacing w:line="360"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说明 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3393" w:space="5436"/>
            <w:col w:w="2101"/>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河北钢铁股份有限公司 承德分公司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河北钢铁股份有限公司 承德分公司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河北钢铁股份有限公司 承德分公司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180,000.00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7874" w:firstLine="0"/>
        <w:jc w:val="left"/>
        <w:rPr>
          <w:rFonts w:ascii="宋体" w:hAnsi="宋体" w:cs="宋体" w:eastAsia="宋体" w:hint="default"/>
          <w:sz w:val="18"/>
          <w:szCs w:val="18"/>
        </w:rPr>
      </w:pPr>
      <w:r>
        <w:rPr>
          <w:rFonts w:ascii="宋体" w:hAnsi="宋体" w:cs="宋体" w:eastAsia="宋体" w:hint="default"/>
          <w:sz w:val="18"/>
          <w:szCs w:val="18"/>
        </w:rPr>
        <w:t>说明 已贴现或质押的商业承兑票据的说明</w:t>
      </w:r>
    </w:p>
    <w:p>
      <w:pPr>
        <w:spacing w:line="240" w:lineRule="auto" w:before="6"/>
        <w:rPr>
          <w:rFonts w:ascii="宋体" w:hAnsi="宋体" w:cs="宋体" w:eastAsia="宋体" w:hint="default"/>
          <w:sz w:val="20"/>
          <w:szCs w:val="20"/>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1351"/>
        <w:gridCol w:w="1339"/>
        <w:gridCol w:w="1433"/>
        <w:gridCol w:w="1340"/>
        <w:gridCol w:w="1337"/>
        <w:gridCol w:w="1327"/>
      </w:tblGrid>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92" w:right="23"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394"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27" w:type="dxa"/>
            <w:vMerge/>
            <w:tcBorders>
              <w:left w:val="single" w:sz="4" w:space="0" w:color="000000"/>
              <w:right w:val="single" w:sz="4" w:space="0" w:color="000000"/>
            </w:tcBorders>
            <w:shd w:val="clear" w:color="auto" w:fill="D2D2D2"/>
          </w:tcPr>
          <w:p>
            <w:pPr/>
          </w:p>
        </w:tc>
      </w:tr>
      <w:tr>
        <w:trPr>
          <w:trHeight w:val="156"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0.00</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spacing w:before="12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40"/>
        <w:gridCol w:w="1871"/>
        <w:gridCol w:w="1863"/>
        <w:gridCol w:w="1860"/>
        <w:gridCol w:w="2127"/>
      </w:tblGrid>
      <w:tr>
        <w:trPr>
          <w:trHeight w:val="401" w:hRule="exact"/>
        </w:trPr>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）逾期利息</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）应收利息的说明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929"/>
        <w:gridCol w:w="931"/>
        <w:gridCol w:w="929"/>
        <w:gridCol w:w="929"/>
        <w:gridCol w:w="797"/>
        <w:gridCol w:w="929"/>
        <w:gridCol w:w="1064"/>
        <w:gridCol w:w="1066"/>
      </w:tblGrid>
      <w:tr>
        <w:trPr>
          <w:trHeight w:val="403"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000" w:type="dxa"/>
            <w:vMerge/>
            <w:tcBorders>
              <w:left w:val="single" w:sz="4" w:space="0" w:color="000000"/>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6"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按账龄分析法</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907,768,08</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6.13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43,250,198.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580,330,8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40.89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27,795,556.7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4.79%</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907,768,08</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6.13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43,250,198.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580,330,8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40.89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27,795,556.7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4.79%</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907,768,08</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6.13</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43,250,198.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580,330,8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40.89</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27,795,556.7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40" w:lineRule="auto" w:before="29"/>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3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4113" w:space="471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67"/>
        <w:gridCol w:w="1594"/>
        <w:gridCol w:w="929"/>
        <w:gridCol w:w="1728"/>
        <w:gridCol w:w="1459"/>
        <w:gridCol w:w="932"/>
        <w:gridCol w:w="1459"/>
      </w:tblGrid>
      <w:tr>
        <w:trPr>
          <w:trHeight w:val="401" w:hRule="exact"/>
        </w:trPr>
        <w:tc>
          <w:tcPr>
            <w:tcW w:w="14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467" w:type="dxa"/>
            <w:vMerge/>
            <w:tcBorders>
              <w:left w:val="single" w:sz="4" w:space="0" w:color="000000"/>
              <w:right w:val="single" w:sz="4" w:space="0" w:color="000000"/>
            </w:tcBorders>
            <w:shd w:val="clear" w:color="auto" w:fill="D2D2D2"/>
          </w:tcPr>
          <w:p>
            <w:pPr/>
          </w:p>
        </w:tc>
        <w:tc>
          <w:tcPr>
            <w:tcW w:w="2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467"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662,490,075.43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72.98%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3,312,450.40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344,906,279.41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59.43%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1,724,531.41</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662,490,075.43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72.98%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3,312,450.40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344,906,279.41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59.43%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1,724,531.41</w:t>
            </w:r>
          </w:p>
        </w:tc>
      </w:tr>
      <w:tr>
        <w:trPr>
          <w:trHeight w:val="404"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73,538,894.98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1,470,777.92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116,062,986.94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2,321,259.69</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93,642,551.06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9,364,255.11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93,905,572.96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16.18%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9,390,557.30</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78,096,564.66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29,102,715.39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25,456,001.58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14,359,208.33</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64,021,047.92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19,206,314.38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8,786,637.15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2,635,991.14</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8,358,231.46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4,179,115.73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9,892,294.49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4,946,147.25</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5,717,285.28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5,717,285.28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6,777,069.94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6,777,069.94</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907,768,086.13</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43,250,198.82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580,330,840.89</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27,795,556.73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9"/>
        <w:rPr>
          <w:rFonts w:ascii="宋体" w:hAnsi="宋体" w:cs="宋体" w:eastAsia="宋体" w:hint="default"/>
          <w:sz w:val="25"/>
          <w:szCs w:val="25"/>
        </w:rPr>
      </w:pPr>
    </w:p>
    <w:p>
      <w:pPr>
        <w:spacing w:before="44"/>
        <w:ind w:left="152" w:right="1125"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340" w:lineRule="auto" w:before="43"/>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期末单项金额虽不重大但单项计提坏账准备的应收账款</w:t>
      </w:r>
    </w:p>
    <w:p>
      <w:pPr>
        <w:spacing w:before="39"/>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）本报告期转回或收回的应收账款情况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3"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）本报告期实际核销的应收账款情况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spacing w:before="12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）本报告期应收账款中持有公司</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594"/>
        <w:gridCol w:w="1861"/>
        <w:gridCol w:w="1728"/>
      </w:tblGrid>
      <w:tr>
        <w:trPr>
          <w:trHeight w:val="403"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）应收账款中金额前五名单位情况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5"/>
              <w:jc w:val="center"/>
              <w:rPr>
                <w:rFonts w:ascii="宋体" w:hAnsi="宋体" w:cs="宋体" w:eastAsia="宋体" w:hint="default"/>
                <w:sz w:val="18"/>
                <w:szCs w:val="18"/>
              </w:rPr>
            </w:pPr>
            <w:r>
              <w:rPr>
                <w:rFonts w:ascii="宋体" w:hAnsi="宋体" w:cs="宋体" w:eastAsia="宋体" w:hint="default"/>
                <w:sz w:val="18"/>
                <w:szCs w:val="18"/>
              </w:rPr>
              <w:t>南京庆亚贸易有限公司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170,000,283.59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18.73%</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上海展桥信息技术有限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109,149,020.00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12.02%</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重庆赋仁科技发展有限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54,390,645.65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北京三祥科创高新技术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32,432,400.00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南京柏晁电子科技有限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31,270,794.60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397,243,143.84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43.75%</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）应收关联方账款情况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71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大唐电信科技产业控股有限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161,906.00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865,660.37</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大唐电信国际技术有限公司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3,630.00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兴唐通信科技有限公司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1,392,725.21</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大唐联诚信息系统技术有限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244,085.00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电信科学技术第五研究所</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1,999.00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北京大唐实创投资中心</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7,035.00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电信科学技术仪表研究所</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38,215.00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电信科学技术第四研究所</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10,794.00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20,991.00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西安大唐电信有限公司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盛耀无线通讯科技（北京） 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44,204.90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741,748.00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北京大唐志诚软件技术有限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大唐微电子技术有限公司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120,163.00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3,683,454.48</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0.41%</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）终止确认的应收款项情况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77"/>
      </w:tblGrid>
      <w:tr>
        <w:trPr>
          <w:trHeight w:val="403"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）以应收款项为标的进行证券化的，列示继续涉入形成的资产、负债的金额</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1226" w:lineRule="exact"/>
        <w:ind w:left="148"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05pt;height:61.35pt;mso-position-horizontal-relative:char;mso-position-vertical-relative:line" coordorigin="0,0" coordsize="9581,1227">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3846;top:14;width:2;height:394" coordorigin="3846,14" coordsize="2,394">
              <v:shape style="position:absolute;left:3846;top:14;width:2;height:394" coordorigin="3846,14" coordsize="0,394" path="m3846,14l3846,408e" filled="false" stroked="true" strokeweight="1.2pt" strokecolor="#d2d2d2">
                <v:path arrowok="t"/>
              </v:shape>
            </v:group>
            <v:group style="position:absolute;left:34;top:14;width:3801;height:394" coordorigin="34,14" coordsize="3801,394">
              <v:shape style="position:absolute;left:34;top:14;width:3801;height:394" coordorigin="34,14" coordsize="3801,394" path="m34,408l3834,408,3834,14,34,14,34,408xe" filled="true" fillcolor="#d2d2d2" stroked="false">
                <v:path arrowok="t"/>
                <v:fill type="solid"/>
              </v:shape>
            </v:group>
            <v:group style="position:absolute;left:3879;top:14;width:2;height:394" coordorigin="3879,14" coordsize="2,394">
              <v:shape style="position:absolute;left:3879;top:14;width:2;height:394" coordorigin="3879,14" coordsize="0,394" path="m3879,14l3879,408e" filled="false" stroked="true" strokeweight="1.2pt" strokecolor="#d2d2d2">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d2d2d2">
                <v:path arrowok="t"/>
              </v:shape>
            </v:group>
            <v:group style="position:absolute;left:3891;top:14;width:5656;height:394" coordorigin="3891,14" coordsize="5656,394">
              <v:shape style="position:absolute;left:3891;top:14;width:5656;height:394" coordorigin="3891,14" coordsize="5656,394" path="m3891,408l9547,408,9547,14,3891,14,3891,408xe" filled="true" fillcolor="#d2d2d2" stroked="false">
                <v:path arrowok="t"/>
                <v:fill type="solid"/>
              </v:shape>
            </v:group>
            <v:group style="position:absolute;left:10;top:10;width:3849;height:2" coordorigin="10,10" coordsize="3849,2">
              <v:shape style="position:absolute;left:10;top:10;width:3849;height:2" coordorigin="10,10" coordsize="3849,0" path="m10,10l3858,10e" filled="false" stroked="true" strokeweight=".48pt" strokecolor="#000000">
                <v:path arrowok="t"/>
              </v:shape>
            </v:group>
            <v:group style="position:absolute;left:3867;top:10;width:5704;height:2" coordorigin="3867,10" coordsize="5704,2">
              <v:shape style="position:absolute;left:3867;top:10;width:5704;height:2" coordorigin="3867,10" coordsize="5704,0" path="m3867,10l9571,10e" filled="false" stroked="true" strokeweight=".48pt" strokecolor="#000000">
                <v:path arrowok="t"/>
              </v:shape>
            </v:group>
            <v:group style="position:absolute;left:3863;top:5;width:2;height:413" coordorigin="3863,5" coordsize="2,413">
              <v:shape style="position:absolute;left:3863;top:5;width:2;height:413" coordorigin="3863,5" coordsize="0,413" path="m3863,5l3863,418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9559;top:418;width:2;height:392" coordorigin="9559,418" coordsize="2,392">
              <v:shape style="position:absolute;left:9559;top:418;width:2;height:392" coordorigin="9559,418" coordsize="0,392" path="m9559,418l9559,809e" filled="false" stroked="true" strokeweight="1.2pt" strokecolor="#d2d2d2">
                <v:path arrowok="t"/>
              </v:shape>
            </v:group>
            <v:group style="position:absolute;left:34;top:418;width:9514;height:392" coordorigin="34,418" coordsize="9514,392">
              <v:shape style="position:absolute;left:34;top:418;width:9514;height:392" coordorigin="34,418" coordsize="9514,392" path="m34,809l9547,809,9547,418,34,418,34,809xe" filled="true" fillcolor="#d2d2d2" stroked="false">
                <v:path arrowok="t"/>
                <v:fill type="solid"/>
              </v:shape>
            </v:group>
            <v:group style="position:absolute;left:10;top:413;width:3849;height:2" coordorigin="10,413" coordsize="3849,2">
              <v:shape style="position:absolute;left:10;top:413;width:3849;height:2" coordorigin="10,413" coordsize="3849,0" path="m10,413l3858,413e" filled="false" stroked="true" strokeweight=".48pt" strokecolor="#000000">
                <v:path arrowok="t"/>
              </v:shape>
            </v:group>
            <v:group style="position:absolute;left:3867;top:413;width:5704;height:2" coordorigin="3867,413" coordsize="5704,2">
              <v:shape style="position:absolute;left:3867;top:413;width:5704;height:2" coordorigin="3867,413" coordsize="5704,0" path="m3867,413l9571,413e" filled="false" stroked="true" strokeweight=".48pt" strokecolor="#000000">
                <v:path arrowok="t"/>
              </v:shape>
            </v:group>
            <v:group style="position:absolute;left:23;top:818;width:2;height:394" coordorigin="23,818" coordsize="2,394">
              <v:shape style="position:absolute;left:23;top:818;width:2;height:394" coordorigin="23,818" coordsize="0,394" path="m23,818l23,1212e" filled="false" stroked="true" strokeweight="1.08pt" strokecolor="#d2d2d2">
                <v:path arrowok="t"/>
              </v:shape>
            </v:group>
            <v:group style="position:absolute;left:9559;top:818;width:2;height:394" coordorigin="9559,818" coordsize="2,394">
              <v:shape style="position:absolute;left:9559;top:818;width:2;height:394" coordorigin="9559,818" coordsize="0,394" path="m9559,818l9559,1212e" filled="false" stroked="true" strokeweight="1.2pt" strokecolor="#d2d2d2">
                <v:path arrowok="t"/>
              </v:shape>
            </v:group>
            <v:group style="position:absolute;left:34;top:818;width:9514;height:394" coordorigin="34,818" coordsize="9514,394">
              <v:shape style="position:absolute;left:34;top:818;width:9514;height:394" coordorigin="34,818" coordsize="9514,394" path="m34,1212l9547,1212,9547,818,34,818,34,1212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pt" strokecolor="#000000">
                <v:path arrowok="t"/>
              </v:shape>
            </v:group>
            <v:group style="position:absolute;left:5;top:5;width:2;height:1217" coordorigin="5,5" coordsize="2,1217">
              <v:shape style="position:absolute;left:5;top:5;width:2;height:1217" coordorigin="5,5" coordsize="0,1217" path="m5,5l5,1222e" filled="false" stroked="true" strokeweight=".48pt" strokecolor="#000000">
                <v:path arrowok="t"/>
              </v:shape>
            </v:group>
            <v:group style="position:absolute;left:10;top:1217;width:9562;height:2" coordorigin="10,1217" coordsize="9562,2">
              <v:shape style="position:absolute;left:10;top:1217;width:9562;height:2" coordorigin="10,1217" coordsize="9562,0" path="m10,1217l9571,1217e" filled="false" stroked="true" strokeweight=".48pt" strokecolor="#000000">
                <v:path arrowok="t"/>
              </v:shape>
            </v:group>
            <v:group style="position:absolute;left:9576;top:5;width:2;height:1217" coordorigin="9576,5" coordsize="2,1217">
              <v:shape style="position:absolute;left:9576;top:5;width:2;height:1217" coordorigin="9576,5" coordsize="0,1217" path="m9576,5l9576,1222e" filled="false" stroked="true" strokeweight=".48pt" strokecolor="#000000">
                <v:path arrowok="t"/>
              </v:shape>
              <v:shape style="position:absolute;left:1752;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450;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1"/>
        <w:rPr>
          <w:rFonts w:ascii="宋体" w:hAnsi="宋体" w:cs="宋体" w:eastAsia="宋体" w:hint="default"/>
          <w:sz w:val="18"/>
          <w:szCs w:val="18"/>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6"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1027"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单项金额重大并单项计 提坏账准备的其他应收 款</w:t>
            </w:r>
          </w:p>
        </w:tc>
        <w:tc>
          <w:tcPr>
            <w:tcW w:w="1057" w:type="dxa"/>
            <w:tcBorders>
              <w:top w:val="single" w:sz="4" w:space="0" w:color="000000"/>
              <w:left w:val="single" w:sz="13" w:space="0" w:color="D2D2D2"/>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38.4%</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252,500.00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0.5%</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5"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按账龄分析法</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138,365,695.</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99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12,897,586.6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81,014,831.2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61.6%</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12,554,672.89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15.5%</w:t>
            </w:r>
          </w:p>
        </w:tc>
      </w:tr>
      <w:tr>
        <w:trPr>
          <w:trHeight w:val="71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138,365,695.</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12,897,586.6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81,014,831.2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61.6%</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12,554,672.89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15.5%</w:t>
            </w:r>
          </w:p>
        </w:tc>
      </w:tr>
      <w:tr>
        <w:trPr>
          <w:trHeight w:val="1027"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项计提坏账准备的其他 应收款</w:t>
            </w:r>
          </w:p>
        </w:tc>
        <w:tc>
          <w:tcPr>
            <w:tcW w:w="105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12,500.00</w:t>
            </w:r>
          </w:p>
        </w:tc>
        <w:tc>
          <w:tcPr>
            <w:tcW w:w="92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71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138,365,695.</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12,897,586.6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131,527,331.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20</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12,819,672.89</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headerReference w:type="default" r:id="rId64"/>
          <w:footerReference w:type="default" r:id="rId65"/>
          <w:pgSz w:w="11910" w:h="16840"/>
          <w:pgMar w:header="877" w:footer="0" w:top="1060" w:bottom="0" w:left="980" w:right="0"/>
        </w:sectPr>
      </w:pPr>
    </w:p>
    <w:p>
      <w:pPr>
        <w:spacing w:line="360" w:lineRule="auto" w:before="49"/>
        <w:ind w:left="152" w:right="-19"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line="340" w:lineRule="auto" w:before="25"/>
        <w:ind w:left="1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组合中，采用账龄分析法计提坏账准备的其他应收款</w:t>
      </w:r>
    </w:p>
    <w:p>
      <w:pPr>
        <w:spacing w:before="41"/>
        <w:ind w:left="1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2" w:right="0" w:firstLine="0"/>
        <w:jc w:val="left"/>
        <w:rPr>
          <w:rFonts w:ascii="宋体" w:hAnsi="宋体" w:cs="宋体" w:eastAsia="宋体" w:hint="default"/>
          <w:sz w:val="18"/>
          <w:szCs w:val="18"/>
        </w:rPr>
      </w:pPr>
      <w:r>
        <w:rPr/>
        <w:pict>
          <v:group style="position:absolute;margin-left:460.320007pt;margin-top:116.851715pt;width:135pt;height:77pt;mso-position-horizontal-relative:page;mso-position-vertical-relative:paragraph;z-index:-1260640" coordorigin="9206,2337" coordsize="2700,1540">
            <v:shape style="position:absolute;left:9206;top:2337;width:2700;height:1540" type="#_x0000_t75" stroked="false">
              <v:imagedata r:id="rId18" o:title=""/>
            </v:shape>
            <v:shape style="position:absolute;left:10502;top:2697;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133</w:t>
                    </w:r>
                  </w:p>
                </w:txbxContent>
              </v:textbox>
              <w10:wrap type="none"/>
            </v:shape>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4294" w:space="453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8"/>
        <w:gridCol w:w="1448"/>
        <w:gridCol w:w="1450"/>
        <w:gridCol w:w="658"/>
        <w:gridCol w:w="1668"/>
      </w:tblGrid>
      <w:tr>
        <w:trPr>
          <w:trHeight w:val="402" w:hRule="exact"/>
        </w:trPr>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7" w:type="dxa"/>
            <w:vMerge/>
            <w:tcBorders>
              <w:left w:val="single" w:sz="4" w:space="0" w:color="000000"/>
              <w:right w:val="single" w:sz="4" w:space="0" w:color="000000"/>
            </w:tcBorders>
            <w:shd w:val="clear" w:color="auto" w:fill="D2D2D2"/>
          </w:tcPr>
          <w:p>
            <w:pPr/>
          </w:p>
        </w:tc>
        <w:tc>
          <w:tcPr>
            <w:tcW w:w="2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7" w:type="dxa"/>
            <w:vMerge/>
            <w:tcBorders>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9" w:right="0"/>
              <w:jc w:val="left"/>
              <w:rPr>
                <w:rFonts w:ascii="Times New Roman" w:hAnsi="Times New Roman" w:cs="Times New Roman" w:eastAsia="Times New Roman" w:hint="default"/>
                <w:sz w:val="18"/>
                <w:szCs w:val="18"/>
              </w:rPr>
            </w:pPr>
            <w:r>
              <w:rPr>
                <w:rFonts w:ascii="Times New Roman"/>
                <w:sz w:val="18"/>
              </w:rPr>
              <w:t>(%)</w:t>
            </w:r>
          </w:p>
        </w:tc>
        <w:tc>
          <w:tcPr>
            <w:tcW w:w="1448"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9"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bl>
    <w:p>
      <w:pPr>
        <w:spacing w:after="0" w:line="240" w:lineRule="auto"/>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8"/>
        <w:gridCol w:w="1448"/>
        <w:gridCol w:w="1450"/>
        <w:gridCol w:w="658"/>
        <w:gridCol w:w="1668"/>
      </w:tblGrid>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65,821,114.00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47.57%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329,105.55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34,276,282.32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42.31%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171,381.44</w:t>
            </w: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65,821,114.00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47.57%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329,105.55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34,276,282.32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171,381.44</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42,705,916.08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30.86%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854,118.32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24,630,484.62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492,609.70</w:t>
            </w: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17,918,495.95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12.95%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1,791,849.59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7,674,437.85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9.47%</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767,443.78</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11,920,169.96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8.62%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9,922,513.15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14,433,626.41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17.82%</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11,123,237.97</w:t>
            </w: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2,301,981.30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690,594.40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1,284,340.75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385,302.23</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772,539.83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386,269.92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4,822,699.83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5.95%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2,411,349.91</w:t>
            </w: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8,845,648.83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8,845,648.83</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8,326,585.83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8,326,585.83</w:t>
            </w:r>
          </w:p>
        </w:tc>
      </w:tr>
      <w:tr>
        <w:trPr>
          <w:trHeight w:val="404"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138,365,695.99</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12,897,586.61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81,014,831.20</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12,554,672.89</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line="338" w:lineRule="auto" w:before="41"/>
        <w:ind w:left="152" w:right="6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期末单项金额虽不重大但单项计提坏账准备的其他应收款</w:t>
      </w:r>
    </w:p>
    <w:p>
      <w:pPr>
        <w:spacing w:before="43"/>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）本报告期转回或收回的其他应收款情况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0"/>
        <w:gridCol w:w="1712"/>
        <w:gridCol w:w="1865"/>
        <w:gridCol w:w="1918"/>
        <w:gridCol w:w="1884"/>
      </w:tblGrid>
      <w:tr>
        <w:trPr>
          <w:trHeight w:val="714" w:hRule="exact"/>
        </w:trPr>
        <w:tc>
          <w:tcPr>
            <w:tcW w:w="2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3"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）本报告期实际核销的其他应收款情况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spacing w:before="12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）本报告期其他应收款中持有公司</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861"/>
        <w:gridCol w:w="1596"/>
      </w:tblGrid>
      <w:tr>
        <w:trPr>
          <w:trHeight w:val="403"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after="0" w:line="240" w:lineRule="auto"/>
        <w:jc w:val="left"/>
        <w:rPr>
          <w:rFonts w:ascii="宋体" w:hAnsi="宋体" w:cs="宋体" w:eastAsia="宋体" w:hint="default"/>
          <w:sz w:val="18"/>
          <w:szCs w:val="18"/>
        </w:rPr>
        <w:sectPr>
          <w:footerReference w:type="default" r:id="rId66"/>
          <w:pgSz w:w="11910" w:h="16840"/>
          <w:pgMar w:footer="1340" w:header="877" w:top="1060" w:bottom="1540" w:left="980" w:right="0"/>
          <w:pgNumType w:start="134"/>
        </w:sectPr>
      </w:pPr>
    </w:p>
    <w:p>
      <w:pPr>
        <w:spacing w:line="240" w:lineRule="auto" w:before="10"/>
        <w:rPr>
          <w:rFonts w:ascii="宋体" w:hAnsi="宋体" w:cs="宋体" w:eastAsia="宋体" w:hint="default"/>
          <w:sz w:val="24"/>
          <w:szCs w:val="24"/>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）金额较大的其他应收款的性质或内容</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1915"/>
        <w:gridCol w:w="2859"/>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）其他应收款金额前五名单位情况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贵阳城南地产有限公司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合作开发商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30,090,000.00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21.75%</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贵阳市公共资源阳光交 易中心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合作开发商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10.84%</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北京东方信通新星科技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北京制浆造纸试验厂</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贵州达众磨料磨具有限 责任公司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本公司的参股公司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65,290,000.00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47.19%</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）其他应收关联方账款情况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贵州达众磨料磨具有限责任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4.77%</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）终止确认的其他应收款项情况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77"/>
      </w:tblGrid>
      <w:tr>
        <w:trPr>
          <w:trHeight w:val="402"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）以其他应收款为标的进行证券化的，列示继续涉入形成的资产、负债的金额</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825" w:lineRule="exact"/>
        <w:ind w:left="148"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79.05pt;height:41.3pt;mso-position-horizontal-relative:char;mso-position-vertical-relative:line" coordorigin="0,0" coordsize="9581,826">
            <v:group style="position:absolute;left:23;top:17;width:2;height:392" coordorigin="23,17" coordsize="2,392">
              <v:shape style="position:absolute;left:23;top:17;width:2;height:392" coordorigin="23,17" coordsize="0,392" path="m23,17l23,408e" filled="false" stroked="true" strokeweight="1.08pt" strokecolor="#d2d2d2">
                <v:path arrowok="t"/>
              </v:shape>
            </v:group>
            <v:group style="position:absolute;left:3713;top:17;width:2;height:392" coordorigin="3713,17" coordsize="2,392">
              <v:shape style="position:absolute;left:3713;top:17;width:2;height:392" coordorigin="3713,17" coordsize="0,392" path="m3713,17l3713,408e" filled="false" stroked="true" strokeweight="1.08pt" strokecolor="#d2d2d2">
                <v:path arrowok="t"/>
              </v:shape>
            </v:group>
            <v:group style="position:absolute;left:34;top:17;width:3669;height:392" coordorigin="34,17" coordsize="3669,392">
              <v:shape style="position:absolute;left:34;top:17;width:3669;height:392" coordorigin="34,17" coordsize="3669,392" path="m34,408l3702,408,3702,17,34,17,34,408xe" filled="true" fillcolor="#d2d2d2" stroked="false">
                <v:path arrowok="t"/>
                <v:fill type="solid"/>
              </v:shape>
            </v:group>
            <v:group style="position:absolute;left:3745;top:17;width:2;height:392" coordorigin="3745,17" coordsize="2,392">
              <v:shape style="position:absolute;left:3745;top:17;width:2;height:392" coordorigin="3745,17" coordsize="0,392" path="m3745,17l3745,408e" filled="false" stroked="true" strokeweight="1.2pt" strokecolor="#d2d2d2">
                <v:path arrowok="t"/>
              </v:shape>
            </v:group>
            <v:group style="position:absolute;left:9559;top:17;width:2;height:392" coordorigin="9559,17" coordsize="2,392">
              <v:shape style="position:absolute;left:9559;top:17;width:2;height:392" coordorigin="9559,17" coordsize="0,392" path="m9559,17l9559,408e" filled="false" stroked="true" strokeweight="1.2pt" strokecolor="#d2d2d2">
                <v:path arrowok="t"/>
              </v:shape>
            </v:group>
            <v:group style="position:absolute;left:3757;top:17;width:5790;height:392" coordorigin="3757,17" coordsize="5790,392">
              <v:shape style="position:absolute;left:3757;top:17;width:5790;height:392" coordorigin="3757,17" coordsize="5790,392" path="m3757,408l9547,408,9547,17,3757,17,3757,408xe" filled="true" fillcolor="#d2d2d2" stroked="false">
                <v:path arrowok="t"/>
                <v:fill type="solid"/>
              </v:shape>
            </v:group>
            <v:group style="position:absolute;left:10;top:10;width:3714;height:2" coordorigin="10,10" coordsize="3714,2">
              <v:shape style="position:absolute;left:10;top:10;width:3714;height:2" coordorigin="10,10" coordsize="3714,0" path="m10,10l3723,10e" filled="false" stroked="true" strokeweight=".48pt" strokecolor="#000000">
                <v:path arrowok="t"/>
              </v:shape>
            </v:group>
            <v:group style="position:absolute;left:3733;top:10;width:5838;height:2" coordorigin="3733,10" coordsize="5838,2">
              <v:shape style="position:absolute;left:3733;top:10;width:5838;height:2" coordorigin="3733,10" coordsize="5838,0" path="m3733,10l9571,10e" filled="false" stroked="true" strokeweight=".48pt" strokecolor="#000000">
                <v:path arrowok="t"/>
              </v:shape>
            </v:group>
            <v:group style="position:absolute;left:3728;top:5;width:2;height:413" coordorigin="3728,5" coordsize="2,413">
              <v:shape style="position:absolute;left:3728;top:5;width:2;height:413" coordorigin="3728,5" coordsize="0,413" path="m3728,5l3728,418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9559;top:418;width:2;height:392" coordorigin="9559,418" coordsize="2,392">
              <v:shape style="position:absolute;left:9559;top:418;width:2;height:392" coordorigin="9559,418" coordsize="0,392" path="m9559,418l9559,809e" filled="false" stroked="true" strokeweight="1.2pt" strokecolor="#d2d2d2">
                <v:path arrowok="t"/>
              </v:shape>
            </v:group>
            <v:group style="position:absolute;left:34;top:418;width:9514;height:392" coordorigin="34,418" coordsize="9514,392">
              <v:shape style="position:absolute;left:34;top:418;width:9514;height:392" coordorigin="34,418" coordsize="9514,392" path="m34,809l9547,809,9547,418,34,418,34,809xe" filled="true" fillcolor="#d2d2d2" stroked="false">
                <v:path arrowok="t"/>
                <v:fill type="solid"/>
              </v:shape>
            </v:group>
            <v:group style="position:absolute;left:10;top:413;width:3714;height:2" coordorigin="10,413" coordsize="3714,2">
              <v:shape style="position:absolute;left:10;top:413;width:3714;height:2" coordorigin="10,413" coordsize="3714,0" path="m10,413l3723,413e" filled="false" stroked="true" strokeweight=".48pt" strokecolor="#000000">
                <v:path arrowok="t"/>
              </v:shape>
            </v:group>
            <v:group style="position:absolute;left:3733;top:413;width:5838;height:2" coordorigin="3733,413" coordsize="5838,2">
              <v:shape style="position:absolute;left:3733;top:413;width:5838;height:2" coordorigin="3733,413" coordsize="5838,0" path="m3733,413l9571,413e" filled="false" stroked="true" strokeweight=".48pt" strokecolor="#000000">
                <v:path arrowok="t"/>
              </v:shape>
            </v:group>
            <v:group style="position:absolute;left:5;top:5;width:2;height:816" coordorigin="5,5" coordsize="2,816">
              <v:shape style="position:absolute;left:5;top:5;width:2;height:816" coordorigin="5,5" coordsize="0,816" path="m5,5l5,821e" filled="false" stroked="true" strokeweight=".48pt" strokecolor="#000000">
                <v:path arrowok="t"/>
              </v:shape>
            </v:group>
            <v:group style="position:absolute;left:10;top:816;width:9562;height:2" coordorigin="10,816" coordsize="9562,2">
              <v:shape style="position:absolute;left:10;top:816;width:9562;height:2" coordorigin="10,816" coordsize="9562,0" path="m10,816l9571,816e" filled="false" stroked="true" strokeweight=".48pt" strokecolor="#000000">
                <v:path arrowok="t"/>
              </v:shape>
            </v:group>
            <v:group style="position:absolute;left:9576;top:5;width:2;height:816" coordorigin="9576,5" coordsize="2,816">
              <v:shape style="position:absolute;left:9576;top:5;width:2;height:816" coordorigin="9576,5" coordsize="0,816" path="m9576,5l9576,821e" filled="false" stroked="true" strokeweight=".48pt" strokecolor="#000000">
                <v:path arrowok="t"/>
              </v:shape>
              <v:shape style="position:absolute;left:1688;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83;top:121;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group>
          </v:group>
        </w:pict>
      </w:r>
      <w:r>
        <w:rPr>
          <w:rFonts w:ascii="宋体" w:hAnsi="宋体" w:cs="宋体" w:eastAsia="宋体" w:hint="default"/>
          <w:position w:val="-16"/>
          <w:sz w:val="20"/>
          <w:szCs w:val="20"/>
        </w:rPr>
      </w:r>
    </w:p>
    <w:p>
      <w:pPr>
        <w:spacing w:after="0" w:line="825" w:lineRule="exact"/>
        <w:rPr>
          <w:rFonts w:ascii="宋体" w:hAnsi="宋体" w:cs="宋体" w:eastAsia="宋体" w:hint="default"/>
          <w:sz w:val="20"/>
          <w:szCs w:val="20"/>
        </w:rPr>
        <w:sectPr>
          <w:pgSz w:w="11910" w:h="16840"/>
          <w:pgMar w:header="877" w:footer="1340" w:top="1060" w:bottom="1540" w:left="980" w:right="0"/>
        </w:sectPr>
      </w:pPr>
    </w:p>
    <w:p>
      <w:pPr>
        <w:spacing w:line="240" w:lineRule="auto" w:before="11"/>
        <w:rPr>
          <w:rFonts w:ascii="宋体" w:hAnsi="宋体" w:cs="宋体" w:eastAsia="宋体" w:hint="default"/>
          <w:sz w:val="28"/>
          <w:szCs w:val="28"/>
        </w:rPr>
      </w:pPr>
    </w:p>
    <w:p>
      <w:pPr>
        <w:spacing w:line="402"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5pt;height:20.150pt;mso-position-horizontal-relative:char;mso-position-vertical-relative:line" type="#_x0000_t202" filled="true" fillcolor="#d2d2d2" stroked="true" strokeweight=".48pt" strokecolor="#000000">
            <w10:anchorlock/>
            <v:textbox inset="0,0,0,0">
              <w:txbxContent>
                <w:p>
                  <w:pPr>
                    <w:spacing w:before="49"/>
                    <w:ind w:left="22"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v:fill type="solid"/>
          </v:shape>
        </w:pict>
      </w:r>
      <w:r>
        <w:rPr>
          <w:rFonts w:ascii="宋体" w:hAnsi="宋体" w:cs="宋体" w:eastAsia="宋体" w:hint="default"/>
          <w:position w:val="-7"/>
          <w:sz w:val="20"/>
          <w:szCs w:val="20"/>
        </w:rPr>
      </w:r>
    </w:p>
    <w:p>
      <w:pPr>
        <w:spacing w:line="240" w:lineRule="auto" w:before="9"/>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2"/>
        <w:gridCol w:w="3199"/>
        <w:gridCol w:w="1064"/>
        <w:gridCol w:w="3053"/>
        <w:gridCol w:w="1063"/>
      </w:tblGrid>
      <w:tr>
        <w:trPr>
          <w:trHeight w:val="206" w:hRule="exact"/>
        </w:trPr>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2"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192" w:type="dxa"/>
            <w:vMerge/>
            <w:tcBorders>
              <w:left w:val="single" w:sz="4" w:space="0" w:color="000000"/>
              <w:bottom w:val="nil" w:sz="6" w:space="0" w:color="auto"/>
              <w:right w:val="single" w:sz="4" w:space="0" w:color="000000"/>
            </w:tcBorders>
            <w:shd w:val="clear" w:color="auto" w:fill="D2D2D2"/>
          </w:tcPr>
          <w:p>
            <w:pPr/>
          </w:p>
        </w:tc>
        <w:tc>
          <w:tcPr>
            <w:tcW w:w="3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4" w:hRule="exact"/>
        </w:trPr>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510,901,430.73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84.94%</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410,608,411.04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83.45%</w:t>
            </w:r>
          </w:p>
        </w:tc>
      </w:tr>
      <w:tr>
        <w:trPr>
          <w:trHeight w:val="401"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36,440,793.04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42,679,185.17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8.67%</w:t>
            </w:r>
          </w:p>
        </w:tc>
      </w:tr>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24,192,559.70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4.02%</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26,074,438.51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5.3%</w:t>
            </w:r>
          </w:p>
        </w:tc>
      </w:tr>
      <w:tr>
        <w:trPr>
          <w:trHeight w:val="401"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29,969,813.12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4.98%</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12,661,618.51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w:t>
            </w:r>
          </w:p>
        </w:tc>
      </w:tr>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601,504,596.59</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492,023,653.23</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预付款项账龄的说明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）预付款项金额前五名单位情况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南京庆亚贸易有限公司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149,846,262.90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北京国高文化传媒有限 责任公司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项目未完</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南京苏宁易购电子商务 有限公司南通分公司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48,040,000.00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南京安纳佳电子科技有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35,994,290.00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广州苏宁易购电子商务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28,824,000.00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314,704,552.90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预付款项主要单位的说明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）本报告期预付款项中持有本公司</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729"/>
        <w:gridCol w:w="1726"/>
      </w:tblGrid>
      <w:tr>
        <w:trPr>
          <w:trHeight w:val="402"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3" w:hRule="exact"/>
        </w:trPr>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3" w:right="0"/>
              <w:jc w:val="left"/>
              <w:rPr>
                <w:rFonts w:ascii="Times New Roman" w:hAnsi="Times New Roman" w:cs="Times New Roman" w:eastAsia="Times New Roman" w:hint="default"/>
                <w:sz w:val="18"/>
                <w:szCs w:val="18"/>
              </w:rPr>
            </w:pPr>
            <w:r>
              <w:rPr>
                <w:rFonts w:ascii="Times New Roman"/>
                <w:sz w:val="18"/>
              </w:rPr>
              <w:t>827,000.00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3" w:right="0"/>
              <w:jc w:val="left"/>
              <w:rPr>
                <w:rFonts w:ascii="Times New Roman" w:hAnsi="Times New Roman" w:cs="Times New Roman" w:eastAsia="Times New Roman" w:hint="default"/>
                <w:sz w:val="18"/>
                <w:szCs w:val="18"/>
              </w:rPr>
            </w:pPr>
            <w:r>
              <w:rPr>
                <w:rFonts w:ascii="Times New Roman"/>
                <w:sz w:val="18"/>
              </w:rPr>
              <w:t>247,000.00</w:t>
            </w:r>
          </w:p>
        </w:tc>
        <w:tc>
          <w:tcPr>
            <w:tcW w:w="17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794"/>
        <w:gridCol w:w="1728"/>
        <w:gridCol w:w="1594"/>
        <w:gridCol w:w="1729"/>
        <w:gridCol w:w="1726"/>
      </w:tblGrid>
      <w:tr>
        <w:trPr>
          <w:trHeight w:val="404" w:hRule="exact"/>
        </w:trPr>
        <w:tc>
          <w:tcPr>
            <w:tcW w:w="2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3" w:right="0"/>
              <w:jc w:val="left"/>
              <w:rPr>
                <w:rFonts w:ascii="Times New Roman" w:hAnsi="Times New Roman" w:cs="Times New Roman" w:eastAsia="Times New Roman" w:hint="default"/>
                <w:sz w:val="18"/>
                <w:szCs w:val="18"/>
              </w:rPr>
            </w:pPr>
            <w:r>
              <w:rPr>
                <w:rFonts w:ascii="Times New Roman"/>
                <w:sz w:val="18"/>
              </w:rPr>
              <w:t>827,000.00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3" w:right="0"/>
              <w:jc w:val="left"/>
              <w:rPr>
                <w:rFonts w:ascii="Times New Roman" w:hAnsi="Times New Roman" w:cs="Times New Roman" w:eastAsia="Times New Roman" w:hint="default"/>
                <w:sz w:val="18"/>
                <w:szCs w:val="18"/>
              </w:rPr>
            </w:pPr>
            <w:r>
              <w:rPr>
                <w:rFonts w:ascii="Times New Roman"/>
                <w:sz w:val="18"/>
              </w:rPr>
              <w:t>247,000.00</w:t>
            </w:r>
          </w:p>
        </w:tc>
        <w:tc>
          <w:tcPr>
            <w:tcW w:w="17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）预付款项的说明</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462"/>
        <w:gridCol w:w="1193"/>
        <w:gridCol w:w="1330"/>
        <w:gridCol w:w="1327"/>
        <w:gridCol w:w="1330"/>
        <w:gridCol w:w="132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6" w:hRule="exact"/>
        </w:trPr>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17,950,755.06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5,635,352.66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12,315,402.40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19,294,425.57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3,070,867.32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16,223,558.25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15,424,869.00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15,424,869.00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11,230,817.84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11,230,817.84</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95,306,190.05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9,775,727.08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85,530,462.97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144,259,653.52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5,224,568.97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139,035,084.55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209,148.99</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209,148.99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909,202.65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909,202.65</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136,948,383.24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4,639,270.61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132,309,112.63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208,428,167.64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3,209,787.69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205,218,379.95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25,868,451.76</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25,868,451.76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125,896.69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125,896.69</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46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130,059.50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130,059.50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项目成本</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3,900,272.80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3,900,272.80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3,900,272.80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3,900,272.80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295,608,070.90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20,050,350.35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275,557,720.55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388,278,496.21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11,505,223.98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376,773,272.23</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38"/>
        <w:gridCol w:w="1616"/>
        <w:gridCol w:w="1615"/>
        <w:gridCol w:w="1414"/>
        <w:gridCol w:w="1431"/>
        <w:gridCol w:w="1757"/>
      </w:tblGrid>
      <w:tr>
        <w:trPr>
          <w:trHeight w:val="206" w:hRule="exact"/>
        </w:trPr>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tcBorders>
              <w:top w:val="single" w:sz="4" w:space="0" w:color="000000"/>
              <w:left w:val="single" w:sz="4" w:space="0" w:color="000000"/>
              <w:bottom w:val="nil" w:sz="6" w:space="0" w:color="auto"/>
              <w:right w:val="single" w:sz="4" w:space="0" w:color="000000"/>
            </w:tcBorders>
            <w:shd w:val="clear" w:color="auto" w:fill="D2D2D2"/>
          </w:tcPr>
          <w:p>
            <w:pPr/>
          </w:p>
        </w:tc>
        <w:tc>
          <w:tcPr>
            <w:tcW w:w="28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7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5" w:type="dxa"/>
            <w:gridSpan w:val="2"/>
            <w:vMerge/>
            <w:tcBorders>
              <w:left w:val="single" w:sz="4" w:space="0" w:color="000000"/>
              <w:bottom w:val="single" w:sz="4" w:space="0" w:color="000000"/>
              <w:right w:val="single" w:sz="4" w:space="0" w:color="000000"/>
            </w:tcBorders>
            <w:shd w:val="clear" w:color="auto" w:fill="D2D2D2"/>
          </w:tcPr>
          <w:p>
            <w:pPr/>
          </w:p>
        </w:tc>
        <w:tc>
          <w:tcPr>
            <w:tcW w:w="17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1738" w:type="dxa"/>
            <w:vMerge/>
            <w:tcBorders>
              <w:left w:val="single" w:sz="4" w:space="0" w:color="000000"/>
              <w:bottom w:val="nil" w:sz="6" w:space="0" w:color="auto"/>
              <w:right w:val="single" w:sz="4" w:space="0" w:color="000000"/>
            </w:tcBorders>
            <w:shd w:val="clear" w:color="auto" w:fill="D2D2D2"/>
          </w:tcPr>
          <w:p>
            <w:pPr/>
          </w:p>
        </w:tc>
        <w:tc>
          <w:tcPr>
            <w:tcW w:w="1616" w:type="dxa"/>
            <w:vMerge/>
            <w:tcBorders>
              <w:left w:val="single" w:sz="4" w:space="0" w:color="000000"/>
              <w:bottom w:val="nil" w:sz="6" w:space="0" w:color="auto"/>
              <w:right w:val="single" w:sz="4" w:space="0" w:color="000000"/>
            </w:tcBorders>
            <w:shd w:val="clear" w:color="auto" w:fill="D2D2D2"/>
          </w:tcPr>
          <w:p>
            <w:pPr/>
          </w:p>
        </w:tc>
        <w:tc>
          <w:tcPr>
            <w:tcW w:w="1615" w:type="dxa"/>
            <w:vMerge/>
            <w:tcBorders>
              <w:left w:val="single" w:sz="4" w:space="0" w:color="000000"/>
              <w:bottom w:val="nil" w:sz="6" w:space="0" w:color="auto"/>
              <w:right w:val="single" w:sz="4" w:space="0" w:color="000000"/>
            </w:tcBorders>
            <w:shd w:val="clear" w:color="auto" w:fill="D2D2D2"/>
          </w:tcPr>
          <w:p>
            <w:pPr/>
          </w:p>
        </w:tc>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4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4" w:type="dxa"/>
            <w:vMerge/>
            <w:tcBorders>
              <w:left w:val="single" w:sz="4" w:space="0" w:color="000000"/>
              <w:bottom w:val="single" w:sz="4" w:space="0" w:color="000000"/>
              <w:right w:val="single" w:sz="4" w:space="0" w:color="000000"/>
            </w:tcBorders>
            <w:shd w:val="clear" w:color="auto" w:fill="D2D2D2"/>
          </w:tcPr>
          <w:p>
            <w:pPr/>
          </w:p>
        </w:tc>
        <w:tc>
          <w:tcPr>
            <w:tcW w:w="1431" w:type="dxa"/>
            <w:vMerge/>
            <w:tcBorders>
              <w:left w:val="single" w:sz="4" w:space="0" w:color="000000"/>
              <w:bottom w:val="single" w:sz="4" w:space="0" w:color="000000"/>
              <w:right w:val="single" w:sz="4" w:space="0" w:color="000000"/>
            </w:tcBorders>
            <w:shd w:val="clear" w:color="auto" w:fill="D2D2D2"/>
          </w:tcPr>
          <w:p>
            <w:pPr/>
          </w:p>
        </w:tc>
        <w:tc>
          <w:tcPr>
            <w:tcW w:w="17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3,070,867.32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2,564,485.34</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5,635,352.66</w:t>
            </w: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5,224,568.97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4,551,158.11</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9,775,727.08</w:t>
            </w:r>
          </w:p>
        </w:tc>
      </w:tr>
      <w:tr>
        <w:trPr>
          <w:trHeight w:val="401"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3,209,787.69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1,429,482.92</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4,639,270.61</w:t>
            </w: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11,505,223.98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8,545,126.37</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20,050,350.35</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）存货跌价准备情况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96" w:right="99"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存货的说明</w:t>
      </w:r>
    </w:p>
    <w:p>
      <w:pPr>
        <w:spacing w:after="0"/>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7"/>
        <w:gridCol w:w="2924"/>
        <w:gridCol w:w="3190"/>
      </w:tblGrid>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待摊房租</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158,752.61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4,303,454.21</w:t>
            </w: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待摊物业费</w:t>
            </w:r>
          </w:p>
        </w:tc>
        <w:tc>
          <w:tcPr>
            <w:tcW w:w="292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604,306.70</w:t>
            </w: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待摊资源费</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407,310.10</w:t>
            </w: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待摊广告费</w:t>
            </w:r>
          </w:p>
        </w:tc>
        <w:tc>
          <w:tcPr>
            <w:tcW w:w="292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150,330.31</w:t>
            </w: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待摊网络使用费</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1,011,425.90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412,912.70</w:t>
            </w: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待摊装修费</w:t>
            </w:r>
          </w:p>
        </w:tc>
        <w:tc>
          <w:tcPr>
            <w:tcW w:w="2924"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16,007.82</w:t>
            </w: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335,489.64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298,086.76</w:t>
            </w: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43,025,668.15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6,192,408.60</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其他流动资产说明</w:t>
      </w:r>
    </w:p>
    <w:p>
      <w:pPr>
        <w:spacing w:line="240" w:lineRule="auto" w:before="0"/>
        <w:rPr>
          <w:rFonts w:ascii="宋体" w:hAnsi="宋体" w:cs="宋体" w:eastAsia="宋体" w:hint="default"/>
          <w:sz w:val="18"/>
          <w:szCs w:val="18"/>
        </w:rPr>
      </w:pPr>
    </w:p>
    <w:p>
      <w:pPr>
        <w:spacing w:before="12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57" w:lineRule="auto" w:before="49"/>
        <w:ind w:left="152" w:right="0" w:firstLine="0"/>
        <w:jc w:val="left"/>
        <w:rPr>
          <w:rFonts w:ascii="宋体" w:hAnsi="宋体" w:cs="宋体" w:eastAsia="宋体" w:hint="default"/>
          <w:sz w:val="18"/>
          <w:szCs w:val="18"/>
        </w:rPr>
      </w:pPr>
      <w:r>
        <w:rPr>
          <w:rFonts w:ascii="宋体" w:hAnsi="宋体" w:cs="宋体" w:eastAsia="宋体" w:hint="default"/>
          <w:spacing w:val="-4"/>
          <w:sz w:val="18"/>
          <w:szCs w:val="18"/>
        </w:rPr>
        <w:t>本期将持有至到期投资重分类为可供出售金融资产的，本期重分类的金额元，该金额占重分类前持有至到期投资总额的比例。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可供出售金融资产的说明</w:t>
      </w:r>
    </w:p>
    <w:p>
      <w:pPr>
        <w:spacing w:line="240" w:lineRule="auto" w:before="6"/>
        <w:rPr>
          <w:rFonts w:ascii="宋体" w:hAnsi="宋体" w:cs="宋体" w:eastAsia="宋体" w:hint="default"/>
          <w:sz w:val="20"/>
          <w:szCs w:val="20"/>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）可供出售金融资产中的长期债权投资</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1"/>
        <w:gridCol w:w="1064"/>
        <w:gridCol w:w="1063"/>
        <w:gridCol w:w="1063"/>
        <w:gridCol w:w="1064"/>
        <w:gridCol w:w="1063"/>
      </w:tblGrid>
      <w:tr>
        <w:trPr>
          <w:trHeight w:val="714"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债券种类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2"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65" w:right="75" w:hanging="89"/>
              <w:jc w:val="left"/>
              <w:rPr>
                <w:rFonts w:ascii="宋体" w:hAnsi="宋体" w:cs="宋体" w:eastAsia="宋体" w:hint="default"/>
                <w:sz w:val="18"/>
                <w:szCs w:val="18"/>
              </w:rPr>
            </w:pPr>
            <w:r>
              <w:rPr>
                <w:rFonts w:ascii="宋体" w:hAnsi="宋体" w:cs="宋体" w:eastAsia="宋体" w:hint="default"/>
                <w:sz w:val="18"/>
                <w:szCs w:val="18"/>
              </w:rPr>
              <w:t>累计应收或 已收利息</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可供出售金融资产的长期债权投资的说明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、持有至到期投资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4"/>
        <w:gridCol w:w="3190"/>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06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9"/>
        <w:rPr>
          <w:rFonts w:ascii="宋体" w:hAnsi="宋体" w:cs="宋体" w:eastAsia="宋体" w:hint="default"/>
          <w:sz w:val="25"/>
          <w:szCs w:val="25"/>
        </w:rPr>
      </w:pPr>
      <w:r>
        <w:rPr/>
        <w:pict>
          <v:group style="position:absolute;margin-left:460.320007pt;margin-top:764.919983pt;width:135pt;height:77pt;mso-position-horizontal-relative:page;mso-position-vertical-relative:page;z-index:-1260472" coordorigin="9206,15298" coordsize="2700,1540">
            <v:shape style="position:absolute;left:9206;top:15298;width:2700;height:1540" type="#_x0000_t75" stroked="false">
              <v:imagedata r:id="rId18"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139</w:t>
                    </w:r>
                  </w:p>
                </w:txbxContent>
              </v:textbox>
              <w10:wrap type="none"/>
            </v:shape>
            <w10:wrap type="none"/>
          </v:group>
        </w:pict>
      </w:r>
    </w:p>
    <w:p>
      <w:pPr>
        <w:spacing w:before="44"/>
        <w:ind w:left="152" w:right="1125" w:firstLine="0"/>
        <w:jc w:val="left"/>
        <w:rPr>
          <w:rFonts w:ascii="宋体" w:hAnsi="宋体" w:cs="宋体" w:eastAsia="宋体" w:hint="default"/>
          <w:sz w:val="18"/>
          <w:szCs w:val="18"/>
        </w:rPr>
      </w:pPr>
      <w:r>
        <w:rPr>
          <w:rFonts w:ascii="宋体" w:hAnsi="宋体" w:cs="宋体" w:eastAsia="宋体" w:hint="default"/>
          <w:sz w:val="18"/>
          <w:szCs w:val="18"/>
        </w:rPr>
        <w:t>持有至到期投资的说明</w:t>
      </w:r>
    </w:p>
    <w:p>
      <w:pPr>
        <w:spacing w:line="240" w:lineRule="auto" w:before="0"/>
        <w:rPr>
          <w:rFonts w:ascii="宋体" w:hAnsi="宋体" w:cs="宋体" w:eastAsia="宋体" w:hint="default"/>
          <w:sz w:val="18"/>
          <w:szCs w:val="18"/>
        </w:rPr>
      </w:pPr>
    </w:p>
    <w:p>
      <w:pPr>
        <w:spacing w:before="12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）本报告期内出售但尚未到期的持有至到期投资情况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6"/>
        <w:gridCol w:w="2792"/>
        <w:gridCol w:w="3970"/>
      </w:tblGrid>
      <w:tr>
        <w:trPr>
          <w:trHeight w:val="403"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本报告期内出售但尚未到期的持有至到期投资情况说明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69"/>
        <w:gridCol w:w="3335"/>
        <w:gridCol w:w="3454"/>
      </w:tblGrid>
      <w:tr>
        <w:trPr>
          <w:trHeight w:val="401"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、对合营企业投资和联营企业投资</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3"/>
        <w:gridCol w:w="1198"/>
        <w:gridCol w:w="1198"/>
      </w:tblGrid>
      <w:tr>
        <w:trPr>
          <w:trHeight w:val="1027"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4" w:right="53"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9" w:right="50"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3"/>
              <w:jc w:val="righ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1" w:right="48"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3"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1"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4"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both"/>
              <w:rPr>
                <w:rFonts w:ascii="宋体" w:hAnsi="宋体" w:cs="宋体" w:eastAsia="宋体" w:hint="default"/>
                <w:sz w:val="18"/>
                <w:szCs w:val="18"/>
              </w:rPr>
            </w:pPr>
            <w:r>
              <w:rPr>
                <w:rFonts w:ascii="宋体" w:hAnsi="宋体" w:cs="宋体" w:eastAsia="宋体" w:hint="default"/>
                <w:sz w:val="18"/>
                <w:szCs w:val="18"/>
              </w:rPr>
              <w:t>北京海岸淘金 创业投资有限 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58,856,945.34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1,635,165.88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57,221,779.46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3,279,762.10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763,762.98</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大唐高新创业 投资有限公司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102,183,793.00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509,240.18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101,674,552.82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1,117,300.00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1,269,671.77</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合营企业、联营企业的重要会计政策、会计估计与公司的会计政策、会计估计存在重大差异的说明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）长期股权投资明细情况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799"/>
        <w:gridCol w:w="797"/>
        <w:gridCol w:w="799"/>
        <w:gridCol w:w="797"/>
        <w:gridCol w:w="800"/>
        <w:gridCol w:w="797"/>
        <w:gridCol w:w="799"/>
        <w:gridCol w:w="797"/>
        <w:gridCol w:w="799"/>
        <w:gridCol w:w="797"/>
      </w:tblGrid>
      <w:tr>
        <w:trPr>
          <w:trHeight w:val="1963"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1"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5"/>
              <w:jc w:val="righ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2"/>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401"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北京海岸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20,168,14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272,739.7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20,440,88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35.71%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35.71%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67"/>
          <w:footerReference w:type="default" r:id="rId68"/>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98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39"/>
              <w:jc w:val="both"/>
              <w:rPr>
                <w:rFonts w:ascii="宋体" w:hAnsi="宋体" w:cs="宋体" w:eastAsia="宋体" w:hint="default"/>
                <w:sz w:val="18"/>
                <w:szCs w:val="18"/>
              </w:rPr>
            </w:pPr>
            <w:r>
              <w:rPr>
                <w:rFonts w:ascii="宋体" w:hAnsi="宋体" w:cs="宋体" w:eastAsia="宋体" w:hint="default"/>
                <w:sz w:val="18"/>
                <w:szCs w:val="18"/>
              </w:rPr>
              <w:t>淘金创业 投资有限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5.62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5.38</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大唐高新 创业投资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26,365,25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70,114.66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26,435,36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5.12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贵州达众 磨料磨具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61,719,92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61,719,92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61,719,92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17.79%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52,510,42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10,116,00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国泰君安 证券股份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635,958.0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635,958.0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635,958.0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国泰君安 投资管理 股份有限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2,261,184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2,261,184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2,261,184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110,617,0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63.46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108,253,3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17.54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3,239,996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111,493,3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13.96</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52,510,42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10,116,00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）向投资企业转移资金的能力受到限制的有关情况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9" w:right="58" w:hanging="901"/>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spacing w:line="240" w:lineRule="auto" w:before="0"/>
        <w:rPr>
          <w:rFonts w:ascii="宋体" w:hAnsi="宋体" w:cs="宋体" w:eastAsia="宋体" w:hint="default"/>
          <w:sz w:val="18"/>
          <w:szCs w:val="18"/>
        </w:rPr>
      </w:pPr>
    </w:p>
    <w:p>
      <w:pPr>
        <w:spacing w:before="12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）按成本计量的投资性房地产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08"/>
        <w:gridCol w:w="2003"/>
        <w:gridCol w:w="1863"/>
        <w:gridCol w:w="1860"/>
        <w:gridCol w:w="2127"/>
      </w:tblGrid>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4"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144,682,000.50</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144,682,000.50</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144,682,000.50</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144,682,000.50</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二、累计折旧和累计 摊销合计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2,813,859.24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3,435,908.04</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6,249,767.28</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2,813,859.24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3,435,908.04</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6,249,767.28</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三、投资性房地产账 面净值合计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141,868,141.26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-3,435,908.04</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138,432,233.22</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141,868,141.26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-3,435,908.04</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138,432,233.22</w:t>
            </w:r>
          </w:p>
        </w:tc>
      </w:tr>
    </w:tbl>
    <w:p>
      <w:pPr>
        <w:spacing w:after="0" w:line="240" w:lineRule="auto"/>
        <w:jc w:val="right"/>
        <w:rPr>
          <w:rFonts w:ascii="Times New Roman" w:hAnsi="Times New Roman" w:cs="Times New Roman" w:eastAsia="Times New Roman" w:hint="default"/>
          <w:sz w:val="18"/>
          <w:szCs w:val="18"/>
        </w:rPr>
        <w:sectPr>
          <w:footerReference w:type="default" r:id="rId69"/>
          <w:pgSz w:w="11910" w:h="16840"/>
          <w:pgMar w:footer="1308" w:header="877" w:top="1060" w:bottom="1500" w:left="980" w:right="0"/>
          <w:pgNumType w:start="1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30"/>
        <w:gridCol w:w="1993"/>
        <w:gridCol w:w="1863"/>
        <w:gridCol w:w="1860"/>
        <w:gridCol w:w="2127"/>
      </w:tblGrid>
      <w:tr>
        <w:trPr>
          <w:trHeight w:val="713"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五、投资性房地产账 面价值合计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141,868,141.26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-3,435,908.04</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138,432,233.22</w:t>
            </w:r>
          </w:p>
        </w:tc>
      </w:tr>
      <w:tr>
        <w:trPr>
          <w:trHeight w:val="403"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141,868,141.26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-3,435,908.04</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138,432,233.22</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38"/>
        <w:gridCol w:w="4221"/>
      </w:tblGrid>
      <w:tr>
        <w:trPr>
          <w:trHeight w:val="403"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3,435,908.04</w:t>
            </w:r>
          </w:p>
        </w:tc>
      </w:tr>
      <w:tr>
        <w:trPr>
          <w:trHeight w:val="402"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投资性房地产本期减值准备计提额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）按公允价值计量的投资性房地产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43"/>
        <w:gridCol w:w="1011"/>
        <w:gridCol w:w="1010"/>
        <w:gridCol w:w="1011"/>
        <w:gridCol w:w="1010"/>
        <w:gridCol w:w="1010"/>
        <w:gridCol w:w="1018"/>
        <w:gridCol w:w="955"/>
      </w:tblGrid>
      <w:tr>
        <w:trPr>
          <w:trHeight w:val="402" w:hRule="exact"/>
        </w:trPr>
        <w:tc>
          <w:tcPr>
            <w:tcW w:w="25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413" w:right="46" w:hanging="361"/>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714" w:hRule="exact"/>
        </w:trPr>
        <w:tc>
          <w:tcPr>
            <w:tcW w:w="254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0" w:right="48"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4" w:right="51" w:hanging="270"/>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5" w:type="dxa"/>
            <w:vMerge/>
            <w:tcBorders>
              <w:left w:val="single" w:sz="4" w:space="0" w:color="000000"/>
              <w:bottom w:val="single" w:sz="4" w:space="0" w:color="000000"/>
              <w:right w:val="single" w:sz="4" w:space="0" w:color="000000"/>
            </w:tcBorders>
            <w:shd w:val="clear" w:color="auto" w:fill="D2D2D2"/>
          </w:tcPr>
          <w:p>
            <w:pPr/>
          </w:p>
        </w:tc>
      </w:tr>
    </w:tbl>
    <w:p>
      <w:pPr>
        <w:spacing w:line="314" w:lineRule="auto" w:before="50"/>
        <w:ind w:left="152" w:right="1125" w:firstLine="0"/>
        <w:jc w:val="left"/>
        <w:rPr>
          <w:rFonts w:ascii="宋体" w:hAnsi="宋体" w:cs="宋体" w:eastAsia="宋体" w:hint="default"/>
          <w:sz w:val="18"/>
          <w:szCs w:val="18"/>
        </w:rPr>
      </w:pPr>
      <w:r>
        <w:rPr>
          <w:rFonts w:ascii="宋体" w:hAnsi="宋体" w:cs="宋体" w:eastAsia="宋体" w:hint="default"/>
          <w:spacing w:val="-2"/>
          <w:sz w:val="18"/>
          <w:szCs w:val="18"/>
        </w:rPr>
        <w:t>说明报告期内改变计量模式的投资性房地产和未办妥产权证书的投资性房地产有关情况，说明未办妥产权证书的原因和预计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办结时间</w:t>
      </w:r>
    </w:p>
    <w:p>
      <w:pPr>
        <w:spacing w:line="240" w:lineRule="auto" w:before="12"/>
        <w:rPr>
          <w:rFonts w:ascii="宋体" w:hAnsi="宋体" w:cs="宋体" w:eastAsia="宋体" w:hint="default"/>
          <w:sz w:val="22"/>
          <w:szCs w:val="22"/>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17"/>
        <w:gridCol w:w="1462"/>
        <w:gridCol w:w="1327"/>
        <w:gridCol w:w="1594"/>
        <w:gridCol w:w="1597"/>
        <w:gridCol w:w="1459"/>
      </w:tblGrid>
      <w:tr>
        <w:trPr>
          <w:trHeight w:val="401"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273,855,794.84</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1,836,155.62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2,931,923.92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272,760,026.54</w:t>
            </w:r>
          </w:p>
        </w:tc>
      </w:tr>
      <w:tr>
        <w:trPr>
          <w:trHeight w:val="401"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103,017,978.35</w:t>
            </w:r>
          </w:p>
        </w:tc>
        <w:tc>
          <w:tcPr>
            <w:tcW w:w="2921" w:type="dxa"/>
            <w:gridSpan w:val="2"/>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103,017,978.35</w:t>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66,339,091.38</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-395,881.31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115,042.00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65,828,168.07</w:t>
            </w:r>
          </w:p>
        </w:tc>
      </w:tr>
      <w:tr>
        <w:trPr>
          <w:trHeight w:val="401"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6,062,907.96</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256,320.41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204,548.64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6,114,679.73</w:t>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86,890,925.66</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1,832,767.52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1,175,421.58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87,548,271.60</w:t>
            </w:r>
          </w:p>
        </w:tc>
      </w:tr>
      <w:tr>
        <w:trPr>
          <w:trHeight w:val="401"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办公家具及管理用具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11,544,891.49</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142,949.00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1,436,911.70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10,250,928.79</w:t>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7"/>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86,451,802.47</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28,066,211.92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2,138,631.92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112,379,382.47</w:t>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5,478,439.89</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2,524,978.08</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8,003,417.97</w:t>
            </w:r>
          </w:p>
        </w:tc>
      </w:tr>
      <w:tr>
        <w:trPr>
          <w:trHeight w:val="401"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33,960,200.27</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6,818,472.49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109,289.90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40,669,382.86</w:t>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1,917,784.20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662,523.92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55,761.92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2,524,546.20</w:t>
            </w:r>
          </w:p>
        </w:tc>
      </w:tr>
      <w:tr>
        <w:trPr>
          <w:trHeight w:val="401"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39,397,251.58</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16,874,496.23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1,020,204.64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55,251,543.17</w:t>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办公家具及管理用具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5,698,126.53</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1,185,741.20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953,375.46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5,930,492.27</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bl>
    <w:p>
      <w:pPr>
        <w:spacing w:after="0" w:line="240" w:lineRule="auto"/>
        <w:jc w:val="left"/>
        <w:rPr>
          <w:rFonts w:ascii="宋体" w:hAnsi="宋体" w:cs="宋体" w:eastAsia="宋体" w:hint="default"/>
          <w:sz w:val="18"/>
          <w:szCs w:val="18"/>
        </w:rPr>
        <w:sectPr>
          <w:pgSz w:w="11910" w:h="16840"/>
          <w:pgMar w:header="877" w:footer="1308"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9"/>
        <w:gridCol w:w="1474"/>
        <w:gridCol w:w="4506"/>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187,403,992.37</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160,380,644.07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97,539,538.46</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95,014,560.38</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32,378,891.11</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25,158,785.21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4,145,123.76</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3,590,133.53</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47,493,674.08</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32,296,728.43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办公家具及管理用具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5,846,764.96</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4,320,436.52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346,943.62</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280,349.62</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27,840.00</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319,103.62</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280,349.62</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办公家具及管理用具</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187,057,048.75</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160,100,294.45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97,539,538.46</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95,014,560.38</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32,378,891.11</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25,158,785.21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4,117,283.76</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3,590,133.53</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47,174,570.46</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32,016,378.81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办公家具及管理用具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5,846,764.96</w:t>
            </w:r>
          </w:p>
        </w:tc>
        <w:tc>
          <w:tcPr>
            <w:tcW w:w="4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4,320,436.52</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28,066,211.92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元；本期由在建工程转入固定资产原价为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）暂时闲置的固定资产情况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）通过融资租赁租入的固定资产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）期末持有待售的固定资产情况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22"/>
        <w:gridCol w:w="1721"/>
        <w:gridCol w:w="1875"/>
        <w:gridCol w:w="1875"/>
        <w:gridCol w:w="1874"/>
      </w:tblGrid>
      <w:tr>
        <w:trPr>
          <w:trHeight w:val="401" w:hRule="exact"/>
        </w:trPr>
        <w:tc>
          <w:tcPr>
            <w:tcW w:w="2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after="0" w:line="240" w:lineRule="auto"/>
        <w:jc w:val="left"/>
        <w:rPr>
          <w:rFonts w:ascii="宋体" w:hAnsi="宋体" w:cs="宋体" w:eastAsia="宋体" w:hint="default"/>
          <w:sz w:val="18"/>
          <w:szCs w:val="18"/>
        </w:rPr>
        <w:sectPr>
          <w:pgSz w:w="11910" w:h="16840"/>
          <w:pgMar w:header="877" w:footer="1308" w:top="1060" w:bottom="1540" w:left="980" w:right="0"/>
        </w:sectPr>
      </w:pPr>
    </w:p>
    <w:p>
      <w:pPr>
        <w:spacing w:line="240" w:lineRule="auto" w:before="10"/>
        <w:rPr>
          <w:rFonts w:ascii="宋体" w:hAnsi="宋体" w:cs="宋体" w:eastAsia="宋体" w:hint="default"/>
          <w:sz w:val="24"/>
          <w:szCs w:val="24"/>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固定资产说明</w:t>
      </w:r>
    </w:p>
    <w:p>
      <w:pPr>
        <w:spacing w:line="240" w:lineRule="auto" w:before="0"/>
        <w:rPr>
          <w:rFonts w:ascii="宋体" w:hAnsi="宋体" w:cs="宋体" w:eastAsia="宋体" w:hint="default"/>
          <w:sz w:val="18"/>
          <w:szCs w:val="18"/>
        </w:rPr>
      </w:pPr>
    </w:p>
    <w:p>
      <w:pPr>
        <w:spacing w:before="12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1"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4"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济宁大唐高鸿科技大厦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842,000.00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842,000.00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）重大在建工程项目变动情况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1337"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4"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93" w:right="91"/>
              <w:jc w:val="center"/>
              <w:rPr>
                <w:rFonts w:ascii="Times New Roman" w:hAnsi="Times New Roman" w:cs="Times New Roman" w:eastAsia="Times New Roman" w:hint="default"/>
                <w:sz w:val="18"/>
                <w:szCs w:val="18"/>
              </w:rPr>
            </w:pPr>
            <w:r>
              <w:rPr>
                <w:rFonts w:ascii="宋体" w:hAnsi="宋体" w:cs="宋体" w:eastAsia="宋体" w:hint="default"/>
                <w:sz w:val="18"/>
                <w:szCs w:val="18"/>
              </w:rPr>
              <w:t>工程投 入占预 算比例 </w:t>
            </w:r>
            <w:r>
              <w:rPr>
                <w:rFonts w:ascii="Times New Roman" w:hAnsi="Times New Roman" w:cs="Times New Roman" w:eastAsia="Times New Roman" w:hint="default"/>
                <w:sz w:val="18"/>
                <w:szCs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339"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济宁大 唐高鸿 科技大 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255,510,</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842,000.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0.33%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0.33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6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842,000.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255,510,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842,000.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842,000.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bl>
    <w:p>
      <w:pPr>
        <w:spacing w:line="338" w:lineRule="auto" w:before="49"/>
        <w:ind w:left="152" w:right="1125"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在建工程项目变动情况的说明 </w:t>
      </w:r>
      <w:r>
        <w:rPr>
          <w:rFonts w:ascii="宋体" w:hAnsi="宋体" w:cs="宋体" w:eastAsia="宋体" w:hint="default"/>
          <w:spacing w:val="-2"/>
          <w:sz w:val="18"/>
          <w:szCs w:val="18"/>
        </w:rPr>
        <w:t>本期在建工程共增加两项，第一项为付山东天勤工程管理咨询有限公司济宁大唐高鸿科技大厦地勘、设计招标代理费，金额</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为</w:t>
      </w:r>
      <w:r>
        <w:rPr>
          <w:rFonts w:ascii="Times New Roman" w:hAnsi="Times New Roman" w:cs="Times New Roman" w:eastAsia="Times New Roman" w:hint="default"/>
          <w:sz w:val="18"/>
          <w:szCs w:val="18"/>
        </w:rPr>
        <w:t>30000</w:t>
      </w:r>
      <w:r>
        <w:rPr>
          <w:rFonts w:ascii="宋体" w:hAnsi="宋体" w:cs="宋体" w:eastAsia="宋体" w:hint="default"/>
          <w:sz w:val="18"/>
          <w:szCs w:val="18"/>
        </w:rPr>
        <w:t>元，第二项为付北京宜和人文开元建筑设计事务所济宁大唐高鸿科技大厦第一期工程设计款，金额为</w:t>
      </w:r>
      <w:r>
        <w:rPr>
          <w:rFonts w:ascii="Times New Roman" w:hAnsi="Times New Roman" w:cs="Times New Roman" w:eastAsia="Times New Roman" w:hint="default"/>
          <w:sz w:val="18"/>
          <w:szCs w:val="18"/>
        </w:rPr>
        <w:t>812000</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p>
      <w:pPr>
        <w:spacing w:line="240" w:lineRule="auto" w:before="8"/>
        <w:rPr>
          <w:rFonts w:ascii="Times New Roman" w:hAnsi="Times New Roman" w:cs="Times New Roman" w:eastAsia="Times New Roman" w:hint="default"/>
          <w:sz w:val="22"/>
          <w:szCs w:val="22"/>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）在建工程减值准备</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7"/>
        <w:gridCol w:w="1591"/>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计提原因</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）重大在建工程的工程进度情况</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877" w:footer="1308" w:top="1060" w:bottom="1540" w:left="980" w:right="0"/>
        </w:sectPr>
      </w:pPr>
    </w:p>
    <w:p>
      <w:pPr>
        <w:spacing w:line="240" w:lineRule="auto" w:before="10"/>
        <w:rPr>
          <w:rFonts w:ascii="宋体" w:hAnsi="宋体" w:cs="宋体" w:eastAsia="宋体" w:hint="default"/>
          <w:b/>
          <w:bCs/>
          <w:sz w:val="24"/>
          <w:szCs w:val="24"/>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）在建工程的说明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、工程物资</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37"/>
        <w:gridCol w:w="1606"/>
        <w:gridCol w:w="1462"/>
        <w:gridCol w:w="1594"/>
        <w:gridCol w:w="1860"/>
      </w:tblGrid>
      <w:tr>
        <w:trPr>
          <w:trHeight w:val="401" w:hRule="exact"/>
        </w:trPr>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工程物资的说明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、固定资产清理</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05"/>
        <w:gridCol w:w="2004"/>
        <w:gridCol w:w="2139"/>
        <w:gridCol w:w="2500"/>
      </w:tblGrid>
      <w:tr>
        <w:trPr>
          <w:trHeight w:val="401" w:hRule="exact"/>
        </w:trPr>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转入清理的原因</w:t>
            </w:r>
          </w:p>
        </w:tc>
      </w:tr>
      <w:tr>
        <w:trPr>
          <w:trHeight w:val="403" w:hRule="exact"/>
        </w:trPr>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2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说明转入固定资产清理起始时间已超过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年的固定资产清理进展情况</w:t>
      </w:r>
    </w:p>
    <w:p>
      <w:pPr>
        <w:spacing w:line="240" w:lineRule="auto" w:before="13"/>
        <w:rPr>
          <w:rFonts w:ascii="宋体" w:hAnsi="宋体" w:cs="宋体" w:eastAsia="宋体" w:hint="default"/>
          <w:sz w:val="25"/>
          <w:szCs w:val="25"/>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、生产性生物资产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）以成本计量</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726"/>
        <w:gridCol w:w="1860"/>
        <w:gridCol w:w="2127"/>
        <w:gridCol w:w="1849"/>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726"/>
        <w:gridCol w:w="1860"/>
        <w:gridCol w:w="2127"/>
        <w:gridCol w:w="1849"/>
      </w:tblGrid>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生产性生物资产的说明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1308" w:top="1060" w:bottom="150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051"/>
        <w:gridCol w:w="1720"/>
        <w:gridCol w:w="1841"/>
        <w:gridCol w:w="2105"/>
        <w:gridCol w:w="1841"/>
      </w:tblGrid>
      <w:tr>
        <w:trPr>
          <w:trHeight w:val="401" w:hRule="exact"/>
        </w:trPr>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5" w:hRule="exact"/>
        </w:trPr>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7"/>
              <w:jc w:val="left"/>
              <w:rPr>
                <w:rFonts w:ascii="宋体" w:hAnsi="宋体" w:cs="宋体" w:eastAsia="宋体" w:hint="default"/>
                <w:sz w:val="18"/>
                <w:szCs w:val="18"/>
              </w:rPr>
            </w:pPr>
            <w:r>
              <w:rPr>
                <w:rFonts w:ascii="宋体" w:hAnsi="宋体" w:cs="宋体" w:eastAsia="宋体" w:hint="default"/>
                <w:sz w:val="18"/>
                <w:szCs w:val="18"/>
              </w:rPr>
              <w:t>四、油气资产账面价值合 计</w:t>
            </w:r>
          </w:p>
        </w:tc>
        <w:tc>
          <w:tcPr>
            <w:tcW w:w="17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油气资产的说明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156,613,577.70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7" w:right="0"/>
              <w:jc w:val="left"/>
              <w:rPr>
                <w:rFonts w:ascii="Times New Roman" w:hAnsi="Times New Roman" w:cs="Times New Roman" w:eastAsia="Times New Roman" w:hint="default"/>
                <w:sz w:val="18"/>
                <w:szCs w:val="18"/>
              </w:rPr>
            </w:pPr>
            <w:r>
              <w:rPr>
                <w:rFonts w:ascii="Times New Roman"/>
                <w:sz w:val="18"/>
              </w:rPr>
              <w:t>18,601,533.40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60,396,601.52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114,818,509.58</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用于宽带多媒体通信的覆 盖网原型技术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233,694.00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233,694.00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以太网三层交换产业化技 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DELPHIS</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office</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mplsltcs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操作系统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RATION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320,000.00</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ATV</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norton</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2,000.00</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CS1000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51,905,654.13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51,905,654.13</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RATION </w:t>
            </w:r>
            <w:r>
              <w:rPr>
                <w:rFonts w:ascii="宋体" w:hAnsi="宋体" w:cs="宋体" w:eastAsia="宋体" w:hint="default"/>
                <w:sz w:val="18"/>
                <w:szCs w:val="18"/>
              </w:rPr>
              <w:t>软件授权许可协议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822,947.39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822,947.39</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软件许可协议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101,000.00</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MSCP </w:t>
            </w:r>
            <w:r>
              <w:rPr>
                <w:rFonts w:ascii="宋体" w:hAnsi="宋体" w:cs="宋体" w:eastAsia="宋体" w:hint="default"/>
                <w:sz w:val="18"/>
                <w:szCs w:val="18"/>
              </w:rPr>
              <w:t>协议软件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组播路由协议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dasho-prolicense</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中间平台技术转让费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AUTOCAD</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RADIVS</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协议的计费服务器 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SS-3000V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平台网络管理系 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SIP </w:t>
            </w:r>
            <w:r>
              <w:rPr>
                <w:rFonts w:ascii="宋体" w:hAnsi="宋体" w:cs="宋体" w:eastAsia="宋体" w:hint="default"/>
                <w:sz w:val="18"/>
                <w:szCs w:val="18"/>
              </w:rPr>
              <w:t>软电话终端技术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ILBC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编码算法</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55,526.40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55,526.40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08" w:top="1060" w:bottom="15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中间件平台</w:t>
            </w:r>
            <w:r>
              <w:rPr>
                <w:rFonts w:ascii="Times New Roman" w:hAnsi="Times New Roman" w:cs="Times New Roman" w:eastAsia="Times New Roman" w:hint="default"/>
                <w:sz w:val="18"/>
                <w:szCs w:val="18"/>
              </w:rPr>
              <w:t>-SmartMW </w:t>
            </w:r>
            <w:r>
              <w:rPr>
                <w:rFonts w:ascii="宋体" w:hAnsi="宋体" w:cs="宋体" w:eastAsia="宋体" w:hint="default"/>
                <w:sz w:val="18"/>
                <w:szCs w:val="18"/>
              </w:rPr>
              <w:t>平台成本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 </w:t>
            </w:r>
            <w:r>
              <w:rPr>
                <w:rFonts w:ascii="宋体" w:hAnsi="宋体" w:cs="宋体" w:eastAsia="宋体" w:hint="default"/>
                <w:sz w:val="18"/>
                <w:szCs w:val="18"/>
              </w:rPr>
              <w:t>多媒体调度系统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2,736,000.00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2,736,000.00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电子档案管理系统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8"/>
              <w:jc w:val="left"/>
              <w:rPr>
                <w:rFonts w:ascii="宋体" w:hAnsi="宋体" w:cs="宋体" w:eastAsia="宋体" w:hint="default"/>
                <w:sz w:val="18"/>
                <w:szCs w:val="18"/>
              </w:rPr>
            </w:pPr>
            <w:r>
              <w:rPr>
                <w:rFonts w:ascii="宋体" w:hAnsi="宋体" w:cs="宋体" w:eastAsia="宋体" w:hint="default"/>
                <w:sz w:val="18"/>
                <w:szCs w:val="18"/>
              </w:rPr>
              <w:t>芯片级网络处理器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安全 引擎系统项目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3,016,238.69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3,016,238.69</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的电子标签产品 研发与标准研究制定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1028"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TD-SCDMA/RFID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技</w:t>
            </w:r>
          </w:p>
          <w:p>
            <w:pPr>
              <w:pStyle w:val="TableParagraph"/>
              <w:spacing w:line="316" w:lineRule="auto" w:before="60"/>
              <w:ind w:left="24" w:right="180"/>
              <w:jc w:val="left"/>
              <w:rPr>
                <w:rFonts w:ascii="宋体" w:hAnsi="宋体" w:cs="宋体" w:eastAsia="宋体" w:hint="default"/>
                <w:sz w:val="18"/>
                <w:szCs w:val="18"/>
              </w:rPr>
            </w:pPr>
            <w:r>
              <w:rPr>
                <w:rFonts w:ascii="宋体" w:hAnsi="宋体" w:cs="宋体" w:eastAsia="宋体" w:hint="default"/>
                <w:sz w:val="18"/>
                <w:szCs w:val="18"/>
              </w:rPr>
              <w:t>术的冷链物流监控系统技 术研究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9"/>
              <w:jc w:val="left"/>
              <w:rPr>
                <w:rFonts w:ascii="Times New Roman" w:hAnsi="Times New Roman" w:cs="Times New Roman" w:eastAsia="Times New Roman" w:hint="default"/>
                <w:sz w:val="18"/>
                <w:szCs w:val="18"/>
              </w:rPr>
            </w:pPr>
            <w:r>
              <w:rPr>
                <w:rFonts w:ascii="宋体" w:hAnsi="宋体" w:cs="宋体" w:eastAsia="宋体" w:hint="default"/>
                <w:sz w:val="18"/>
                <w:szCs w:val="18"/>
              </w:rPr>
              <w:t>中孚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ZFTEC </w:t>
            </w:r>
            <w:r>
              <w:rPr>
                <w:rFonts w:ascii="宋体" w:hAnsi="宋体" w:cs="宋体" w:eastAsia="宋体" w:hint="default"/>
                <w:sz w:val="18"/>
                <w:szCs w:val="18"/>
              </w:rPr>
              <w:t>计算机违规深 度检查取证系统软件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介质信息消除工具</w:t>
            </w:r>
          </w:p>
          <w:p>
            <w:pPr>
              <w:pStyle w:val="TableParagraph"/>
              <w:spacing w:line="240" w:lineRule="auto" w:before="116"/>
              <w:ind w:left="24" w:right="0"/>
              <w:jc w:val="left"/>
              <w:rPr>
                <w:rFonts w:ascii="Times New Roman" w:hAnsi="Times New Roman" w:cs="Times New Roman" w:eastAsia="Times New Roman" w:hint="default"/>
                <w:sz w:val="18"/>
                <w:szCs w:val="18"/>
              </w:rPr>
            </w:pPr>
            <w:r>
              <w:rPr>
                <w:rFonts w:ascii="Times New Roman"/>
                <w:sz w:val="18"/>
              </w:rPr>
              <w:t>zyhz-299093v1.0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102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both"/>
              <w:rPr>
                <w:rFonts w:ascii="宋体" w:hAnsi="宋体" w:cs="宋体" w:eastAsia="宋体" w:hint="default"/>
                <w:sz w:val="18"/>
                <w:szCs w:val="18"/>
              </w:rPr>
            </w:pPr>
            <w:r>
              <w:rPr>
                <w:rFonts w:ascii="宋体" w:hAnsi="宋体" w:cs="宋体" w:eastAsia="宋体" w:hint="default"/>
                <w:sz w:val="18"/>
                <w:szCs w:val="18"/>
              </w:rPr>
              <w:t>基于物联网技术的智能农 业信息系统与绿色农产品 溯源平台的研发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3,200,000.00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ATM100-3GTC</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1,265,902.83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1,265,902.83</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基于信道化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155M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的加密技 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2,002,125.00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2,002,125.00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IMA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网络接口管理平台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170,000.00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终端通信的安全反扫 描技术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TD-SCDMA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终端系统开发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大端口</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汇聚接入系统软 件平台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大端口</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汇聚接入硬件平 台及系统集成开发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大端口</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汇聚接入系统平 台迁移技术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电子商务软件平台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BW210 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电话技术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平台项目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IMS </w:t>
            </w:r>
            <w:r>
              <w:rPr>
                <w:rFonts w:ascii="宋体" w:hAnsi="宋体" w:cs="宋体" w:eastAsia="宋体" w:hint="default"/>
                <w:sz w:val="18"/>
                <w:szCs w:val="18"/>
              </w:rPr>
              <w:t>统一网管</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GHOM</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430,463.52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430,463.52</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24" w:right="134"/>
              <w:jc w:val="left"/>
              <w:rPr>
                <w:rFonts w:ascii="Times New Roman" w:hAnsi="Times New Roman" w:cs="Times New Roman" w:eastAsia="Times New Roman" w:hint="default"/>
                <w:sz w:val="18"/>
                <w:szCs w:val="18"/>
              </w:rPr>
            </w:pPr>
            <w:r>
              <w:rPr>
                <w:rFonts w:ascii="宋体" w:hAnsi="宋体" w:cs="宋体" w:eastAsia="宋体" w:hint="default"/>
                <w:sz w:val="18"/>
                <w:szCs w:val="18"/>
              </w:rPr>
              <w:t>终端项目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MG3000-A(</w:t>
            </w:r>
            <w:r>
              <w:rPr>
                <w:rFonts w:ascii="宋体" w:hAnsi="宋体" w:cs="宋体" w:eastAsia="宋体" w:hint="default"/>
                <w:sz w:val="18"/>
                <w:szCs w:val="18"/>
              </w:rPr>
              <w:t>包括 </w:t>
            </w:r>
            <w:r>
              <w:rPr>
                <w:rFonts w:ascii="Times New Roman" w:hAnsi="Times New Roman" w:cs="Times New Roman" w:eastAsia="Times New Roman" w:hint="default"/>
                <w:sz w:val="18"/>
                <w:szCs w:val="18"/>
              </w:rPr>
              <w:t>A2/A8)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2,948,599.60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2,948,599.60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终端项目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MG3000-R</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1,524,886.58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1,524,886.58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08"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终端项目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MG3000-KB</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615,657.86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615,657.86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终端项目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MG3000-T4-SS7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1,320,745.18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1,320,745.18</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平台项目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SS3000-C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呼叫中 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3,023,913.47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3,023,913.47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平台项目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SS3000-E</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5,170,418.75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5,170,418.75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网关项目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MG3000-X100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3,811,566.58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3,811,566.58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 </w:t>
            </w:r>
            <w:r>
              <w:rPr>
                <w:rFonts w:ascii="宋体" w:hAnsi="宋体" w:cs="宋体" w:eastAsia="宋体" w:hint="default"/>
                <w:sz w:val="18"/>
                <w:szCs w:val="18"/>
              </w:rPr>
              <w:t>呼叫中心技术开发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mindspeed </w:t>
            </w:r>
            <w:r>
              <w:rPr>
                <w:rFonts w:ascii="宋体" w:hAnsi="宋体" w:cs="宋体" w:eastAsia="宋体" w:hint="default"/>
                <w:sz w:val="18"/>
                <w:szCs w:val="18"/>
              </w:rPr>
              <w:t>多方会议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license</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 </w:t>
            </w:r>
            <w:r>
              <w:rPr>
                <w:rFonts w:ascii="宋体" w:hAnsi="宋体" w:cs="宋体" w:eastAsia="宋体" w:hint="default"/>
                <w:sz w:val="18"/>
                <w:szCs w:val="18"/>
              </w:rPr>
              <w:t>语音网关配置管理</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260,000.00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调度系统视频业务技术 开发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手机社区平台技术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4,960,000.00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4,960,000.00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手机游戏平台技术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4,960,000.00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电信增值业务用户与业务 产品管理系统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网站技术开发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移动互联网数字出版平台</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移动互联网数字版权保护 平台</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漫画在线创作系统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3,191,946.40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3,191,946.40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IPV6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网络音视频监控软件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宽带综合视频监控系统技 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1,911,950.00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1,911,950.00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VOIP-IAD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金算盘软件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VPS</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418,000.00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Times New Roman" w:hAnsi="Times New Roman" w:cs="Times New Roman" w:eastAsia="Times New Roman" w:hint="default"/>
                <w:sz w:val="18"/>
                <w:szCs w:val="18"/>
              </w:rPr>
            </w:pPr>
            <w:r>
              <w:rPr>
                <w:rFonts w:ascii="宋体" w:hAnsi="宋体" w:cs="宋体" w:eastAsia="宋体" w:hint="default"/>
                <w:sz w:val="18"/>
                <w:szCs w:val="18"/>
              </w:rPr>
              <w:t>联达动力网络办公系统软 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249,000.00</w:t>
            </w:r>
          </w:p>
        </w:tc>
      </w:tr>
      <w:tr>
        <w:trPr>
          <w:trHeight w:val="716"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IPV6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网络音</w:t>
            </w:r>
            <w:r>
              <w:rPr>
                <w:rFonts w:ascii="Times New Roman" w:hAnsi="Times New Roman" w:cs="Times New Roman" w:eastAsia="Times New Roman" w:hint="default"/>
                <w:sz w:val="18"/>
                <w:szCs w:val="18"/>
              </w:rPr>
              <w:t>/</w:t>
            </w:r>
            <w:r>
              <w:rPr>
                <w:rFonts w:ascii="宋体" w:hAnsi="宋体" w:cs="宋体" w:eastAsia="宋体" w:hint="default"/>
                <w:sz w:val="18"/>
                <w:szCs w:val="18"/>
              </w:rPr>
              <w:t>视频监控摄像 终端技术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电子商务智能平台建设开 发项目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990,000.00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煤矿安全生产信息化标准 体系研究制定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H.323 </w:t>
            </w:r>
            <w:r>
              <w:rPr>
                <w:rFonts w:ascii="宋体" w:hAnsi="宋体" w:cs="宋体" w:eastAsia="宋体" w:hint="default"/>
                <w:sz w:val="18"/>
                <w:szCs w:val="18"/>
              </w:rPr>
              <w:t>私网穿透技术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320,000.00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SS3000-E </w:t>
            </w:r>
            <w:r>
              <w:rPr>
                <w:rFonts w:ascii="宋体" w:hAnsi="宋体" w:cs="宋体" w:eastAsia="宋体" w:hint="default"/>
                <w:sz w:val="18"/>
                <w:szCs w:val="18"/>
              </w:rPr>
              <w:t>话音编解玛转换 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08" w:top="1060" w:bottom="15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终端通信的加密算法 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中继网关网络管理平台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195,000.00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网音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语音增值业务系统 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V7.10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9,401.71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9,401.71</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呼叫中心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216,987.00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216,987.00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煤矿安全绳长信息化标准 体系平台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应用软件系统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6"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80"/>
              <w:jc w:val="left"/>
              <w:rPr>
                <w:rFonts w:ascii="宋体" w:hAnsi="宋体" w:cs="宋体" w:eastAsia="宋体" w:hint="default"/>
                <w:sz w:val="18"/>
                <w:szCs w:val="18"/>
              </w:rPr>
            </w:pPr>
            <w:r>
              <w:rPr>
                <w:rFonts w:ascii="宋体" w:hAnsi="宋体" w:cs="宋体" w:eastAsia="宋体" w:hint="default"/>
                <w:sz w:val="18"/>
                <w:szCs w:val="18"/>
              </w:rPr>
              <w:t>物流信息管理系统技术转 让费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2,600,000.00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电子标签产品研发、标准研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究制定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4,015,000.00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4,015,000.00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windows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3,464.00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3,464.00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OFFICE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3,464.00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3,464.00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TTS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语音合成软件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3,418.80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3,418.80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MS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3,464.00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3,464.00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TTS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语音合成软件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6,837.61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6,837.61</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CCOne2.0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12,789,637.60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12,789,637.60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光纤接入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服务器托管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软件实施费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4,452,600.00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1,924,000.00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6,376,600.00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Citrix XenDesktop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企业版软 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79,600.00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79,600.00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Windows 03 server</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操作系统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Oracle 10G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数据库软件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175,000.00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175,000.00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63"/>
              <w:jc w:val="left"/>
              <w:rPr>
                <w:rFonts w:ascii="宋体" w:hAnsi="宋体" w:cs="宋体" w:eastAsia="宋体" w:hint="default"/>
                <w:sz w:val="18"/>
                <w:szCs w:val="18"/>
              </w:rPr>
            </w:pPr>
            <w:r>
              <w:rPr>
                <w:rFonts w:ascii="Times New Roman" w:hAnsi="Times New Roman" w:cs="Times New Roman" w:eastAsia="Times New Roman" w:hint="default"/>
                <w:sz w:val="18"/>
                <w:szCs w:val="18"/>
              </w:rPr>
              <w:t>mySHOP </w:t>
            </w:r>
            <w:r>
              <w:rPr>
                <w:rFonts w:ascii="宋体" w:hAnsi="宋体" w:cs="宋体" w:eastAsia="宋体" w:hint="default"/>
                <w:sz w:val="18"/>
                <w:szCs w:val="18"/>
              </w:rPr>
              <w:t>套件应用软件产 品及产品服务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航天金税财税管理开票软 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78,967,437.42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14,295,144.30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7" w:right="0"/>
              <w:jc w:val="left"/>
              <w:rPr>
                <w:rFonts w:ascii="Times New Roman" w:hAnsi="Times New Roman" w:cs="Times New Roman" w:eastAsia="Times New Roman" w:hint="default"/>
                <w:sz w:val="18"/>
                <w:szCs w:val="18"/>
              </w:rPr>
            </w:pPr>
            <w:r>
              <w:rPr>
                <w:rFonts w:ascii="Times New Roman"/>
                <w:sz w:val="18"/>
              </w:rPr>
              <w:t>60,396,601.52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32,865,980.20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用于宽带多媒体通信的覆 盖网原型技术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48,686.25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23,369.40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72,055.65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08" w:top="1060" w:bottom="15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以太网三层交换产业化技 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2,775,000.00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DELPHIS</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office</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mplsltcs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操作系统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2,053,333.10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146,666.90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2,200,000.00</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RATION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298,666.91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21,333.09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320,000.00</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ATV</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1,866,666.91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133,333.09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norton</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1,866.91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2,000.00</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CS1000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48,445,277.35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3,460,376.78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51,905,654.13</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RATION </w:t>
            </w:r>
            <w:r>
              <w:rPr>
                <w:rFonts w:ascii="宋体" w:hAnsi="宋体" w:cs="宋体" w:eastAsia="宋体" w:hint="default"/>
                <w:sz w:val="18"/>
                <w:szCs w:val="18"/>
              </w:rPr>
              <w:t>软件授权许可协议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788,657.56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34,289.83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822,947.39</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软件许可协议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95,108.57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5,891.43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101,000.00</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MSCP </w:t>
            </w:r>
            <w:r>
              <w:rPr>
                <w:rFonts w:ascii="宋体" w:hAnsi="宋体" w:cs="宋体" w:eastAsia="宋体" w:hint="default"/>
                <w:sz w:val="18"/>
                <w:szCs w:val="18"/>
              </w:rPr>
              <w:t>协议软件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190,750.00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19,250.00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组播路由协议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635,833.09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64,166.91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150,333.16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20,499.96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170,833.12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dasho-prolicense</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8,449.86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1,299.96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9,749.82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中间平台技术转让费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912,500.00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1,062,500.00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AUTOCAD</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12,266.76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2,300.04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14,566.80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RADIVS</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协议的计费服务器 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203,333.26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39,999.96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243,333.22</w:t>
            </w:r>
          </w:p>
        </w:tc>
      </w:tr>
      <w:tr>
        <w:trPr>
          <w:trHeight w:val="716"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SS-3000V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平台网络管理系 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218,583.26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42,999.96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261,583.22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SIP </w:t>
            </w:r>
            <w:r>
              <w:rPr>
                <w:rFonts w:ascii="宋体" w:hAnsi="宋体" w:cs="宋体" w:eastAsia="宋体" w:hint="default"/>
                <w:sz w:val="18"/>
                <w:szCs w:val="18"/>
              </w:rPr>
              <w:t>软电话终端技术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181,983.25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35,799.96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217,783.21</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ILBC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编码算法</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20,359.68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5,552.64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25,912.32</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中间件平台</w:t>
            </w:r>
            <w:r>
              <w:rPr>
                <w:rFonts w:ascii="Times New Roman" w:hAnsi="Times New Roman" w:cs="Times New Roman" w:eastAsia="Times New Roman" w:hint="default"/>
                <w:sz w:val="18"/>
                <w:szCs w:val="18"/>
              </w:rPr>
              <w:t>-SmartMW </w:t>
            </w:r>
            <w:r>
              <w:rPr>
                <w:rFonts w:ascii="宋体" w:hAnsi="宋体" w:cs="宋体" w:eastAsia="宋体" w:hint="default"/>
                <w:sz w:val="18"/>
                <w:szCs w:val="18"/>
              </w:rPr>
              <w:t>平台成本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 </w:t>
            </w:r>
            <w:r>
              <w:rPr>
                <w:rFonts w:ascii="宋体" w:hAnsi="宋体" w:cs="宋体" w:eastAsia="宋体" w:hint="default"/>
                <w:sz w:val="18"/>
                <w:szCs w:val="18"/>
              </w:rPr>
              <w:t>多媒体调度系统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273,600.00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273,600.00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547,200.00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电子档案管理系统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4,666.69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8,000.04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12,666.73</w:t>
            </w:r>
          </w:p>
        </w:tc>
      </w:tr>
      <w:tr>
        <w:trPr>
          <w:trHeight w:val="716"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8"/>
              <w:jc w:val="left"/>
              <w:rPr>
                <w:rFonts w:ascii="宋体" w:hAnsi="宋体" w:cs="宋体" w:eastAsia="宋体" w:hint="default"/>
                <w:sz w:val="18"/>
                <w:szCs w:val="18"/>
              </w:rPr>
            </w:pPr>
            <w:r>
              <w:rPr>
                <w:rFonts w:ascii="宋体" w:hAnsi="宋体" w:cs="宋体" w:eastAsia="宋体" w:hint="default"/>
                <w:sz w:val="18"/>
                <w:szCs w:val="18"/>
              </w:rPr>
              <w:t>芯片级网络处理器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安全 引擎系统项目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150,811.92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301,623.84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452,435.76</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的电子标签产品 研发与标准研究制定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33,333.33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399,999.96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433,333.29</w:t>
            </w:r>
          </w:p>
        </w:tc>
      </w:tr>
      <w:tr>
        <w:trPr>
          <w:trHeight w:val="1027"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TD-SCDMA/RFID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技</w:t>
            </w:r>
          </w:p>
          <w:p>
            <w:pPr>
              <w:pStyle w:val="TableParagraph"/>
              <w:spacing w:line="316" w:lineRule="auto" w:before="60"/>
              <w:ind w:left="24" w:right="180"/>
              <w:jc w:val="left"/>
              <w:rPr>
                <w:rFonts w:ascii="宋体" w:hAnsi="宋体" w:cs="宋体" w:eastAsia="宋体" w:hint="default"/>
                <w:sz w:val="18"/>
                <w:szCs w:val="18"/>
              </w:rPr>
            </w:pPr>
            <w:r>
              <w:rPr>
                <w:rFonts w:ascii="宋体" w:hAnsi="宋体" w:cs="宋体" w:eastAsia="宋体" w:hint="default"/>
                <w:sz w:val="18"/>
                <w:szCs w:val="18"/>
              </w:rPr>
              <w:t>术的冷链物流监控系统技 术研究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9,166.63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9,166.63</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9"/>
              <w:jc w:val="left"/>
              <w:rPr>
                <w:rFonts w:ascii="Times New Roman" w:hAnsi="Times New Roman" w:cs="Times New Roman" w:eastAsia="Times New Roman" w:hint="default"/>
                <w:sz w:val="18"/>
                <w:szCs w:val="18"/>
              </w:rPr>
            </w:pPr>
            <w:r>
              <w:rPr>
                <w:rFonts w:ascii="宋体" w:hAnsi="宋体" w:cs="宋体" w:eastAsia="宋体" w:hint="default"/>
                <w:sz w:val="18"/>
                <w:szCs w:val="18"/>
              </w:rPr>
              <w:t>中孚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ZFTEC </w:t>
            </w:r>
            <w:r>
              <w:rPr>
                <w:rFonts w:ascii="宋体" w:hAnsi="宋体" w:cs="宋体" w:eastAsia="宋体" w:hint="default"/>
                <w:sz w:val="18"/>
                <w:szCs w:val="18"/>
              </w:rPr>
              <w:t>计算机违规深 度检查取证系统软件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875.01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875.01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08" w:top="1060" w:bottom="15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介质信息消除工具</w:t>
            </w:r>
          </w:p>
          <w:p>
            <w:pPr>
              <w:pStyle w:val="TableParagraph"/>
              <w:spacing w:line="240" w:lineRule="auto" w:before="119"/>
              <w:ind w:left="24" w:right="0"/>
              <w:jc w:val="left"/>
              <w:rPr>
                <w:rFonts w:ascii="Times New Roman" w:hAnsi="Times New Roman" w:cs="Times New Roman" w:eastAsia="Times New Roman" w:hint="default"/>
                <w:sz w:val="18"/>
                <w:szCs w:val="18"/>
              </w:rPr>
            </w:pPr>
            <w:r>
              <w:rPr>
                <w:rFonts w:ascii="Times New Roman"/>
                <w:sz w:val="18"/>
              </w:rPr>
              <w:t>zyhz-299093v1.0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666.66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666.66</w:t>
            </w:r>
          </w:p>
        </w:tc>
      </w:tr>
      <w:tr>
        <w:trPr>
          <w:trHeight w:val="1027"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both"/>
              <w:rPr>
                <w:rFonts w:ascii="宋体" w:hAnsi="宋体" w:cs="宋体" w:eastAsia="宋体" w:hint="default"/>
                <w:sz w:val="18"/>
                <w:szCs w:val="18"/>
              </w:rPr>
            </w:pPr>
            <w:r>
              <w:rPr>
                <w:rFonts w:ascii="宋体" w:hAnsi="宋体" w:cs="宋体" w:eastAsia="宋体" w:hint="default"/>
                <w:sz w:val="18"/>
                <w:szCs w:val="18"/>
              </w:rPr>
              <w:t>基于物联网技术的智能农 业信息系统与绿色农产品 溯源平台的研发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26,666.67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26,666.67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ATM100-3GTC</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263,729.73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126,590.28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390,320.01</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基于信道化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155M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的加密技 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1,017,746.97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200,212.56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1,217,959.53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IMA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网络接口管理平台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86,416.73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103,416.77</w:t>
            </w:r>
          </w:p>
        </w:tc>
      </w:tr>
      <w:tr>
        <w:trPr>
          <w:trHeight w:val="716"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终端通信的安全反扫 描技术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TD-SCDMA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终端系统开发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595,000.00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大端口</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汇聚接入系统软 件平台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670,000.00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大端口</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汇聚接入硬件平 台及系统集成开发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990,000.00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大端口</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汇聚接入系统平 台迁移技术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75,900.00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95,700.00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电子商务软件平台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108,750.00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153,750.00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BW210 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电话技术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52,500.00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97,500.00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平台项目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IMS </w:t>
            </w:r>
            <w:r>
              <w:rPr>
                <w:rFonts w:ascii="宋体" w:hAnsi="宋体" w:cs="宋体" w:eastAsia="宋体" w:hint="default"/>
                <w:sz w:val="18"/>
                <w:szCs w:val="18"/>
              </w:rPr>
              <w:t>统一网管</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GHOM</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50,220.80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43,046.40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93,267.20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4" w:right="134"/>
              <w:jc w:val="left"/>
              <w:rPr>
                <w:rFonts w:ascii="Times New Roman" w:hAnsi="Times New Roman" w:cs="Times New Roman" w:eastAsia="Times New Roman" w:hint="default"/>
                <w:sz w:val="18"/>
                <w:szCs w:val="18"/>
              </w:rPr>
            </w:pPr>
            <w:r>
              <w:rPr>
                <w:rFonts w:ascii="宋体" w:hAnsi="宋体" w:cs="宋体" w:eastAsia="宋体" w:hint="default"/>
                <w:sz w:val="18"/>
                <w:szCs w:val="18"/>
              </w:rPr>
              <w:t>终端项目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MG3000-A(</w:t>
            </w:r>
            <w:r>
              <w:rPr>
                <w:rFonts w:ascii="宋体" w:hAnsi="宋体" w:cs="宋体" w:eastAsia="宋体" w:hint="default"/>
                <w:sz w:val="18"/>
                <w:szCs w:val="18"/>
              </w:rPr>
              <w:t>包括 </w:t>
            </w:r>
            <w:r>
              <w:rPr>
                <w:rFonts w:ascii="Times New Roman" w:hAnsi="Times New Roman" w:cs="Times New Roman" w:eastAsia="Times New Roman" w:hint="default"/>
                <w:sz w:val="18"/>
                <w:szCs w:val="18"/>
              </w:rPr>
              <w:t>A2/A8)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319,431.58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294,859.92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614,291.50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终端项目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MG3000-R</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165,196.07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152,488.68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317,684.75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终端项目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MG3000-KB</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66,696.24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61,565.76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128,262.00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终端项目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MG3000-T4-SS7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143,080.73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132,074.52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275,155.25</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平台项目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SS3000-C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呼叫中 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151,195.68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302,391.36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453,587.04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平台项目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SS3000-E</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258,520.92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517,041.84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775,562.76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网关项目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MG3000-X100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31,763.05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381,156.60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412,919.65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 </w:t>
            </w:r>
            <w:r>
              <w:rPr>
                <w:rFonts w:ascii="宋体" w:hAnsi="宋体" w:cs="宋体" w:eastAsia="宋体" w:hint="default"/>
                <w:sz w:val="18"/>
                <w:szCs w:val="18"/>
              </w:rPr>
              <w:t>呼叫中心技术开发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13,475.00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13,475.00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mindspeed </w:t>
            </w:r>
            <w:r>
              <w:rPr>
                <w:rFonts w:ascii="宋体" w:hAnsi="宋体" w:cs="宋体" w:eastAsia="宋体" w:hint="default"/>
                <w:sz w:val="18"/>
                <w:szCs w:val="18"/>
              </w:rPr>
              <w:t>多方会议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license</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2,500.00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2,500.00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 </w:t>
            </w:r>
            <w:r>
              <w:rPr>
                <w:rFonts w:ascii="宋体" w:hAnsi="宋体" w:cs="宋体" w:eastAsia="宋体" w:hint="default"/>
                <w:sz w:val="18"/>
                <w:szCs w:val="18"/>
              </w:rPr>
              <w:t>语音网关配置管理</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5,000.00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调度系统视频业务技术 开发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手机社区平台技术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785,333.27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495,999.96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1,281,333.23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08" w:top="1060" w:bottom="15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手机游戏平台技术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785,333.27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495,999.96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1,281,333.23</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电信增值业务用户与业务 产品管理系统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网站技术开发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9,333.28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6,999.96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16,333.24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移动互联网数字出版平台</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133,333.32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133,333.32</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移动互联网数字版权保护 平台</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漫画在线创作系统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53,199.10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53,199.10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IPV6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网络音视频监控软件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233,333.27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39,999.96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273,333.23</w:t>
            </w:r>
          </w:p>
        </w:tc>
      </w:tr>
      <w:tr>
        <w:trPr>
          <w:trHeight w:val="716"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宽带综合视频监控系统技 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1,019,706.76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191,195.04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1,210,901.80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VOIP-IAD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357,000.08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68,000.04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425,000.12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金算盘软件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VPS</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100,128.25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54,492.36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154,620.61</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Times New Roman" w:hAnsi="Times New Roman" w:cs="Times New Roman" w:eastAsia="Times New Roman" w:hint="default"/>
                <w:sz w:val="18"/>
                <w:szCs w:val="18"/>
              </w:rPr>
            </w:pPr>
            <w:r>
              <w:rPr>
                <w:rFonts w:ascii="宋体" w:hAnsi="宋体" w:cs="宋体" w:eastAsia="宋体" w:hint="default"/>
                <w:sz w:val="18"/>
                <w:szCs w:val="18"/>
              </w:rPr>
              <w:t>联达动力网络办公系统软 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30,595.79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29,839.38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60,435.17</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IPV6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网络音</w:t>
            </w:r>
            <w:r>
              <w:rPr>
                <w:rFonts w:ascii="Times New Roman" w:hAnsi="Times New Roman" w:cs="Times New Roman" w:eastAsia="Times New Roman" w:hint="default"/>
                <w:sz w:val="18"/>
                <w:szCs w:val="18"/>
              </w:rPr>
              <w:t>/</w:t>
            </w:r>
            <w:r>
              <w:rPr>
                <w:rFonts w:ascii="宋体" w:hAnsi="宋体" w:cs="宋体" w:eastAsia="宋体" w:hint="default"/>
                <w:sz w:val="18"/>
                <w:szCs w:val="18"/>
              </w:rPr>
              <w:t>视频监控摄像 终端技术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291,666.62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249,999.96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541,666.58</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电子商务智能平台建设开 发项目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24,750.00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123,750.00</w:t>
            </w:r>
          </w:p>
        </w:tc>
      </w:tr>
      <w:tr>
        <w:trPr>
          <w:trHeight w:val="716"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煤矿安全生产信息化标准 体系研究制定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20,833.33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249,999.96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270,833.29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H.323 </w:t>
            </w:r>
            <w:r>
              <w:rPr>
                <w:rFonts w:ascii="宋体" w:hAnsi="宋体" w:cs="宋体" w:eastAsia="宋体" w:hint="default"/>
                <w:sz w:val="18"/>
                <w:szCs w:val="18"/>
              </w:rPr>
              <w:t>私网穿透技术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162,666.71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32,833.37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195,500.08</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SS3000-E </w:t>
            </w:r>
            <w:r>
              <w:rPr>
                <w:rFonts w:ascii="宋体" w:hAnsi="宋体" w:cs="宋体" w:eastAsia="宋体" w:hint="default"/>
                <w:sz w:val="18"/>
                <w:szCs w:val="18"/>
              </w:rPr>
              <w:t>话音编解玛转换 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50,833.22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9,166.63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59,999.85</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终端通信的加密算法 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74,216.72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14,600.04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88,816.76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中继网关网络管理平台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81,841.72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16,100.04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97,941.76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58,500.00</w:t>
            </w:r>
          </w:p>
        </w:tc>
      </w:tr>
      <w:tr>
        <w:trPr>
          <w:trHeight w:val="716"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网音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语音增值业务系统 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V7.10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1,880.40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940.20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2,820.60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呼叫中心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30,739.85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30,739.85</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煤矿安全绳长信息化标准 体系平台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637,499.89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125,000.04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762,499.93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应用软件系统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1,016,666.64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199,999.92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1,216,666.56</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物流信息管理系统技术转 让费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1,018,333.34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260,000.04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1,278,333.38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电子标签产品研发、标准研</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1,237,958.30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401,499.96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1,639,458.26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08" w:top="1060" w:bottom="15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36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究制定</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windows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3,464.00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3,464.00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OFFICE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2,982.86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481.14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3,464.00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TTS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语音合成软件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2,260.00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1,158.80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3,418.80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MS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1,924.42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1,154.64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3,079.06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TTS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语音合成软件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1,937.49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1,367.63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3,305.12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CCOne2.0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3,583.33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42,999.96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46,583.29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5,612,956.73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1,254,171.73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6,867,128.46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光纤接入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20,899.92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7,599.96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28,499.88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服务器托管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11,608.22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5,499.96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17,108.18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软件实施费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307,193.27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626,840.02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934,033.29</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Citrix XenDesktop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企业版软 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6,633.30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6,633.30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Windows 03 server</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操作系统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Oracle 10G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数据库软件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14,583.30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14,583.30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63"/>
              <w:jc w:val="left"/>
              <w:rPr>
                <w:rFonts w:ascii="宋体" w:hAnsi="宋体" w:cs="宋体" w:eastAsia="宋体" w:hint="default"/>
                <w:sz w:val="18"/>
                <w:szCs w:val="18"/>
              </w:rPr>
            </w:pPr>
            <w:r>
              <w:rPr>
                <w:rFonts w:ascii="Times New Roman" w:hAnsi="Times New Roman" w:cs="Times New Roman" w:eastAsia="Times New Roman" w:hint="default"/>
                <w:sz w:val="18"/>
                <w:szCs w:val="18"/>
              </w:rPr>
              <w:t>mySHOP </w:t>
            </w:r>
            <w:r>
              <w:rPr>
                <w:rFonts w:ascii="宋体" w:hAnsi="宋体" w:cs="宋体" w:eastAsia="宋体" w:hint="default"/>
                <w:sz w:val="18"/>
                <w:szCs w:val="18"/>
              </w:rPr>
              <w:t>套件应用软件产 品及产品服务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716"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航天金税财税管理开票软 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1,050.00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1,050.00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77,646,140.28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4,306,389.10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81,952,529.38</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用于宽带多媒体通信的覆 盖网原型技术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185,007.75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161,638.35</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以太网三层交换产业化技 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DELPHIS</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office</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mplsltcs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操作系统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146,666.90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RATION</w:t>
            </w:r>
            <w:r>
              <w:rPr>
                <w:rFonts w:ascii="Times New Roman" w:hAnsi="Times New Roman" w:cs="Times New Roman" w:eastAsia="Times New Roman" w:hint="default"/>
                <w:sz w:val="18"/>
                <w:szCs w:val="18"/>
              </w:rPr>
              <w:t>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21,333.09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ATV</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133,333.09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norton</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CS1000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3,460,376.78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RATION </w:t>
            </w:r>
            <w:r>
              <w:rPr>
                <w:rFonts w:ascii="宋体" w:hAnsi="宋体" w:cs="宋体" w:eastAsia="宋体" w:hint="default"/>
                <w:sz w:val="18"/>
                <w:szCs w:val="18"/>
              </w:rPr>
              <w:t>软件授权许可协议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34,289.83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软件许可协议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5,891.43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MSCP </w:t>
            </w:r>
            <w:r>
              <w:rPr>
                <w:rFonts w:ascii="宋体" w:hAnsi="宋体" w:cs="宋体" w:eastAsia="宋体" w:hint="default"/>
                <w:sz w:val="18"/>
                <w:szCs w:val="18"/>
              </w:rPr>
              <w:t>协议软件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19,250.00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08" w:top="1060" w:bottom="15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组播路由协议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64,166.91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软件开发系统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54,666.84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34,166.88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dasho-prolicense</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4,550.14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3,250.18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中间平台技术转让费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587,500.00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437,500.00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AUTOCAD</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10,733.24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8,433.20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RADIVS</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协议的计费服务器 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196,666.74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156,666.78</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SS-3000V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平台网络管理系 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211,416.74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168,416.78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SIP </w:t>
            </w:r>
            <w:r>
              <w:rPr>
                <w:rFonts w:ascii="宋体" w:hAnsi="宋体" w:cs="宋体" w:eastAsia="宋体" w:hint="default"/>
                <w:sz w:val="18"/>
                <w:szCs w:val="18"/>
              </w:rPr>
              <w:t>软电话终端技术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176,016.75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140,216.79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ILBC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编码算法</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35,166.72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29,614.08</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中间件平台</w:t>
            </w:r>
            <w:r>
              <w:rPr>
                <w:rFonts w:ascii="Times New Roman" w:hAnsi="Times New Roman" w:cs="Times New Roman" w:eastAsia="Times New Roman" w:hint="default"/>
                <w:sz w:val="18"/>
                <w:szCs w:val="18"/>
              </w:rPr>
              <w:t>-SmartMW </w:t>
            </w:r>
            <w:r>
              <w:rPr>
                <w:rFonts w:ascii="宋体" w:hAnsi="宋体" w:cs="宋体" w:eastAsia="宋体" w:hint="default"/>
                <w:sz w:val="18"/>
                <w:szCs w:val="18"/>
              </w:rPr>
              <w:t>平台成本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2,350,000.00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 </w:t>
            </w:r>
            <w:r>
              <w:rPr>
                <w:rFonts w:ascii="宋体" w:hAnsi="宋体" w:cs="宋体" w:eastAsia="宋体" w:hint="default"/>
                <w:sz w:val="18"/>
                <w:szCs w:val="18"/>
              </w:rPr>
              <w:t>多媒体调度系统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2,462,400.00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2,188,800.00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电子档案管理系统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75,333.31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67,333.27</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芯片级网络处理器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安全 引擎系统项目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2,865,426.77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2,563,802.93</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8"/>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的电子标签产品 研发与标准研究制定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3,966,666.67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3,566,666.71</w:t>
            </w:r>
          </w:p>
        </w:tc>
      </w:tr>
      <w:tr>
        <w:trPr>
          <w:trHeight w:val="102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TD-SCDMA/RFID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技</w:t>
            </w:r>
          </w:p>
          <w:p>
            <w:pPr>
              <w:pStyle w:val="TableParagraph"/>
              <w:spacing w:line="316" w:lineRule="auto" w:before="63"/>
              <w:ind w:left="24" w:right="180"/>
              <w:jc w:val="left"/>
              <w:rPr>
                <w:rFonts w:ascii="宋体" w:hAnsi="宋体" w:cs="宋体" w:eastAsia="宋体" w:hint="default"/>
                <w:sz w:val="18"/>
                <w:szCs w:val="18"/>
              </w:rPr>
            </w:pPr>
            <w:r>
              <w:rPr>
                <w:rFonts w:ascii="宋体" w:hAnsi="宋体" w:cs="宋体" w:eastAsia="宋体" w:hint="default"/>
                <w:sz w:val="18"/>
                <w:szCs w:val="18"/>
              </w:rPr>
              <w:t>术的冷链物流监控系统技 术研究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90,833.37</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9"/>
              <w:jc w:val="left"/>
              <w:rPr>
                <w:rFonts w:ascii="Times New Roman" w:hAnsi="Times New Roman" w:cs="Times New Roman" w:eastAsia="Times New Roman" w:hint="default"/>
                <w:sz w:val="18"/>
                <w:szCs w:val="18"/>
              </w:rPr>
            </w:pPr>
            <w:r>
              <w:rPr>
                <w:rFonts w:ascii="宋体" w:hAnsi="宋体" w:cs="宋体" w:eastAsia="宋体" w:hint="default"/>
                <w:sz w:val="18"/>
                <w:szCs w:val="18"/>
              </w:rPr>
              <w:t>中孚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ZFTEC </w:t>
            </w:r>
            <w:r>
              <w:rPr>
                <w:rFonts w:ascii="宋体" w:hAnsi="宋体" w:cs="宋体" w:eastAsia="宋体" w:hint="default"/>
                <w:sz w:val="18"/>
                <w:szCs w:val="18"/>
              </w:rPr>
              <w:t>计算机违规深 度检查取证系统软件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34,124.99</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介质信息消除工具</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zyhz-299093v1.0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39,333.34</w:t>
            </w:r>
          </w:p>
        </w:tc>
      </w:tr>
      <w:tr>
        <w:trPr>
          <w:trHeight w:val="1027"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both"/>
              <w:rPr>
                <w:rFonts w:ascii="宋体" w:hAnsi="宋体" w:cs="宋体" w:eastAsia="宋体" w:hint="default"/>
                <w:sz w:val="18"/>
                <w:szCs w:val="18"/>
              </w:rPr>
            </w:pPr>
            <w:r>
              <w:rPr>
                <w:rFonts w:ascii="宋体" w:hAnsi="宋体" w:cs="宋体" w:eastAsia="宋体" w:hint="default"/>
                <w:sz w:val="18"/>
                <w:szCs w:val="18"/>
              </w:rPr>
              <w:t>基于物联网技术的智能农 业信息系统与绿色农产品 溯源平台的研发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3,173,333.33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ATM100-3GTC</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1,002,173.10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875,582.82</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基于信道化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155M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的加密技 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984,378.03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784,165.47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IMA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网络接口管理平台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83,583.27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66,583.23</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终端通信的安全反扫 描技术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TD-SCDMA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终端系统开发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大端口</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汇聚接入系统软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08" w:top="1060" w:bottom="15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36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件平台</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大端口</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汇聚接入硬件平 台及系统集成开发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810,000.00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大端口</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汇聚接入系统平 台迁移技术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122,100.00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102,300.00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电子商务软件平台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341,250.00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296,250.00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BW210 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电话技术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397,500.00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352,500.00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平台项目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IMS </w:t>
            </w:r>
            <w:r>
              <w:rPr>
                <w:rFonts w:ascii="宋体" w:hAnsi="宋体" w:cs="宋体" w:eastAsia="宋体" w:hint="default"/>
                <w:sz w:val="18"/>
                <w:szCs w:val="18"/>
              </w:rPr>
              <w:t>统一网管</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GHOM</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380,242.72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337,196.32</w:t>
            </w:r>
          </w:p>
        </w:tc>
      </w:tr>
      <w:tr>
        <w:trPr>
          <w:trHeight w:val="716"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24" w:right="134"/>
              <w:jc w:val="left"/>
              <w:rPr>
                <w:rFonts w:ascii="Times New Roman" w:hAnsi="Times New Roman" w:cs="Times New Roman" w:eastAsia="Times New Roman" w:hint="default"/>
                <w:sz w:val="18"/>
                <w:szCs w:val="18"/>
              </w:rPr>
            </w:pPr>
            <w:r>
              <w:rPr>
                <w:rFonts w:ascii="宋体" w:hAnsi="宋体" w:cs="宋体" w:eastAsia="宋体" w:hint="default"/>
                <w:sz w:val="18"/>
                <w:szCs w:val="18"/>
              </w:rPr>
              <w:t>终端项目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MG3000-A(</w:t>
            </w:r>
            <w:r>
              <w:rPr>
                <w:rFonts w:ascii="宋体" w:hAnsi="宋体" w:cs="宋体" w:eastAsia="宋体" w:hint="default"/>
                <w:sz w:val="18"/>
                <w:szCs w:val="18"/>
              </w:rPr>
              <w:t>包括 </w:t>
            </w:r>
            <w:r>
              <w:rPr>
                <w:rFonts w:ascii="Times New Roman" w:hAnsi="Times New Roman" w:cs="Times New Roman" w:eastAsia="Times New Roman" w:hint="default"/>
                <w:sz w:val="18"/>
                <w:szCs w:val="18"/>
              </w:rPr>
              <w:t>A2/A8)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2,629,168.02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2,334,308.10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终端项目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MG3000-R</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1,359,690.51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1,207,201.83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终端项目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MG3000-KB</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548,961.62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487,395.86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终端项目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MG3000-T4-SS7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1,177,664.45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1,045,589.93</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平台项目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SS3000-C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呼叫中 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2,872,717.79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2,570,326.43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平台项目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SS3000-E</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4,911,897.83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4,394,855.99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网关项目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MG3000-X100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3,779,803.53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3,398,646.93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 </w:t>
            </w:r>
            <w:r>
              <w:rPr>
                <w:rFonts w:ascii="宋体" w:hAnsi="宋体" w:cs="宋体" w:eastAsia="宋体" w:hint="default"/>
                <w:sz w:val="18"/>
                <w:szCs w:val="18"/>
              </w:rPr>
              <w:t>呼叫中心技术开发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133,525.00</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mindspeed </w:t>
            </w:r>
            <w:r>
              <w:rPr>
                <w:rFonts w:ascii="宋体" w:hAnsi="宋体" w:cs="宋体" w:eastAsia="宋体" w:hint="default"/>
                <w:sz w:val="18"/>
                <w:szCs w:val="18"/>
              </w:rPr>
              <w:t>多方会议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license</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 </w:t>
            </w:r>
            <w:r>
              <w:rPr>
                <w:rFonts w:ascii="宋体" w:hAnsi="宋体" w:cs="宋体" w:eastAsia="宋体" w:hint="default"/>
                <w:sz w:val="18"/>
                <w:szCs w:val="18"/>
              </w:rPr>
              <w:t>语音网关配置管理</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255,000.00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调度系统视频业务技术 开发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手机社区平台技术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4,174,666.73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3,678,666.77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手机游戏平台技术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4,174,666.73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3,678,666.77</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电信增值业务用户与业务 产品管理系统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2,675,000.00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2,375,000.00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网站技术开发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60,666.72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53,666.76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移动互联网数字出版平台</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3,866,666.68</w:t>
            </w:r>
          </w:p>
        </w:tc>
      </w:tr>
      <w:tr>
        <w:trPr>
          <w:trHeight w:val="716"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移动互联网数字版权保护 平台</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漫画在线创作系统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3,138,747.30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IPV6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网络音视频监控软件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166,666.73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126,666.77</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宽带综合视频监控系统技 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892,243.24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701,048.20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VOIP-IAD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322,999.92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254,999.88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08" w:top="1060" w:bottom="15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金算盘软件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VPS</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317,871.75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263,379.39</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0"/>
              <w:jc w:val="left"/>
              <w:rPr>
                <w:rFonts w:ascii="Times New Roman" w:hAnsi="Times New Roman" w:cs="Times New Roman" w:eastAsia="Times New Roman" w:hint="default"/>
                <w:sz w:val="18"/>
                <w:szCs w:val="18"/>
              </w:rPr>
            </w:pPr>
            <w:r>
              <w:rPr>
                <w:rFonts w:ascii="宋体" w:hAnsi="宋体" w:cs="宋体" w:eastAsia="宋体" w:hint="default"/>
                <w:sz w:val="18"/>
                <w:szCs w:val="18"/>
              </w:rPr>
              <w:t>联达动力网络办公系统软 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218,404.21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188,564.83</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IPV6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网络音</w:t>
            </w:r>
            <w:r>
              <w:rPr>
                <w:rFonts w:ascii="Times New Roman" w:hAnsi="Times New Roman" w:cs="Times New Roman" w:eastAsia="Times New Roman" w:hint="default"/>
                <w:sz w:val="18"/>
                <w:szCs w:val="18"/>
              </w:rPr>
              <w:t>/</w:t>
            </w:r>
            <w:r>
              <w:rPr>
                <w:rFonts w:ascii="宋体" w:hAnsi="宋体" w:cs="宋体" w:eastAsia="宋体" w:hint="default"/>
                <w:sz w:val="18"/>
                <w:szCs w:val="18"/>
              </w:rPr>
              <w:t>视频监控摄像 终端技术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2,208,333.38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1,958,333.42</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电子商务智能平台建设开 发项目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965,250.00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866,250.00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煤矿安全生产信息化标准 体系研究制定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2,479,166.67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2,229,166.71</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H.323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私网穿透技术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157,333.29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124,499.92</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SS3000-E </w:t>
            </w:r>
            <w:r>
              <w:rPr>
                <w:rFonts w:ascii="宋体" w:hAnsi="宋体" w:cs="宋体" w:eastAsia="宋体" w:hint="default"/>
                <w:sz w:val="18"/>
                <w:szCs w:val="18"/>
              </w:rPr>
              <w:t>话音编解玛转换 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49,166.78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40,000.15</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终端通信的加密算法 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71,783.28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57,183.24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中继网关网络管理平台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79,158.28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63,058.24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136,500.00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网音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语音增值业务系统 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V7.10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7,521.31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6,581.11</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呼叫中心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186,247.15</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煤矿安全绳长信息化标准 体系平台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612,500.11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487,500.07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应用软件系统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983,333.36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783,333.44</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物流信息管理系统技术转 让费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1,581,666.66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1,321,666.62</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2"/>
                <w:sz w:val="18"/>
                <w:szCs w:val="18"/>
              </w:rPr>
              <w:t>电子标签产品研发、标准研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究制定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2,777,041.70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2,375,541.74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windows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OFFICE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481.14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TTS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语音合成软件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1,158.80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MS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1,539.58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384.94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TTS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语音合成软件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4,900.12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3,532.49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CCOne2.0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426,416.67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383,416.71</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7,176,680.87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5,922,509.14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1,500.00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光纤接入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17,100.08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9,500.12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服务器托管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43,391.78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37,891.82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08" w:top="1060" w:bottom="15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软件实施费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7" w:right="0"/>
              <w:jc w:val="left"/>
              <w:rPr>
                <w:rFonts w:ascii="Times New Roman" w:hAnsi="Times New Roman" w:cs="Times New Roman" w:eastAsia="Times New Roman" w:hint="default"/>
                <w:sz w:val="18"/>
                <w:szCs w:val="18"/>
              </w:rPr>
            </w:pPr>
            <w:r>
              <w:rPr>
                <w:rFonts w:ascii="Times New Roman"/>
                <w:sz w:val="18"/>
              </w:rPr>
              <w:t>4,145,406.73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5,442,566.71</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Citrix XenDesktop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企业版软 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72,966.70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Windows 03 server</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操作系统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Oracle 10G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数据库软件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160,416.70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63"/>
              <w:jc w:val="left"/>
              <w:rPr>
                <w:rFonts w:ascii="宋体" w:hAnsi="宋体" w:cs="宋体" w:eastAsia="宋体" w:hint="default"/>
                <w:sz w:val="18"/>
                <w:szCs w:val="18"/>
              </w:rPr>
            </w:pPr>
            <w:r>
              <w:rPr>
                <w:rFonts w:ascii="Times New Roman" w:hAnsi="Times New Roman" w:cs="Times New Roman" w:eastAsia="Times New Roman" w:hint="default"/>
                <w:sz w:val="18"/>
                <w:szCs w:val="18"/>
              </w:rPr>
              <w:t>mySHOP </w:t>
            </w:r>
            <w:r>
              <w:rPr>
                <w:rFonts w:ascii="宋体" w:hAnsi="宋体" w:cs="宋体" w:eastAsia="宋体" w:hint="default"/>
                <w:sz w:val="18"/>
                <w:szCs w:val="18"/>
              </w:rPr>
              <w:t>套件应用软件产 品及产品服务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840,000.00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航天金税财税管理开票软 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40,950.00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用于宽带多媒体通信的覆 盖网原型技术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以太网三层交换产业化技 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DELPHIS</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office</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mplsltcs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操作系统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RATION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ATV</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norton</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CS1000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RATION </w:t>
            </w:r>
            <w:r>
              <w:rPr>
                <w:rFonts w:ascii="宋体" w:hAnsi="宋体" w:cs="宋体" w:eastAsia="宋体" w:hint="default"/>
                <w:sz w:val="18"/>
                <w:szCs w:val="18"/>
              </w:rPr>
              <w:t>软件授权许可协议</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软件许可协议</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MSCP </w:t>
            </w:r>
            <w:r>
              <w:rPr>
                <w:rFonts w:ascii="宋体" w:hAnsi="宋体" w:cs="宋体" w:eastAsia="宋体" w:hint="default"/>
                <w:sz w:val="18"/>
                <w:szCs w:val="18"/>
              </w:rPr>
              <w:t>协议软件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组播路由协议</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软件开发系统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dasho-prolicense</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中间平台技术转让费</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AUTOCAD</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2"/>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RADIVS</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协议的计费服务器 技术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SS-3000V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平台网络管理系 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SIP </w:t>
            </w:r>
            <w:r>
              <w:rPr>
                <w:rFonts w:ascii="宋体" w:hAnsi="宋体" w:cs="宋体" w:eastAsia="宋体" w:hint="default"/>
                <w:sz w:val="18"/>
                <w:szCs w:val="18"/>
              </w:rPr>
              <w:t>软电话终端技术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ILBC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编码算法</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中间件平台</w:t>
            </w:r>
            <w:r>
              <w:rPr>
                <w:rFonts w:ascii="Times New Roman" w:hAnsi="Times New Roman" w:cs="Times New Roman" w:eastAsia="Times New Roman" w:hint="default"/>
                <w:sz w:val="18"/>
                <w:szCs w:val="18"/>
              </w:rPr>
              <w:t>-SmartMW </w:t>
            </w:r>
            <w:r>
              <w:rPr>
                <w:rFonts w:ascii="宋体" w:hAnsi="宋体" w:cs="宋体" w:eastAsia="宋体" w:hint="default"/>
                <w:sz w:val="18"/>
                <w:szCs w:val="18"/>
              </w:rPr>
              <w:t>平台成本</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08" w:top="1060" w:bottom="150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260424" coordorigin="9206,15298" coordsize="2700,1540">
            <v:shape style="position:absolute;left:9206;top:15298;width:2700;height:1540" type="#_x0000_t75" stroked="false">
              <v:imagedata r:id="rId18"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157</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 </w:t>
            </w:r>
            <w:r>
              <w:rPr>
                <w:rFonts w:ascii="宋体" w:hAnsi="宋体" w:cs="宋体" w:eastAsia="宋体" w:hint="default"/>
                <w:sz w:val="18"/>
                <w:szCs w:val="18"/>
              </w:rPr>
              <w:t>多媒体调度系统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电子档案管理系统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芯片级网络处理器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安全 引擎系统项目</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8"/>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的电子标签产品 研发与标准研究制定</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TD-SCDMA/RFID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技</w:t>
            </w:r>
          </w:p>
          <w:p>
            <w:pPr>
              <w:pStyle w:val="TableParagraph"/>
              <w:spacing w:line="316" w:lineRule="auto" w:before="63"/>
              <w:ind w:left="24" w:right="180"/>
              <w:jc w:val="left"/>
              <w:rPr>
                <w:rFonts w:ascii="宋体" w:hAnsi="宋体" w:cs="宋体" w:eastAsia="宋体" w:hint="default"/>
                <w:sz w:val="18"/>
                <w:szCs w:val="18"/>
              </w:rPr>
            </w:pPr>
            <w:r>
              <w:rPr>
                <w:rFonts w:ascii="宋体" w:hAnsi="宋体" w:cs="宋体" w:eastAsia="宋体" w:hint="default"/>
                <w:sz w:val="18"/>
                <w:szCs w:val="18"/>
              </w:rPr>
              <w:t>术的冷链物流监控系统技 术研究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9"/>
              <w:jc w:val="left"/>
              <w:rPr>
                <w:rFonts w:ascii="Times New Roman" w:hAnsi="Times New Roman" w:cs="Times New Roman" w:eastAsia="Times New Roman" w:hint="default"/>
                <w:sz w:val="18"/>
                <w:szCs w:val="18"/>
              </w:rPr>
            </w:pPr>
            <w:r>
              <w:rPr>
                <w:rFonts w:ascii="宋体" w:hAnsi="宋体" w:cs="宋体" w:eastAsia="宋体" w:hint="default"/>
                <w:sz w:val="18"/>
                <w:szCs w:val="18"/>
              </w:rPr>
              <w:t>中孚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ZFTEC </w:t>
            </w:r>
            <w:r>
              <w:rPr>
                <w:rFonts w:ascii="宋体" w:hAnsi="宋体" w:cs="宋体" w:eastAsia="宋体" w:hint="default"/>
                <w:sz w:val="18"/>
                <w:szCs w:val="18"/>
              </w:rPr>
              <w:t>计算机违规深 度检查取证系统软件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介质信息消除工具</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zyhz-299093v1.0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both"/>
              <w:rPr>
                <w:rFonts w:ascii="宋体" w:hAnsi="宋体" w:cs="宋体" w:eastAsia="宋体" w:hint="default"/>
                <w:sz w:val="18"/>
                <w:szCs w:val="18"/>
              </w:rPr>
            </w:pPr>
            <w:r>
              <w:rPr>
                <w:rFonts w:ascii="宋体" w:hAnsi="宋体" w:cs="宋体" w:eastAsia="宋体" w:hint="default"/>
                <w:sz w:val="18"/>
                <w:szCs w:val="18"/>
              </w:rPr>
              <w:t>基于物联网技术的智能农 业信息系统与绿色农产品 溯源平台的研发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ATM100-3GTC</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基于信道化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155M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的加密技 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IMA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网络接口管理平台</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终端通信的安全反扫 描技术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TD-SCDMA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终端系统开发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大端口</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汇聚接入系统软 件平台</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大端口</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汇聚接入硬件平 台及系统集成开发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67"/>
              <w:jc w:val="left"/>
              <w:rPr>
                <w:rFonts w:ascii="宋体" w:hAnsi="宋体" w:cs="宋体" w:eastAsia="宋体" w:hint="default"/>
                <w:sz w:val="18"/>
                <w:szCs w:val="18"/>
              </w:rPr>
            </w:pPr>
            <w:r>
              <w:rPr>
                <w:rFonts w:ascii="宋体" w:hAnsi="宋体" w:cs="宋体" w:eastAsia="宋体" w:hint="default"/>
                <w:sz w:val="18"/>
                <w:szCs w:val="18"/>
              </w:rPr>
              <w:t>大端口</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汇聚接入系统平 台迁移技术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电子商务软件平台</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BW210 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电话技术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平台项目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IMS </w:t>
            </w:r>
            <w:r>
              <w:rPr>
                <w:rFonts w:ascii="宋体" w:hAnsi="宋体" w:cs="宋体" w:eastAsia="宋体" w:hint="default"/>
                <w:sz w:val="18"/>
                <w:szCs w:val="18"/>
              </w:rPr>
              <w:t>统一网管</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GHOM</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4" w:right="134"/>
              <w:jc w:val="left"/>
              <w:rPr>
                <w:rFonts w:ascii="Times New Roman" w:hAnsi="Times New Roman" w:cs="Times New Roman" w:eastAsia="Times New Roman" w:hint="default"/>
                <w:sz w:val="18"/>
                <w:szCs w:val="18"/>
              </w:rPr>
            </w:pPr>
            <w:r>
              <w:rPr>
                <w:rFonts w:ascii="宋体" w:hAnsi="宋体" w:cs="宋体" w:eastAsia="宋体" w:hint="default"/>
                <w:sz w:val="18"/>
                <w:szCs w:val="18"/>
              </w:rPr>
              <w:t>终端项目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MG3000-A(</w:t>
            </w:r>
            <w:r>
              <w:rPr>
                <w:rFonts w:ascii="宋体" w:hAnsi="宋体" w:cs="宋体" w:eastAsia="宋体" w:hint="default"/>
                <w:sz w:val="18"/>
                <w:szCs w:val="18"/>
              </w:rPr>
              <w:t>包括 </w:t>
            </w:r>
            <w:r>
              <w:rPr>
                <w:rFonts w:ascii="Times New Roman" w:hAnsi="Times New Roman" w:cs="Times New Roman" w:eastAsia="Times New Roman" w:hint="default"/>
                <w:sz w:val="18"/>
                <w:szCs w:val="18"/>
              </w:rPr>
              <w:t>A2/A8)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终端项目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MG3000-R</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终端项目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MG3000-KB</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终端项目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MG3000-T4-SS7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70"/>
          <w:footerReference w:type="default" r:id="rId71"/>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260376" coordorigin="9206,15298" coordsize="2700,1540">
            <v:shape style="position:absolute;left:9206;top:15298;width:2700;height:1540" type="#_x0000_t75" stroked="false">
              <v:imagedata r:id="rId18"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158</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平台项目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SS3000-C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呼叫中 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平台项目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SS3000-E</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网关项目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MG3000-X100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 </w:t>
            </w:r>
            <w:r>
              <w:rPr>
                <w:rFonts w:ascii="宋体" w:hAnsi="宋体" w:cs="宋体" w:eastAsia="宋体" w:hint="default"/>
                <w:sz w:val="18"/>
                <w:szCs w:val="18"/>
              </w:rPr>
              <w:t>呼叫中心技术开发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mindspeed </w:t>
            </w:r>
            <w:r>
              <w:rPr>
                <w:rFonts w:ascii="宋体" w:hAnsi="宋体" w:cs="宋体" w:eastAsia="宋体" w:hint="default"/>
                <w:sz w:val="18"/>
                <w:szCs w:val="18"/>
              </w:rPr>
              <w:t>多方会议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license</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 </w:t>
            </w:r>
            <w:r>
              <w:rPr>
                <w:rFonts w:ascii="宋体" w:hAnsi="宋体" w:cs="宋体" w:eastAsia="宋体" w:hint="default"/>
                <w:sz w:val="18"/>
                <w:szCs w:val="18"/>
              </w:rPr>
              <w:t>语音网关配置管理</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调度系统视频业务技术 开发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手机社区平台技术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手机游戏平台技术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电信增值业务用户与业务 产品管理系统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网站技术开发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移动互联网数字出版平台</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移动互联网数字版权保护 平台</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漫画在线创作系统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IPV6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网络音视频监控软件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宽带综合视频监控系统技 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VOIP-IAD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金算盘软件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VPS</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Times New Roman" w:hAnsi="Times New Roman" w:cs="Times New Roman" w:eastAsia="Times New Roman" w:hint="default"/>
                <w:sz w:val="18"/>
                <w:szCs w:val="18"/>
              </w:rPr>
            </w:pPr>
            <w:r>
              <w:rPr>
                <w:rFonts w:ascii="宋体" w:hAnsi="宋体" w:cs="宋体" w:eastAsia="宋体" w:hint="default"/>
                <w:sz w:val="18"/>
                <w:szCs w:val="18"/>
              </w:rPr>
              <w:t>联达动力网络办公系统软 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V5.0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IPV6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网络音</w:t>
            </w:r>
            <w:r>
              <w:rPr>
                <w:rFonts w:ascii="Times New Roman" w:hAnsi="Times New Roman" w:cs="Times New Roman" w:eastAsia="Times New Roman" w:hint="default"/>
                <w:sz w:val="18"/>
                <w:szCs w:val="18"/>
              </w:rPr>
              <w:t>/</w:t>
            </w:r>
            <w:r>
              <w:rPr>
                <w:rFonts w:ascii="宋体" w:hAnsi="宋体" w:cs="宋体" w:eastAsia="宋体" w:hint="default"/>
                <w:sz w:val="18"/>
                <w:szCs w:val="18"/>
              </w:rPr>
              <w:t>视频监控摄像 终端技术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电子商务智能平台建设开 发项目</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80"/>
              <w:jc w:val="left"/>
              <w:rPr>
                <w:rFonts w:ascii="宋体" w:hAnsi="宋体" w:cs="宋体" w:eastAsia="宋体" w:hint="default"/>
                <w:sz w:val="18"/>
                <w:szCs w:val="18"/>
              </w:rPr>
            </w:pPr>
            <w:r>
              <w:rPr>
                <w:rFonts w:ascii="宋体" w:hAnsi="宋体" w:cs="宋体" w:eastAsia="宋体" w:hint="default"/>
                <w:sz w:val="18"/>
                <w:szCs w:val="18"/>
              </w:rPr>
              <w:t>煤矿安全生产信息化标准 体系研究制定</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H.323 </w:t>
            </w:r>
            <w:r>
              <w:rPr>
                <w:rFonts w:ascii="宋体" w:hAnsi="宋体" w:cs="宋体" w:eastAsia="宋体" w:hint="default"/>
                <w:sz w:val="18"/>
                <w:szCs w:val="18"/>
              </w:rPr>
              <w:t>私网穿透技术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SS3000-E </w:t>
            </w:r>
            <w:r>
              <w:rPr>
                <w:rFonts w:ascii="宋体" w:hAnsi="宋体" w:cs="宋体" w:eastAsia="宋体" w:hint="default"/>
                <w:sz w:val="18"/>
                <w:szCs w:val="18"/>
              </w:rPr>
              <w:t>话音编解玛转换 技术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终端通信的加密算法 技术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中继网关网络管理平台</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72"/>
          <w:footerReference w:type="default" r:id="rId73"/>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3424" coordorigin="9206,15298" coordsize="2700,1540">
            <v:shape style="position:absolute;left:9206;top:15298;width:2700;height:1540" type="#_x0000_t75" stroked="false">
              <v:imagedata r:id="rId18"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159</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8.72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网音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语音增值业务系统 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V7.10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呼叫中心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煤矿安全绳长信息化标准 体系平台</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应用软件系统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物流信息管理系统技术转 让费</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电子标签产品研发、标准研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究制定</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windows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OFFICE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TTS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语音合成软件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MS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TTS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语音合成软件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CCOne2.0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光纤接入</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服务器托管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软件实施费</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Citrix XenDesktop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企业版软 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Windows 03 server</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操作系统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Oracle 10G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数据库软件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63"/>
              <w:jc w:val="left"/>
              <w:rPr>
                <w:rFonts w:ascii="宋体" w:hAnsi="宋体" w:cs="宋体" w:eastAsia="宋体" w:hint="default"/>
                <w:sz w:val="18"/>
                <w:szCs w:val="18"/>
              </w:rPr>
            </w:pPr>
            <w:r>
              <w:rPr>
                <w:rFonts w:ascii="Times New Roman" w:hAnsi="Times New Roman" w:cs="Times New Roman" w:eastAsia="Times New Roman" w:hint="default"/>
                <w:sz w:val="18"/>
                <w:szCs w:val="18"/>
              </w:rPr>
              <w:t>mySHOP </w:t>
            </w:r>
            <w:r>
              <w:rPr>
                <w:rFonts w:ascii="宋体" w:hAnsi="宋体" w:cs="宋体" w:eastAsia="宋体" w:hint="default"/>
                <w:sz w:val="18"/>
                <w:szCs w:val="18"/>
              </w:rPr>
              <w:t>套件应用软件产 品及产品服务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航天金税财税管理开票软 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77,646,140.28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6" w:right="0"/>
              <w:jc w:val="left"/>
              <w:rPr>
                <w:rFonts w:ascii="Times New Roman" w:hAnsi="Times New Roman" w:cs="Times New Roman" w:eastAsia="Times New Roman" w:hint="default"/>
                <w:sz w:val="18"/>
                <w:szCs w:val="18"/>
              </w:rPr>
            </w:pPr>
            <w:r>
              <w:rPr>
                <w:rFonts w:ascii="Times New Roman"/>
                <w:sz w:val="18"/>
              </w:rPr>
              <w:t>4,306,389.10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81,952,529.38</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用于宽带多媒体通信的覆 盖网原型技术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185,007.75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161,638.35</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以太网三层交换产业化技 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DELPHIS</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74"/>
          <w:footerReference w:type="default" r:id="rId75"/>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260280" coordorigin="9206,15298" coordsize="2700,1540">
            <v:shape style="position:absolute;left:9206;top:15298;width:2700;height:1540" type="#_x0000_t75" stroked="false">
              <v:imagedata r:id="rId18"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160</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office</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mplsltcs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操作系统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146,666.90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RATION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21,333.09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ATV</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133,333.09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norton</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CS1000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3,460,376.78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RATION </w:t>
            </w:r>
            <w:r>
              <w:rPr>
                <w:rFonts w:ascii="宋体" w:hAnsi="宋体" w:cs="宋体" w:eastAsia="宋体" w:hint="default"/>
                <w:sz w:val="18"/>
                <w:szCs w:val="18"/>
              </w:rPr>
              <w:t>软件授权许可协议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34,289.83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软件许可协议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5,891.43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MSCP </w:t>
            </w:r>
            <w:r>
              <w:rPr>
                <w:rFonts w:ascii="宋体" w:hAnsi="宋体" w:cs="宋体" w:eastAsia="宋体" w:hint="default"/>
                <w:sz w:val="18"/>
                <w:szCs w:val="18"/>
              </w:rPr>
              <w:t>协议软件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19,250.00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组播路由协议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64,166.91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软件开发系统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54,666.84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34,166.88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dasho-prolicense</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4,550.14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3,250.18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中间平台技术转让费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587,500.00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437,500.00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AUTOCAD</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10,733.24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8,433.20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RADIVS</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协议的计费服务器 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196,666.74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156,666.78</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SS-3000V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平台网络管理系 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211,416.74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168,416.78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SIP </w:t>
            </w:r>
            <w:r>
              <w:rPr>
                <w:rFonts w:ascii="宋体" w:hAnsi="宋体" w:cs="宋体" w:eastAsia="宋体" w:hint="default"/>
                <w:sz w:val="18"/>
                <w:szCs w:val="18"/>
              </w:rPr>
              <w:t>软电话终端技术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176,016.75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140,216.79</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ILBC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编码算法</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35,166.72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29,614.08</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中间件平台</w:t>
            </w:r>
            <w:r>
              <w:rPr>
                <w:rFonts w:ascii="Times New Roman" w:hAnsi="Times New Roman" w:cs="Times New Roman" w:eastAsia="Times New Roman" w:hint="default"/>
                <w:sz w:val="18"/>
                <w:szCs w:val="18"/>
              </w:rPr>
              <w:t>-SmartMW </w:t>
            </w:r>
            <w:r>
              <w:rPr>
                <w:rFonts w:ascii="宋体" w:hAnsi="宋体" w:cs="宋体" w:eastAsia="宋体" w:hint="default"/>
                <w:sz w:val="18"/>
                <w:szCs w:val="18"/>
              </w:rPr>
              <w:t>平台成本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2,350,000.00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 </w:t>
            </w:r>
            <w:r>
              <w:rPr>
                <w:rFonts w:ascii="宋体" w:hAnsi="宋体" w:cs="宋体" w:eastAsia="宋体" w:hint="default"/>
                <w:sz w:val="18"/>
                <w:szCs w:val="18"/>
              </w:rPr>
              <w:t>多媒体调度系统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2,462,400.00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2,188,800.00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电子档案管理系统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75,333.31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67,333.27</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8"/>
              <w:jc w:val="left"/>
              <w:rPr>
                <w:rFonts w:ascii="宋体" w:hAnsi="宋体" w:cs="宋体" w:eastAsia="宋体" w:hint="default"/>
                <w:sz w:val="18"/>
                <w:szCs w:val="18"/>
              </w:rPr>
            </w:pPr>
            <w:r>
              <w:rPr>
                <w:rFonts w:ascii="宋体" w:hAnsi="宋体" w:cs="宋体" w:eastAsia="宋体" w:hint="default"/>
                <w:sz w:val="18"/>
                <w:szCs w:val="18"/>
              </w:rPr>
              <w:t>芯片级网络处理器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安全 引擎系统项目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2,865,426.77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2,563,802.93</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的电子标签产品 研发与标准研究制定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3,966,666.67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3,566,666.71</w:t>
            </w:r>
          </w:p>
        </w:tc>
      </w:tr>
      <w:tr>
        <w:trPr>
          <w:trHeight w:val="1028"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TD-SCDMA/RFID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技</w:t>
            </w:r>
          </w:p>
          <w:p>
            <w:pPr>
              <w:pStyle w:val="TableParagraph"/>
              <w:spacing w:line="316" w:lineRule="auto" w:before="60"/>
              <w:ind w:left="24" w:right="180"/>
              <w:jc w:val="left"/>
              <w:rPr>
                <w:rFonts w:ascii="宋体" w:hAnsi="宋体" w:cs="宋体" w:eastAsia="宋体" w:hint="default"/>
                <w:sz w:val="18"/>
                <w:szCs w:val="18"/>
              </w:rPr>
            </w:pPr>
            <w:r>
              <w:rPr>
                <w:rFonts w:ascii="宋体" w:hAnsi="宋体" w:cs="宋体" w:eastAsia="宋体" w:hint="default"/>
                <w:sz w:val="18"/>
                <w:szCs w:val="18"/>
              </w:rPr>
              <w:t>术的冷链物流监控系统技 术研究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90,833.37</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9"/>
              <w:jc w:val="left"/>
              <w:rPr>
                <w:rFonts w:ascii="Times New Roman" w:hAnsi="Times New Roman" w:cs="Times New Roman" w:eastAsia="Times New Roman" w:hint="default"/>
                <w:sz w:val="18"/>
                <w:szCs w:val="18"/>
              </w:rPr>
            </w:pPr>
            <w:r>
              <w:rPr>
                <w:rFonts w:ascii="宋体" w:hAnsi="宋体" w:cs="宋体" w:eastAsia="宋体" w:hint="default"/>
                <w:sz w:val="18"/>
                <w:szCs w:val="18"/>
              </w:rPr>
              <w:t>中孚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ZFTEC </w:t>
            </w:r>
            <w:r>
              <w:rPr>
                <w:rFonts w:ascii="宋体" w:hAnsi="宋体" w:cs="宋体" w:eastAsia="宋体" w:hint="default"/>
                <w:sz w:val="18"/>
                <w:szCs w:val="18"/>
              </w:rPr>
              <w:t>计算机违规深 度检查取证系统软件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34,124.99</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介质信息消除工具</w:t>
            </w:r>
          </w:p>
          <w:p>
            <w:pPr>
              <w:pStyle w:val="TableParagraph"/>
              <w:spacing w:line="240" w:lineRule="auto" w:before="116"/>
              <w:ind w:left="24" w:right="0"/>
              <w:jc w:val="left"/>
              <w:rPr>
                <w:rFonts w:ascii="Times New Roman" w:hAnsi="Times New Roman" w:cs="Times New Roman" w:eastAsia="Times New Roman" w:hint="default"/>
                <w:sz w:val="18"/>
                <w:szCs w:val="18"/>
              </w:rPr>
            </w:pPr>
            <w:r>
              <w:rPr>
                <w:rFonts w:ascii="Times New Roman"/>
                <w:sz w:val="18"/>
              </w:rPr>
              <w:t>zyhz-299093v1.0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39,333.34</w:t>
            </w:r>
          </w:p>
        </w:tc>
      </w:tr>
      <w:tr>
        <w:trPr>
          <w:trHeight w:val="67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基于物联网技术的智能农 业信息系统与绿色农产品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3,173,333.33</w:t>
            </w:r>
          </w:p>
        </w:tc>
      </w:tr>
    </w:tbl>
    <w:p>
      <w:pPr>
        <w:spacing w:after="0" w:line="240" w:lineRule="auto"/>
        <w:jc w:val="right"/>
        <w:rPr>
          <w:rFonts w:ascii="Times New Roman" w:hAnsi="Times New Roman" w:cs="Times New Roman" w:eastAsia="Times New Roman" w:hint="default"/>
          <w:sz w:val="18"/>
          <w:szCs w:val="18"/>
        </w:rPr>
        <w:sectPr>
          <w:headerReference w:type="default" r:id="rId76"/>
          <w:footerReference w:type="default" r:id="rId77"/>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260232" coordorigin="9206,15298" coordsize="2700,1540">
            <v:shape style="position:absolute;left:9206;top:15298;width:2700;height:1540" type="#_x0000_t75" stroked="false">
              <v:imagedata r:id="rId18"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161</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36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溯源平台的研发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ATM100-3GTC</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1,002,173.10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875,582.82</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基于信道化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155M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的加密技 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984,378.03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784,165.47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IMA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网络接口管理平台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83,583.27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66,583.23</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终端通信的安全反扫 描技术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TD-SCDMA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终端系统开发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455,000.00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大端口</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汇聚接入系统软 件平台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530,000.00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大端口</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汇聚接入硬件平 台及系统集成开发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810,000.00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大端口</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汇聚接入系统平 台迁移技术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122,100.00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102,300.00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电子商务软件平台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341,250.00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296,250.00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BW210 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电话技术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397,500.00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352,500.00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平台项目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IMS </w:t>
            </w:r>
            <w:r>
              <w:rPr>
                <w:rFonts w:ascii="宋体" w:hAnsi="宋体" w:cs="宋体" w:eastAsia="宋体" w:hint="default"/>
                <w:sz w:val="18"/>
                <w:szCs w:val="18"/>
              </w:rPr>
              <w:t>统一网管</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GHOM</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380,242.72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337,196.32</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24" w:right="134"/>
              <w:jc w:val="left"/>
              <w:rPr>
                <w:rFonts w:ascii="Times New Roman" w:hAnsi="Times New Roman" w:cs="Times New Roman" w:eastAsia="Times New Roman" w:hint="default"/>
                <w:sz w:val="18"/>
                <w:szCs w:val="18"/>
              </w:rPr>
            </w:pPr>
            <w:r>
              <w:rPr>
                <w:rFonts w:ascii="宋体" w:hAnsi="宋体" w:cs="宋体" w:eastAsia="宋体" w:hint="default"/>
                <w:sz w:val="18"/>
                <w:szCs w:val="18"/>
              </w:rPr>
              <w:t>终端项目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MG3000-A(</w:t>
            </w:r>
            <w:r>
              <w:rPr>
                <w:rFonts w:ascii="宋体" w:hAnsi="宋体" w:cs="宋体" w:eastAsia="宋体" w:hint="default"/>
                <w:sz w:val="18"/>
                <w:szCs w:val="18"/>
              </w:rPr>
              <w:t>包括 </w:t>
            </w:r>
            <w:r>
              <w:rPr>
                <w:rFonts w:ascii="Times New Roman" w:hAnsi="Times New Roman" w:cs="Times New Roman" w:eastAsia="Times New Roman" w:hint="default"/>
                <w:sz w:val="18"/>
                <w:szCs w:val="18"/>
              </w:rPr>
              <w:t>A2/A8)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2,629,168.02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2,334,308.10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终端项目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MG3000-R</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1,359,690.51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1,207,201.83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终端项目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MG3000-KB</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548,961.62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487,395.86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终端项目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MG3000-T4-SS7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1,177,664.45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1,045,589.93</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平台项目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SS3000-C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呼叫中 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2,872,717.79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2,570,326.43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平台项目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SS3000-E</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4,911,897.83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4,394,855.99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网关项目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MG3000-X100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3,779,803.53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3,398,646.93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 </w:t>
            </w:r>
            <w:r>
              <w:rPr>
                <w:rFonts w:ascii="宋体" w:hAnsi="宋体" w:cs="宋体" w:eastAsia="宋体" w:hint="default"/>
                <w:sz w:val="18"/>
                <w:szCs w:val="18"/>
              </w:rPr>
              <w:t>呼叫中心技术开发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133,525.00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mindspeed </w:t>
            </w:r>
            <w:r>
              <w:rPr>
                <w:rFonts w:ascii="宋体" w:hAnsi="宋体" w:cs="宋体" w:eastAsia="宋体" w:hint="default"/>
                <w:sz w:val="18"/>
                <w:szCs w:val="18"/>
              </w:rPr>
              <w:t>多方会议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license</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 </w:t>
            </w:r>
            <w:r>
              <w:rPr>
                <w:rFonts w:ascii="宋体" w:hAnsi="宋体" w:cs="宋体" w:eastAsia="宋体" w:hint="default"/>
                <w:sz w:val="18"/>
                <w:szCs w:val="18"/>
              </w:rPr>
              <w:t>语音网关配置管理</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255,000.00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调度系统视频业务技术 开发</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手机社区平台技术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4,174,666.73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3,678,666.77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手机游戏平台技术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4,174,666.73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3,678,666.77</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电信增值业务用户与业务 产品管理系统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2,675,000.00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2,375,000.00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网站技术开发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60,666.72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53,666.76</w:t>
            </w:r>
          </w:p>
        </w:tc>
      </w:tr>
    </w:tbl>
    <w:p>
      <w:pPr>
        <w:spacing w:after="0" w:line="240" w:lineRule="auto"/>
        <w:jc w:val="right"/>
        <w:rPr>
          <w:rFonts w:ascii="Times New Roman" w:hAnsi="Times New Roman" w:cs="Times New Roman" w:eastAsia="Times New Roman" w:hint="default"/>
          <w:sz w:val="18"/>
          <w:szCs w:val="18"/>
        </w:rPr>
        <w:sectPr>
          <w:headerReference w:type="default" r:id="rId78"/>
          <w:footerReference w:type="default" r:id="rId79"/>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移动互联网数字出版平台</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3,866,666.68</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移动互联网数字版权保护 平台</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漫画在线创作系统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3,138,747.30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IPV6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网络音视频监控软件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166,666.73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126,666.77</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宽带综合视频监控系统技 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892,243.24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701,048.20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VOIP-IAD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322,999.92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254,999.88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金算盘软件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VPS</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317,871.75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263,379.39</w:t>
            </w:r>
          </w:p>
        </w:tc>
      </w:tr>
      <w:tr>
        <w:trPr>
          <w:trHeight w:val="716"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0"/>
              <w:jc w:val="left"/>
              <w:rPr>
                <w:rFonts w:ascii="Times New Roman" w:hAnsi="Times New Roman" w:cs="Times New Roman" w:eastAsia="Times New Roman" w:hint="default"/>
                <w:sz w:val="18"/>
                <w:szCs w:val="18"/>
              </w:rPr>
            </w:pPr>
            <w:r>
              <w:rPr>
                <w:rFonts w:ascii="宋体" w:hAnsi="宋体" w:cs="宋体" w:eastAsia="宋体" w:hint="default"/>
                <w:sz w:val="18"/>
                <w:szCs w:val="18"/>
              </w:rPr>
              <w:t>联达动力网络办公系统软 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V5.0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218,404.21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188,564.83</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IPV6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网络音</w:t>
            </w:r>
            <w:r>
              <w:rPr>
                <w:rFonts w:ascii="Times New Roman" w:hAnsi="Times New Roman" w:cs="Times New Roman" w:eastAsia="Times New Roman" w:hint="default"/>
                <w:sz w:val="18"/>
                <w:szCs w:val="18"/>
              </w:rPr>
              <w:t>/</w:t>
            </w:r>
            <w:r>
              <w:rPr>
                <w:rFonts w:ascii="宋体" w:hAnsi="宋体" w:cs="宋体" w:eastAsia="宋体" w:hint="default"/>
                <w:sz w:val="18"/>
                <w:szCs w:val="18"/>
              </w:rPr>
              <w:t>视频监控摄像 终端技术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2,208,333.38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1,958,333.42</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电子商务智能平台建设开 发项目</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965,250.00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866,250.00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煤矿安全生产信息化标准 体系研究制定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2,479,166.67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2,229,166.71</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H.323 </w:t>
            </w:r>
            <w:r>
              <w:rPr>
                <w:rFonts w:ascii="宋体" w:hAnsi="宋体" w:cs="宋体" w:eastAsia="宋体" w:hint="default"/>
                <w:sz w:val="18"/>
                <w:szCs w:val="18"/>
              </w:rPr>
              <w:t>私网穿透技术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157,333.29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124,499.92</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SS3000-E </w:t>
            </w:r>
            <w:r>
              <w:rPr>
                <w:rFonts w:ascii="宋体" w:hAnsi="宋体" w:cs="宋体" w:eastAsia="宋体" w:hint="default"/>
                <w:sz w:val="18"/>
                <w:szCs w:val="18"/>
              </w:rPr>
              <w:t>话音编解玛转换 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49,166.78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40,000.15</w:t>
            </w:r>
          </w:p>
        </w:tc>
      </w:tr>
      <w:tr>
        <w:trPr>
          <w:trHeight w:val="716"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终端通信的加密算法 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71,783.28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57,183.24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中继网关网络管理平台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79,158.28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63,058.24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136,500.00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网音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语音增值业务系统 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V7.10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7,521.31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6,581.11</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呼叫中心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186,247.15</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煤矿安全绳长信息化标准 体系平台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612,500.11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487,500.07</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应用软件系统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983,333.36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783,333.44</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物流信息管理系统技术转 让费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1,581,666.66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1,321,666.62</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2"/>
                <w:sz w:val="18"/>
                <w:szCs w:val="18"/>
              </w:rPr>
              <w:t>电子标签产品研发、标准研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究制定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2,777,041.70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2,375,541.74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windows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OFFICE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481.14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TTS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语音合成软件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1,158.80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80"/>
          <w:pgSz w:w="11910" w:h="16840"/>
          <w:pgMar w:footer="1340" w:header="877" w:top="1060" w:bottom="1580" w:left="980" w:right="0"/>
          <w:pgNumType w:start="162"/>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MS </w:t>
            </w: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1,539.58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384.94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TTS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语音合成软件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4,900.12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3,532.49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CCOne2.0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426,416.67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383,416.71</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7,176,680.87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5,922,509.14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光纤接入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17,100.08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9,500.12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服务器托管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43,391.78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37,891.82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软件实施费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4,145,406.73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5,442,566.71</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Citrix XenDesktop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企业版软 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72,966.70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Windows 03 server</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操作系统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Oracle 10G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数据库软件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160,416.70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63"/>
              <w:jc w:val="left"/>
              <w:rPr>
                <w:rFonts w:ascii="宋体" w:hAnsi="宋体" w:cs="宋体" w:eastAsia="宋体" w:hint="default"/>
                <w:sz w:val="18"/>
                <w:szCs w:val="18"/>
              </w:rPr>
            </w:pPr>
            <w:r>
              <w:rPr>
                <w:rFonts w:ascii="Times New Roman" w:hAnsi="Times New Roman" w:cs="Times New Roman" w:eastAsia="Times New Roman" w:hint="default"/>
                <w:sz w:val="18"/>
                <w:szCs w:val="18"/>
              </w:rPr>
              <w:t>mySHOP </w:t>
            </w:r>
            <w:r>
              <w:rPr>
                <w:rFonts w:ascii="宋体" w:hAnsi="宋体" w:cs="宋体" w:eastAsia="宋体" w:hint="default"/>
                <w:sz w:val="18"/>
                <w:szCs w:val="18"/>
              </w:rPr>
              <w:t>套件应用软件产 品及产品服务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840,000.00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航天金税财税管理开票软 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40,950.00</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14,295,144.30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）公司开发项目支出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7"/>
        <w:gridCol w:w="1594"/>
        <w:gridCol w:w="1592"/>
        <w:gridCol w:w="1594"/>
        <w:gridCol w:w="1594"/>
      </w:tblGrid>
      <w:tr>
        <w:trPr>
          <w:trHeight w:val="401"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 </w:t>
            </w:r>
            <w:r>
              <w:rPr>
                <w:rFonts w:ascii="宋体" w:hAnsi="宋体" w:cs="宋体" w:eastAsia="宋体" w:hint="default"/>
                <w:sz w:val="18"/>
                <w:szCs w:val="18"/>
              </w:rPr>
              <w:t>话机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2,551,012.03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1,558,164.44</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4,109,176.47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MG3000-X300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3,049,253.25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3,049,253.25</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MG3000-X50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762,313.32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2,014,218.17</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2,776,531.49</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网关项目</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MG3000-R96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38,862.30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1,033,505.16</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1,072,367.46</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网关项目</w:t>
            </w:r>
          </w:p>
          <w:p>
            <w:pPr>
              <w:pStyle w:val="TableParagraph"/>
              <w:spacing w:line="240" w:lineRule="auto" w:before="117"/>
              <w:ind w:left="24" w:right="0"/>
              <w:jc w:val="left"/>
              <w:rPr>
                <w:rFonts w:ascii="Times New Roman" w:hAnsi="Times New Roman" w:cs="Times New Roman" w:eastAsia="Times New Roman" w:hint="default"/>
                <w:sz w:val="18"/>
                <w:szCs w:val="18"/>
              </w:rPr>
            </w:pPr>
            <w:r>
              <w:rPr>
                <w:rFonts w:ascii="Times New Roman"/>
                <w:sz w:val="18"/>
              </w:rPr>
              <w:t>MG3000-X5000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676,212.13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679,227.81</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1,355,439.94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MG3000-X500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408,194.39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66,361.82</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474,556.21</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SS3000-I</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3,861,023.65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1,585,817.63</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5,446,841.28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 </w:t>
            </w:r>
            <w:r>
              <w:rPr>
                <w:rFonts w:ascii="宋体" w:hAnsi="宋体" w:cs="宋体" w:eastAsia="宋体" w:hint="default"/>
                <w:sz w:val="18"/>
                <w:szCs w:val="18"/>
              </w:rPr>
              <w:t>多媒体调度</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1,742,191.26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2,044,764.54</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3,786,955.80</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SS3000-C-MS</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（呼</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叫中心中间件）</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802,421.55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1,740,508.04</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2,542,929.59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增值业务平台开发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2,322,444.18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825,106.07</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3,147,550.25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597"/>
        <w:gridCol w:w="1594"/>
        <w:gridCol w:w="1592"/>
        <w:gridCol w:w="1594"/>
        <w:gridCol w:w="1594"/>
      </w:tblGrid>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漫画在线创作系统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135,498.40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3,056,448.00</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3,191,946.40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3"/>
              <w:jc w:val="both"/>
              <w:rPr>
                <w:rFonts w:ascii="宋体" w:hAnsi="宋体" w:cs="宋体" w:eastAsia="宋体" w:hint="default"/>
                <w:sz w:val="18"/>
                <w:szCs w:val="18"/>
              </w:rPr>
            </w:pPr>
            <w:r>
              <w:rPr>
                <w:rFonts w:ascii="宋体" w:hAnsi="宋体" w:cs="宋体" w:eastAsia="宋体" w:hint="default"/>
                <w:sz w:val="18"/>
                <w:szCs w:val="18"/>
              </w:rPr>
              <w:t>基于移动互联网的 动漫内容采集发布 平台示范项目</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116,931.72</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116,931.72</w:t>
            </w:r>
          </w:p>
        </w:tc>
      </w:tr>
      <w:tr>
        <w:trPr>
          <w:trHeight w:val="102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both"/>
              <w:rPr>
                <w:rFonts w:ascii="宋体" w:hAnsi="宋体" w:cs="宋体" w:eastAsia="宋体" w:hint="default"/>
                <w:sz w:val="18"/>
                <w:szCs w:val="18"/>
              </w:rPr>
            </w:pPr>
            <w:r>
              <w:rPr>
                <w:rFonts w:ascii="宋体" w:hAnsi="宋体" w:cs="宋体" w:eastAsia="宋体" w:hint="default"/>
                <w:sz w:val="18"/>
                <w:szCs w:val="18"/>
              </w:rPr>
              <w:t>移动互联网图文混 排平台研发及产业 化</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1,506,076.92</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1,506,076.92</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CCPS-XP</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355,877.83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396,265.71</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752,143.54</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CCOne3.0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794,879.94</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794,879.94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CCOne110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23,826.60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23,826.60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广电呼叫中心升级 版</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855,680.87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855,680.87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网上营业厅</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516,677.83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516,677.83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网服在线</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689,338.97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689,338.97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60"/>
              <w:jc w:val="left"/>
              <w:rPr>
                <w:rFonts w:ascii="宋体" w:hAnsi="宋体" w:cs="宋体" w:eastAsia="宋体" w:hint="default"/>
                <w:sz w:val="18"/>
                <w:szCs w:val="18"/>
              </w:rPr>
            </w:pPr>
            <w:r>
              <w:rPr>
                <w:rFonts w:ascii="宋体" w:hAnsi="宋体" w:cs="宋体" w:eastAsia="宋体" w:hint="default"/>
                <w:sz w:val="18"/>
                <w:szCs w:val="18"/>
              </w:rPr>
              <w:t>大唐高鸿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B2C </w:t>
            </w:r>
            <w:r>
              <w:rPr>
                <w:rFonts w:ascii="宋体" w:hAnsi="宋体" w:cs="宋体" w:eastAsia="宋体" w:hint="default"/>
                <w:sz w:val="18"/>
                <w:szCs w:val="18"/>
              </w:rPr>
              <w:t>电子 商务平台</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2,332,344.41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4,433,633.93</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6,765,978.34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19,037,648.70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23,937,434.17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2,085,524.27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3,191,946.40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37,697,612.20</w:t>
            </w:r>
          </w:p>
        </w:tc>
      </w:tr>
    </w:tbl>
    <w:p>
      <w:pPr>
        <w:spacing w:line="338" w:lineRule="auto" w:before="49"/>
        <w:ind w:left="152" w:right="1120" w:firstLine="0"/>
        <w:jc w:val="left"/>
        <w:rPr>
          <w:rFonts w:ascii="宋体" w:hAnsi="宋体" w:cs="宋体" w:eastAsia="宋体" w:hint="default"/>
          <w:sz w:val="18"/>
          <w:szCs w:val="18"/>
        </w:rPr>
      </w:pPr>
      <w:r>
        <w:rPr>
          <w:rFonts w:ascii="宋体" w:hAnsi="宋体" w:cs="宋体" w:eastAsia="宋体" w:hint="default"/>
          <w:sz w:val="18"/>
          <w:szCs w:val="18"/>
        </w:rPr>
        <w:t>本期开发支出占本期研究开发项目支出总额的比例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91.29%</w:t>
      </w:r>
      <w:r>
        <w:rPr>
          <w:rFonts w:ascii="宋体" w:hAnsi="宋体" w:cs="宋体" w:eastAsia="宋体" w:hint="default"/>
          <w:sz w:val="18"/>
          <w:szCs w:val="18"/>
        </w:rPr>
        <w:t>。 通过公司内部研发形成的无形资产占无形资产期末账面价值的比例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3.83%</w:t>
      </w:r>
      <w:r>
        <w:rPr>
          <w:rFonts w:ascii="宋体" w:hAnsi="宋体" w:cs="宋体" w:eastAsia="宋体" w:hint="default"/>
          <w:sz w:val="18"/>
          <w:szCs w:val="18"/>
        </w:rPr>
        <w:t>。 </w:t>
      </w:r>
      <w:r>
        <w:rPr>
          <w:rFonts w:ascii="宋体" w:hAnsi="宋体" w:cs="宋体" w:eastAsia="宋体" w:hint="default"/>
          <w:spacing w:val="-2"/>
          <w:sz w:val="18"/>
          <w:szCs w:val="18"/>
        </w:rPr>
        <w:t>公司开发项目的说明，包括本期发生的单项价值在</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pacing w:val="-24"/>
          <w:sz w:val="18"/>
          <w:szCs w:val="18"/>
        </w:rPr>
        <w:t> </w:t>
      </w:r>
      <w:r>
        <w:rPr>
          <w:rFonts w:ascii="宋体" w:hAnsi="宋体" w:cs="宋体" w:eastAsia="宋体" w:hint="default"/>
          <w:spacing w:val="-2"/>
          <w:sz w:val="18"/>
          <w:szCs w:val="18"/>
        </w:rPr>
        <w:t>万元以上且以评估值为入账依据的，应披露评估机构名称、评估方法</w:t>
      </w:r>
    </w:p>
    <w:p>
      <w:pPr>
        <w:spacing w:line="240" w:lineRule="auto" w:before="10"/>
        <w:rPr>
          <w:rFonts w:ascii="宋体" w:hAnsi="宋体" w:cs="宋体" w:eastAsia="宋体" w:hint="default"/>
          <w:sz w:val="19"/>
          <w:szCs w:val="19"/>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462"/>
        <w:gridCol w:w="1460"/>
        <w:gridCol w:w="1459"/>
        <w:gridCol w:w="1462"/>
        <w:gridCol w:w="1198"/>
      </w:tblGrid>
      <w:tr>
        <w:trPr>
          <w:trHeight w:val="714"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79"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bl>
    <w:p>
      <w:pPr>
        <w:spacing w:before="50"/>
        <w:ind w:left="152" w:right="1125" w:firstLine="0"/>
        <w:jc w:val="left"/>
        <w:rPr>
          <w:rFonts w:ascii="宋体" w:hAnsi="宋体" w:cs="宋体" w:eastAsia="宋体" w:hint="default"/>
          <w:sz w:val="18"/>
          <w:szCs w:val="18"/>
        </w:rPr>
      </w:pPr>
      <w:r>
        <w:rPr>
          <w:rFonts w:ascii="宋体" w:hAnsi="宋体" w:cs="宋体" w:eastAsia="宋体" w:hint="default"/>
          <w:sz w:val="18"/>
          <w:szCs w:val="18"/>
        </w:rPr>
        <w:t>说明商誉的减值测试方法和减值准备计提方法</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9,943,783.99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279,796.50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6,153,915.04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4,069,665.45</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646,199.84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61,848.15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584,351.69</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版权使用费</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165,950.00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18,931.72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147,018.28</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10,589,983.83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445,746.50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6,234,694.91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4,801,035.42</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长期待摊费用的说明</w:t>
      </w:r>
    </w:p>
    <w:p>
      <w:pPr>
        <w:spacing w:after="0"/>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、递延所得税资产和递延所得税负债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1125"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7"/>
        <w:gridCol w:w="2929"/>
        <w:gridCol w:w="2921"/>
      </w:tblGrid>
      <w:tr>
        <w:trPr>
          <w:trHeight w:val="408"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8,466,349.67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4,682,114.90</w:t>
            </w:r>
          </w:p>
        </w:tc>
      </w:tr>
      <w:tr>
        <w:trPr>
          <w:trHeight w:val="402"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8,466,349.67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4,682,114.90</w:t>
            </w:r>
          </w:p>
        </w:tc>
      </w:tr>
      <w:tr>
        <w:trPr>
          <w:trHeight w:val="403"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未确认递延所得税资产明细</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1"/>
        <w:gridCol w:w="2934"/>
        <w:gridCol w:w="2921"/>
      </w:tblGrid>
      <w:tr>
        <w:trPr>
          <w:trHeight w:val="403"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77,437,455.89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67,521,984.05</w:t>
            </w:r>
          </w:p>
        </w:tc>
      </w:tr>
      <w:tr>
        <w:trPr>
          <w:trHeight w:val="403"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99,185,125.63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74,501,116.45</w:t>
            </w:r>
          </w:p>
        </w:tc>
      </w:tr>
      <w:tr>
        <w:trPr>
          <w:trHeight w:val="401"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176,622,581.52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142,023,100.50</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未确认递延所得税资产的可抵扣亏损将于以下年度到期</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7"/>
        <w:gridCol w:w="2259"/>
        <w:gridCol w:w="1995"/>
        <w:gridCol w:w="3320"/>
      </w:tblGrid>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-8,401,169.04</w:t>
            </w: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-12,664,637.64</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-18,065,891.19</w:t>
            </w: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-23,326,720.61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-29,287,934.62</w:t>
            </w: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-28,364,406.53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-18,746,121.60</w:t>
            </w: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-34,829,360.85</w:t>
            </w: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-99,185,125.63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-74,501,116.45</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应纳税差异和可抵扣差异项目明细</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926"/>
        <w:gridCol w:w="2787"/>
      </w:tblGrid>
      <w:tr>
        <w:trPr>
          <w:trHeight w:val="402" w:hRule="exact"/>
        </w:trPr>
        <w:tc>
          <w:tcPr>
            <w:tcW w:w="3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4"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1" w:hRule="exact"/>
        </w:trPr>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51,551,450.98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27,339,834.63</w:t>
            </w:r>
          </w:p>
        </w:tc>
      </w:tr>
      <w:tr>
        <w:trPr>
          <w:trHeight w:val="403"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51,551,450.98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27,339,834.63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）递延所得税资产和递延所得税负债以抵销后的净额列示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25" w:firstLine="0"/>
        <w:jc w:val="left"/>
        <w:rPr>
          <w:rFonts w:ascii="宋体" w:hAnsi="宋体" w:cs="宋体" w:eastAsia="宋体" w:hint="default"/>
          <w:sz w:val="18"/>
          <w:szCs w:val="18"/>
        </w:rPr>
      </w:pPr>
      <w:r>
        <w:rPr>
          <w:rFonts w:ascii="宋体" w:hAnsi="宋体" w:cs="宋体" w:eastAsia="宋体" w:hint="default"/>
          <w:sz w:val="18"/>
          <w:szCs w:val="18"/>
        </w:rPr>
        <w:t>互抵后的递延所得税资产及负债的组成项目</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62"/>
        <w:gridCol w:w="1615"/>
        <w:gridCol w:w="1628"/>
        <w:gridCol w:w="1628"/>
        <w:gridCol w:w="1616"/>
      </w:tblGrid>
      <w:tr>
        <w:trPr>
          <w:trHeight w:val="317" w:hRule="exact"/>
        </w:trPr>
        <w:tc>
          <w:tcPr>
            <w:tcW w:w="3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8" w:right="85"/>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77"/>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1" w:hRule="exact"/>
        </w:trPr>
        <w:tc>
          <w:tcPr>
            <w:tcW w:w="3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615"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16" w:type="dxa"/>
            <w:vMerge/>
            <w:tcBorders>
              <w:left w:val="single" w:sz="4" w:space="0" w:color="000000"/>
              <w:right w:val="single" w:sz="4" w:space="0" w:color="000000"/>
            </w:tcBorders>
            <w:shd w:val="clear" w:color="auto" w:fill="D2D2D2"/>
          </w:tcPr>
          <w:p>
            <w:pPr/>
          </w:p>
        </w:tc>
      </w:tr>
      <w:tr>
        <w:trPr>
          <w:trHeight w:val="317" w:hRule="exact"/>
        </w:trPr>
        <w:tc>
          <w:tcPr>
            <w:tcW w:w="3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632" w:right="0"/>
              <w:jc w:val="left"/>
              <w:rPr>
                <w:rFonts w:ascii="Times New Roman" w:hAnsi="Times New Roman" w:cs="Times New Roman" w:eastAsia="Times New Roman" w:hint="default"/>
                <w:sz w:val="18"/>
                <w:szCs w:val="18"/>
              </w:rPr>
            </w:pPr>
            <w:r>
              <w:rPr>
                <w:rFonts w:ascii="Times New Roman"/>
                <w:sz w:val="18"/>
              </w:rPr>
              <w:t>8,466,349.67</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56" w:right="0"/>
              <w:jc w:val="left"/>
              <w:rPr>
                <w:rFonts w:ascii="Times New Roman" w:hAnsi="Times New Roman" w:cs="Times New Roman" w:eastAsia="Times New Roman" w:hint="default"/>
                <w:sz w:val="18"/>
                <w:szCs w:val="18"/>
              </w:rPr>
            </w:pPr>
            <w:r>
              <w:rPr>
                <w:rFonts w:ascii="Times New Roman"/>
                <w:sz w:val="18"/>
              </w:rPr>
              <w:t>4,682,114.90</w:t>
            </w:r>
          </w:p>
        </w:tc>
        <w:tc>
          <w:tcPr>
            <w:tcW w:w="161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递延所得税资产和递延所得税负债互抵明细</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5713"/>
      </w:tblGrid>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递延所得税资产和递延所得税负债的说明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、资产减值准备明细</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3"/>
        <w:gridCol w:w="1538"/>
        <w:gridCol w:w="1529"/>
        <w:gridCol w:w="1399"/>
        <w:gridCol w:w="1397"/>
        <w:gridCol w:w="1452"/>
      </w:tblGrid>
      <w:tr>
        <w:trPr>
          <w:trHeight w:val="204" w:hRule="exact"/>
        </w:trPr>
        <w:tc>
          <w:tcPr>
            <w:tcW w:w="22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2243" w:type="dxa"/>
            <w:vMerge/>
            <w:tcBorders>
              <w:left w:val="single" w:sz="4" w:space="0" w:color="000000"/>
              <w:bottom w:val="nil" w:sz="6" w:space="0" w:color="auto"/>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40,615,229.62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15,582,342.16</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49,786.35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56,147,785.43</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11,505,223.98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8,545,126.37</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20,050,350.35</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42,394,421.46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10,116,000.00</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52,510,421.46</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346,943.62</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66,594.00</w:t>
            </w:r>
            <w:r>
              <w:rPr>
                <w:rFonts w:ascii="Times New Roman"/>
                <w:sz w:val="18"/>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280,349.62</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94,861,818.68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34,243,468.53</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116,380.35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128,988,906.86</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资产减值明细情况的说明</w:t>
      </w:r>
    </w:p>
    <w:p>
      <w:pPr>
        <w:spacing w:line="240" w:lineRule="auto" w:before="0"/>
        <w:rPr>
          <w:rFonts w:ascii="宋体" w:hAnsi="宋体" w:cs="宋体" w:eastAsia="宋体" w:hint="default"/>
          <w:sz w:val="18"/>
          <w:szCs w:val="18"/>
        </w:rPr>
      </w:pPr>
    </w:p>
    <w:p>
      <w:pPr>
        <w:spacing w:before="12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其他非流动资产的说明</w:t>
      </w:r>
    </w:p>
    <w:p>
      <w:pPr>
        <w:spacing w:line="240" w:lineRule="auto" w:before="0"/>
        <w:rPr>
          <w:rFonts w:ascii="宋体" w:hAnsi="宋体" w:cs="宋体" w:eastAsia="宋体" w:hint="default"/>
          <w:sz w:val="18"/>
          <w:szCs w:val="18"/>
        </w:rPr>
      </w:pPr>
    </w:p>
    <w:p>
      <w:pPr>
        <w:spacing w:before="12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769" w:right="0"/>
              <w:jc w:val="left"/>
              <w:rPr>
                <w:rFonts w:ascii="Times New Roman" w:hAnsi="Times New Roman" w:cs="Times New Roman" w:eastAsia="Times New Roman" w:hint="default"/>
                <w:sz w:val="18"/>
                <w:szCs w:val="18"/>
              </w:rPr>
            </w:pPr>
            <w:r>
              <w:rPr>
                <w:rFonts w:ascii="Times New Roman"/>
                <w:sz w:val="18"/>
              </w:rPr>
              <w:t>130,000,000.00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250,000,000.00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58"/>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620,000,000.00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750,000,000.00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8" w:right="0"/>
              <w:jc w:val="left"/>
              <w:rPr>
                <w:rFonts w:ascii="Times New Roman" w:hAnsi="Times New Roman" w:cs="Times New Roman" w:eastAsia="Times New Roman" w:hint="default"/>
                <w:sz w:val="18"/>
                <w:szCs w:val="18"/>
              </w:rPr>
            </w:pPr>
            <w:r>
              <w:rPr>
                <w:rFonts w:ascii="Times New Roman"/>
                <w:sz w:val="18"/>
              </w:rPr>
              <w:t>250,000,000.00</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）已到期未偿还的短期借款情况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7"/>
        <w:gridCol w:w="1282"/>
        <w:gridCol w:w="1279"/>
        <w:gridCol w:w="1654"/>
        <w:gridCol w:w="1752"/>
        <w:gridCol w:w="1983"/>
      </w:tblGrid>
      <w:tr>
        <w:trPr>
          <w:trHeight w:val="403"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spacing w:line="357" w:lineRule="auto" w:before="49"/>
        <w:ind w:left="152" w:right="4634" w:firstLine="0"/>
        <w:jc w:val="left"/>
        <w:rPr>
          <w:rFonts w:ascii="宋体" w:hAnsi="宋体" w:cs="宋体" w:eastAsia="宋体" w:hint="default"/>
          <w:sz w:val="18"/>
          <w:szCs w:val="18"/>
        </w:rPr>
      </w:pPr>
      <w:r>
        <w:rPr>
          <w:rFonts w:ascii="宋体" w:hAnsi="宋体" w:cs="宋体" w:eastAsia="宋体" w:hint="default"/>
          <w:sz w:val="18"/>
          <w:szCs w:val="18"/>
        </w:rPr>
        <w:t>资产负债表日后已偿还金额元。 短期借款的说明，包括已到期短期借款获展期的，说明展期条件、新的到期日</w:t>
      </w:r>
    </w:p>
    <w:p>
      <w:pPr>
        <w:spacing w:line="240" w:lineRule="auto" w:before="6"/>
        <w:rPr>
          <w:rFonts w:ascii="宋体" w:hAnsi="宋体" w:cs="宋体" w:eastAsia="宋体" w:hint="default"/>
          <w:sz w:val="20"/>
          <w:szCs w:val="20"/>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、交易性金融负债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70"/>
        <w:gridCol w:w="2933"/>
        <w:gridCol w:w="3053"/>
      </w:tblGrid>
      <w:tr>
        <w:trPr>
          <w:trHeight w:val="403"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1"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交易性金融负债的说明</w:t>
      </w:r>
    </w:p>
    <w:p>
      <w:pPr>
        <w:spacing w:line="240" w:lineRule="auto" w:before="0"/>
        <w:rPr>
          <w:rFonts w:ascii="宋体" w:hAnsi="宋体" w:cs="宋体" w:eastAsia="宋体" w:hint="default"/>
          <w:sz w:val="18"/>
          <w:szCs w:val="18"/>
        </w:rPr>
      </w:pPr>
    </w:p>
    <w:p>
      <w:pPr>
        <w:spacing w:before="12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4"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2" w:type="dxa"/>
            <w:tcBorders>
              <w:top w:val="single" w:sz="4" w:space="0" w:color="000000"/>
              <w:left w:val="single" w:sz="9" w:space="0" w:color="D2D2D2"/>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20,061,500.00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20,061,500.00</w:t>
            </w:r>
            <w:r>
              <w:rPr>
                <w:rFonts w:ascii="Times New Roman"/>
                <w:sz w:val="18"/>
              </w:rPr>
            </w:r>
          </w:p>
        </w:tc>
      </w:tr>
    </w:tbl>
    <w:p>
      <w:pPr>
        <w:spacing w:line="338" w:lineRule="auto" w:before="49"/>
        <w:ind w:left="152" w:right="7828" w:firstLine="0"/>
        <w:jc w:val="left"/>
        <w:rPr>
          <w:rFonts w:ascii="宋体" w:hAnsi="宋体" w:cs="宋体" w:eastAsia="宋体" w:hint="default"/>
          <w:sz w:val="18"/>
          <w:szCs w:val="18"/>
        </w:rPr>
      </w:pPr>
      <w:r>
        <w:rPr>
          <w:rFonts w:ascii="宋体" w:hAnsi="宋体" w:cs="宋体" w:eastAsia="宋体" w:hint="default"/>
          <w:sz w:val="18"/>
          <w:szCs w:val="18"/>
        </w:rPr>
        <w:t>下一会计期间将到期的金额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应付票据的说明</w:t>
      </w:r>
    </w:p>
    <w:p>
      <w:pPr>
        <w:spacing w:line="240" w:lineRule="auto" w:before="7"/>
        <w:rPr>
          <w:rFonts w:ascii="宋体" w:hAnsi="宋体" w:cs="宋体" w:eastAsia="宋体" w:hint="default"/>
          <w:sz w:val="21"/>
          <w:szCs w:val="21"/>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284,754,060.36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228,288,087.43</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284,754,060.36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228,288,087.43</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）本报告期应付账款中应付持有公司</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％）以上表决权股份的股东单位款项</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pict>
          <v:group style="position:absolute;margin-left:460.320007pt;margin-top:36.051716pt;width:135pt;height:77pt;mso-position-horizontal-relative:page;mso-position-vertical-relative:paragraph;z-index:-1260184" coordorigin="9206,721" coordsize="2700,1540">
            <v:shape style="position:absolute;left:9206;top:721;width:2700;height:1540" type="#_x0000_t75" stroked="false">
              <v:imagedata r:id="rId18" o:title=""/>
            </v:shape>
            <v:shape style="position:absolute;left:10502;top:1081;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167</w:t>
                    </w:r>
                  </w:p>
                </w:txbxContent>
              </v:textbox>
              <w10:wrap type="none"/>
            </v:shape>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headerReference w:type="default" r:id="rId81"/>
          <w:footerReference w:type="default" r:id="rId82"/>
          <w:pgSz w:w="11910" w:h="16840"/>
          <w:pgMar w:header="877" w:footer="0" w:top="1060" w:bottom="0" w:left="980" w:right="0"/>
        </w:sectPr>
      </w:pPr>
    </w:p>
    <w:p>
      <w:pPr>
        <w:spacing w:line="240" w:lineRule="auto" w:before="10"/>
        <w:rPr>
          <w:rFonts w:ascii="宋体" w:hAnsi="宋体" w:cs="宋体" w:eastAsia="宋体" w:hint="default"/>
          <w:sz w:val="24"/>
          <w:szCs w:val="24"/>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）账龄超过一年的大额应付账款情况的说明</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23" w:type="dxa"/>
        <w:tblLayout w:type="fixed"/>
        <w:tblCellMar>
          <w:top w:w="0" w:type="dxa"/>
          <w:left w:w="0" w:type="dxa"/>
          <w:bottom w:w="0" w:type="dxa"/>
          <w:right w:w="0" w:type="dxa"/>
        </w:tblCellMar>
        <w:tblLook w:val="01E0"/>
      </w:tblPr>
      <w:tblGrid>
        <w:gridCol w:w="4206"/>
        <w:gridCol w:w="1654"/>
        <w:gridCol w:w="1764"/>
      </w:tblGrid>
      <w:tr>
        <w:trPr>
          <w:trHeight w:val="346" w:hRule="exact"/>
        </w:trPr>
        <w:tc>
          <w:tcPr>
            <w:tcW w:w="4206" w:type="dxa"/>
            <w:tcBorders>
              <w:top w:val="nil" w:sz="6" w:space="0" w:color="auto"/>
              <w:left w:val="nil" w:sz="6" w:space="0" w:color="auto"/>
              <w:bottom w:val="single" w:sz="12" w:space="0" w:color="000000"/>
              <w:right w:val="single" w:sz="6" w:space="0" w:color="000000"/>
            </w:tcBorders>
          </w:tcPr>
          <w:p>
            <w:pPr>
              <w:pStyle w:val="TableParagraph"/>
              <w:spacing w:line="240" w:lineRule="auto" w:before="1"/>
              <w:ind w:left="21" w:right="0"/>
              <w:jc w:val="center"/>
              <w:rPr>
                <w:rFonts w:ascii="宋体" w:hAnsi="宋体" w:cs="宋体" w:eastAsia="宋体" w:hint="default"/>
                <w:sz w:val="20"/>
                <w:szCs w:val="20"/>
              </w:rPr>
            </w:pPr>
            <w:r>
              <w:rPr>
                <w:rFonts w:ascii="宋体" w:hAnsi="宋体" w:cs="宋体" w:eastAsia="宋体" w:hint="default"/>
                <w:sz w:val="20"/>
                <w:szCs w:val="20"/>
              </w:rPr>
              <w:t>债权人名称</w:t>
            </w:r>
          </w:p>
        </w:tc>
        <w:tc>
          <w:tcPr>
            <w:tcW w:w="165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76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未偿还的原因</w:t>
            </w:r>
          </w:p>
        </w:tc>
      </w:tr>
      <w:tr>
        <w:trPr>
          <w:trHeight w:val="353" w:hRule="exact"/>
        </w:trPr>
        <w:tc>
          <w:tcPr>
            <w:tcW w:w="4206" w:type="dxa"/>
            <w:tcBorders>
              <w:top w:val="single" w:sz="12" w:space="0" w:color="000000"/>
              <w:left w:val="nil" w:sz="6" w:space="0" w:color="auto"/>
              <w:bottom w:val="single" w:sz="12" w:space="0" w:color="000000"/>
              <w:right w:val="single" w:sz="6" w:space="0" w:color="000000"/>
            </w:tcBorders>
          </w:tcPr>
          <w:p>
            <w:pPr>
              <w:pStyle w:val="TableParagraph"/>
              <w:spacing w:line="254" w:lineRule="exact"/>
              <w:ind w:left="26" w:right="0"/>
              <w:jc w:val="left"/>
              <w:rPr>
                <w:rFonts w:ascii="宋体" w:hAnsi="宋体" w:cs="宋体" w:eastAsia="宋体" w:hint="default"/>
                <w:sz w:val="20"/>
                <w:szCs w:val="20"/>
              </w:rPr>
            </w:pPr>
            <w:r>
              <w:rPr>
                <w:rFonts w:ascii="宋体" w:hAnsi="宋体" w:cs="宋体" w:eastAsia="宋体" w:hint="default"/>
                <w:sz w:val="20"/>
                <w:szCs w:val="20"/>
              </w:rPr>
              <w:t>融智通科技（北京）股份有限公司</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w w:val="95"/>
                <w:sz w:val="20"/>
              </w:rPr>
              <w:t>2,014,442.61</w:t>
            </w:r>
            <w:r>
              <w:rPr>
                <w:rFonts w:ascii="Times New Roman"/>
                <w:sz w:val="20"/>
              </w:rPr>
            </w:r>
          </w:p>
        </w:tc>
        <w:tc>
          <w:tcPr>
            <w:tcW w:w="1764"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款项尚未支付</w:t>
            </w:r>
          </w:p>
        </w:tc>
      </w:tr>
      <w:tr>
        <w:trPr>
          <w:trHeight w:val="350" w:hRule="exact"/>
        </w:trPr>
        <w:tc>
          <w:tcPr>
            <w:tcW w:w="4206" w:type="dxa"/>
            <w:tcBorders>
              <w:top w:val="single" w:sz="12" w:space="0" w:color="000000"/>
              <w:left w:val="nil" w:sz="6" w:space="0" w:color="auto"/>
              <w:bottom w:val="single" w:sz="12" w:space="0" w:color="000000"/>
              <w:right w:val="single" w:sz="6" w:space="0" w:color="000000"/>
            </w:tcBorders>
          </w:tcPr>
          <w:p>
            <w:pPr>
              <w:pStyle w:val="TableParagraph"/>
              <w:spacing w:line="254" w:lineRule="exact"/>
              <w:ind w:left="26" w:right="0"/>
              <w:jc w:val="left"/>
              <w:rPr>
                <w:rFonts w:ascii="宋体" w:hAnsi="宋体" w:cs="宋体" w:eastAsia="宋体" w:hint="default"/>
                <w:sz w:val="20"/>
                <w:szCs w:val="20"/>
              </w:rPr>
            </w:pPr>
            <w:r>
              <w:rPr>
                <w:rFonts w:ascii="宋体" w:hAnsi="宋体" w:cs="宋体" w:eastAsia="宋体" w:hint="default"/>
                <w:sz w:val="20"/>
                <w:szCs w:val="20"/>
              </w:rPr>
              <w:t>石家庄光远科技有限公司</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w w:val="95"/>
                <w:sz w:val="20"/>
              </w:rPr>
              <w:t>1,067,955.28</w:t>
            </w:r>
            <w:r>
              <w:rPr>
                <w:rFonts w:ascii="Times New Roman"/>
                <w:sz w:val="20"/>
              </w:rPr>
            </w:r>
          </w:p>
        </w:tc>
        <w:tc>
          <w:tcPr>
            <w:tcW w:w="1764"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款项尚未支付</w:t>
            </w:r>
          </w:p>
        </w:tc>
      </w:tr>
      <w:tr>
        <w:trPr>
          <w:trHeight w:val="353" w:hRule="exact"/>
        </w:trPr>
        <w:tc>
          <w:tcPr>
            <w:tcW w:w="4206" w:type="dxa"/>
            <w:tcBorders>
              <w:top w:val="single" w:sz="12" w:space="0" w:color="000000"/>
              <w:left w:val="nil" w:sz="6" w:space="0" w:color="auto"/>
              <w:bottom w:val="single" w:sz="12" w:space="0" w:color="000000"/>
              <w:right w:val="single" w:sz="6" w:space="0" w:color="000000"/>
            </w:tcBorders>
          </w:tcPr>
          <w:p>
            <w:pPr>
              <w:pStyle w:val="TableParagraph"/>
              <w:spacing w:line="256" w:lineRule="exact"/>
              <w:ind w:left="26" w:right="0"/>
              <w:jc w:val="left"/>
              <w:rPr>
                <w:rFonts w:ascii="宋体" w:hAnsi="宋体" w:cs="宋体" w:eastAsia="宋体" w:hint="default"/>
                <w:sz w:val="20"/>
                <w:szCs w:val="20"/>
              </w:rPr>
            </w:pPr>
            <w:r>
              <w:rPr>
                <w:rFonts w:ascii="宋体" w:hAnsi="宋体" w:cs="宋体" w:eastAsia="宋体" w:hint="default"/>
                <w:sz w:val="20"/>
                <w:szCs w:val="20"/>
              </w:rPr>
              <w:t>深圳市深佳科技有限公司</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5"/>
                <w:sz w:val="20"/>
              </w:rPr>
              <w:t>928,938.00</w:t>
            </w:r>
            <w:r>
              <w:rPr>
                <w:rFonts w:ascii="Times New Roman"/>
                <w:sz w:val="20"/>
              </w:rPr>
            </w:r>
          </w:p>
        </w:tc>
        <w:tc>
          <w:tcPr>
            <w:tcW w:w="1764"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款项尚未支付</w:t>
            </w:r>
          </w:p>
        </w:tc>
      </w:tr>
      <w:tr>
        <w:trPr>
          <w:trHeight w:val="353" w:hRule="exact"/>
        </w:trPr>
        <w:tc>
          <w:tcPr>
            <w:tcW w:w="4206" w:type="dxa"/>
            <w:tcBorders>
              <w:top w:val="single" w:sz="12" w:space="0" w:color="000000"/>
              <w:left w:val="nil" w:sz="6" w:space="0" w:color="auto"/>
              <w:bottom w:val="single" w:sz="12" w:space="0" w:color="000000"/>
              <w:right w:val="single" w:sz="6" w:space="0" w:color="000000"/>
            </w:tcBorders>
          </w:tcPr>
          <w:p>
            <w:pPr>
              <w:pStyle w:val="TableParagraph"/>
              <w:spacing w:line="254" w:lineRule="exact"/>
              <w:ind w:left="26" w:right="0"/>
              <w:jc w:val="left"/>
              <w:rPr>
                <w:rFonts w:ascii="宋体" w:hAnsi="宋体" w:cs="宋体" w:eastAsia="宋体" w:hint="default"/>
                <w:sz w:val="20"/>
                <w:szCs w:val="20"/>
              </w:rPr>
            </w:pPr>
            <w:r>
              <w:rPr>
                <w:rFonts w:ascii="宋体" w:hAnsi="宋体" w:cs="宋体" w:eastAsia="宋体" w:hint="default"/>
                <w:sz w:val="20"/>
                <w:szCs w:val="20"/>
              </w:rPr>
              <w:t>青牛（北京）技术有限公司</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w w:val="95"/>
                <w:sz w:val="20"/>
              </w:rPr>
              <w:t>885,132.00</w:t>
            </w:r>
            <w:r>
              <w:rPr>
                <w:rFonts w:ascii="Times New Roman"/>
                <w:sz w:val="20"/>
              </w:rPr>
            </w:r>
          </w:p>
        </w:tc>
        <w:tc>
          <w:tcPr>
            <w:tcW w:w="1764"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合同尾款</w:t>
            </w:r>
          </w:p>
        </w:tc>
      </w:tr>
      <w:tr>
        <w:trPr>
          <w:trHeight w:val="350" w:hRule="exact"/>
        </w:trPr>
        <w:tc>
          <w:tcPr>
            <w:tcW w:w="4206" w:type="dxa"/>
            <w:tcBorders>
              <w:top w:val="single" w:sz="12" w:space="0" w:color="000000"/>
              <w:left w:val="nil" w:sz="6" w:space="0" w:color="auto"/>
              <w:bottom w:val="single" w:sz="12" w:space="0" w:color="000000"/>
              <w:right w:val="single" w:sz="6" w:space="0" w:color="000000"/>
            </w:tcBorders>
          </w:tcPr>
          <w:p>
            <w:pPr>
              <w:pStyle w:val="TableParagraph"/>
              <w:spacing w:line="254" w:lineRule="exact"/>
              <w:ind w:left="26" w:right="0"/>
              <w:jc w:val="left"/>
              <w:rPr>
                <w:rFonts w:ascii="宋体" w:hAnsi="宋体" w:cs="宋体" w:eastAsia="宋体" w:hint="default"/>
                <w:sz w:val="20"/>
                <w:szCs w:val="20"/>
              </w:rPr>
            </w:pPr>
            <w:r>
              <w:rPr>
                <w:rFonts w:ascii="宋体" w:hAnsi="宋体" w:cs="宋体" w:eastAsia="宋体" w:hint="default"/>
                <w:sz w:val="20"/>
                <w:szCs w:val="20"/>
              </w:rPr>
              <w:t>北京中健祥电子科技有限公司</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w w:val="95"/>
                <w:sz w:val="20"/>
              </w:rPr>
              <w:t>695,364.90</w:t>
            </w:r>
            <w:r>
              <w:rPr>
                <w:rFonts w:ascii="Times New Roman"/>
                <w:sz w:val="20"/>
              </w:rPr>
            </w:r>
          </w:p>
        </w:tc>
        <w:tc>
          <w:tcPr>
            <w:tcW w:w="1764"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款项尚未支付</w:t>
            </w:r>
          </w:p>
        </w:tc>
      </w:tr>
      <w:tr>
        <w:trPr>
          <w:trHeight w:val="353" w:hRule="exact"/>
        </w:trPr>
        <w:tc>
          <w:tcPr>
            <w:tcW w:w="4206" w:type="dxa"/>
            <w:tcBorders>
              <w:top w:val="single" w:sz="12" w:space="0" w:color="000000"/>
              <w:left w:val="nil" w:sz="6" w:space="0" w:color="auto"/>
              <w:bottom w:val="single" w:sz="12" w:space="0" w:color="000000"/>
              <w:right w:val="single" w:sz="6" w:space="0" w:color="000000"/>
            </w:tcBorders>
          </w:tcPr>
          <w:p>
            <w:pPr>
              <w:pStyle w:val="TableParagraph"/>
              <w:spacing w:line="256" w:lineRule="exact"/>
              <w:ind w:left="21"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5"/>
                <w:sz w:val="20"/>
              </w:rPr>
              <w:t>5,591,832.79</w:t>
            </w:r>
            <w:r>
              <w:rPr>
                <w:rFonts w:ascii="Times New Roman"/>
                <w:sz w:val="20"/>
              </w:rPr>
            </w:r>
          </w:p>
        </w:tc>
        <w:tc>
          <w:tcPr>
            <w:tcW w:w="1764" w:type="dxa"/>
            <w:tcBorders>
              <w:top w:val="single" w:sz="12" w:space="0" w:color="000000"/>
              <w:left w:val="single" w:sz="6" w:space="0" w:color="000000"/>
              <w:bottom w:val="single" w:sz="12" w:space="0" w:color="000000"/>
              <w:right w:val="single" w:sz="6" w:space="0" w:color="000000"/>
            </w:tcBorders>
          </w:tcPr>
          <w:p>
            <w:pPr/>
          </w:p>
        </w:tc>
      </w:tr>
    </w:tbl>
    <w:p>
      <w:pPr>
        <w:spacing w:line="240" w:lineRule="auto" w:before="3"/>
        <w:rPr>
          <w:rFonts w:ascii="宋体" w:hAnsi="宋体" w:cs="宋体" w:eastAsia="宋体" w:hint="default"/>
          <w:b/>
          <w:bCs/>
          <w:sz w:val="19"/>
          <w:szCs w:val="19"/>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、预收账款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197,594,747.50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135,803,890.52</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197,594,747.50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135,803,890.52</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）本报告期预收账款中预收持有公司</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％）以上表决权股份的股东单位款项</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792"/>
        <w:gridCol w:w="2910"/>
      </w:tblGrid>
      <w:tr>
        <w:trPr>
          <w:trHeight w:val="402"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4"/>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）账龄超过一年的大额预收账款情况的说明</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0"/>
          <w:szCs w:val="10"/>
        </w:rPr>
      </w:pPr>
    </w:p>
    <w:tbl>
      <w:tblPr>
        <w:tblW w:w="0" w:type="auto"/>
        <w:jc w:val="left"/>
        <w:tblInd w:w="138" w:type="dxa"/>
        <w:tblLayout w:type="fixed"/>
        <w:tblCellMar>
          <w:top w:w="0" w:type="dxa"/>
          <w:left w:w="0" w:type="dxa"/>
          <w:bottom w:w="0" w:type="dxa"/>
          <w:right w:w="0" w:type="dxa"/>
        </w:tblCellMar>
        <w:tblLook w:val="01E0"/>
      </w:tblPr>
      <w:tblGrid>
        <w:gridCol w:w="4660"/>
        <w:gridCol w:w="2668"/>
        <w:gridCol w:w="1905"/>
      </w:tblGrid>
      <w:tr>
        <w:trPr>
          <w:trHeight w:val="284" w:hRule="exact"/>
        </w:trPr>
        <w:tc>
          <w:tcPr>
            <w:tcW w:w="4660" w:type="dxa"/>
            <w:tcBorders>
              <w:top w:val="nil" w:sz="6" w:space="0" w:color="auto"/>
              <w:left w:val="nil" w:sz="6" w:space="0" w:color="auto"/>
              <w:bottom w:val="single" w:sz="12" w:space="0" w:color="000000"/>
              <w:right w:val="nil" w:sz="6" w:space="0" w:color="auto"/>
            </w:tcBorders>
          </w:tcPr>
          <w:p>
            <w:pPr>
              <w:pStyle w:val="TableParagraph"/>
              <w:spacing w:line="199" w:lineRule="exact"/>
              <w:ind w:left="448" w:right="0"/>
              <w:jc w:val="center"/>
              <w:rPr>
                <w:rFonts w:ascii="宋体" w:hAnsi="宋体" w:cs="宋体" w:eastAsia="宋体" w:hint="default"/>
                <w:sz w:val="20"/>
                <w:szCs w:val="20"/>
              </w:rPr>
            </w:pPr>
            <w:r>
              <w:rPr>
                <w:rFonts w:ascii="宋体" w:hAnsi="宋体" w:cs="宋体" w:eastAsia="宋体" w:hint="default"/>
                <w:sz w:val="20"/>
                <w:szCs w:val="20"/>
              </w:rPr>
              <w:t>债权人名称</w:t>
            </w:r>
          </w:p>
        </w:tc>
        <w:tc>
          <w:tcPr>
            <w:tcW w:w="2668" w:type="dxa"/>
            <w:tcBorders>
              <w:top w:val="nil" w:sz="6" w:space="0" w:color="auto"/>
              <w:left w:val="nil" w:sz="6" w:space="0" w:color="auto"/>
              <w:bottom w:val="single" w:sz="12" w:space="0" w:color="000000"/>
              <w:right w:val="nil" w:sz="6" w:space="0" w:color="auto"/>
            </w:tcBorders>
          </w:tcPr>
          <w:p>
            <w:pPr>
              <w:pStyle w:val="TableParagraph"/>
              <w:spacing w:line="199" w:lineRule="exact"/>
              <w:ind w:left="202"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905" w:type="dxa"/>
            <w:tcBorders>
              <w:top w:val="nil" w:sz="6" w:space="0" w:color="auto"/>
              <w:left w:val="nil" w:sz="6" w:space="0" w:color="auto"/>
              <w:bottom w:val="single" w:sz="12" w:space="0" w:color="000000"/>
              <w:right w:val="nil" w:sz="6" w:space="0" w:color="auto"/>
            </w:tcBorders>
          </w:tcPr>
          <w:p>
            <w:pPr>
              <w:pStyle w:val="TableParagraph"/>
              <w:spacing w:line="199" w:lineRule="exact"/>
              <w:ind w:left="238" w:right="0"/>
              <w:jc w:val="left"/>
              <w:rPr>
                <w:rFonts w:ascii="宋体" w:hAnsi="宋体" w:cs="宋体" w:eastAsia="宋体" w:hint="default"/>
                <w:sz w:val="20"/>
                <w:szCs w:val="20"/>
              </w:rPr>
            </w:pPr>
            <w:r>
              <w:rPr>
                <w:rFonts w:ascii="宋体" w:hAnsi="宋体" w:cs="宋体" w:eastAsia="宋体" w:hint="default"/>
                <w:sz w:val="20"/>
                <w:szCs w:val="20"/>
              </w:rPr>
              <w:t>未结转的原因</w:t>
            </w:r>
          </w:p>
        </w:tc>
      </w:tr>
      <w:tr>
        <w:trPr>
          <w:trHeight w:val="350" w:hRule="exact"/>
        </w:trPr>
        <w:tc>
          <w:tcPr>
            <w:tcW w:w="4660" w:type="dxa"/>
            <w:tcBorders>
              <w:top w:val="single" w:sz="12" w:space="0" w:color="000000"/>
              <w:left w:val="nil" w:sz="6" w:space="0" w:color="auto"/>
              <w:bottom w:val="single" w:sz="12" w:space="0" w:color="000000"/>
              <w:right w:val="nil" w:sz="6" w:space="0" w:color="auto"/>
            </w:tcBorders>
          </w:tcPr>
          <w:p>
            <w:pPr>
              <w:pStyle w:val="TableParagraph"/>
              <w:spacing w:line="254" w:lineRule="exact"/>
              <w:ind w:left="26" w:right="0"/>
              <w:jc w:val="left"/>
              <w:rPr>
                <w:rFonts w:ascii="宋体" w:hAnsi="宋体" w:cs="宋体" w:eastAsia="宋体" w:hint="default"/>
                <w:sz w:val="20"/>
                <w:szCs w:val="20"/>
              </w:rPr>
            </w:pPr>
            <w:r>
              <w:rPr>
                <w:rFonts w:ascii="宋体" w:hAnsi="宋体" w:cs="宋体" w:eastAsia="宋体" w:hint="default"/>
                <w:sz w:val="20"/>
                <w:szCs w:val="20"/>
              </w:rPr>
              <w:t>长治市委办公厅</w:t>
            </w:r>
          </w:p>
        </w:tc>
        <w:tc>
          <w:tcPr>
            <w:tcW w:w="2668"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right="237"/>
              <w:jc w:val="right"/>
              <w:rPr>
                <w:rFonts w:ascii="Times New Roman" w:hAnsi="Times New Roman" w:cs="Times New Roman" w:eastAsia="Times New Roman" w:hint="default"/>
                <w:sz w:val="20"/>
                <w:szCs w:val="20"/>
              </w:rPr>
            </w:pPr>
            <w:r>
              <w:rPr>
                <w:rFonts w:ascii="Times New Roman"/>
                <w:w w:val="95"/>
                <w:sz w:val="20"/>
              </w:rPr>
              <w:t>6,975,300.00</w:t>
            </w:r>
            <w:r>
              <w:rPr>
                <w:rFonts w:ascii="Times New Roman"/>
                <w:sz w:val="20"/>
              </w:rPr>
            </w:r>
          </w:p>
        </w:tc>
        <w:tc>
          <w:tcPr>
            <w:tcW w:w="1905" w:type="dxa"/>
            <w:tcBorders>
              <w:top w:val="single" w:sz="12" w:space="0" w:color="000000"/>
              <w:left w:val="nil" w:sz="6" w:space="0" w:color="auto"/>
              <w:bottom w:val="single" w:sz="12" w:space="0" w:color="000000"/>
              <w:right w:val="nil" w:sz="6" w:space="0" w:color="auto"/>
            </w:tcBorders>
          </w:tcPr>
          <w:p>
            <w:pPr>
              <w:pStyle w:val="TableParagraph"/>
              <w:spacing w:line="254" w:lineRule="exact"/>
              <w:ind w:left="238" w:right="0"/>
              <w:jc w:val="left"/>
              <w:rPr>
                <w:rFonts w:ascii="宋体" w:hAnsi="宋体" w:cs="宋体" w:eastAsia="宋体" w:hint="default"/>
                <w:sz w:val="20"/>
                <w:szCs w:val="20"/>
              </w:rPr>
            </w:pPr>
            <w:r>
              <w:rPr>
                <w:rFonts w:ascii="宋体" w:hAnsi="宋体" w:cs="宋体" w:eastAsia="宋体" w:hint="default"/>
                <w:sz w:val="20"/>
                <w:szCs w:val="20"/>
              </w:rPr>
              <w:t>业务尚未结算</w:t>
            </w:r>
          </w:p>
        </w:tc>
      </w:tr>
      <w:tr>
        <w:trPr>
          <w:trHeight w:val="353" w:hRule="exact"/>
        </w:trPr>
        <w:tc>
          <w:tcPr>
            <w:tcW w:w="4660"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26" w:right="0"/>
              <w:jc w:val="left"/>
              <w:rPr>
                <w:rFonts w:ascii="宋体" w:hAnsi="宋体" w:cs="宋体" w:eastAsia="宋体" w:hint="default"/>
                <w:sz w:val="20"/>
                <w:szCs w:val="20"/>
              </w:rPr>
            </w:pPr>
            <w:r>
              <w:rPr>
                <w:rFonts w:ascii="宋体" w:hAnsi="宋体" w:cs="宋体" w:eastAsia="宋体" w:hint="default"/>
                <w:sz w:val="20"/>
                <w:szCs w:val="20"/>
              </w:rPr>
              <w:t>江苏商助网络科技有限公司</w:t>
            </w:r>
          </w:p>
        </w:tc>
        <w:tc>
          <w:tcPr>
            <w:tcW w:w="266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1"/>
              <w:ind w:right="237"/>
              <w:jc w:val="right"/>
              <w:rPr>
                <w:rFonts w:ascii="Times New Roman" w:hAnsi="Times New Roman" w:cs="Times New Roman" w:eastAsia="Times New Roman" w:hint="default"/>
                <w:sz w:val="20"/>
                <w:szCs w:val="20"/>
              </w:rPr>
            </w:pPr>
            <w:r>
              <w:rPr>
                <w:rFonts w:ascii="Times New Roman"/>
                <w:w w:val="95"/>
                <w:sz w:val="20"/>
              </w:rPr>
              <w:t>1,720,000.00</w:t>
            </w:r>
            <w:r>
              <w:rPr>
                <w:rFonts w:ascii="Times New Roman"/>
                <w:sz w:val="20"/>
              </w:rPr>
            </w:r>
          </w:p>
        </w:tc>
        <w:tc>
          <w:tcPr>
            <w:tcW w:w="1905"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238" w:right="0"/>
              <w:jc w:val="left"/>
              <w:rPr>
                <w:rFonts w:ascii="宋体" w:hAnsi="宋体" w:cs="宋体" w:eastAsia="宋体" w:hint="default"/>
                <w:sz w:val="20"/>
                <w:szCs w:val="20"/>
              </w:rPr>
            </w:pPr>
            <w:r>
              <w:rPr>
                <w:rFonts w:ascii="宋体" w:hAnsi="宋体" w:cs="宋体" w:eastAsia="宋体" w:hint="default"/>
                <w:sz w:val="20"/>
                <w:szCs w:val="20"/>
              </w:rPr>
              <w:t>业务尚未结算</w:t>
            </w:r>
          </w:p>
        </w:tc>
      </w:tr>
      <w:tr>
        <w:trPr>
          <w:trHeight w:val="353" w:hRule="exact"/>
        </w:trPr>
        <w:tc>
          <w:tcPr>
            <w:tcW w:w="4660" w:type="dxa"/>
            <w:tcBorders>
              <w:top w:val="single" w:sz="12" w:space="0" w:color="000000"/>
              <w:left w:val="nil" w:sz="6" w:space="0" w:color="auto"/>
              <w:bottom w:val="single" w:sz="12" w:space="0" w:color="000000"/>
              <w:right w:val="nil" w:sz="6" w:space="0" w:color="auto"/>
            </w:tcBorders>
          </w:tcPr>
          <w:p>
            <w:pPr>
              <w:pStyle w:val="TableParagraph"/>
              <w:spacing w:line="254" w:lineRule="exact"/>
              <w:ind w:left="26" w:right="0"/>
              <w:jc w:val="left"/>
              <w:rPr>
                <w:rFonts w:ascii="宋体" w:hAnsi="宋体" w:cs="宋体" w:eastAsia="宋体" w:hint="default"/>
                <w:sz w:val="20"/>
                <w:szCs w:val="20"/>
              </w:rPr>
            </w:pPr>
            <w:r>
              <w:rPr>
                <w:rFonts w:ascii="宋体" w:hAnsi="宋体" w:cs="宋体" w:eastAsia="宋体" w:hint="default"/>
                <w:sz w:val="20"/>
                <w:szCs w:val="20"/>
              </w:rPr>
              <w:t>中煤黑龙江煤炭化工（集团）有限公司</w:t>
            </w:r>
          </w:p>
        </w:tc>
        <w:tc>
          <w:tcPr>
            <w:tcW w:w="2668"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right="237"/>
              <w:jc w:val="right"/>
              <w:rPr>
                <w:rFonts w:ascii="Times New Roman" w:hAnsi="Times New Roman" w:cs="Times New Roman" w:eastAsia="Times New Roman" w:hint="default"/>
                <w:sz w:val="20"/>
                <w:szCs w:val="20"/>
              </w:rPr>
            </w:pPr>
            <w:r>
              <w:rPr>
                <w:rFonts w:ascii="Times New Roman"/>
                <w:w w:val="95"/>
                <w:sz w:val="20"/>
              </w:rPr>
              <w:t>1,257,000.00</w:t>
            </w:r>
            <w:r>
              <w:rPr>
                <w:rFonts w:ascii="Times New Roman"/>
                <w:sz w:val="20"/>
              </w:rPr>
            </w:r>
          </w:p>
        </w:tc>
        <w:tc>
          <w:tcPr>
            <w:tcW w:w="1905" w:type="dxa"/>
            <w:tcBorders>
              <w:top w:val="single" w:sz="12" w:space="0" w:color="000000"/>
              <w:left w:val="nil" w:sz="6" w:space="0" w:color="auto"/>
              <w:bottom w:val="single" w:sz="12" w:space="0" w:color="000000"/>
              <w:right w:val="nil" w:sz="6" w:space="0" w:color="auto"/>
            </w:tcBorders>
          </w:tcPr>
          <w:p>
            <w:pPr>
              <w:pStyle w:val="TableParagraph"/>
              <w:spacing w:line="254" w:lineRule="exact"/>
              <w:ind w:left="238" w:right="0"/>
              <w:jc w:val="left"/>
              <w:rPr>
                <w:rFonts w:ascii="宋体" w:hAnsi="宋体" w:cs="宋体" w:eastAsia="宋体" w:hint="default"/>
                <w:sz w:val="20"/>
                <w:szCs w:val="20"/>
              </w:rPr>
            </w:pPr>
            <w:r>
              <w:rPr>
                <w:rFonts w:ascii="宋体" w:hAnsi="宋体" w:cs="宋体" w:eastAsia="宋体" w:hint="default"/>
                <w:sz w:val="20"/>
                <w:szCs w:val="20"/>
              </w:rPr>
              <w:t>业务尚未结算</w:t>
            </w:r>
          </w:p>
        </w:tc>
      </w:tr>
      <w:tr>
        <w:trPr>
          <w:trHeight w:val="350" w:hRule="exact"/>
        </w:trPr>
        <w:tc>
          <w:tcPr>
            <w:tcW w:w="4660" w:type="dxa"/>
            <w:tcBorders>
              <w:top w:val="single" w:sz="12" w:space="0" w:color="000000"/>
              <w:left w:val="nil" w:sz="6" w:space="0" w:color="auto"/>
              <w:bottom w:val="single" w:sz="12" w:space="0" w:color="000000"/>
              <w:right w:val="nil" w:sz="6" w:space="0" w:color="auto"/>
            </w:tcBorders>
          </w:tcPr>
          <w:p>
            <w:pPr>
              <w:pStyle w:val="TableParagraph"/>
              <w:spacing w:line="254" w:lineRule="exact"/>
              <w:ind w:left="26" w:right="0"/>
              <w:jc w:val="left"/>
              <w:rPr>
                <w:rFonts w:ascii="宋体" w:hAnsi="宋体" w:cs="宋体" w:eastAsia="宋体" w:hint="default"/>
                <w:sz w:val="20"/>
                <w:szCs w:val="20"/>
              </w:rPr>
            </w:pPr>
            <w:r>
              <w:rPr>
                <w:rFonts w:ascii="宋体" w:hAnsi="宋体" w:cs="宋体" w:eastAsia="宋体" w:hint="default"/>
                <w:sz w:val="20"/>
                <w:szCs w:val="20"/>
              </w:rPr>
              <w:t>山西广电传输技术有限公司</w:t>
            </w:r>
          </w:p>
        </w:tc>
        <w:tc>
          <w:tcPr>
            <w:tcW w:w="2668"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right="236"/>
              <w:jc w:val="right"/>
              <w:rPr>
                <w:rFonts w:ascii="Times New Roman" w:hAnsi="Times New Roman" w:cs="Times New Roman" w:eastAsia="Times New Roman" w:hint="default"/>
                <w:sz w:val="20"/>
                <w:szCs w:val="20"/>
              </w:rPr>
            </w:pPr>
            <w:r>
              <w:rPr>
                <w:rFonts w:ascii="Times New Roman"/>
                <w:w w:val="95"/>
                <w:sz w:val="20"/>
              </w:rPr>
              <w:t>720,640.00</w:t>
            </w:r>
            <w:r>
              <w:rPr>
                <w:rFonts w:ascii="Times New Roman"/>
                <w:sz w:val="20"/>
              </w:rPr>
            </w:r>
          </w:p>
        </w:tc>
        <w:tc>
          <w:tcPr>
            <w:tcW w:w="1905" w:type="dxa"/>
            <w:tcBorders>
              <w:top w:val="single" w:sz="12" w:space="0" w:color="000000"/>
              <w:left w:val="nil" w:sz="6" w:space="0" w:color="auto"/>
              <w:bottom w:val="single" w:sz="12" w:space="0" w:color="000000"/>
              <w:right w:val="nil" w:sz="6" w:space="0" w:color="auto"/>
            </w:tcBorders>
          </w:tcPr>
          <w:p>
            <w:pPr>
              <w:pStyle w:val="TableParagraph"/>
              <w:spacing w:line="254" w:lineRule="exact"/>
              <w:ind w:left="238" w:right="0"/>
              <w:jc w:val="left"/>
              <w:rPr>
                <w:rFonts w:ascii="宋体" w:hAnsi="宋体" w:cs="宋体" w:eastAsia="宋体" w:hint="default"/>
                <w:sz w:val="20"/>
                <w:szCs w:val="20"/>
              </w:rPr>
            </w:pPr>
            <w:r>
              <w:rPr>
                <w:rFonts w:ascii="宋体" w:hAnsi="宋体" w:cs="宋体" w:eastAsia="宋体" w:hint="default"/>
                <w:sz w:val="20"/>
                <w:szCs w:val="20"/>
              </w:rPr>
              <w:t>业务尚未结算</w:t>
            </w:r>
          </w:p>
        </w:tc>
      </w:tr>
      <w:tr>
        <w:trPr>
          <w:trHeight w:val="353" w:hRule="exact"/>
        </w:trPr>
        <w:tc>
          <w:tcPr>
            <w:tcW w:w="4660"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26" w:right="0"/>
              <w:jc w:val="left"/>
              <w:rPr>
                <w:rFonts w:ascii="宋体" w:hAnsi="宋体" w:cs="宋体" w:eastAsia="宋体" w:hint="default"/>
                <w:sz w:val="20"/>
                <w:szCs w:val="20"/>
              </w:rPr>
            </w:pPr>
            <w:r>
              <w:rPr>
                <w:rFonts w:ascii="宋体" w:hAnsi="宋体" w:cs="宋体" w:eastAsia="宋体" w:hint="default"/>
                <w:sz w:val="20"/>
                <w:szCs w:val="20"/>
              </w:rPr>
              <w:t>中国移动通信甘肃有限公司</w:t>
            </w:r>
          </w:p>
        </w:tc>
        <w:tc>
          <w:tcPr>
            <w:tcW w:w="2668" w:type="dxa"/>
            <w:tcBorders>
              <w:top w:val="single" w:sz="12" w:space="0" w:color="000000"/>
              <w:left w:val="nil" w:sz="6" w:space="0" w:color="auto"/>
              <w:bottom w:val="single" w:sz="12" w:space="0" w:color="000000"/>
              <w:right w:val="nil" w:sz="6" w:space="0" w:color="auto"/>
            </w:tcBorders>
          </w:tcPr>
          <w:p>
            <w:pPr>
              <w:pStyle w:val="TableParagraph"/>
              <w:spacing w:line="240" w:lineRule="auto" w:before="41"/>
              <w:ind w:right="236"/>
              <w:jc w:val="right"/>
              <w:rPr>
                <w:rFonts w:ascii="Times New Roman" w:hAnsi="Times New Roman" w:cs="Times New Roman" w:eastAsia="Times New Roman" w:hint="default"/>
                <w:sz w:val="20"/>
                <w:szCs w:val="20"/>
              </w:rPr>
            </w:pPr>
            <w:r>
              <w:rPr>
                <w:rFonts w:ascii="Times New Roman"/>
                <w:w w:val="95"/>
                <w:sz w:val="20"/>
              </w:rPr>
              <w:t>428,761.59</w:t>
            </w:r>
            <w:r>
              <w:rPr>
                <w:rFonts w:ascii="Times New Roman"/>
                <w:sz w:val="20"/>
              </w:rPr>
            </w:r>
          </w:p>
        </w:tc>
        <w:tc>
          <w:tcPr>
            <w:tcW w:w="1905"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238" w:right="0"/>
              <w:jc w:val="left"/>
              <w:rPr>
                <w:rFonts w:ascii="宋体" w:hAnsi="宋体" w:cs="宋体" w:eastAsia="宋体" w:hint="default"/>
                <w:sz w:val="20"/>
                <w:szCs w:val="20"/>
              </w:rPr>
            </w:pPr>
            <w:r>
              <w:rPr>
                <w:rFonts w:ascii="宋体" w:hAnsi="宋体" w:cs="宋体" w:eastAsia="宋体" w:hint="default"/>
                <w:sz w:val="20"/>
                <w:szCs w:val="20"/>
              </w:rPr>
              <w:t>业务尚未结算</w:t>
            </w:r>
          </w:p>
        </w:tc>
      </w:tr>
      <w:tr>
        <w:trPr>
          <w:trHeight w:val="353" w:hRule="exact"/>
        </w:trPr>
        <w:tc>
          <w:tcPr>
            <w:tcW w:w="4660" w:type="dxa"/>
            <w:tcBorders>
              <w:top w:val="single" w:sz="12" w:space="0" w:color="000000"/>
              <w:left w:val="nil" w:sz="6" w:space="0" w:color="auto"/>
              <w:bottom w:val="single" w:sz="12" w:space="0" w:color="000000"/>
              <w:right w:val="nil" w:sz="6" w:space="0" w:color="auto"/>
            </w:tcBorders>
          </w:tcPr>
          <w:p>
            <w:pPr>
              <w:pStyle w:val="TableParagraph"/>
              <w:spacing w:line="254" w:lineRule="exact"/>
              <w:ind w:left="448"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668"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right="239"/>
              <w:jc w:val="right"/>
              <w:rPr>
                <w:rFonts w:ascii="Times New Roman" w:hAnsi="Times New Roman" w:cs="Times New Roman" w:eastAsia="Times New Roman" w:hint="default"/>
                <w:sz w:val="20"/>
                <w:szCs w:val="20"/>
              </w:rPr>
            </w:pPr>
            <w:r>
              <w:rPr>
                <w:rFonts w:ascii="Times New Roman"/>
                <w:w w:val="95"/>
                <w:sz w:val="20"/>
              </w:rPr>
              <w:t>11,101,701.59</w:t>
            </w:r>
            <w:r>
              <w:rPr>
                <w:rFonts w:ascii="Times New Roman"/>
                <w:sz w:val="20"/>
              </w:rPr>
            </w:r>
          </w:p>
        </w:tc>
        <w:tc>
          <w:tcPr>
            <w:tcW w:w="1905" w:type="dxa"/>
            <w:tcBorders>
              <w:top w:val="single" w:sz="12" w:space="0" w:color="000000"/>
              <w:left w:val="nil" w:sz="6" w:space="0" w:color="auto"/>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pict>
          <v:group style="position:absolute;margin-left:460.320007pt;margin-top:70.97171pt;width:135pt;height:77pt;mso-position-horizontal-relative:page;mso-position-vertical-relative:paragraph;z-index:-1260136" coordorigin="9206,1419" coordsize="2700,1540">
            <v:shape style="position:absolute;left:9206;top:1419;width:2700;height:1540" type="#_x0000_t75" stroked="false">
              <v:imagedata r:id="rId18" o:title=""/>
            </v:shape>
            <v:shape style="position:absolute;left:10502;top:1780;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168</w:t>
                    </w:r>
                  </w:p>
                </w:txbxContent>
              </v:textbox>
              <w10:wrap type="none"/>
            </v:shape>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4"/>
        <w:gridCol w:w="1874"/>
        <w:gridCol w:w="1992"/>
        <w:gridCol w:w="2259"/>
        <w:gridCol w:w="1860"/>
      </w:tblGrid>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3" w:right="0"/>
              <w:jc w:val="left"/>
              <w:rPr>
                <w:rFonts w:ascii="Times New Roman" w:hAnsi="Times New Roman" w:cs="Times New Roman" w:eastAsia="Times New Roman" w:hint="default"/>
                <w:sz w:val="18"/>
                <w:szCs w:val="18"/>
              </w:rPr>
            </w:pPr>
            <w:r>
              <w:rPr>
                <w:rFonts w:ascii="Times New Roman"/>
                <w:sz w:val="18"/>
              </w:rPr>
              <w:t>939,500.00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6" w:right="0"/>
              <w:jc w:val="left"/>
              <w:rPr>
                <w:rFonts w:ascii="Times New Roman" w:hAnsi="Times New Roman" w:cs="Times New Roman" w:eastAsia="Times New Roman" w:hint="default"/>
                <w:sz w:val="18"/>
                <w:szCs w:val="18"/>
              </w:rPr>
            </w:pPr>
            <w:r>
              <w:rPr>
                <w:rFonts w:ascii="Times New Roman"/>
                <w:sz w:val="18"/>
              </w:rPr>
              <w:t>56,177,107.45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7" w:right="0"/>
              <w:jc w:val="left"/>
              <w:rPr>
                <w:rFonts w:ascii="Times New Roman" w:hAnsi="Times New Roman" w:cs="Times New Roman" w:eastAsia="Times New Roman" w:hint="default"/>
                <w:sz w:val="18"/>
                <w:szCs w:val="18"/>
              </w:rPr>
            </w:pPr>
            <w:r>
              <w:rPr>
                <w:rFonts w:ascii="Times New Roman"/>
                <w:sz w:val="18"/>
              </w:rPr>
              <w:t>57,116,607.45</w:t>
            </w:r>
          </w:p>
        </w:tc>
        <w:tc>
          <w:tcPr>
            <w:tcW w:w="186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83"/>
          <w:footerReference w:type="default" r:id="rId84"/>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863"/>
        <w:gridCol w:w="1992"/>
        <w:gridCol w:w="2259"/>
        <w:gridCol w:w="1860"/>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2,866,579.67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2,866,579.67</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174,051.57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10,800,970.60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10,707,997.21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267,024.96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16,450.99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3,505,451.03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3,488,491.11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33,410.91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148,521.16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6,491,585.18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6,424,754.85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215,351.49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失业保险费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6,051.99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361,229.27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354,329.93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12,951.33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生育保险</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956.17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269,826.42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268,834.70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1,947.89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工伤保险</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2,071.26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172,878.70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171,586.62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3,363.34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110,199.00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3,674,276.02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3,434,106.02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350,369.00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3,191,697.54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2,143,078.33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2,154,637.21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3,180,138.66</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left"/>
              <w:rPr>
                <w:rFonts w:ascii="宋体" w:hAnsi="宋体" w:cs="宋体" w:eastAsia="宋体" w:hint="default"/>
                <w:sz w:val="18"/>
                <w:szCs w:val="18"/>
              </w:rPr>
            </w:pPr>
            <w:r>
              <w:rPr>
                <w:rFonts w:ascii="宋体" w:hAnsi="宋体" w:cs="宋体" w:eastAsia="宋体" w:hint="default"/>
                <w:spacing w:val="-9"/>
                <w:sz w:val="18"/>
                <w:szCs w:val="18"/>
              </w:rPr>
              <w:t>其中：工会经费和教</w:t>
            </w:r>
            <w:r>
              <w:rPr>
                <w:rFonts w:ascii="宋体" w:hAnsi="宋体" w:cs="宋体" w:eastAsia="宋体" w:hint="default"/>
                <w:sz w:val="18"/>
                <w:szCs w:val="18"/>
              </w:rPr>
              <w:t> 育经费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3,191,697.54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2,143,078.33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2,154,637.21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3,180,138.66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4,415,448.11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75,662,012.07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76,279,927.56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3,797,532.62</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应付职工薪酬中属于拖欠性质的金额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40" w:lineRule="auto" w:before="101"/>
        <w:ind w:left="152" w:right="2524" w:firstLine="0"/>
        <w:jc w:val="left"/>
        <w:rPr>
          <w:rFonts w:ascii="宋体" w:hAnsi="宋体" w:cs="宋体" w:eastAsia="宋体" w:hint="default"/>
          <w:sz w:val="18"/>
          <w:szCs w:val="18"/>
        </w:rPr>
      </w:pPr>
      <w:r>
        <w:rPr>
          <w:rFonts w:ascii="宋体" w:hAnsi="宋体" w:cs="宋体" w:eastAsia="宋体" w:hint="default"/>
          <w:sz w:val="18"/>
          <w:szCs w:val="18"/>
        </w:rPr>
        <w:t>工会经费和职工教育经费金额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3,180,138.66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元，非货币性福利金额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元，因解除劳动关系给予补偿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应付职工薪酬预计发放时间、金额等安排</w:t>
      </w:r>
    </w:p>
    <w:p>
      <w:pPr>
        <w:spacing w:line="300" w:lineRule="auto" w:before="39"/>
        <w:ind w:left="152" w:right="1114" w:firstLine="0"/>
        <w:jc w:val="left"/>
        <w:rPr>
          <w:rFonts w:ascii="宋体" w:hAnsi="宋体" w:cs="宋体" w:eastAsia="宋体" w:hint="default"/>
          <w:sz w:val="18"/>
          <w:szCs w:val="18"/>
        </w:rPr>
      </w:pPr>
      <w:r>
        <w:rPr>
          <w:rFonts w:ascii="宋体" w:hAnsi="宋体" w:cs="宋体" w:eastAsia="宋体" w:hint="default"/>
          <w:sz w:val="18"/>
          <w:szCs w:val="18"/>
        </w:rPr>
        <w:t>每月上旬根据绩效考核结果发放上月各项工资，每月根据当月工资总额按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计提工会经费，每月据实计提职工福利费和职 工教育经费，每月按要求缴纳各项社会保险费和住房公积金。</w:t>
      </w:r>
    </w:p>
    <w:p>
      <w:pPr>
        <w:spacing w:line="240" w:lineRule="auto" w:before="10"/>
        <w:rPr>
          <w:rFonts w:ascii="宋体" w:hAnsi="宋体" w:cs="宋体" w:eastAsia="宋体" w:hint="default"/>
          <w:sz w:val="23"/>
          <w:szCs w:val="23"/>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-13,111,480.37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-15,963,714.35</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1,212,061.60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1,685,791.61</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-2,055,777.18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-7,899,054.94</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176,170.72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149,959.02</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502,199.46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334,928.99</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379,720.54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184,588.06</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30,112.66</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59,118.70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10,236.34</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38,957.24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16,695.96</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811.02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26,575.20</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价格基金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9,666.53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16,120.22</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736,925.12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733,033.03</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-12,051,626.62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-20,674,728.20</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应交税费说明，所在地税务机关同意各分公司、分厂之间应纳税所得额相互调剂的，应说明税款计算过程</w:t>
      </w:r>
    </w:p>
    <w:p>
      <w:pPr>
        <w:spacing w:after="0"/>
        <w:jc w:val="left"/>
        <w:rPr>
          <w:rFonts w:ascii="宋体" w:hAnsi="宋体" w:cs="宋体" w:eastAsia="宋体" w:hint="default"/>
          <w:sz w:val="18"/>
          <w:szCs w:val="18"/>
        </w:rPr>
        <w:sectPr>
          <w:footerReference w:type="default" r:id="rId85"/>
          <w:pgSz w:w="11910" w:h="16840"/>
          <w:pgMar w:footer="1340" w:header="877" w:top="1060" w:bottom="1540" w:left="980" w:right="0"/>
          <w:pgNumType w:start="169"/>
        </w:sectPr>
      </w:pPr>
    </w:p>
    <w:p>
      <w:pPr>
        <w:spacing w:line="240" w:lineRule="auto" w:before="10"/>
        <w:rPr>
          <w:rFonts w:ascii="宋体" w:hAnsi="宋体" w:cs="宋体" w:eastAsia="宋体" w:hint="default"/>
          <w:sz w:val="24"/>
          <w:szCs w:val="24"/>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23"/>
        <w:gridCol w:w="2789"/>
        <w:gridCol w:w="2645"/>
      </w:tblGrid>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应付利息说明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994"/>
        <w:gridCol w:w="2127"/>
        <w:gridCol w:w="2645"/>
      </w:tblGrid>
      <w:tr>
        <w:trPr>
          <w:trHeight w:val="401"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3" w:right="0"/>
              <w:jc w:val="left"/>
              <w:rPr>
                <w:rFonts w:ascii="宋体" w:hAnsi="宋体" w:cs="宋体" w:eastAsia="宋体" w:hint="default"/>
                <w:sz w:val="18"/>
                <w:szCs w:val="18"/>
              </w:rPr>
            </w:pPr>
            <w:r>
              <w:rPr>
                <w:rFonts w:ascii="宋体" w:hAnsi="宋体" w:cs="宋体" w:eastAsia="宋体" w:hint="default"/>
                <w:sz w:val="18"/>
                <w:szCs w:val="18"/>
              </w:rPr>
              <w:t>超过一年未支付原因</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应付股利的说明</w:t>
      </w:r>
    </w:p>
    <w:p>
      <w:pPr>
        <w:spacing w:line="240" w:lineRule="auto" w:before="0"/>
        <w:rPr>
          <w:rFonts w:ascii="宋体" w:hAnsi="宋体" w:cs="宋体" w:eastAsia="宋体" w:hint="default"/>
          <w:sz w:val="18"/>
          <w:szCs w:val="18"/>
        </w:rPr>
      </w:pPr>
    </w:p>
    <w:p>
      <w:pPr>
        <w:spacing w:before="121"/>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）其他应付款情况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159,405,690.13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467,216,838.69</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10,522,023.61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2,244,966.21</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6,464,416.40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3,772,863.69</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3,766,164.62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337,506.56</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180,158,294.76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473,572,175.15</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）本报告期其他应付款中应付持有公司</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％）以上表决权股份的股东单位款项</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8"/>
        <w:gridCol w:w="2777"/>
      </w:tblGrid>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）账龄超过一年的大额其他应付款情况的说明</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23" w:type="dxa"/>
        <w:tblLayout w:type="fixed"/>
        <w:tblCellMar>
          <w:top w:w="0" w:type="dxa"/>
          <w:left w:w="0" w:type="dxa"/>
          <w:bottom w:w="0" w:type="dxa"/>
          <w:right w:w="0" w:type="dxa"/>
        </w:tblCellMar>
        <w:tblLook w:val="01E0"/>
      </w:tblPr>
      <w:tblGrid>
        <w:gridCol w:w="4206"/>
        <w:gridCol w:w="1654"/>
        <w:gridCol w:w="1764"/>
      </w:tblGrid>
      <w:tr>
        <w:trPr>
          <w:trHeight w:val="348" w:hRule="exact"/>
        </w:trPr>
        <w:tc>
          <w:tcPr>
            <w:tcW w:w="4206" w:type="dxa"/>
            <w:tcBorders>
              <w:top w:val="nil" w:sz="6" w:space="0" w:color="auto"/>
              <w:left w:val="nil" w:sz="6" w:space="0" w:color="auto"/>
              <w:bottom w:val="single" w:sz="12" w:space="0" w:color="000000"/>
              <w:right w:val="single" w:sz="6" w:space="0" w:color="000000"/>
            </w:tcBorders>
          </w:tcPr>
          <w:p>
            <w:pPr>
              <w:pStyle w:val="TableParagraph"/>
              <w:spacing w:line="240" w:lineRule="auto" w:before="4"/>
              <w:ind w:left="25" w:right="0"/>
              <w:jc w:val="center"/>
              <w:rPr>
                <w:rFonts w:ascii="宋体" w:hAnsi="宋体" w:cs="宋体" w:eastAsia="宋体" w:hint="default"/>
                <w:sz w:val="20"/>
                <w:szCs w:val="20"/>
              </w:rPr>
            </w:pPr>
            <w:r>
              <w:rPr>
                <w:rFonts w:ascii="宋体" w:hAnsi="宋体" w:cs="宋体" w:eastAsia="宋体" w:hint="default"/>
                <w:sz w:val="20"/>
                <w:szCs w:val="20"/>
              </w:rPr>
              <w:t>债权人名称</w:t>
            </w:r>
          </w:p>
        </w:tc>
        <w:tc>
          <w:tcPr>
            <w:tcW w:w="165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4"/>
              <w:ind w:left="78"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764"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4"/>
              <w:ind w:left="319" w:right="0"/>
              <w:jc w:val="left"/>
              <w:rPr>
                <w:rFonts w:ascii="宋体" w:hAnsi="宋体" w:cs="宋体" w:eastAsia="宋体" w:hint="default"/>
                <w:sz w:val="20"/>
                <w:szCs w:val="20"/>
              </w:rPr>
            </w:pPr>
            <w:r>
              <w:rPr>
                <w:rFonts w:ascii="宋体" w:hAnsi="宋体" w:cs="宋体" w:eastAsia="宋体" w:hint="default"/>
                <w:sz w:val="20"/>
                <w:szCs w:val="20"/>
              </w:rPr>
              <w:t>未偿还的原因</w:t>
            </w:r>
          </w:p>
        </w:tc>
      </w:tr>
      <w:tr>
        <w:trPr>
          <w:trHeight w:val="351" w:hRule="exact"/>
        </w:trPr>
        <w:tc>
          <w:tcPr>
            <w:tcW w:w="4206" w:type="dxa"/>
            <w:tcBorders>
              <w:top w:val="single" w:sz="12" w:space="0" w:color="000000"/>
              <w:left w:val="nil" w:sz="6" w:space="0" w:color="auto"/>
              <w:bottom w:val="single" w:sz="12" w:space="0" w:color="000000"/>
              <w:right w:val="single" w:sz="6" w:space="0" w:color="000000"/>
            </w:tcBorders>
          </w:tcPr>
          <w:p>
            <w:pPr>
              <w:pStyle w:val="TableParagraph"/>
              <w:spacing w:line="254" w:lineRule="exact"/>
              <w:ind w:left="26" w:right="0"/>
              <w:jc w:val="left"/>
              <w:rPr>
                <w:rFonts w:ascii="宋体" w:hAnsi="宋体" w:cs="宋体" w:eastAsia="宋体" w:hint="default"/>
                <w:sz w:val="20"/>
                <w:szCs w:val="20"/>
              </w:rPr>
            </w:pPr>
            <w:r>
              <w:rPr>
                <w:rFonts w:ascii="宋体" w:hAnsi="宋体" w:cs="宋体" w:eastAsia="宋体" w:hint="default"/>
                <w:sz w:val="20"/>
                <w:szCs w:val="20"/>
              </w:rPr>
              <w:t>高鸿鼎欣（北京）科技有限公司</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w w:val="95"/>
                <w:sz w:val="20"/>
              </w:rPr>
              <w:t>597,000.00</w:t>
            </w:r>
            <w:r>
              <w:rPr>
                <w:rFonts w:ascii="Times New Roman"/>
                <w:sz w:val="20"/>
              </w:rPr>
            </w:r>
          </w:p>
        </w:tc>
        <w:tc>
          <w:tcPr>
            <w:tcW w:w="1764"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374" w:right="0"/>
              <w:jc w:val="left"/>
              <w:rPr>
                <w:rFonts w:ascii="宋体" w:hAnsi="宋体" w:cs="宋体" w:eastAsia="宋体" w:hint="default"/>
                <w:sz w:val="20"/>
                <w:szCs w:val="20"/>
              </w:rPr>
            </w:pPr>
            <w:r>
              <w:rPr>
                <w:rFonts w:ascii="宋体" w:hAnsi="宋体" w:cs="宋体" w:eastAsia="宋体" w:hint="default"/>
                <w:sz w:val="20"/>
                <w:szCs w:val="20"/>
              </w:rPr>
              <w:t>项目未结算</w:t>
            </w:r>
          </w:p>
        </w:tc>
      </w:tr>
      <w:tr>
        <w:trPr>
          <w:trHeight w:val="353" w:hRule="exact"/>
        </w:trPr>
        <w:tc>
          <w:tcPr>
            <w:tcW w:w="4206" w:type="dxa"/>
            <w:tcBorders>
              <w:top w:val="single" w:sz="12" w:space="0" w:color="000000"/>
              <w:left w:val="nil" w:sz="6" w:space="0" w:color="auto"/>
              <w:bottom w:val="single" w:sz="12" w:space="0" w:color="000000"/>
              <w:right w:val="single" w:sz="6" w:space="0" w:color="000000"/>
            </w:tcBorders>
          </w:tcPr>
          <w:p>
            <w:pPr>
              <w:pStyle w:val="TableParagraph"/>
              <w:spacing w:line="256" w:lineRule="exact"/>
              <w:ind w:left="26" w:right="0"/>
              <w:jc w:val="left"/>
              <w:rPr>
                <w:rFonts w:ascii="宋体" w:hAnsi="宋体" w:cs="宋体" w:eastAsia="宋体" w:hint="default"/>
                <w:sz w:val="20"/>
                <w:szCs w:val="20"/>
              </w:rPr>
            </w:pPr>
            <w:r>
              <w:rPr>
                <w:rFonts w:ascii="宋体" w:hAnsi="宋体" w:cs="宋体" w:eastAsia="宋体" w:hint="default"/>
                <w:sz w:val="20"/>
                <w:szCs w:val="20"/>
              </w:rPr>
              <w:t>贵州省科技成果转化项目中心</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5"/>
                <w:sz w:val="20"/>
              </w:rPr>
              <w:t>400,000.00</w:t>
            </w:r>
            <w:r>
              <w:rPr>
                <w:rFonts w:ascii="Times New Roman"/>
                <w:sz w:val="20"/>
              </w:rPr>
            </w:r>
          </w:p>
        </w:tc>
        <w:tc>
          <w:tcPr>
            <w:tcW w:w="1764"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575" w:right="0"/>
              <w:jc w:val="left"/>
              <w:rPr>
                <w:rFonts w:ascii="宋体" w:hAnsi="宋体" w:cs="宋体" w:eastAsia="宋体" w:hint="default"/>
                <w:sz w:val="20"/>
                <w:szCs w:val="20"/>
              </w:rPr>
            </w:pPr>
            <w:r>
              <w:rPr>
                <w:rFonts w:ascii="宋体" w:hAnsi="宋体" w:cs="宋体" w:eastAsia="宋体" w:hint="default"/>
                <w:sz w:val="20"/>
                <w:szCs w:val="20"/>
              </w:rPr>
              <w:t>项目款</w:t>
            </w:r>
          </w:p>
        </w:tc>
      </w:tr>
      <w:tr>
        <w:trPr>
          <w:trHeight w:val="353" w:hRule="exact"/>
        </w:trPr>
        <w:tc>
          <w:tcPr>
            <w:tcW w:w="4206" w:type="dxa"/>
            <w:tcBorders>
              <w:top w:val="single" w:sz="12" w:space="0" w:color="000000"/>
              <w:left w:val="nil" w:sz="6" w:space="0" w:color="auto"/>
              <w:bottom w:val="single" w:sz="12" w:space="0" w:color="000000"/>
              <w:right w:val="single" w:sz="6" w:space="0" w:color="000000"/>
            </w:tcBorders>
          </w:tcPr>
          <w:p>
            <w:pPr>
              <w:pStyle w:val="TableParagraph"/>
              <w:spacing w:line="256" w:lineRule="exact"/>
              <w:ind w:left="26" w:right="0"/>
              <w:jc w:val="left"/>
              <w:rPr>
                <w:rFonts w:ascii="宋体" w:hAnsi="宋体" w:cs="宋体" w:eastAsia="宋体" w:hint="default"/>
                <w:sz w:val="20"/>
                <w:szCs w:val="20"/>
              </w:rPr>
            </w:pPr>
            <w:r>
              <w:rPr>
                <w:rFonts w:ascii="宋体" w:hAnsi="宋体" w:cs="宋体" w:eastAsia="宋体" w:hint="default"/>
                <w:sz w:val="20"/>
                <w:szCs w:val="20"/>
              </w:rPr>
              <w:t>北京安顺天为科贸中心</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5"/>
                <w:sz w:val="20"/>
              </w:rPr>
              <w:t>330,000.00</w:t>
            </w:r>
            <w:r>
              <w:rPr>
                <w:rFonts w:ascii="Times New Roman"/>
                <w:sz w:val="20"/>
              </w:rPr>
            </w:r>
          </w:p>
        </w:tc>
        <w:tc>
          <w:tcPr>
            <w:tcW w:w="1764"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575" w:right="0"/>
              <w:jc w:val="left"/>
              <w:rPr>
                <w:rFonts w:ascii="宋体" w:hAnsi="宋体" w:cs="宋体" w:eastAsia="宋体" w:hint="default"/>
                <w:sz w:val="20"/>
                <w:szCs w:val="20"/>
              </w:rPr>
            </w:pPr>
            <w:r>
              <w:rPr>
                <w:rFonts w:ascii="宋体" w:hAnsi="宋体" w:cs="宋体" w:eastAsia="宋体" w:hint="default"/>
                <w:sz w:val="20"/>
                <w:szCs w:val="20"/>
              </w:rPr>
              <w:t>往来款</w:t>
            </w:r>
          </w:p>
        </w:tc>
      </w:tr>
      <w:tr>
        <w:trPr>
          <w:trHeight w:val="350" w:hRule="exact"/>
        </w:trPr>
        <w:tc>
          <w:tcPr>
            <w:tcW w:w="4206" w:type="dxa"/>
            <w:tcBorders>
              <w:top w:val="single" w:sz="12" w:space="0" w:color="000000"/>
              <w:left w:val="nil" w:sz="6" w:space="0" w:color="auto"/>
              <w:bottom w:val="single" w:sz="12" w:space="0" w:color="000000"/>
              <w:right w:val="single" w:sz="6" w:space="0" w:color="000000"/>
            </w:tcBorders>
          </w:tcPr>
          <w:p>
            <w:pPr>
              <w:pStyle w:val="TableParagraph"/>
              <w:spacing w:line="254" w:lineRule="exact"/>
              <w:ind w:left="26" w:right="0"/>
              <w:jc w:val="left"/>
              <w:rPr>
                <w:rFonts w:ascii="宋体" w:hAnsi="宋体" w:cs="宋体" w:eastAsia="宋体" w:hint="default"/>
                <w:sz w:val="20"/>
                <w:szCs w:val="20"/>
              </w:rPr>
            </w:pPr>
            <w:r>
              <w:rPr>
                <w:rFonts w:ascii="宋体" w:hAnsi="宋体" w:cs="宋体" w:eastAsia="宋体" w:hint="default"/>
                <w:sz w:val="20"/>
                <w:szCs w:val="20"/>
              </w:rPr>
              <w:t>欠职工款</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w w:val="95"/>
                <w:sz w:val="20"/>
              </w:rPr>
              <w:t>300,000.00</w:t>
            </w:r>
            <w:r>
              <w:rPr>
                <w:rFonts w:ascii="Times New Roman"/>
                <w:sz w:val="20"/>
              </w:rPr>
            </w:r>
          </w:p>
        </w:tc>
        <w:tc>
          <w:tcPr>
            <w:tcW w:w="1764"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575" w:right="0"/>
              <w:jc w:val="left"/>
              <w:rPr>
                <w:rFonts w:ascii="宋体" w:hAnsi="宋体" w:cs="宋体" w:eastAsia="宋体" w:hint="default"/>
                <w:sz w:val="20"/>
                <w:szCs w:val="20"/>
              </w:rPr>
            </w:pPr>
            <w:r>
              <w:rPr>
                <w:rFonts w:ascii="宋体" w:hAnsi="宋体" w:cs="宋体" w:eastAsia="宋体" w:hint="default"/>
                <w:sz w:val="20"/>
                <w:szCs w:val="20"/>
              </w:rPr>
              <w:t>往来款</w:t>
            </w:r>
          </w:p>
        </w:tc>
      </w:tr>
      <w:tr>
        <w:trPr>
          <w:trHeight w:val="353" w:hRule="exact"/>
        </w:trPr>
        <w:tc>
          <w:tcPr>
            <w:tcW w:w="4206" w:type="dxa"/>
            <w:tcBorders>
              <w:top w:val="single" w:sz="12" w:space="0" w:color="000000"/>
              <w:left w:val="nil" w:sz="6" w:space="0" w:color="auto"/>
              <w:bottom w:val="single" w:sz="12" w:space="0" w:color="000000"/>
              <w:right w:val="single" w:sz="6" w:space="0" w:color="000000"/>
            </w:tcBorders>
          </w:tcPr>
          <w:p>
            <w:pPr>
              <w:pStyle w:val="TableParagraph"/>
              <w:spacing w:line="256" w:lineRule="exact"/>
              <w:ind w:left="26" w:right="0"/>
              <w:jc w:val="left"/>
              <w:rPr>
                <w:rFonts w:ascii="宋体" w:hAnsi="宋体" w:cs="宋体" w:eastAsia="宋体" w:hint="default"/>
                <w:sz w:val="20"/>
                <w:szCs w:val="20"/>
              </w:rPr>
            </w:pPr>
            <w:r>
              <w:rPr>
                <w:rFonts w:ascii="宋体" w:hAnsi="宋体" w:cs="宋体" w:eastAsia="宋体" w:hint="default"/>
                <w:sz w:val="20"/>
                <w:szCs w:val="20"/>
              </w:rPr>
              <w:t>深圳证券信息有限公司</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5"/>
                <w:sz w:val="20"/>
              </w:rPr>
              <w:t>220,000.00</w:t>
            </w:r>
            <w:r>
              <w:rPr>
                <w:rFonts w:ascii="Times New Roman"/>
                <w:sz w:val="20"/>
              </w:rPr>
            </w:r>
          </w:p>
        </w:tc>
        <w:tc>
          <w:tcPr>
            <w:tcW w:w="1764"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374" w:right="0"/>
              <w:jc w:val="left"/>
              <w:rPr>
                <w:rFonts w:ascii="宋体" w:hAnsi="宋体" w:cs="宋体" w:eastAsia="宋体" w:hint="default"/>
                <w:sz w:val="20"/>
                <w:szCs w:val="20"/>
              </w:rPr>
            </w:pPr>
            <w:r>
              <w:rPr>
                <w:rFonts w:ascii="宋体" w:hAnsi="宋体" w:cs="宋体" w:eastAsia="宋体" w:hint="default"/>
                <w:sz w:val="20"/>
                <w:szCs w:val="20"/>
              </w:rPr>
              <w:t>股改宣传费</w:t>
            </w:r>
          </w:p>
        </w:tc>
      </w:tr>
      <w:tr>
        <w:trPr>
          <w:trHeight w:val="353" w:hRule="exact"/>
        </w:trPr>
        <w:tc>
          <w:tcPr>
            <w:tcW w:w="4206" w:type="dxa"/>
            <w:tcBorders>
              <w:top w:val="single" w:sz="12" w:space="0" w:color="000000"/>
              <w:left w:val="nil" w:sz="6" w:space="0" w:color="auto"/>
              <w:bottom w:val="single" w:sz="12" w:space="0" w:color="000000"/>
              <w:right w:val="single" w:sz="6" w:space="0" w:color="000000"/>
            </w:tcBorders>
          </w:tcPr>
          <w:p>
            <w:pPr>
              <w:pStyle w:val="TableParagraph"/>
              <w:spacing w:line="256" w:lineRule="exact"/>
              <w:ind w:left="26" w:right="0"/>
              <w:jc w:val="left"/>
              <w:rPr>
                <w:rFonts w:ascii="宋体" w:hAnsi="宋体" w:cs="宋体" w:eastAsia="宋体" w:hint="default"/>
                <w:sz w:val="20"/>
                <w:szCs w:val="20"/>
              </w:rPr>
            </w:pPr>
            <w:r>
              <w:rPr>
                <w:rFonts w:ascii="宋体" w:hAnsi="宋体" w:cs="宋体" w:eastAsia="宋体" w:hint="default"/>
                <w:sz w:val="20"/>
                <w:szCs w:val="20"/>
              </w:rPr>
              <w:t>贵州省信息产业厅</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5"/>
                <w:sz w:val="20"/>
              </w:rPr>
              <w:t>200,000.00</w:t>
            </w:r>
            <w:r>
              <w:rPr>
                <w:rFonts w:ascii="Times New Roman"/>
                <w:sz w:val="20"/>
              </w:rPr>
            </w:r>
          </w:p>
        </w:tc>
        <w:tc>
          <w:tcPr>
            <w:tcW w:w="1764"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575" w:right="0"/>
              <w:jc w:val="left"/>
              <w:rPr>
                <w:rFonts w:ascii="宋体" w:hAnsi="宋体" w:cs="宋体" w:eastAsia="宋体" w:hint="default"/>
                <w:sz w:val="20"/>
                <w:szCs w:val="20"/>
              </w:rPr>
            </w:pPr>
            <w:r>
              <w:rPr>
                <w:rFonts w:ascii="宋体" w:hAnsi="宋体" w:cs="宋体" w:eastAsia="宋体" w:hint="default"/>
                <w:sz w:val="20"/>
                <w:szCs w:val="20"/>
              </w:rPr>
              <w:t>项目款</w:t>
            </w:r>
          </w:p>
        </w:tc>
      </w:tr>
      <w:tr>
        <w:trPr>
          <w:trHeight w:val="353" w:hRule="exact"/>
        </w:trPr>
        <w:tc>
          <w:tcPr>
            <w:tcW w:w="4206" w:type="dxa"/>
            <w:tcBorders>
              <w:top w:val="single" w:sz="12" w:space="0" w:color="000000"/>
              <w:left w:val="nil" w:sz="6" w:space="0" w:color="auto"/>
              <w:bottom w:val="single" w:sz="12" w:space="0" w:color="000000"/>
              <w:right w:val="single" w:sz="6" w:space="0" w:color="000000"/>
            </w:tcBorders>
          </w:tcPr>
          <w:p>
            <w:pPr>
              <w:pStyle w:val="TableParagraph"/>
              <w:spacing w:line="254" w:lineRule="exact"/>
              <w:ind w:left="107"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6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w w:val="95"/>
                <w:sz w:val="20"/>
              </w:rPr>
              <w:t>2,047,000.00</w:t>
            </w:r>
            <w:r>
              <w:rPr>
                <w:rFonts w:ascii="Times New Roman"/>
                <w:sz w:val="20"/>
              </w:rPr>
            </w:r>
          </w:p>
        </w:tc>
        <w:tc>
          <w:tcPr>
            <w:tcW w:w="1764" w:type="dxa"/>
            <w:tcBorders>
              <w:top w:val="single" w:sz="12" w:space="0" w:color="000000"/>
              <w:left w:val="single" w:sz="6" w:space="0" w:color="000000"/>
              <w:bottom w:val="single" w:sz="12" w:space="0" w:color="000000"/>
              <w:right w:val="single" w:sz="6" w:space="0" w:color="000000"/>
            </w:tcBorders>
          </w:tcPr>
          <w:p>
            <w:pPr/>
          </w:p>
        </w:tc>
      </w:tr>
    </w:tbl>
    <w:p>
      <w:pPr>
        <w:spacing w:after="0"/>
        <w:sectPr>
          <w:pgSz w:w="11910" w:h="16840"/>
          <w:pgMar w:header="877" w:footer="1340" w:top="1060" w:bottom="1540" w:left="980" w:right="0"/>
        </w:sectPr>
      </w:pPr>
    </w:p>
    <w:p>
      <w:pPr>
        <w:spacing w:line="240" w:lineRule="auto" w:before="10"/>
        <w:rPr>
          <w:rFonts w:ascii="宋体" w:hAnsi="宋体" w:cs="宋体" w:eastAsia="宋体" w:hint="default"/>
          <w:b/>
          <w:bCs/>
          <w:sz w:val="24"/>
          <w:szCs w:val="24"/>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）金额较大的其他应付款说明内容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38" w:type="dxa"/>
        <w:tblLayout w:type="fixed"/>
        <w:tblCellMar>
          <w:top w:w="0" w:type="dxa"/>
          <w:left w:w="0" w:type="dxa"/>
          <w:bottom w:w="0" w:type="dxa"/>
          <w:right w:w="0" w:type="dxa"/>
        </w:tblCellMar>
        <w:tblLook w:val="01E0"/>
      </w:tblPr>
      <w:tblGrid>
        <w:gridCol w:w="3284"/>
        <w:gridCol w:w="1622"/>
        <w:gridCol w:w="4326"/>
      </w:tblGrid>
      <w:tr>
        <w:trPr>
          <w:trHeight w:val="282" w:hRule="exact"/>
        </w:trPr>
        <w:tc>
          <w:tcPr>
            <w:tcW w:w="3284" w:type="dxa"/>
            <w:tcBorders>
              <w:top w:val="nil" w:sz="6" w:space="0" w:color="auto"/>
              <w:left w:val="nil" w:sz="6" w:space="0" w:color="auto"/>
              <w:bottom w:val="single" w:sz="12" w:space="0" w:color="000000"/>
              <w:right w:val="nil" w:sz="6" w:space="0" w:color="auto"/>
            </w:tcBorders>
          </w:tcPr>
          <w:p>
            <w:pPr>
              <w:pStyle w:val="TableParagraph"/>
              <w:spacing w:line="199" w:lineRule="exact"/>
              <w:ind w:left="1200" w:right="0"/>
              <w:jc w:val="left"/>
              <w:rPr>
                <w:rFonts w:ascii="宋体" w:hAnsi="宋体" w:cs="宋体" w:eastAsia="宋体" w:hint="default"/>
                <w:sz w:val="20"/>
                <w:szCs w:val="20"/>
              </w:rPr>
            </w:pPr>
            <w:r>
              <w:rPr>
                <w:rFonts w:ascii="宋体" w:hAnsi="宋体" w:cs="宋体" w:eastAsia="宋体" w:hint="default"/>
                <w:sz w:val="20"/>
                <w:szCs w:val="20"/>
              </w:rPr>
              <w:t>债权人名称</w:t>
            </w:r>
          </w:p>
        </w:tc>
        <w:tc>
          <w:tcPr>
            <w:tcW w:w="1622" w:type="dxa"/>
            <w:tcBorders>
              <w:top w:val="nil" w:sz="6" w:space="0" w:color="auto"/>
              <w:left w:val="nil" w:sz="6" w:space="0" w:color="auto"/>
              <w:bottom w:val="single" w:sz="12" w:space="0" w:color="000000"/>
              <w:right w:val="nil" w:sz="6" w:space="0" w:color="auto"/>
            </w:tcBorders>
          </w:tcPr>
          <w:p>
            <w:pPr>
              <w:pStyle w:val="TableParagraph"/>
              <w:spacing w:line="199" w:lineRule="exact"/>
              <w:ind w:left="510"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4326" w:type="dxa"/>
            <w:tcBorders>
              <w:top w:val="nil" w:sz="6" w:space="0" w:color="auto"/>
              <w:left w:val="nil" w:sz="6" w:space="0" w:color="auto"/>
              <w:bottom w:val="single" w:sz="12" w:space="0" w:color="000000"/>
              <w:right w:val="nil" w:sz="6" w:space="0" w:color="auto"/>
            </w:tcBorders>
          </w:tcPr>
          <w:p>
            <w:pPr>
              <w:pStyle w:val="TableParagraph"/>
              <w:spacing w:line="199" w:lineRule="exact"/>
              <w:ind w:right="103"/>
              <w:jc w:val="center"/>
              <w:rPr>
                <w:rFonts w:ascii="宋体" w:hAnsi="宋体" w:cs="宋体" w:eastAsia="宋体" w:hint="default"/>
                <w:sz w:val="20"/>
                <w:szCs w:val="20"/>
              </w:rPr>
            </w:pPr>
            <w:r>
              <w:rPr>
                <w:rFonts w:ascii="宋体" w:hAnsi="宋体" w:cs="宋体" w:eastAsia="宋体" w:hint="default"/>
                <w:sz w:val="20"/>
                <w:szCs w:val="20"/>
              </w:rPr>
              <w:t>性质或内容</w:t>
            </w:r>
          </w:p>
        </w:tc>
      </w:tr>
      <w:tr>
        <w:trPr>
          <w:trHeight w:val="353" w:hRule="exact"/>
        </w:trPr>
        <w:tc>
          <w:tcPr>
            <w:tcW w:w="3284" w:type="dxa"/>
            <w:tcBorders>
              <w:top w:val="single" w:sz="12" w:space="0" w:color="000000"/>
              <w:left w:val="nil" w:sz="6" w:space="0" w:color="auto"/>
              <w:bottom w:val="single" w:sz="12" w:space="0" w:color="000000"/>
              <w:right w:val="nil" w:sz="6" w:space="0" w:color="auto"/>
            </w:tcBorders>
          </w:tcPr>
          <w:p>
            <w:pPr>
              <w:pStyle w:val="TableParagraph"/>
              <w:spacing w:line="254" w:lineRule="exact"/>
              <w:ind w:left="26" w:right="0"/>
              <w:jc w:val="left"/>
              <w:rPr>
                <w:rFonts w:ascii="宋体" w:hAnsi="宋体" w:cs="宋体" w:eastAsia="宋体" w:hint="default"/>
                <w:sz w:val="20"/>
                <w:szCs w:val="20"/>
              </w:rPr>
            </w:pPr>
            <w:r>
              <w:rPr>
                <w:rFonts w:ascii="宋体" w:hAnsi="宋体" w:cs="宋体" w:eastAsia="宋体" w:hint="default"/>
                <w:sz w:val="20"/>
                <w:szCs w:val="20"/>
              </w:rPr>
              <w:t>大唐电信科技产业控股有限公司</w:t>
            </w:r>
          </w:p>
        </w:tc>
        <w:tc>
          <w:tcPr>
            <w:tcW w:w="1622"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20"/>
                <w:szCs w:val="20"/>
              </w:rPr>
            </w:pPr>
            <w:r>
              <w:rPr>
                <w:rFonts w:ascii="Times New Roman"/>
                <w:w w:val="95"/>
                <w:sz w:val="20"/>
              </w:rPr>
              <w:t>120,000,000.00</w:t>
            </w:r>
            <w:r>
              <w:rPr>
                <w:rFonts w:ascii="Times New Roman"/>
                <w:sz w:val="20"/>
              </w:rPr>
            </w:r>
          </w:p>
        </w:tc>
        <w:tc>
          <w:tcPr>
            <w:tcW w:w="4326" w:type="dxa"/>
            <w:tcBorders>
              <w:top w:val="single" w:sz="12" w:space="0" w:color="000000"/>
              <w:left w:val="nil" w:sz="6" w:space="0" w:color="auto"/>
              <w:bottom w:val="single" w:sz="12" w:space="0" w:color="000000"/>
              <w:right w:val="nil" w:sz="6" w:space="0" w:color="auto"/>
            </w:tcBorders>
          </w:tcPr>
          <w:p>
            <w:pPr>
              <w:pStyle w:val="TableParagraph"/>
              <w:spacing w:line="254" w:lineRule="exact"/>
              <w:ind w:right="101"/>
              <w:jc w:val="center"/>
              <w:rPr>
                <w:rFonts w:ascii="宋体" w:hAnsi="宋体" w:cs="宋体" w:eastAsia="宋体" w:hint="default"/>
                <w:sz w:val="20"/>
                <w:szCs w:val="20"/>
              </w:rPr>
            </w:pPr>
            <w:r>
              <w:rPr>
                <w:rFonts w:ascii="宋体" w:hAnsi="宋体" w:cs="宋体" w:eastAsia="宋体" w:hint="default"/>
                <w:sz w:val="20"/>
                <w:szCs w:val="20"/>
              </w:rPr>
              <w:t>内部资金借款</w:t>
            </w:r>
          </w:p>
        </w:tc>
      </w:tr>
      <w:tr>
        <w:trPr>
          <w:trHeight w:val="350" w:hRule="exact"/>
        </w:trPr>
        <w:tc>
          <w:tcPr>
            <w:tcW w:w="3284" w:type="dxa"/>
            <w:tcBorders>
              <w:top w:val="single" w:sz="12" w:space="0" w:color="000000"/>
              <w:left w:val="nil" w:sz="6" w:space="0" w:color="auto"/>
              <w:bottom w:val="single" w:sz="12" w:space="0" w:color="000000"/>
              <w:right w:val="nil" w:sz="6" w:space="0" w:color="auto"/>
            </w:tcBorders>
          </w:tcPr>
          <w:p>
            <w:pPr>
              <w:pStyle w:val="TableParagraph"/>
              <w:spacing w:line="254" w:lineRule="exact"/>
              <w:ind w:left="26" w:right="0"/>
              <w:jc w:val="left"/>
              <w:rPr>
                <w:rFonts w:ascii="宋体" w:hAnsi="宋体" w:cs="宋体" w:eastAsia="宋体" w:hint="default"/>
                <w:sz w:val="20"/>
                <w:szCs w:val="20"/>
              </w:rPr>
            </w:pPr>
            <w:r>
              <w:rPr>
                <w:rFonts w:ascii="宋体" w:hAnsi="宋体" w:cs="宋体" w:eastAsia="宋体" w:hint="default"/>
                <w:sz w:val="20"/>
                <w:szCs w:val="20"/>
              </w:rPr>
              <w:t>大唐电信科技股份有限公司</w:t>
            </w:r>
          </w:p>
        </w:tc>
        <w:tc>
          <w:tcPr>
            <w:tcW w:w="1622"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right="111"/>
              <w:jc w:val="right"/>
              <w:rPr>
                <w:rFonts w:ascii="Times New Roman" w:hAnsi="Times New Roman" w:cs="Times New Roman" w:eastAsia="Times New Roman" w:hint="default"/>
                <w:sz w:val="20"/>
                <w:szCs w:val="20"/>
              </w:rPr>
            </w:pPr>
            <w:r>
              <w:rPr>
                <w:rFonts w:ascii="Times New Roman"/>
                <w:w w:val="95"/>
                <w:sz w:val="20"/>
              </w:rPr>
              <w:t>22,510,600.00</w:t>
            </w:r>
            <w:r>
              <w:rPr>
                <w:rFonts w:ascii="Times New Roman"/>
                <w:sz w:val="20"/>
              </w:rPr>
            </w:r>
          </w:p>
        </w:tc>
        <w:tc>
          <w:tcPr>
            <w:tcW w:w="4326" w:type="dxa"/>
            <w:tcBorders>
              <w:top w:val="single" w:sz="12" w:space="0" w:color="000000"/>
              <w:left w:val="nil" w:sz="6" w:space="0" w:color="auto"/>
              <w:bottom w:val="single" w:sz="12" w:space="0" w:color="000000"/>
              <w:right w:val="nil" w:sz="6" w:space="0" w:color="auto"/>
            </w:tcBorders>
          </w:tcPr>
          <w:p>
            <w:pPr>
              <w:pStyle w:val="TableParagraph"/>
              <w:spacing w:line="254" w:lineRule="exact"/>
              <w:ind w:right="103"/>
              <w:jc w:val="center"/>
              <w:rPr>
                <w:rFonts w:ascii="宋体" w:hAnsi="宋体" w:cs="宋体" w:eastAsia="宋体" w:hint="default"/>
                <w:sz w:val="20"/>
                <w:szCs w:val="20"/>
              </w:rPr>
            </w:pPr>
            <w:r>
              <w:rPr>
                <w:rFonts w:ascii="宋体" w:hAnsi="宋体" w:cs="宋体" w:eastAsia="宋体" w:hint="default"/>
                <w:sz w:val="20"/>
                <w:szCs w:val="20"/>
              </w:rPr>
              <w:t>收购股权未付款</w:t>
            </w:r>
          </w:p>
        </w:tc>
      </w:tr>
      <w:tr>
        <w:trPr>
          <w:trHeight w:val="353" w:hRule="exact"/>
        </w:trPr>
        <w:tc>
          <w:tcPr>
            <w:tcW w:w="3284"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26" w:right="0"/>
              <w:jc w:val="left"/>
              <w:rPr>
                <w:rFonts w:ascii="宋体" w:hAnsi="宋体" w:cs="宋体" w:eastAsia="宋体" w:hint="default"/>
                <w:sz w:val="20"/>
                <w:szCs w:val="20"/>
              </w:rPr>
            </w:pPr>
            <w:r>
              <w:rPr>
                <w:rFonts w:ascii="宋体" w:hAnsi="宋体" w:cs="宋体" w:eastAsia="宋体" w:hint="default"/>
                <w:sz w:val="20"/>
                <w:szCs w:val="20"/>
              </w:rPr>
              <w:t>贵阳市工商资产经营管理有限公司</w:t>
            </w:r>
          </w:p>
        </w:tc>
        <w:tc>
          <w:tcPr>
            <w:tcW w:w="1622" w:type="dxa"/>
            <w:tcBorders>
              <w:top w:val="single" w:sz="12" w:space="0" w:color="000000"/>
              <w:left w:val="nil" w:sz="6" w:space="0" w:color="auto"/>
              <w:bottom w:val="single" w:sz="12" w:space="0" w:color="000000"/>
              <w:right w:val="nil" w:sz="6" w:space="0" w:color="auto"/>
            </w:tcBorders>
          </w:tcPr>
          <w:p>
            <w:pPr>
              <w:pStyle w:val="TableParagraph"/>
              <w:spacing w:line="240" w:lineRule="auto" w:before="41"/>
              <w:ind w:right="108"/>
              <w:jc w:val="right"/>
              <w:rPr>
                <w:rFonts w:ascii="Times New Roman" w:hAnsi="Times New Roman" w:cs="Times New Roman" w:eastAsia="Times New Roman" w:hint="default"/>
                <w:sz w:val="20"/>
                <w:szCs w:val="20"/>
              </w:rPr>
            </w:pPr>
            <w:r>
              <w:rPr>
                <w:rFonts w:ascii="Times New Roman"/>
                <w:w w:val="95"/>
                <w:sz w:val="20"/>
              </w:rPr>
              <w:t>5,525,700.00</w:t>
            </w:r>
            <w:r>
              <w:rPr>
                <w:rFonts w:ascii="Times New Roman"/>
                <w:sz w:val="20"/>
              </w:rPr>
            </w:r>
          </w:p>
        </w:tc>
        <w:tc>
          <w:tcPr>
            <w:tcW w:w="4326" w:type="dxa"/>
            <w:tcBorders>
              <w:top w:val="single" w:sz="12" w:space="0" w:color="000000"/>
              <w:left w:val="nil" w:sz="6" w:space="0" w:color="auto"/>
              <w:bottom w:val="single" w:sz="12" w:space="0" w:color="000000"/>
              <w:right w:val="nil" w:sz="6" w:space="0" w:color="auto"/>
            </w:tcBorders>
          </w:tcPr>
          <w:p>
            <w:pPr>
              <w:pStyle w:val="TableParagraph"/>
              <w:spacing w:line="256" w:lineRule="exact"/>
              <w:ind w:right="105"/>
              <w:jc w:val="center"/>
              <w:rPr>
                <w:rFonts w:ascii="宋体" w:hAnsi="宋体" w:cs="宋体" w:eastAsia="宋体" w:hint="default"/>
                <w:sz w:val="20"/>
                <w:szCs w:val="20"/>
              </w:rPr>
            </w:pPr>
            <w:r>
              <w:rPr>
                <w:rFonts w:ascii="宋体" w:hAnsi="宋体" w:cs="宋体" w:eastAsia="宋体" w:hint="default"/>
                <w:sz w:val="20"/>
                <w:szCs w:val="20"/>
              </w:rPr>
              <w:t>收贵州达众磨料磨具有限责任公司股权转让款</w:t>
            </w:r>
          </w:p>
        </w:tc>
      </w:tr>
      <w:tr>
        <w:trPr>
          <w:trHeight w:val="353" w:hRule="exact"/>
        </w:trPr>
        <w:tc>
          <w:tcPr>
            <w:tcW w:w="3284" w:type="dxa"/>
            <w:tcBorders>
              <w:top w:val="single" w:sz="12" w:space="0" w:color="000000"/>
              <w:left w:val="nil" w:sz="6" w:space="0" w:color="auto"/>
              <w:bottom w:val="single" w:sz="12" w:space="0" w:color="000000"/>
              <w:right w:val="nil" w:sz="6" w:space="0" w:color="auto"/>
            </w:tcBorders>
          </w:tcPr>
          <w:p>
            <w:pPr>
              <w:pStyle w:val="TableParagraph"/>
              <w:spacing w:line="254" w:lineRule="exact"/>
              <w:ind w:left="26" w:right="0"/>
              <w:jc w:val="left"/>
              <w:rPr>
                <w:rFonts w:ascii="宋体" w:hAnsi="宋体" w:cs="宋体" w:eastAsia="宋体" w:hint="default"/>
                <w:sz w:val="20"/>
                <w:szCs w:val="20"/>
              </w:rPr>
            </w:pPr>
            <w:r>
              <w:rPr>
                <w:rFonts w:ascii="宋体" w:hAnsi="宋体" w:cs="宋体" w:eastAsia="宋体" w:hint="default"/>
                <w:sz w:val="20"/>
                <w:szCs w:val="20"/>
              </w:rPr>
              <w:t>义乌市大唐投资管理有限公司</w:t>
            </w:r>
          </w:p>
        </w:tc>
        <w:tc>
          <w:tcPr>
            <w:tcW w:w="1622"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20"/>
                <w:szCs w:val="20"/>
              </w:rPr>
            </w:pPr>
            <w:r>
              <w:rPr>
                <w:rFonts w:ascii="Times New Roman"/>
                <w:w w:val="95"/>
                <w:sz w:val="20"/>
              </w:rPr>
              <w:t>5,000,000.00</w:t>
            </w:r>
            <w:r>
              <w:rPr>
                <w:rFonts w:ascii="Times New Roman"/>
                <w:sz w:val="20"/>
              </w:rPr>
            </w:r>
          </w:p>
        </w:tc>
        <w:tc>
          <w:tcPr>
            <w:tcW w:w="4326" w:type="dxa"/>
            <w:tcBorders>
              <w:top w:val="single" w:sz="12" w:space="0" w:color="000000"/>
              <w:left w:val="nil" w:sz="6" w:space="0" w:color="auto"/>
              <w:bottom w:val="single" w:sz="12" w:space="0" w:color="000000"/>
              <w:right w:val="nil" w:sz="6" w:space="0" w:color="auto"/>
            </w:tcBorders>
          </w:tcPr>
          <w:p>
            <w:pPr>
              <w:pStyle w:val="TableParagraph"/>
              <w:spacing w:line="254" w:lineRule="exact"/>
              <w:ind w:right="103"/>
              <w:jc w:val="center"/>
              <w:rPr>
                <w:rFonts w:ascii="宋体" w:hAnsi="宋体" w:cs="宋体" w:eastAsia="宋体" w:hint="default"/>
                <w:sz w:val="20"/>
                <w:szCs w:val="20"/>
              </w:rPr>
            </w:pPr>
            <w:r>
              <w:rPr>
                <w:rFonts w:ascii="宋体" w:hAnsi="宋体" w:cs="宋体" w:eastAsia="宋体" w:hint="default"/>
                <w:sz w:val="20"/>
                <w:szCs w:val="20"/>
              </w:rPr>
              <w:t>履约保证金</w:t>
            </w:r>
          </w:p>
        </w:tc>
      </w:tr>
      <w:tr>
        <w:trPr>
          <w:trHeight w:val="350" w:hRule="exact"/>
        </w:trPr>
        <w:tc>
          <w:tcPr>
            <w:tcW w:w="3284" w:type="dxa"/>
            <w:tcBorders>
              <w:top w:val="single" w:sz="12" w:space="0" w:color="000000"/>
              <w:left w:val="nil" w:sz="6" w:space="0" w:color="auto"/>
              <w:bottom w:val="single" w:sz="12" w:space="0" w:color="000000"/>
              <w:right w:val="nil" w:sz="6" w:space="0" w:color="auto"/>
            </w:tcBorders>
          </w:tcPr>
          <w:p>
            <w:pPr>
              <w:pStyle w:val="TableParagraph"/>
              <w:spacing w:line="254" w:lineRule="exact"/>
              <w:ind w:left="26" w:right="0"/>
              <w:jc w:val="left"/>
              <w:rPr>
                <w:rFonts w:ascii="宋体" w:hAnsi="宋体" w:cs="宋体" w:eastAsia="宋体" w:hint="default"/>
                <w:sz w:val="20"/>
                <w:szCs w:val="20"/>
              </w:rPr>
            </w:pPr>
            <w:r>
              <w:rPr>
                <w:rFonts w:ascii="宋体" w:hAnsi="宋体" w:cs="宋体" w:eastAsia="宋体" w:hint="default"/>
                <w:sz w:val="20"/>
                <w:szCs w:val="20"/>
              </w:rPr>
              <w:t>电信科学技术半导体研究所</w:t>
            </w:r>
          </w:p>
        </w:tc>
        <w:tc>
          <w:tcPr>
            <w:tcW w:w="1622"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20"/>
                <w:szCs w:val="20"/>
              </w:rPr>
            </w:pPr>
            <w:r>
              <w:rPr>
                <w:rFonts w:ascii="Times New Roman"/>
                <w:w w:val="95"/>
                <w:sz w:val="20"/>
              </w:rPr>
              <w:t>3,816,857.83</w:t>
            </w:r>
            <w:r>
              <w:rPr>
                <w:rFonts w:ascii="Times New Roman"/>
                <w:sz w:val="20"/>
              </w:rPr>
            </w:r>
          </w:p>
        </w:tc>
        <w:tc>
          <w:tcPr>
            <w:tcW w:w="4326" w:type="dxa"/>
            <w:tcBorders>
              <w:top w:val="single" w:sz="12" w:space="0" w:color="000000"/>
              <w:left w:val="nil" w:sz="6" w:space="0" w:color="auto"/>
              <w:bottom w:val="single" w:sz="12" w:space="0" w:color="000000"/>
              <w:right w:val="nil" w:sz="6" w:space="0" w:color="auto"/>
            </w:tcBorders>
          </w:tcPr>
          <w:p>
            <w:pPr>
              <w:pStyle w:val="TableParagraph"/>
              <w:spacing w:line="254" w:lineRule="exact"/>
              <w:ind w:right="103"/>
              <w:jc w:val="center"/>
              <w:rPr>
                <w:rFonts w:ascii="宋体" w:hAnsi="宋体" w:cs="宋体" w:eastAsia="宋体" w:hint="default"/>
                <w:sz w:val="20"/>
                <w:szCs w:val="20"/>
              </w:rPr>
            </w:pPr>
            <w:r>
              <w:rPr>
                <w:rFonts w:ascii="宋体" w:hAnsi="宋体" w:cs="宋体" w:eastAsia="宋体" w:hint="default"/>
                <w:sz w:val="20"/>
                <w:szCs w:val="20"/>
              </w:rPr>
              <w:t>房租</w:t>
            </w:r>
          </w:p>
        </w:tc>
      </w:tr>
      <w:tr>
        <w:trPr>
          <w:trHeight w:val="353" w:hRule="exact"/>
        </w:trPr>
        <w:tc>
          <w:tcPr>
            <w:tcW w:w="3284"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114"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622" w:type="dxa"/>
            <w:tcBorders>
              <w:top w:val="single" w:sz="12" w:space="0" w:color="000000"/>
              <w:left w:val="nil" w:sz="6" w:space="0" w:color="auto"/>
              <w:bottom w:val="single" w:sz="12" w:space="0" w:color="000000"/>
              <w:right w:val="nil" w:sz="6" w:space="0" w:color="auto"/>
            </w:tcBorders>
          </w:tcPr>
          <w:p>
            <w:pPr>
              <w:pStyle w:val="TableParagraph"/>
              <w:spacing w:line="240" w:lineRule="auto" w:before="41"/>
              <w:ind w:right="108"/>
              <w:jc w:val="right"/>
              <w:rPr>
                <w:rFonts w:ascii="Times New Roman" w:hAnsi="Times New Roman" w:cs="Times New Roman" w:eastAsia="Times New Roman" w:hint="default"/>
                <w:sz w:val="20"/>
                <w:szCs w:val="20"/>
              </w:rPr>
            </w:pPr>
            <w:r>
              <w:rPr>
                <w:rFonts w:ascii="Times New Roman"/>
                <w:w w:val="95"/>
                <w:sz w:val="20"/>
              </w:rPr>
              <w:t>156,853,157.83</w:t>
            </w:r>
            <w:r>
              <w:rPr>
                <w:rFonts w:ascii="Times New Roman"/>
                <w:sz w:val="20"/>
              </w:rPr>
            </w:r>
          </w:p>
        </w:tc>
        <w:tc>
          <w:tcPr>
            <w:tcW w:w="4326" w:type="dxa"/>
            <w:tcBorders>
              <w:top w:val="single" w:sz="12" w:space="0" w:color="000000"/>
              <w:left w:val="nil" w:sz="6" w:space="0" w:color="auto"/>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861"/>
        <w:gridCol w:w="1860"/>
        <w:gridCol w:w="1860"/>
        <w:gridCol w:w="1983"/>
      </w:tblGrid>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预计负债说明</w:t>
      </w:r>
    </w:p>
    <w:p>
      <w:pPr>
        <w:spacing w:line="240" w:lineRule="auto" w:before="0"/>
        <w:rPr>
          <w:rFonts w:ascii="宋体" w:hAnsi="宋体" w:cs="宋体" w:eastAsia="宋体" w:hint="default"/>
          <w:sz w:val="18"/>
          <w:szCs w:val="18"/>
        </w:rPr>
      </w:pPr>
    </w:p>
    <w:p>
      <w:pPr>
        <w:spacing w:before="12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）一年内到期的非流动负债情况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78"/>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）一年内到期的长期借款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25"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78"/>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1340" w:top="1060" w:bottom="1540" w:left="980" w:right="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一年内到期的长期借款中属于逾期借款获得展期的金额元。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4833" w:space="399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1"/>
        <w:gridCol w:w="1063"/>
        <w:gridCol w:w="1063"/>
        <w:gridCol w:w="1066"/>
        <w:gridCol w:w="1061"/>
      </w:tblGrid>
      <w:tr>
        <w:trPr>
          <w:trHeight w:val="401"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一年内到期的长期借款中的逾期借款</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8"/>
        <w:gridCol w:w="1366"/>
        <w:gridCol w:w="1369"/>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spacing w:line="360" w:lineRule="auto" w:before="49"/>
        <w:ind w:left="152" w:right="8054" w:firstLine="0"/>
        <w:jc w:val="left"/>
        <w:rPr>
          <w:rFonts w:ascii="宋体" w:hAnsi="宋体" w:cs="宋体" w:eastAsia="宋体" w:hint="default"/>
          <w:sz w:val="18"/>
          <w:szCs w:val="18"/>
        </w:rPr>
      </w:pPr>
      <w:r>
        <w:rPr>
          <w:rFonts w:ascii="宋体" w:hAnsi="宋体" w:cs="宋体" w:eastAsia="宋体" w:hint="default"/>
          <w:sz w:val="18"/>
          <w:szCs w:val="18"/>
        </w:rPr>
        <w:t>资产负债表日后已偿还的金额元。 一年内到期的长期借款说明</w:t>
      </w:r>
    </w:p>
    <w:p>
      <w:pPr>
        <w:spacing w:after="0" w:line="360" w:lineRule="auto"/>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）一年内到期的应付债券</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一年内到期的应付债券说明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）一年内到期的长期应付款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8"/>
        <w:gridCol w:w="1369"/>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一年内到期的长期应付款的说明</w:t>
      </w:r>
    </w:p>
    <w:p>
      <w:pPr>
        <w:spacing w:line="240" w:lineRule="auto" w:before="0"/>
        <w:rPr>
          <w:rFonts w:ascii="宋体" w:hAnsi="宋体" w:cs="宋体" w:eastAsia="宋体" w:hint="default"/>
          <w:sz w:val="18"/>
          <w:szCs w:val="18"/>
        </w:rPr>
      </w:pPr>
    </w:p>
    <w:p>
      <w:pPr>
        <w:spacing w:before="12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短期融资债券</w:t>
            </w:r>
          </w:p>
        </w:tc>
        <w:tc>
          <w:tcPr>
            <w:tcW w:w="2921"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155,300,819.68</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155,300,819.68</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其他流动负债说明</w:t>
      </w:r>
    </w:p>
    <w:p>
      <w:pPr>
        <w:pStyle w:val="BodyText"/>
        <w:spacing w:line="240" w:lineRule="auto" w:before="66"/>
        <w:ind w:left="633" w:right="1125"/>
        <w:jc w:val="left"/>
      </w:pPr>
      <w:r>
        <w:rPr/>
        <w:t>注：上年度发行的短期融资债券本年度到期，已一次还本付息。</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4"/>
          <w:szCs w:val="24"/>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）金额前五名的长期借款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6"/>
        <w:gridCol w:w="1063"/>
        <w:gridCol w:w="1063"/>
        <w:gridCol w:w="1066"/>
        <w:gridCol w:w="1056"/>
      </w:tblGrid>
      <w:tr>
        <w:trPr>
          <w:trHeight w:val="401"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长期借款说明，因逾期借款获得展期形成的长期借款，应说明获得展期的条件、本金、利息、预计还款安排等</w:t>
      </w:r>
    </w:p>
    <w:p>
      <w:pPr>
        <w:spacing w:after="0"/>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应付债券说明，包括可转换公司债券的转股条件、转股时间</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）金额前五名长期应付款情况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）长期应付款中的应付融资租赁款明细</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5"/>
        <w:gridCol w:w="1728"/>
        <w:gridCol w:w="1726"/>
        <w:gridCol w:w="1594"/>
        <w:gridCol w:w="1596"/>
      </w:tblGrid>
      <w:tr>
        <w:trPr>
          <w:trHeight w:val="403" w:hRule="exact"/>
        </w:trPr>
        <w:tc>
          <w:tcPr>
            <w:tcW w:w="2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925"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人民币</w:t>
            </w:r>
          </w:p>
        </w:tc>
      </w:tr>
    </w:tbl>
    <w:p>
      <w:pPr>
        <w:spacing w:line="360" w:lineRule="auto" w:before="49"/>
        <w:ind w:left="152" w:right="6794" w:firstLine="0"/>
        <w:jc w:val="left"/>
        <w:rPr>
          <w:rFonts w:ascii="宋体" w:hAnsi="宋体" w:cs="宋体" w:eastAsia="宋体" w:hint="default"/>
          <w:sz w:val="18"/>
          <w:szCs w:val="18"/>
        </w:rPr>
      </w:pPr>
      <w:r>
        <w:rPr>
          <w:rFonts w:ascii="宋体" w:hAnsi="宋体" w:cs="宋体" w:eastAsia="宋体" w:hint="default"/>
          <w:sz w:val="18"/>
          <w:szCs w:val="18"/>
        </w:rPr>
        <w:t>由独立第三方为公司融资租赁提供担保的金额元。 长期应付款的说明</w:t>
      </w:r>
    </w:p>
    <w:p>
      <w:pPr>
        <w:spacing w:line="240" w:lineRule="auto" w:before="2"/>
        <w:rPr>
          <w:rFonts w:ascii="宋体" w:hAnsi="宋体" w:cs="宋体" w:eastAsia="宋体" w:hint="default"/>
          <w:sz w:val="20"/>
          <w:szCs w:val="20"/>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、专项应付款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1328"/>
        <w:gridCol w:w="1330"/>
        <w:gridCol w:w="1198"/>
        <w:gridCol w:w="1327"/>
        <w:gridCol w:w="1995"/>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备注说明</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高可靠高性效入侵防御系统 研发与产业化项目</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
              <w:jc w:val="center"/>
              <w:rPr>
                <w:rFonts w:ascii="宋体" w:hAnsi="宋体" w:cs="宋体" w:eastAsia="宋体" w:hint="default"/>
                <w:sz w:val="18"/>
                <w:szCs w:val="18"/>
              </w:rPr>
            </w:pPr>
            <w:r>
              <w:rPr>
                <w:rFonts w:ascii="宋体" w:hAnsi="宋体" w:cs="宋体" w:eastAsia="宋体" w:hint="default"/>
                <w:sz w:val="18"/>
                <w:szCs w:val="18"/>
              </w:rPr>
              <w:t>物资领域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技术应用项目</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both"/>
              <w:rPr>
                <w:rFonts w:ascii="宋体" w:hAnsi="宋体" w:cs="宋体" w:eastAsia="宋体" w:hint="default"/>
                <w:sz w:val="18"/>
                <w:szCs w:val="18"/>
              </w:rPr>
            </w:pPr>
            <w:r>
              <w:rPr>
                <w:rFonts w:ascii="宋体" w:hAnsi="宋体" w:cs="宋体" w:eastAsia="宋体" w:hint="default"/>
                <w:sz w:val="18"/>
                <w:szCs w:val="18"/>
              </w:rPr>
              <w:t>基于云计算模式的智能手机 恶意软件实时检测预警追踪 系统</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基于物联网云构架的企业综 合管理系统的研究及产业化</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医药领域物流、溯源及电子商 务管理系统的研制与应用示 范</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TD-SCDMA\RFID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技术</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的冷链物流监控系统研发</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3"/>
              <w:jc w:val="center"/>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3G/GPS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的移动车联网终</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850,000.00</w:t>
            </w:r>
          </w:p>
        </w:tc>
        <w:tc>
          <w:tcPr>
            <w:tcW w:w="19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1328"/>
        <w:gridCol w:w="1330"/>
        <w:gridCol w:w="1198"/>
        <w:gridCol w:w="1327"/>
        <w:gridCol w:w="1995"/>
      </w:tblGrid>
      <w:tr>
        <w:trPr>
          <w:trHeight w:val="36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端产业化项目</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新型综合通信业务的研究</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印度铁路系统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语音对讲系 统指定开发项目</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虚拟运营平台</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漫画在线创作系统</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基于移动互联网图文混排的 平台研发与产业化项目</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基于移动互联网的动漫内容 采集发布平台示范项目</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both"/>
              <w:rPr>
                <w:rFonts w:ascii="宋体" w:hAnsi="宋体" w:cs="宋体" w:eastAsia="宋体" w:hint="default"/>
                <w:sz w:val="18"/>
                <w:szCs w:val="18"/>
              </w:rPr>
            </w:pPr>
            <w:r>
              <w:rPr>
                <w:rFonts w:ascii="宋体" w:hAnsi="宋体" w:cs="宋体" w:eastAsia="宋体" w:hint="default"/>
                <w:sz w:val="18"/>
                <w:szCs w:val="18"/>
              </w:rPr>
              <w:t>面向经济作物的智能农业信 息系统与绿色农产品溯源平 台的研制及应用示范</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23,900,000.00</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专项应付款说明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12,848,333.50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14,004,166.72</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12,848,333.50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14,004,166.72</w:t>
            </w:r>
          </w:p>
        </w:tc>
      </w:tr>
    </w:tbl>
    <w:p>
      <w:pPr>
        <w:spacing w:line="357" w:lineRule="auto" w:before="49"/>
        <w:ind w:left="152" w:right="3014" w:firstLine="0"/>
        <w:jc w:val="left"/>
        <w:rPr>
          <w:rFonts w:ascii="宋体" w:hAnsi="宋体" w:cs="宋体" w:eastAsia="宋体" w:hint="default"/>
          <w:sz w:val="18"/>
          <w:szCs w:val="18"/>
        </w:rPr>
      </w:pPr>
      <w:r>
        <w:rPr>
          <w:rFonts w:ascii="宋体" w:hAnsi="宋体" w:cs="宋体" w:eastAsia="宋体" w:hint="default"/>
          <w:sz w:val="18"/>
          <w:szCs w:val="18"/>
        </w:rPr>
        <w:t>其他非流动负债说明，包括本报告期取得的各类与资产相关、与收益相关的政府补助及其期末金额 其中，递延收益的明细如下：</w:t>
      </w:r>
    </w:p>
    <w:p>
      <w:pPr>
        <w:spacing w:line="240" w:lineRule="auto" w:before="5"/>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5139"/>
        <w:gridCol w:w="2340"/>
        <w:gridCol w:w="1754"/>
      </w:tblGrid>
      <w:tr>
        <w:trPr>
          <w:trHeight w:val="282" w:hRule="exact"/>
        </w:trPr>
        <w:tc>
          <w:tcPr>
            <w:tcW w:w="5139" w:type="dxa"/>
            <w:tcBorders>
              <w:top w:val="nil" w:sz="6" w:space="0" w:color="auto"/>
              <w:left w:val="nil" w:sz="6" w:space="0" w:color="auto"/>
              <w:bottom w:val="single" w:sz="12" w:space="0" w:color="000000"/>
              <w:right w:val="nil" w:sz="6" w:space="0" w:color="auto"/>
            </w:tcBorders>
          </w:tcPr>
          <w:p>
            <w:pPr>
              <w:pStyle w:val="TableParagraph"/>
              <w:spacing w:line="199" w:lineRule="exact"/>
              <w:ind w:right="24"/>
              <w:jc w:val="center"/>
              <w:rPr>
                <w:rFonts w:ascii="宋体" w:hAnsi="宋体" w:cs="宋体" w:eastAsia="宋体" w:hint="default"/>
                <w:sz w:val="20"/>
                <w:szCs w:val="20"/>
              </w:rPr>
            </w:pPr>
            <w:r>
              <w:rPr>
                <w:rFonts w:ascii="宋体" w:hAnsi="宋体" w:cs="宋体" w:eastAsia="宋体" w:hint="default"/>
                <w:sz w:val="20"/>
                <w:szCs w:val="20"/>
              </w:rPr>
              <w:t>项目</w:t>
            </w:r>
          </w:p>
        </w:tc>
        <w:tc>
          <w:tcPr>
            <w:tcW w:w="2340" w:type="dxa"/>
            <w:tcBorders>
              <w:top w:val="nil" w:sz="6" w:space="0" w:color="auto"/>
              <w:left w:val="nil" w:sz="6" w:space="0" w:color="auto"/>
              <w:bottom w:val="single" w:sz="12" w:space="0" w:color="000000"/>
              <w:right w:val="nil" w:sz="6" w:space="0" w:color="auto"/>
            </w:tcBorders>
          </w:tcPr>
          <w:p>
            <w:pPr>
              <w:pStyle w:val="TableParagraph"/>
              <w:spacing w:line="199" w:lineRule="exact"/>
              <w:ind w:left="660"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1754" w:type="dxa"/>
            <w:tcBorders>
              <w:top w:val="nil" w:sz="6" w:space="0" w:color="auto"/>
              <w:left w:val="nil" w:sz="6" w:space="0" w:color="auto"/>
              <w:bottom w:val="single" w:sz="12" w:space="0" w:color="000000"/>
              <w:right w:val="nil" w:sz="6" w:space="0" w:color="auto"/>
            </w:tcBorders>
          </w:tcPr>
          <w:p>
            <w:pPr>
              <w:pStyle w:val="TableParagraph"/>
              <w:spacing w:line="199" w:lineRule="exact"/>
              <w:ind w:left="388" w:right="0"/>
              <w:jc w:val="left"/>
              <w:rPr>
                <w:rFonts w:ascii="宋体" w:hAnsi="宋体" w:cs="宋体" w:eastAsia="宋体" w:hint="default"/>
                <w:sz w:val="20"/>
                <w:szCs w:val="20"/>
              </w:rPr>
            </w:pPr>
            <w:r>
              <w:rPr>
                <w:rFonts w:ascii="宋体" w:hAnsi="宋体" w:cs="宋体" w:eastAsia="宋体" w:hint="default"/>
                <w:sz w:val="20"/>
                <w:szCs w:val="20"/>
              </w:rPr>
              <w:t>年初数</w:t>
            </w:r>
          </w:p>
        </w:tc>
      </w:tr>
      <w:tr>
        <w:trPr>
          <w:trHeight w:val="353" w:hRule="exact"/>
        </w:trPr>
        <w:tc>
          <w:tcPr>
            <w:tcW w:w="513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26" w:right="0"/>
              <w:jc w:val="left"/>
              <w:rPr>
                <w:rFonts w:ascii="宋体" w:hAnsi="宋体" w:cs="宋体" w:eastAsia="宋体" w:hint="default"/>
                <w:sz w:val="20"/>
                <w:szCs w:val="20"/>
              </w:rPr>
            </w:pPr>
            <w:r>
              <w:rPr>
                <w:rFonts w:ascii="宋体" w:hAnsi="宋体" w:cs="宋体" w:eastAsia="宋体" w:hint="default"/>
                <w:sz w:val="20"/>
                <w:szCs w:val="20"/>
              </w:rPr>
              <w:t>与收益相关的政府补助</w:t>
            </w:r>
          </w:p>
        </w:tc>
        <w:tc>
          <w:tcPr>
            <w:tcW w:w="234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1"/>
              <w:ind w:right="388"/>
              <w:jc w:val="right"/>
              <w:rPr>
                <w:rFonts w:ascii="Times New Roman" w:hAnsi="Times New Roman" w:cs="Times New Roman" w:eastAsia="Times New Roman" w:hint="default"/>
                <w:sz w:val="20"/>
                <w:szCs w:val="20"/>
              </w:rPr>
            </w:pPr>
            <w:r>
              <w:rPr>
                <w:rFonts w:ascii="Times New Roman"/>
                <w:w w:val="95"/>
                <w:sz w:val="20"/>
              </w:rPr>
              <w:t>12,848,333.50</w:t>
            </w:r>
            <w:r>
              <w:rPr>
                <w:rFonts w:ascii="Times New Roman"/>
                <w:sz w:val="20"/>
              </w:rPr>
            </w:r>
          </w:p>
        </w:tc>
        <w:tc>
          <w:tcPr>
            <w:tcW w:w="17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41"/>
              <w:ind w:right="10"/>
              <w:jc w:val="right"/>
              <w:rPr>
                <w:rFonts w:ascii="Times New Roman" w:hAnsi="Times New Roman" w:cs="Times New Roman" w:eastAsia="Times New Roman" w:hint="default"/>
                <w:sz w:val="20"/>
                <w:szCs w:val="20"/>
              </w:rPr>
            </w:pPr>
            <w:r>
              <w:rPr>
                <w:rFonts w:ascii="Times New Roman"/>
                <w:w w:val="95"/>
                <w:sz w:val="20"/>
              </w:rPr>
              <w:t>14,004,166.72</w:t>
            </w:r>
            <w:r>
              <w:rPr>
                <w:rFonts w:ascii="Times New Roman"/>
                <w:sz w:val="20"/>
              </w:rPr>
            </w:r>
          </w:p>
        </w:tc>
      </w:tr>
      <w:tr>
        <w:trPr>
          <w:trHeight w:val="353" w:hRule="exact"/>
        </w:trPr>
        <w:tc>
          <w:tcPr>
            <w:tcW w:w="5139" w:type="dxa"/>
            <w:tcBorders>
              <w:top w:val="single" w:sz="12" w:space="0" w:color="000000"/>
              <w:left w:val="nil" w:sz="6" w:space="0" w:color="auto"/>
              <w:bottom w:val="single" w:sz="12" w:space="0" w:color="000000"/>
              <w:right w:val="nil" w:sz="6" w:space="0" w:color="auto"/>
            </w:tcBorders>
          </w:tcPr>
          <w:p>
            <w:pPr>
              <w:pStyle w:val="TableParagraph"/>
              <w:spacing w:line="269" w:lineRule="exact"/>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CNGI</w:t>
            </w:r>
            <w:r>
              <w:rPr>
                <w:rFonts w:ascii="宋体" w:hAnsi="宋体" w:cs="宋体" w:eastAsia="宋体" w:hint="default"/>
                <w:sz w:val="20"/>
                <w:szCs w:val="20"/>
              </w:rPr>
              <w:t>项目</w:t>
            </w:r>
          </w:p>
        </w:tc>
        <w:tc>
          <w:tcPr>
            <w:tcW w:w="2340"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right="386"/>
              <w:jc w:val="right"/>
              <w:rPr>
                <w:rFonts w:ascii="Times New Roman" w:hAnsi="Times New Roman" w:cs="Times New Roman" w:eastAsia="Times New Roman" w:hint="default"/>
                <w:sz w:val="20"/>
                <w:szCs w:val="20"/>
              </w:rPr>
            </w:pPr>
            <w:r>
              <w:rPr>
                <w:rFonts w:ascii="Times New Roman"/>
                <w:w w:val="95"/>
                <w:sz w:val="20"/>
              </w:rPr>
              <w:t>1,958,333.42</w:t>
            </w:r>
            <w:r>
              <w:rPr>
                <w:rFonts w:ascii="Times New Roman"/>
                <w:sz w:val="20"/>
              </w:rPr>
            </w:r>
          </w:p>
        </w:tc>
        <w:tc>
          <w:tcPr>
            <w:tcW w:w="17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20"/>
                <w:szCs w:val="20"/>
              </w:rPr>
            </w:pPr>
            <w:r>
              <w:rPr>
                <w:rFonts w:ascii="Times New Roman"/>
                <w:w w:val="95"/>
                <w:sz w:val="20"/>
              </w:rPr>
              <w:t>2,208,333.38</w:t>
            </w:r>
            <w:r>
              <w:rPr>
                <w:rFonts w:ascii="Times New Roman"/>
                <w:sz w:val="20"/>
              </w:rPr>
            </w:r>
          </w:p>
        </w:tc>
      </w:tr>
      <w:tr>
        <w:trPr>
          <w:trHeight w:val="350" w:hRule="exact"/>
        </w:trPr>
        <w:tc>
          <w:tcPr>
            <w:tcW w:w="5139" w:type="dxa"/>
            <w:tcBorders>
              <w:top w:val="single" w:sz="12" w:space="0" w:color="000000"/>
              <w:left w:val="nil" w:sz="6" w:space="0" w:color="auto"/>
              <w:bottom w:val="single" w:sz="12" w:space="0" w:color="000000"/>
              <w:right w:val="nil" w:sz="6" w:space="0" w:color="auto"/>
            </w:tcBorders>
          </w:tcPr>
          <w:p>
            <w:pPr>
              <w:pStyle w:val="TableParagraph"/>
              <w:spacing w:line="254" w:lineRule="exact"/>
              <w:ind w:left="26" w:right="0"/>
              <w:jc w:val="left"/>
              <w:rPr>
                <w:rFonts w:ascii="宋体" w:hAnsi="宋体" w:cs="宋体" w:eastAsia="宋体" w:hint="default"/>
                <w:sz w:val="20"/>
                <w:szCs w:val="20"/>
              </w:rPr>
            </w:pPr>
            <w:r>
              <w:rPr>
                <w:rFonts w:ascii="宋体" w:hAnsi="宋体" w:cs="宋体" w:eastAsia="宋体" w:hint="default"/>
                <w:sz w:val="20"/>
                <w:szCs w:val="20"/>
              </w:rPr>
              <w:t>煤矿安全生产信息化标准体系研究制定</w:t>
            </w:r>
          </w:p>
        </w:tc>
        <w:tc>
          <w:tcPr>
            <w:tcW w:w="2340"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right="386"/>
              <w:jc w:val="right"/>
              <w:rPr>
                <w:rFonts w:ascii="Times New Roman" w:hAnsi="Times New Roman" w:cs="Times New Roman" w:eastAsia="Times New Roman" w:hint="default"/>
                <w:sz w:val="20"/>
                <w:szCs w:val="20"/>
              </w:rPr>
            </w:pPr>
            <w:r>
              <w:rPr>
                <w:rFonts w:ascii="Times New Roman"/>
                <w:w w:val="95"/>
                <w:sz w:val="20"/>
              </w:rPr>
              <w:t>2,229,166.71</w:t>
            </w:r>
            <w:r>
              <w:rPr>
                <w:rFonts w:ascii="Times New Roman"/>
                <w:sz w:val="20"/>
              </w:rPr>
            </w:r>
          </w:p>
        </w:tc>
        <w:tc>
          <w:tcPr>
            <w:tcW w:w="17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20"/>
                <w:szCs w:val="20"/>
              </w:rPr>
            </w:pPr>
            <w:r>
              <w:rPr>
                <w:rFonts w:ascii="Times New Roman"/>
                <w:w w:val="95"/>
                <w:sz w:val="20"/>
              </w:rPr>
              <w:t>2,479,166.67</w:t>
            </w:r>
            <w:r>
              <w:rPr>
                <w:rFonts w:ascii="Times New Roman"/>
                <w:sz w:val="20"/>
              </w:rPr>
            </w:r>
          </w:p>
        </w:tc>
      </w:tr>
      <w:tr>
        <w:trPr>
          <w:trHeight w:val="353" w:hRule="exact"/>
        </w:trPr>
        <w:tc>
          <w:tcPr>
            <w:tcW w:w="5139" w:type="dxa"/>
            <w:tcBorders>
              <w:top w:val="single" w:sz="12" w:space="0" w:color="000000"/>
              <w:left w:val="nil" w:sz="6" w:space="0" w:color="auto"/>
              <w:bottom w:val="single" w:sz="12" w:space="0" w:color="000000"/>
              <w:right w:val="nil" w:sz="6" w:space="0" w:color="auto"/>
            </w:tcBorders>
          </w:tcPr>
          <w:p>
            <w:pPr>
              <w:pStyle w:val="TableParagraph"/>
              <w:spacing w:line="271" w:lineRule="exact"/>
              <w:ind w:left="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RFID</w:t>
            </w:r>
            <w:r>
              <w:rPr>
                <w:rFonts w:ascii="宋体" w:hAnsi="宋体" w:cs="宋体" w:eastAsia="宋体" w:hint="default"/>
                <w:sz w:val="20"/>
                <w:szCs w:val="20"/>
              </w:rPr>
              <w:t>中间件平台</w:t>
            </w:r>
            <w:r>
              <w:rPr>
                <w:rFonts w:ascii="Times New Roman" w:hAnsi="Times New Roman" w:cs="Times New Roman" w:eastAsia="Times New Roman" w:hint="default"/>
                <w:sz w:val="20"/>
                <w:szCs w:val="20"/>
              </w:rPr>
              <w:t>-SmartMW</w:t>
            </w:r>
            <w:r>
              <w:rPr>
                <w:rFonts w:ascii="宋体" w:hAnsi="宋体" w:cs="宋体" w:eastAsia="宋体" w:hint="default"/>
                <w:sz w:val="20"/>
                <w:szCs w:val="20"/>
              </w:rPr>
              <w:t>平台项目补助资金</w:t>
            </w:r>
          </w:p>
        </w:tc>
        <w:tc>
          <w:tcPr>
            <w:tcW w:w="234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1"/>
              <w:ind w:right="386"/>
              <w:jc w:val="right"/>
              <w:rPr>
                <w:rFonts w:ascii="Times New Roman" w:hAnsi="Times New Roman" w:cs="Times New Roman" w:eastAsia="Times New Roman" w:hint="default"/>
                <w:sz w:val="20"/>
                <w:szCs w:val="20"/>
              </w:rPr>
            </w:pPr>
            <w:r>
              <w:rPr>
                <w:rFonts w:ascii="Times New Roman"/>
                <w:w w:val="95"/>
                <w:sz w:val="20"/>
              </w:rPr>
              <w:t>2,350,000.00</w:t>
            </w:r>
            <w:r>
              <w:rPr>
                <w:rFonts w:ascii="Times New Roman"/>
                <w:sz w:val="20"/>
              </w:rPr>
            </w:r>
          </w:p>
        </w:tc>
        <w:tc>
          <w:tcPr>
            <w:tcW w:w="17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41"/>
              <w:ind w:right="8"/>
              <w:jc w:val="right"/>
              <w:rPr>
                <w:rFonts w:ascii="Times New Roman" w:hAnsi="Times New Roman" w:cs="Times New Roman" w:eastAsia="Times New Roman" w:hint="default"/>
                <w:sz w:val="20"/>
                <w:szCs w:val="20"/>
              </w:rPr>
            </w:pPr>
            <w:r>
              <w:rPr>
                <w:rFonts w:ascii="Times New Roman"/>
                <w:w w:val="95"/>
                <w:sz w:val="20"/>
              </w:rPr>
              <w:t>2,650,000.00</w:t>
            </w:r>
            <w:r>
              <w:rPr>
                <w:rFonts w:ascii="Times New Roman"/>
                <w:sz w:val="20"/>
              </w:rPr>
            </w:r>
          </w:p>
        </w:tc>
      </w:tr>
      <w:tr>
        <w:trPr>
          <w:trHeight w:val="353" w:hRule="exact"/>
        </w:trPr>
        <w:tc>
          <w:tcPr>
            <w:tcW w:w="5139" w:type="dxa"/>
            <w:tcBorders>
              <w:top w:val="single" w:sz="12" w:space="0" w:color="000000"/>
              <w:left w:val="nil" w:sz="6" w:space="0" w:color="auto"/>
              <w:bottom w:val="single" w:sz="12" w:space="0" w:color="000000"/>
              <w:right w:val="nil" w:sz="6" w:space="0" w:color="auto"/>
            </w:tcBorders>
          </w:tcPr>
          <w:p>
            <w:pPr>
              <w:pStyle w:val="TableParagraph"/>
              <w:spacing w:line="269" w:lineRule="exact"/>
              <w:ind w:left="26" w:right="0"/>
              <w:jc w:val="left"/>
              <w:rPr>
                <w:rFonts w:ascii="宋体" w:hAnsi="宋体" w:cs="宋体" w:eastAsia="宋体" w:hint="default"/>
                <w:sz w:val="20"/>
                <w:szCs w:val="20"/>
              </w:rPr>
            </w:pPr>
            <w:r>
              <w:rPr>
                <w:rFonts w:ascii="宋体" w:hAnsi="宋体" w:cs="宋体" w:eastAsia="宋体" w:hint="default"/>
                <w:sz w:val="20"/>
                <w:szCs w:val="20"/>
              </w:rPr>
              <w:t>芯片级网络处理器</w:t>
            </w:r>
            <w:r>
              <w:rPr>
                <w:rFonts w:ascii="Times New Roman" w:hAnsi="Times New Roman" w:cs="Times New Roman" w:eastAsia="Times New Roman" w:hint="default"/>
                <w:sz w:val="20"/>
                <w:szCs w:val="20"/>
              </w:rPr>
              <w:t>NP</w:t>
            </w:r>
            <w:r>
              <w:rPr>
                <w:rFonts w:ascii="宋体" w:hAnsi="宋体" w:cs="宋体" w:eastAsia="宋体" w:hint="default"/>
                <w:sz w:val="20"/>
                <w:szCs w:val="20"/>
              </w:rPr>
              <w:t>安全引擎系统项目</w:t>
            </w:r>
          </w:p>
        </w:tc>
        <w:tc>
          <w:tcPr>
            <w:tcW w:w="2340"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right="386"/>
              <w:jc w:val="right"/>
              <w:rPr>
                <w:rFonts w:ascii="Times New Roman" w:hAnsi="Times New Roman" w:cs="Times New Roman" w:eastAsia="Times New Roman" w:hint="default"/>
                <w:sz w:val="20"/>
                <w:szCs w:val="20"/>
              </w:rPr>
            </w:pPr>
            <w:r>
              <w:rPr>
                <w:rFonts w:ascii="Times New Roman"/>
                <w:w w:val="95"/>
                <w:sz w:val="20"/>
              </w:rPr>
              <w:t>2,400,000.00</w:t>
            </w:r>
            <w:r>
              <w:rPr>
                <w:rFonts w:ascii="Times New Roman"/>
                <w:sz w:val="20"/>
              </w:rPr>
            </w:r>
          </w:p>
        </w:tc>
        <w:tc>
          <w:tcPr>
            <w:tcW w:w="17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20"/>
                <w:szCs w:val="20"/>
              </w:rPr>
            </w:pPr>
            <w:r>
              <w:rPr>
                <w:rFonts w:ascii="Times New Roman"/>
                <w:w w:val="95"/>
                <w:sz w:val="20"/>
              </w:rPr>
              <w:t>2,700,000.00</w:t>
            </w:r>
            <w:r>
              <w:rPr>
                <w:rFonts w:ascii="Times New Roman"/>
                <w:sz w:val="20"/>
              </w:rPr>
            </w:r>
          </w:p>
        </w:tc>
      </w:tr>
      <w:tr>
        <w:trPr>
          <w:trHeight w:val="351" w:hRule="exact"/>
        </w:trPr>
        <w:tc>
          <w:tcPr>
            <w:tcW w:w="5139" w:type="dxa"/>
            <w:tcBorders>
              <w:top w:val="single" w:sz="12" w:space="0" w:color="000000"/>
              <w:left w:val="nil" w:sz="6" w:space="0" w:color="auto"/>
              <w:bottom w:val="single" w:sz="12" w:space="0" w:color="000000"/>
              <w:right w:val="nil" w:sz="6" w:space="0" w:color="auto"/>
            </w:tcBorders>
          </w:tcPr>
          <w:p>
            <w:pPr>
              <w:pStyle w:val="TableParagraph"/>
              <w:spacing w:line="269" w:lineRule="exact"/>
              <w:ind w:left="26" w:right="0"/>
              <w:jc w:val="left"/>
              <w:rPr>
                <w:rFonts w:ascii="宋体" w:hAnsi="宋体" w:cs="宋体" w:eastAsia="宋体" w:hint="default"/>
                <w:sz w:val="20"/>
                <w:szCs w:val="20"/>
              </w:rPr>
            </w:pPr>
            <w:r>
              <w:rPr>
                <w:rFonts w:ascii="宋体" w:hAnsi="宋体" w:cs="宋体" w:eastAsia="宋体" w:hint="default"/>
                <w:sz w:val="20"/>
                <w:szCs w:val="20"/>
              </w:rPr>
              <w:t>基于</w:t>
            </w:r>
            <w:r>
              <w:rPr>
                <w:rFonts w:ascii="Times New Roman" w:hAnsi="Times New Roman" w:cs="Times New Roman" w:eastAsia="Times New Roman" w:hint="default"/>
                <w:sz w:val="20"/>
                <w:szCs w:val="20"/>
              </w:rPr>
              <w:t>RFID</w:t>
            </w:r>
            <w:r>
              <w:rPr>
                <w:rFonts w:ascii="宋体" w:hAnsi="宋体" w:cs="宋体" w:eastAsia="宋体" w:hint="default"/>
                <w:sz w:val="20"/>
                <w:szCs w:val="20"/>
              </w:rPr>
              <w:t>的电子标签产品研发与标准研究制定项目</w:t>
            </w:r>
          </w:p>
        </w:tc>
        <w:tc>
          <w:tcPr>
            <w:tcW w:w="2340"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right="386"/>
              <w:jc w:val="right"/>
              <w:rPr>
                <w:rFonts w:ascii="Times New Roman" w:hAnsi="Times New Roman" w:cs="Times New Roman" w:eastAsia="Times New Roman" w:hint="default"/>
                <w:sz w:val="20"/>
                <w:szCs w:val="20"/>
              </w:rPr>
            </w:pPr>
            <w:r>
              <w:rPr>
                <w:rFonts w:ascii="Times New Roman"/>
                <w:w w:val="95"/>
                <w:sz w:val="20"/>
              </w:rPr>
              <w:t>3,566,666.71</w:t>
            </w:r>
            <w:r>
              <w:rPr>
                <w:rFonts w:ascii="Times New Roman"/>
                <w:sz w:val="20"/>
              </w:rPr>
            </w:r>
          </w:p>
        </w:tc>
        <w:tc>
          <w:tcPr>
            <w:tcW w:w="17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20"/>
                <w:szCs w:val="20"/>
              </w:rPr>
            </w:pPr>
            <w:r>
              <w:rPr>
                <w:rFonts w:ascii="Times New Roman"/>
                <w:w w:val="95"/>
                <w:sz w:val="20"/>
              </w:rPr>
              <w:t>3,966,666.67</w:t>
            </w:r>
            <w:r>
              <w:rPr>
                <w:rFonts w:ascii="Times New Roman"/>
                <w:sz w:val="20"/>
              </w:rPr>
            </w:r>
          </w:p>
        </w:tc>
      </w:tr>
      <w:tr>
        <w:trPr>
          <w:trHeight w:val="353" w:hRule="exact"/>
        </w:trPr>
        <w:tc>
          <w:tcPr>
            <w:tcW w:w="513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26" w:right="0"/>
              <w:jc w:val="left"/>
              <w:rPr>
                <w:rFonts w:ascii="宋体" w:hAnsi="宋体" w:cs="宋体" w:eastAsia="宋体" w:hint="default"/>
                <w:sz w:val="20"/>
                <w:szCs w:val="20"/>
              </w:rPr>
            </w:pPr>
            <w:r>
              <w:rPr>
                <w:rFonts w:ascii="宋体" w:hAnsi="宋体" w:cs="宋体" w:eastAsia="宋体" w:hint="default"/>
                <w:sz w:val="20"/>
                <w:szCs w:val="20"/>
              </w:rPr>
              <w:t>漫画在线创作系统</w:t>
            </w:r>
          </w:p>
        </w:tc>
        <w:tc>
          <w:tcPr>
            <w:tcW w:w="234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1"/>
              <w:ind w:right="385"/>
              <w:jc w:val="right"/>
              <w:rPr>
                <w:rFonts w:ascii="Times New Roman" w:hAnsi="Times New Roman" w:cs="Times New Roman" w:eastAsia="Times New Roman" w:hint="default"/>
                <w:sz w:val="20"/>
                <w:szCs w:val="20"/>
              </w:rPr>
            </w:pPr>
            <w:r>
              <w:rPr>
                <w:rFonts w:ascii="Times New Roman"/>
                <w:w w:val="95"/>
                <w:sz w:val="20"/>
              </w:rPr>
              <w:t>344,166.66</w:t>
            </w:r>
            <w:r>
              <w:rPr>
                <w:rFonts w:ascii="Times New Roman"/>
                <w:sz w:val="20"/>
              </w:rPr>
            </w:r>
          </w:p>
        </w:tc>
        <w:tc>
          <w:tcPr>
            <w:tcW w:w="1754" w:type="dxa"/>
            <w:tcBorders>
              <w:top w:val="single" w:sz="12" w:space="0" w:color="000000"/>
              <w:left w:val="nil" w:sz="6" w:space="0" w:color="auto"/>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pict>
          <v:group style="position:absolute;margin-left:460.320007pt;margin-top:57.771717pt;width:135pt;height:77pt;mso-position-horizontal-relative:page;mso-position-vertical-relative:paragraph;z-index:-1260088" coordorigin="9206,1155" coordsize="2700,1540">
            <v:shape style="position:absolute;left:9206;top:1155;width:2700;height:1540" type="#_x0000_t75" stroked="false">
              <v:imagedata r:id="rId18" o:title=""/>
            </v:shape>
            <v:shape style="position:absolute;left:10502;top:1516;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174</w:t>
                    </w:r>
                  </w:p>
                </w:txbxContent>
              </v:textbox>
              <w10:wrap type="none"/>
            </v:shape>
            <w10:wrap type="none"/>
          </v:group>
        </w:pict>
      </w: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401"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single" w:sz="4" w:space="0" w:color="000000"/>
              <w:right w:val="single" w:sz="4" w:space="0" w:color="000000"/>
            </w:tcBorders>
            <w:shd w:val="clear" w:color="auto" w:fill="D2D2D2"/>
          </w:tcPr>
          <w:p>
            <w:pPr/>
          </w:p>
        </w:tc>
      </w:tr>
    </w:tbl>
    <w:p>
      <w:pPr>
        <w:spacing w:after="0"/>
        <w:sectPr>
          <w:headerReference w:type="default" r:id="rId86"/>
          <w:footerReference w:type="default" r:id="rId87"/>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404"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332,900,000.00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183,040,000.00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183,040,000.00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515,940,000.00</w:t>
            </w:r>
          </w:p>
        </w:tc>
      </w:tr>
    </w:tbl>
    <w:p>
      <w:pPr>
        <w:spacing w:before="49"/>
        <w:ind w:left="152" w:right="1125"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股本变动情况说明，本报告期内有增资或减资行为的，应披露执行验资的会计师事务所名称和验资报告文号；运行不足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p>
      <w:pPr>
        <w:spacing w:before="60"/>
        <w:ind w:left="152" w:right="1125" w:firstLine="0"/>
        <w:jc w:val="left"/>
        <w:rPr>
          <w:rFonts w:ascii="宋体" w:hAnsi="宋体" w:cs="宋体" w:eastAsia="宋体" w:hint="default"/>
          <w:sz w:val="18"/>
          <w:szCs w:val="18"/>
        </w:rPr>
      </w:pPr>
      <w:r>
        <w:rPr>
          <w:rFonts w:ascii="宋体" w:hAnsi="宋体" w:cs="宋体" w:eastAsia="宋体" w:hint="default"/>
          <w:sz w:val="18"/>
          <w:szCs w:val="18"/>
        </w:rPr>
        <w:t>年的股份有限公司，设立前的年份只需说明净资产情况；有限责任公司整体变更为股份公司应说明公司设立时的验资情况</w:t>
      </w:r>
    </w:p>
    <w:p>
      <w:pPr>
        <w:pStyle w:val="BodyText"/>
        <w:spacing w:line="312" w:lineRule="exact" w:before="99"/>
        <w:ind w:right="1128" w:firstLine="504"/>
        <w:jc w:val="both"/>
      </w:pPr>
      <w:r>
        <w:rPr/>
        <w:t>根据公司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日修改后的章程、</w:t>
      </w:r>
      <w:r>
        <w:rPr>
          <w:rFonts w:ascii="Times New Roman" w:hAnsi="Times New Roman" w:cs="Times New Roman" w:eastAsia="Times New Roman" w:hint="default"/>
        </w:rPr>
        <w:t>2011</w:t>
      </w:r>
      <w:r>
        <w:rPr/>
        <w:t>年第三次临时股东大会、</w:t>
      </w:r>
      <w:r>
        <w:rPr>
          <w:rFonts w:ascii="Times New Roman" w:hAnsi="Times New Roman" w:cs="Times New Roman" w:eastAsia="Times New Roman" w:hint="default"/>
        </w:rPr>
        <w:t>2012</w:t>
      </w:r>
      <w:r>
        <w:rPr/>
        <w:t>年第二次临 时股东大会和中国证券监督管理委员会证监许可</w:t>
      </w:r>
      <w:r>
        <w:rPr>
          <w:rFonts w:ascii="Times New Roman" w:hAnsi="Times New Roman" w:cs="Times New Roman" w:eastAsia="Times New Roman" w:hint="default"/>
        </w:rPr>
        <w:t>[2012]690</w:t>
      </w:r>
      <w:r>
        <w:rPr/>
        <w:t>号文《关于核准大唐高鸿数据网络 </w:t>
      </w:r>
      <w:r>
        <w:rPr>
          <w:spacing w:val="-2"/>
        </w:rPr>
        <w:t>技术股份有限公司非公开发行股票的批复》，公司采用向特定投资者非公开（以下简称</w:t>
      </w:r>
      <w:r>
        <w:rPr>
          <w:rFonts w:ascii="Times New Roman" w:hAnsi="Times New Roman" w:cs="Times New Roman" w:eastAsia="Times New Roman" w:hint="default"/>
          <w:spacing w:val="-2"/>
        </w:rPr>
        <w:t>“</w:t>
      </w:r>
      <w:r>
        <w:rPr>
          <w:spacing w:val="-2"/>
        </w:rPr>
        <w:t>网下</w:t>
      </w:r>
      <w:r>
        <w:rPr>
          <w:spacing w:val="-104"/>
        </w:rPr>
        <w:t> </w:t>
      </w:r>
      <w:r>
        <w:rPr>
          <w:spacing w:val="-2"/>
        </w:rPr>
        <w:t>发行</w:t>
      </w:r>
      <w:r>
        <w:rPr>
          <w:rFonts w:ascii="Times New Roman" w:hAnsi="Times New Roman" w:cs="Times New Roman" w:eastAsia="Times New Roman" w:hint="default"/>
          <w:spacing w:val="-2"/>
        </w:rPr>
        <w:t>”</w:t>
      </w:r>
      <w:r>
        <w:rPr>
          <w:spacing w:val="-2"/>
        </w:rPr>
        <w:t>）的方式发行</w:t>
      </w:r>
      <w:r>
        <w:rPr>
          <w:rFonts w:ascii="Times New Roman" w:hAnsi="Times New Roman" w:cs="Times New Roman" w:eastAsia="Times New Roman" w:hint="default"/>
          <w:spacing w:val="-2"/>
        </w:rPr>
        <w:t>18,304</w:t>
      </w:r>
      <w:r>
        <w:rPr>
          <w:spacing w:val="-2"/>
        </w:rPr>
        <w:t>万股人民币普通股（</w:t>
      </w:r>
      <w:r>
        <w:rPr>
          <w:rFonts w:ascii="Times New Roman" w:hAnsi="Times New Roman" w:cs="Times New Roman" w:eastAsia="Times New Roman" w:hint="default"/>
          <w:spacing w:val="-2"/>
        </w:rPr>
        <w:t>A</w:t>
      </w:r>
      <w:r>
        <w:rPr>
          <w:spacing w:val="-2"/>
        </w:rPr>
        <w:t>股），每股面值人民币</w:t>
      </w:r>
      <w:r>
        <w:rPr>
          <w:rFonts w:ascii="Times New Roman" w:hAnsi="Times New Roman" w:cs="Times New Roman" w:eastAsia="Times New Roman" w:hint="default"/>
          <w:spacing w:val="-2"/>
        </w:rPr>
        <w:t>1</w:t>
      </w:r>
      <w:r>
        <w:rPr>
          <w:spacing w:val="-2"/>
        </w:rPr>
        <w:t>元，每股发行价格为</w:t>
      </w:r>
      <w:r>
        <w:rPr>
          <w:spacing w:val="-92"/>
        </w:rPr>
        <w:t> </w:t>
      </w:r>
      <w:r>
        <w:rPr>
          <w:spacing w:val="-92"/>
        </w:rPr>
      </w:r>
      <w:r>
        <w:rPr>
          <w:spacing w:val="-2"/>
        </w:rPr>
        <w:t>人民币</w:t>
      </w:r>
      <w:r>
        <w:rPr>
          <w:rFonts w:ascii="Times New Roman" w:hAnsi="Times New Roman" w:cs="Times New Roman" w:eastAsia="Times New Roman" w:hint="default"/>
          <w:spacing w:val="-2"/>
        </w:rPr>
        <w:t>6.12</w:t>
      </w:r>
      <w:r>
        <w:rPr>
          <w:spacing w:val="-2"/>
        </w:rPr>
        <w:t>元。公司本次发行后的注册资本为人民币</w:t>
      </w:r>
      <w:r>
        <w:rPr>
          <w:rFonts w:ascii="Times New Roman" w:hAnsi="Times New Roman" w:cs="Times New Roman" w:eastAsia="Times New Roman" w:hint="default"/>
          <w:spacing w:val="-2"/>
        </w:rPr>
        <w:t>51,594</w:t>
      </w:r>
      <w:r>
        <w:rPr>
          <w:spacing w:val="-2"/>
        </w:rPr>
        <w:t>万元。新增资本已由中瑞岳华会计</w:t>
      </w:r>
      <w:r>
        <w:rPr>
          <w:spacing w:val="-110"/>
        </w:rPr>
        <w:t> </w:t>
      </w:r>
      <w:r>
        <w:rPr>
          <w:spacing w:val="-110"/>
        </w:rPr>
      </w:r>
      <w:r>
        <w:rPr/>
        <w:t>师事务所（特殊普通合伙）以中瑞岳华验字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0335</w:t>
      </w:r>
      <w:r>
        <w:rPr/>
        <w:t>号验资报告验证。</w:t>
      </w:r>
    </w:p>
    <w:p>
      <w:pPr>
        <w:spacing w:line="240" w:lineRule="auto" w:before="9"/>
        <w:rPr>
          <w:rFonts w:ascii="宋体" w:hAnsi="宋体" w:cs="宋体" w:eastAsia="宋体" w:hint="default"/>
          <w:sz w:val="22"/>
          <w:szCs w:val="22"/>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、库存股</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库存股情况说明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、专项储备</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专项储备情况说明</w:t>
      </w:r>
    </w:p>
    <w:p>
      <w:pPr>
        <w:spacing w:line="240" w:lineRule="auto" w:before="0"/>
        <w:rPr>
          <w:rFonts w:ascii="宋体" w:hAnsi="宋体" w:cs="宋体" w:eastAsia="宋体" w:hint="default"/>
          <w:sz w:val="18"/>
          <w:szCs w:val="18"/>
        </w:rPr>
      </w:pPr>
    </w:p>
    <w:p>
      <w:pPr>
        <w:spacing w:before="12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6"/>
        <w:gridCol w:w="1861"/>
        <w:gridCol w:w="1992"/>
        <w:gridCol w:w="1729"/>
        <w:gridCol w:w="1594"/>
      </w:tblGrid>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595,970,764.80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896,394,800.00</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1,492,365,564.80</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2,770,158.49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-6,777,734.73</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-4,007,576.24</w:t>
            </w:r>
          </w:p>
        </w:tc>
      </w:tr>
      <w:tr>
        <w:trPr>
          <w:trHeight w:val="40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1,376,513.18</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1,376,513.18</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600,117,436.47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889,617,065.27</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1,489,734,501.74</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资本公积说明</w:t>
      </w:r>
    </w:p>
    <w:p>
      <w:pPr>
        <w:pStyle w:val="BodyText"/>
        <w:spacing w:line="225" w:lineRule="auto" w:before="83"/>
        <w:ind w:right="1128" w:firstLine="480"/>
        <w:jc w:val="both"/>
      </w:pPr>
      <w:r>
        <w:rPr/>
        <w:t>根据公司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日修改后的章程、</w:t>
      </w:r>
      <w:r>
        <w:rPr>
          <w:rFonts w:ascii="Times New Roman" w:hAnsi="Times New Roman" w:cs="Times New Roman" w:eastAsia="Times New Roman" w:hint="default"/>
        </w:rPr>
        <w:t>2011</w:t>
      </w:r>
      <w:r>
        <w:rPr/>
        <w:t>年第三次临时股东大会、</w:t>
      </w:r>
      <w:r>
        <w:rPr>
          <w:rFonts w:ascii="Times New Roman" w:hAnsi="Times New Roman" w:cs="Times New Roman" w:eastAsia="Times New Roman" w:hint="default"/>
        </w:rPr>
        <w:t>2012</w:t>
      </w:r>
      <w:r>
        <w:rPr/>
        <w:t>年第二次临 时股东大会和中国证券监督管理委员会证监许可</w:t>
      </w:r>
      <w:r>
        <w:rPr>
          <w:rFonts w:ascii="Times New Roman" w:hAnsi="Times New Roman" w:cs="Times New Roman" w:eastAsia="Times New Roman" w:hint="default"/>
        </w:rPr>
        <w:t>[2012]690</w:t>
      </w:r>
      <w:r>
        <w:rPr/>
        <w:t>号文《关于核准大唐高鸿数据网络 </w:t>
      </w:r>
      <w:r>
        <w:rPr>
          <w:spacing w:val="-2"/>
        </w:rPr>
        <w:t>技术股份有限公司非公开发行股票的批复》，公司采用向特定投资者非公开（以下简称</w:t>
      </w:r>
      <w:r>
        <w:rPr>
          <w:rFonts w:ascii="Times New Roman" w:hAnsi="Times New Roman" w:cs="Times New Roman" w:eastAsia="Times New Roman" w:hint="default"/>
          <w:spacing w:val="-2"/>
        </w:rPr>
        <w:t>“</w:t>
      </w:r>
      <w:r>
        <w:rPr>
          <w:spacing w:val="-2"/>
        </w:rPr>
        <w:t>网下</w:t>
      </w:r>
      <w:r>
        <w:rPr>
          <w:spacing w:val="-103"/>
        </w:rPr>
        <w:t> </w:t>
      </w:r>
      <w:r>
        <w:rPr>
          <w:spacing w:val="-2"/>
        </w:rPr>
        <w:t>发行</w:t>
      </w:r>
      <w:r>
        <w:rPr>
          <w:rFonts w:ascii="Times New Roman" w:hAnsi="Times New Roman" w:cs="Times New Roman" w:eastAsia="Times New Roman" w:hint="default"/>
          <w:spacing w:val="-2"/>
        </w:rPr>
        <w:t>”</w:t>
      </w:r>
      <w:r>
        <w:rPr>
          <w:spacing w:val="-2"/>
        </w:rPr>
        <w:t>）的方式发行</w:t>
      </w:r>
      <w:r>
        <w:rPr>
          <w:rFonts w:ascii="Times New Roman" w:hAnsi="Times New Roman" w:cs="Times New Roman" w:eastAsia="Times New Roman" w:hint="default"/>
          <w:spacing w:val="-2"/>
        </w:rPr>
        <w:t>18,304</w:t>
      </w:r>
      <w:r>
        <w:rPr>
          <w:spacing w:val="-2"/>
        </w:rPr>
        <w:t>万股人民币普通股（</w:t>
      </w:r>
      <w:r>
        <w:rPr>
          <w:rFonts w:ascii="Times New Roman" w:hAnsi="Times New Roman" w:cs="Times New Roman" w:eastAsia="Times New Roman" w:hint="default"/>
          <w:spacing w:val="-2"/>
        </w:rPr>
        <w:t>A</w:t>
      </w:r>
      <w:r>
        <w:rPr>
          <w:spacing w:val="-2"/>
        </w:rPr>
        <w:t>股），每股面值人民币</w:t>
      </w:r>
      <w:r>
        <w:rPr>
          <w:rFonts w:ascii="Times New Roman" w:hAnsi="Times New Roman" w:cs="Times New Roman" w:eastAsia="Times New Roman" w:hint="default"/>
          <w:spacing w:val="-2"/>
        </w:rPr>
        <w:t>1</w:t>
      </w:r>
      <w:r>
        <w:rPr>
          <w:spacing w:val="-2"/>
        </w:rPr>
        <w:t>元，每股发行价格为</w:t>
      </w:r>
      <w:r>
        <w:rPr>
          <w:spacing w:val="-92"/>
        </w:rPr>
        <w:t> </w:t>
      </w:r>
      <w:r>
        <w:rPr>
          <w:spacing w:val="-92"/>
        </w:rPr>
      </w:r>
      <w:r>
        <w:rPr>
          <w:spacing w:val="5"/>
        </w:rPr>
        <w:t>人民币</w:t>
      </w:r>
      <w:r>
        <w:rPr>
          <w:rFonts w:ascii="Times New Roman" w:hAnsi="Times New Roman" w:cs="Times New Roman" w:eastAsia="Times New Roman" w:hint="default"/>
          <w:spacing w:val="5"/>
        </w:rPr>
        <w:t>6.12</w:t>
      </w:r>
      <w:r>
        <w:rPr>
          <w:spacing w:val="5"/>
        </w:rPr>
        <w:t>元。扣除中介机构费和其他发行费用人民币</w:t>
      </w:r>
      <w:r>
        <w:rPr>
          <w:rFonts w:ascii="Times New Roman" w:hAnsi="Times New Roman" w:cs="Times New Roman" w:eastAsia="Times New Roman" w:hint="default"/>
          <w:spacing w:val="5"/>
        </w:rPr>
        <w:t>4,770,000.00</w:t>
      </w:r>
      <w:r>
        <w:rPr>
          <w:spacing w:val="5"/>
        </w:rPr>
        <w:t>元后，募集资金净额为</w:t>
      </w:r>
      <w:r>
        <w:rPr>
          <w:spacing w:val="-103"/>
        </w:rPr>
        <w:t> </w:t>
      </w:r>
      <w:r>
        <w:rPr>
          <w:spacing w:val="-103"/>
        </w:rPr>
      </w:r>
      <w:r>
        <w:rPr>
          <w:rFonts w:ascii="Times New Roman" w:hAnsi="Times New Roman" w:cs="Times New Roman" w:eastAsia="Times New Roman" w:hint="default"/>
          <w:spacing w:val="-1"/>
        </w:rPr>
        <w:t>1,079,434,800.00</w:t>
      </w:r>
      <w:r>
        <w:rPr>
          <w:spacing w:val="-1"/>
        </w:rPr>
        <w:t>元，其中转入股本人民币</w:t>
      </w:r>
      <w:r>
        <w:rPr>
          <w:rFonts w:ascii="Times New Roman" w:hAnsi="Times New Roman" w:cs="Times New Roman" w:eastAsia="Times New Roman" w:hint="default"/>
          <w:spacing w:val="-1"/>
        </w:rPr>
        <w:t>183,040,000</w:t>
      </w:r>
      <w:r>
        <w:rPr>
          <w:spacing w:val="-1"/>
        </w:rPr>
        <w:t>元，余额人民币</w:t>
      </w:r>
      <w:r>
        <w:rPr>
          <w:rFonts w:ascii="Times New Roman" w:hAnsi="Times New Roman" w:cs="Times New Roman" w:eastAsia="Times New Roman" w:hint="default"/>
          <w:spacing w:val="-1"/>
        </w:rPr>
        <w:t>896,394,800.00</w:t>
      </w:r>
      <w:r>
        <w:rPr>
          <w:spacing w:val="-1"/>
        </w:rPr>
        <w:t>元转入资</w:t>
      </w:r>
      <w:r>
        <w:rPr>
          <w:spacing w:val="-81"/>
        </w:rPr>
        <w:t> </w:t>
      </w:r>
      <w:r>
        <w:rPr/>
        <w:t>本公积。</w:t>
      </w:r>
    </w:p>
    <w:p>
      <w:pPr>
        <w:spacing w:line="240" w:lineRule="auto" w:before="1"/>
        <w:rPr>
          <w:rFonts w:ascii="宋体" w:hAnsi="宋体" w:cs="宋体" w:eastAsia="宋体" w:hint="default"/>
          <w:sz w:val="25"/>
          <w:szCs w:val="25"/>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11,635,547.40</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11,635,547.40</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11,635,547.40</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2" w:right="0"/>
              <w:jc w:val="left"/>
              <w:rPr>
                <w:rFonts w:ascii="Times New Roman" w:hAnsi="Times New Roman" w:cs="Times New Roman" w:eastAsia="Times New Roman" w:hint="default"/>
                <w:sz w:val="18"/>
                <w:szCs w:val="18"/>
              </w:rPr>
            </w:pPr>
            <w:r>
              <w:rPr>
                <w:rFonts w:ascii="Times New Roman"/>
                <w:sz w:val="18"/>
              </w:rPr>
              <w:t>11,635,547.40</w:t>
            </w:r>
          </w:p>
        </w:tc>
      </w:tr>
    </w:tbl>
    <w:p>
      <w:pPr>
        <w:spacing w:after="0" w:line="240" w:lineRule="auto"/>
        <w:jc w:val="left"/>
        <w:rPr>
          <w:rFonts w:ascii="Times New Roman" w:hAnsi="Times New Roman" w:cs="Times New Roman" w:eastAsia="Times New Roman" w:hint="default"/>
          <w:sz w:val="18"/>
          <w:szCs w:val="18"/>
        </w:rPr>
        <w:sectPr>
          <w:footerReference w:type="default" r:id="rId88"/>
          <w:pgSz w:w="11910" w:h="16840"/>
          <w:pgMar w:footer="1337" w:header="877" w:top="1060" w:bottom="1520" w:left="980" w:right="0"/>
          <w:pgNumType w:start="175"/>
        </w:sectPr>
      </w:pPr>
    </w:p>
    <w:p>
      <w:pPr>
        <w:spacing w:line="240" w:lineRule="auto" w:before="9"/>
        <w:rPr>
          <w:rFonts w:ascii="宋体" w:hAnsi="宋体" w:cs="宋体" w:eastAsia="宋体" w:hint="default"/>
          <w:sz w:val="25"/>
          <w:szCs w:val="25"/>
        </w:rPr>
      </w:pPr>
    </w:p>
    <w:p>
      <w:pPr>
        <w:spacing w:before="44"/>
        <w:ind w:left="152" w:right="1125" w:firstLine="0"/>
        <w:jc w:val="left"/>
        <w:rPr>
          <w:rFonts w:ascii="宋体" w:hAnsi="宋体" w:cs="宋体" w:eastAsia="宋体" w:hint="default"/>
          <w:sz w:val="18"/>
          <w:szCs w:val="18"/>
        </w:rPr>
      </w:pPr>
      <w:r>
        <w:rPr>
          <w:rFonts w:ascii="宋体" w:hAnsi="宋体" w:cs="宋体" w:eastAsia="宋体" w:hint="default"/>
          <w:sz w:val="18"/>
          <w:szCs w:val="18"/>
        </w:rPr>
        <w:t>盈余公积说明，用盈余公积转增股本、弥补亏损、分派股利的，应说明有关决议</w:t>
      </w:r>
    </w:p>
    <w:p>
      <w:pPr>
        <w:pStyle w:val="BodyText"/>
        <w:spacing w:line="312" w:lineRule="exact" w:before="100"/>
        <w:ind w:right="1129" w:firstLine="425"/>
        <w:jc w:val="left"/>
      </w:pPr>
      <w:r>
        <w:rPr>
          <w:spacing w:val="-3"/>
        </w:rPr>
        <w:t>根据公司法、章程的规定，本集团按净利润的</w:t>
      </w:r>
      <w:r>
        <w:rPr>
          <w:rFonts w:ascii="Times New Roman" w:hAnsi="Times New Roman" w:cs="Times New Roman" w:eastAsia="Times New Roman" w:hint="default"/>
          <w:spacing w:val="-3"/>
        </w:rPr>
        <w:t>10%</w:t>
      </w:r>
      <w:r>
        <w:rPr>
          <w:spacing w:val="-3"/>
        </w:rPr>
        <w:t>提取法定盈余公积金。法定盈余公积累</w:t>
      </w:r>
      <w:r>
        <w:rPr/>
        <w:t> 计额为本公司注册资本</w:t>
      </w:r>
      <w:r>
        <w:rPr>
          <w:rFonts w:ascii="Times New Roman" w:hAnsi="Times New Roman" w:cs="Times New Roman" w:eastAsia="Times New Roman" w:hint="default"/>
        </w:rPr>
        <w:t>50%</w:t>
      </w:r>
      <w:r>
        <w:rPr/>
        <w:t>以上的，可不再提取。</w:t>
      </w:r>
    </w:p>
    <w:p>
      <w:pPr>
        <w:pStyle w:val="BodyText"/>
        <w:spacing w:line="312" w:lineRule="exact"/>
        <w:ind w:right="1125" w:firstLine="425"/>
        <w:jc w:val="left"/>
      </w:pPr>
      <w:r>
        <w:rPr>
          <w:spacing w:val="2"/>
        </w:rPr>
        <w:t>本集团在提取法定盈余公积金后，可提取任意盈余公积金。经批准，任意盈余公积金可 </w:t>
      </w:r>
      <w:r>
        <w:rPr/>
        <w:t>用于弥补以前年度亏损或增加股本。</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、一般风险准备</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一般风险准备情况说明</w:t>
      </w:r>
    </w:p>
    <w:p>
      <w:pPr>
        <w:spacing w:line="240" w:lineRule="auto" w:before="0"/>
        <w:rPr>
          <w:rFonts w:ascii="宋体" w:hAnsi="宋体" w:cs="宋体" w:eastAsia="宋体" w:hint="default"/>
          <w:sz w:val="18"/>
          <w:szCs w:val="18"/>
        </w:rPr>
      </w:pPr>
    </w:p>
    <w:p>
      <w:pPr>
        <w:spacing w:before="12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53"/>
        <w:gridCol w:w="2098"/>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74,504,571.35</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74,504,571.35</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25,005,713.64</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2"/>
              <w:ind w:right="26"/>
              <w:jc w:val="right"/>
              <w:rPr>
                <w:rFonts w:ascii="Times New Roman" w:hAnsi="Times New Roman" w:cs="Times New Roman" w:eastAsia="Times New Roman" w:hint="default"/>
                <w:sz w:val="18"/>
                <w:szCs w:val="18"/>
              </w:rPr>
            </w:pPr>
            <w:r>
              <w:rPr>
                <w:rFonts w:ascii="Times New Roman"/>
                <w:spacing w:val="-1"/>
                <w:sz w:val="18"/>
              </w:rPr>
              <w:t>99,510,284.99</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调整年初未分配利润明细：</w:t>
      </w:r>
    </w:p>
    <w:p>
      <w:pPr>
        <w:spacing w:before="115"/>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、由于《企业会计准则》及其相关新规定进行追溯调整，影响年初未分配利润元。</w:t>
      </w:r>
    </w:p>
    <w:p>
      <w:pPr>
        <w:spacing w:before="103"/>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、由于会计政策变更，影响年初未分配利润元。</w:t>
      </w:r>
    </w:p>
    <w:p>
      <w:pPr>
        <w:spacing w:before="104"/>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、由于重大会计差错更正，影响年初未分配利润元。</w:t>
      </w:r>
    </w:p>
    <w:p>
      <w:pPr>
        <w:spacing w:before="101"/>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、由于同一控制导致的合并范围变更，影响年初未分配利润元。</w:t>
      </w:r>
    </w:p>
    <w:p>
      <w:pPr>
        <w:spacing w:line="326" w:lineRule="auto" w:before="103"/>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、其他调整合计影响年初未分配利润元。</w:t>
      </w:r>
      <w:r>
        <w:rPr>
          <w:rFonts w:ascii="宋体" w:hAnsi="宋体" w:cs="宋体" w:eastAsia="宋体" w:hint="default"/>
          <w:w w:val="99"/>
          <w:sz w:val="18"/>
          <w:szCs w:val="18"/>
        </w:rPr>
        <w:t> </w:t>
      </w:r>
      <w:r>
        <w:rPr>
          <w:rFonts w:ascii="宋体" w:hAnsi="宋体" w:cs="宋体" w:eastAsia="宋体" w:hint="default"/>
          <w:spacing w:val="-2"/>
          <w:sz w:val="18"/>
          <w:szCs w:val="18"/>
        </w:rPr>
        <w:t>未分配利润说明，对于首次公开发行证券的公司，如果发行前的滚存利润经股东大会决议由新老股东共同享有，应明确予以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说明；如果发行前的滚存利润经股东大会决议在发行前进行分配并由老股东享有，公司应明确披露应付股利中老股东享有的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经审计的利润数</w:t>
      </w:r>
    </w:p>
    <w:p>
      <w:pPr>
        <w:spacing w:line="240" w:lineRule="auto" w:before="1"/>
        <w:rPr>
          <w:rFonts w:ascii="宋体" w:hAnsi="宋体" w:cs="宋体" w:eastAsia="宋体" w:hint="default"/>
          <w:sz w:val="22"/>
          <w:szCs w:val="22"/>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4,610,656,132.64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4,060,318,099.12</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6,203,583.12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22,005,019.31</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4,331,854,396.10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3,815,798,539.67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37" w:top="1060" w:bottom="1540" w:left="980" w:right="0"/>
        </w:sectPr>
      </w:pPr>
    </w:p>
    <w:p>
      <w:pPr>
        <w:spacing w:line="240" w:lineRule="auto" w:before="10"/>
        <w:rPr>
          <w:rFonts w:ascii="宋体" w:hAnsi="宋体" w:cs="宋体" w:eastAsia="宋体" w:hint="default"/>
          <w:sz w:val="24"/>
          <w:szCs w:val="24"/>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）主营业务（分行业）</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企业信息化服务业务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730,471,455.89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568,016,795.09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823,040,064.42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679,682,605.92</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电信增值业务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100,136,620.98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78,389,702.31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70,391,740.86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55,773,710.19</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3G-IT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连锁销售业务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3,776,200,002.47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3,678,533,334.19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3,165,659,117.24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3,076,430,396.48</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3,848,053.30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1,197,000.00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1,227,176.60</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4,610,656,132.64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4,326,136,831.59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4,060,318,099.12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3,811,886,712.59</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）主营业务（分产品）</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通信设备产品及制造</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193,455,479.59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42,385,437.72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181,982,388.91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105,086,631.81</w:t>
            </w:r>
          </w:p>
        </w:tc>
      </w:tr>
      <w:tr>
        <w:trPr>
          <w:trHeight w:val="71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pacing w:val="-4"/>
                <w:sz w:val="18"/>
                <w:szCs w:val="18"/>
              </w:rPr>
              <w:t>计算机涉密、系统集成业务及外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围设备销售业务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537,015,976.30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525,631,357.37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641,057,675.51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574,595,974.11</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电信增值业务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100,136,620.98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78,389,702.31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70,391,740.86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55,773,710.19</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3G-IT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连锁销售业务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3,776,200,002.47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3,678,533,334.19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3,165,659,117.24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3,076,430,396.48</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3,848,053.30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1,197,000.00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1,227,176.60</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4,610,656,132.64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4,326,136,831.59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4,060,318,099.12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3,811,886,712.59</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）主营业务（分地区）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70,009,355.45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58,275,208.42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32,383,873.47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29,120,698.75</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1,602,355,653.31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1,436,432,080.77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1,412,777,181.26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1,288,774,951.88</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2,753,990,869.10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2,663,879,673.71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2,217,670,659.42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2,147,795,559.04</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184,300,254.78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167,549,868.69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397,486,384.97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346,195,502.92</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4,610,656,132.64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4,326,136,831.59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4,060,318,099.12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3,811,886,712.59</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）公司前五名客户的营业收入情况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1337" w:top="1060" w:bottom="152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95"/>
        <w:gridCol w:w="2850"/>
        <w:gridCol w:w="4126"/>
      </w:tblGrid>
      <w:tr>
        <w:trPr>
          <w:trHeight w:val="401"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南京庆亚贸易有限公司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1,465,215,972.15</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31.74%</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航天信息股份有限公司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677,596,490.68</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14.68%</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南京驰飞电子科技有限公司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392,739,526.74</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8.51%</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好享购物股份有限公司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240,709,829.25</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南京东州科技有限公司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157,700,871.96</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3.42%</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2,933,962,690.78</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63.55%</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、合同项目收入</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6"/>
        <w:gridCol w:w="1594"/>
        <w:gridCol w:w="1592"/>
        <w:gridCol w:w="1596"/>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41" w:right="20" w:hanging="118"/>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20" w:hanging="118"/>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合同项目的说明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5"/>
        <w:gridCol w:w="1992"/>
        <w:gridCol w:w="1863"/>
        <w:gridCol w:w="2921"/>
      </w:tblGrid>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4,744,452.64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4,737,557.15</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3,237,039.11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2,698,421.26</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2,321,229.03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1,311,901.14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109,949.09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101,593.84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价格基金</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20,948.15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55,484.33</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6,145.94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32,996.49</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2"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5,876.81</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文教基金</w:t>
            </w:r>
          </w:p>
        </w:tc>
        <w:tc>
          <w:tcPr>
            <w:tcW w:w="1992"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1,005.00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10,439,763.96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8,944,836.02</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营业税金及附加的说明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57</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pict>
          <v:group style="position:absolute;margin-left:460.320007pt;margin-top:55.011723pt;width:135pt;height:77pt;mso-position-horizontal-relative:page;mso-position-vertical-relative:paragraph;z-index:-1260040" coordorigin="9206,1100" coordsize="2700,1540">
            <v:shape style="position:absolute;left:9206;top:1100;width:2700;height:1540" type="#_x0000_t75" stroked="false">
              <v:imagedata r:id="rId18" o:title=""/>
            </v:shape>
            <v:shape style="position:absolute;left:10502;top:1461;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178</w:t>
                    </w:r>
                  </w:p>
                </w:txbxContent>
              </v:textbox>
              <w10:wrap type="none"/>
            </v:shape>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24,451,361.25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23,807,224.78</w:t>
            </w:r>
          </w:p>
        </w:tc>
      </w:tr>
    </w:tbl>
    <w:p>
      <w:pPr>
        <w:spacing w:after="0" w:line="240" w:lineRule="auto"/>
        <w:jc w:val="right"/>
        <w:rPr>
          <w:rFonts w:ascii="Times New Roman" w:hAnsi="Times New Roman" w:cs="Times New Roman" w:eastAsia="Times New Roman" w:hint="default"/>
          <w:sz w:val="18"/>
          <w:szCs w:val="18"/>
        </w:rPr>
        <w:sectPr>
          <w:headerReference w:type="default" r:id="rId89"/>
          <w:footerReference w:type="default" r:id="rId90"/>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3,194,967.99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6,941,499.85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3,067,912.11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2,300,817.54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3,033,313.65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2,582,526.98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运输邮寄费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2,944,379.70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1,776,482.59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1,856,102.68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628,187.90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1,479,318.05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8,833,590.44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1,410,134.07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1,551,641.72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资料书报费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726,693.10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28,566.40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612,436.49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474,809.65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24,910,177.71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45,054,383.96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67,686,796.80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93,979,731.81</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58</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28,012,597.50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31,447,986.21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12,709,612.00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12,522,574.72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8,681,091.07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5,392,846.20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6,057,939.73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2,164,530.43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4,720,658.41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8,549,293.01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6,296,060.92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7,111,888.62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4,022,827.31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4,619,943.51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1,774,940.17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2,562,965.77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1,665,536.30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1,955,421.60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1,578,565.77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1,681,277.14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9,219,365.17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8,980,847.04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84,739,194.35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86,989,574.25</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59</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58,790,845.86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39,678,223.19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-2,903,941.51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-2,388,474.23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减：利息资本化金额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91"/>
          <w:pgSz w:w="11910" w:h="16840"/>
          <w:pgMar w:footer="1340" w:header="877" w:top="1060" w:bottom="1540" w:left="980" w:right="0"/>
          <w:pgNumType w:start="179"/>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-30,779.58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13,869.79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减：汇兑损益资本化金额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1,086,527.69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2,535,494.30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56,942,652.46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39,839,113.05</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60</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10"/>
      </w:tblGrid>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公允价值变动收益的说明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61</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602,854.42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288,495.95</w:t>
            </w:r>
          </w:p>
        </w:tc>
      </w:tr>
      <w:tr>
        <w:trPr>
          <w:trHeight w:val="402"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2,213,492.42</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2,816,346.84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288,495.95</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）按成本法核算的长期股权投资收益</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1728"/>
        <w:gridCol w:w="2909"/>
      </w:tblGrid>
      <w:tr>
        <w:trPr>
          <w:trHeight w:val="401"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）按权益法核算的长期股权投资收益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29"/>
        <w:gridCol w:w="1992"/>
        <w:gridCol w:w="1728"/>
        <w:gridCol w:w="2921"/>
      </w:tblGrid>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北京海岸淘金创业投资有限公司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272,739.76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14,623.90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损益调整</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大唐高新创业投资有限公司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330,114.66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273,872.05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损益调整</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602,854.42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288,495.95</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投资收益的说明，若投资收益汇回有重大限制的，应予以说明。若不存在此类重大限制，也应做出说明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62</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5"/>
        <w:gridCol w:w="2525"/>
        <w:gridCol w:w="2777"/>
      </w:tblGrid>
      <w:tr>
        <w:trPr>
          <w:trHeight w:val="401"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5"/>
        <w:gridCol w:w="2525"/>
        <w:gridCol w:w="2789"/>
      </w:tblGrid>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15,582,342.16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9,435,069.63</w:t>
            </w:r>
          </w:p>
        </w:tc>
      </w:tr>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8,545,126.37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2,646,555.73</w:t>
            </w:r>
          </w:p>
        </w:tc>
      </w:tr>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10,116,000.00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34,243,468.53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12,081,625.36</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63</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）营业外收入情况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161" w:hRule="exact"/>
        </w:trPr>
        <w:tc>
          <w:tcPr>
            <w:tcW w:w="3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2" w:hRule="exact"/>
        </w:trPr>
        <w:tc>
          <w:tcPr>
            <w:tcW w:w="3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9" w:space="0" w:color="D2D2D2"/>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1,749.66</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9" w:space="0" w:color="D2D2D2"/>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1,749.66</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1956" w:type="dxa"/>
            <w:tcBorders>
              <w:top w:val="single" w:sz="4" w:space="0" w:color="000000"/>
              <w:left w:val="single" w:sz="9" w:space="0" w:color="D2D2D2"/>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95,025.61</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8,536,852.50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4,310,158.27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2,266,599.21</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416,695.04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6,439,170.47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416,695.04</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8,953,547.54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10,846,104.01</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2,683,294.25</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）政府补助明细</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街道扶持资金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鼓励批发业发展基金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专利促进资金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28,550.00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8,600.00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中小企业国际市场开拓费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58,397.00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45,246.00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IMS </w:t>
            </w:r>
            <w:r>
              <w:rPr>
                <w:rFonts w:ascii="宋体" w:hAnsi="宋体" w:cs="宋体" w:eastAsia="宋体" w:hint="default"/>
                <w:sz w:val="18"/>
                <w:szCs w:val="18"/>
              </w:rPr>
              <w:t>网络的全景式信 息互动服务平台研发</w:t>
            </w:r>
            <w:r>
              <w:rPr>
                <w:rFonts w:ascii="Times New Roman" w:hAnsi="Times New Roman" w:cs="Times New Roman" w:eastAsia="Times New Roman" w:hint="default"/>
                <w:sz w:val="18"/>
                <w:szCs w:val="18"/>
              </w:rPr>
              <w:t>"</w:t>
            </w:r>
            <w:r>
              <w:rPr>
                <w:rFonts w:ascii="宋体" w:hAnsi="宋体" w:cs="宋体" w:eastAsia="宋体" w:hint="default"/>
                <w:sz w:val="18"/>
                <w:szCs w:val="18"/>
              </w:rPr>
              <w:t>的研发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融合物联网技术的新一代统一通 信系统关键技术研究和平台开发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基于统一通信和云计算技术的综 合电子商务运营平台研发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递延收益摊销</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1,505,833.22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904,166.62</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3,554,072.28</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1,822,145.65</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8,536,852.50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4,310,158.27</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营业外收入说明</w:t>
      </w:r>
    </w:p>
    <w:p>
      <w:pPr>
        <w:spacing w:after="0"/>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64</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161"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2"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4"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581,375.93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117,157.67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581,375.93</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581,375.93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117,157.67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581,375.93</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1,684,779.52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947,029.35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1,684,779.52</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2,266,155.45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1,064,187.02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2,266,155.45</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营业外支出说明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65</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21,742,382.15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9,137,586.17</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-3,784,234.77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-1,535,158.06</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17,958,147.38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7,602,428.11</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pStyle w:val="BodyText"/>
        <w:spacing w:line="273" w:lineRule="auto"/>
        <w:ind w:right="1139" w:firstLine="480"/>
        <w:jc w:val="both"/>
      </w:pPr>
      <w:r>
        <w:rPr/>
        <w:t>基本每股收益按照归属于本公司普通股股东的当期净利润，除以发行在外普通股的加权 平均数计算。新发行普通股股数，根据发行合同的具体条款，从应收对价之日（一般为股票</w:t>
      </w:r>
      <w:r>
        <w:rPr>
          <w:spacing w:val="-91"/>
        </w:rPr>
        <w:t> </w:t>
      </w:r>
      <w:r>
        <w:rPr>
          <w:spacing w:val="-91"/>
        </w:rPr>
      </w:r>
      <w:r>
        <w:rPr/>
        <w:t>发行日）起计算确定。</w:t>
      </w:r>
    </w:p>
    <w:p>
      <w:pPr>
        <w:pStyle w:val="BodyText"/>
        <w:spacing w:line="273" w:lineRule="auto" w:before="12"/>
        <w:ind w:right="0" w:firstLine="480"/>
        <w:jc w:val="left"/>
      </w:pPr>
      <w:r>
        <w:rPr>
          <w:spacing w:val="-6"/>
        </w:rPr>
        <w:t>释每股收益的分子以归属于本公司普通股股东的当期净利润，调整下述因素后确定：（</w:t>
      </w:r>
      <w:r>
        <w:rPr>
          <w:rFonts w:ascii="宋体" w:hAnsi="宋体" w:cs="宋体" w:eastAsia="宋体" w:hint="default"/>
          <w:spacing w:val="-6"/>
        </w:rPr>
        <w:t>1</w:t>
      </w:r>
      <w:r>
        <w:rPr>
          <w:spacing w:val="-6"/>
        </w:rPr>
        <w:t>）</w:t>
      </w:r>
      <w:r>
        <w:rPr/>
        <w:t> </w:t>
      </w:r>
      <w:r>
        <w:rPr>
          <w:spacing w:val="-2"/>
        </w:rPr>
        <w:t>当期已确认为费用的稀释性潜在普通股的利息；（</w:t>
      </w:r>
      <w:r>
        <w:rPr>
          <w:rFonts w:ascii="宋体" w:hAnsi="宋体" w:cs="宋体" w:eastAsia="宋体" w:hint="default"/>
          <w:spacing w:val="-2"/>
        </w:rPr>
        <w:t>2</w:t>
      </w:r>
      <w:r>
        <w:rPr>
          <w:spacing w:val="-2"/>
        </w:rPr>
        <w:t>）稀释性潜在普通股转换时将产生的收益</w:t>
      </w:r>
      <w:r>
        <w:rPr/>
        <w:t> 或费用；以及（</w:t>
      </w:r>
      <w:r>
        <w:rPr>
          <w:rFonts w:ascii="宋体" w:hAnsi="宋体" w:cs="宋体" w:eastAsia="宋体" w:hint="default"/>
        </w:rPr>
        <w:t>3</w:t>
      </w:r>
      <w:r>
        <w:rPr/>
        <w:t>）上述调整相关的所得税影响。</w:t>
      </w:r>
    </w:p>
    <w:p>
      <w:pPr>
        <w:pStyle w:val="BodyText"/>
        <w:spacing w:line="276" w:lineRule="auto" w:before="10"/>
        <w:ind w:right="1132" w:firstLine="480"/>
        <w:jc w:val="both"/>
      </w:pPr>
      <w:r>
        <w:rPr>
          <w:spacing w:val="-3"/>
        </w:rPr>
        <w:t>稀释每股收益的分母等于下列两项之和：（</w:t>
      </w:r>
      <w:r>
        <w:rPr>
          <w:rFonts w:ascii="宋体" w:hAnsi="宋体" w:cs="宋体" w:eastAsia="宋体" w:hint="default"/>
          <w:spacing w:val="-3"/>
        </w:rPr>
        <w:t>1</w:t>
      </w:r>
      <w:r>
        <w:rPr>
          <w:spacing w:val="-3"/>
        </w:rPr>
        <w:t>）基本每股收益中母公司已发行普通股的加</w:t>
      </w:r>
      <w:r>
        <w:rPr/>
        <w:t> 权平均数；及（</w:t>
      </w:r>
      <w:r>
        <w:rPr>
          <w:rFonts w:ascii="宋体" w:hAnsi="宋体" w:cs="宋体" w:eastAsia="宋体" w:hint="default"/>
        </w:rPr>
        <w:t>2</w:t>
      </w:r>
      <w:r>
        <w:rPr/>
        <w:t>）假定稀释性潜在普通股转换为普通股而增加的普通股的加权平均数。</w:t>
      </w:r>
    </w:p>
    <w:p>
      <w:pPr>
        <w:pStyle w:val="BodyText"/>
        <w:spacing w:line="273" w:lineRule="auto" w:before="7"/>
        <w:ind w:right="1139" w:firstLine="480"/>
        <w:jc w:val="both"/>
      </w:pPr>
      <w:r>
        <w:rPr/>
        <w:t>在计算稀释性潜在普通股转换为已发行普通股而增加的普通股股数的加权平均数时，以 前期间发行的稀释性潜在普通股，假设在当年年初转换；当年发行的稀释性潜在普通股，假</w:t>
      </w:r>
      <w:r>
        <w:rPr>
          <w:spacing w:val="-91"/>
        </w:rPr>
        <w:t> </w:t>
      </w:r>
      <w:r>
        <w:rPr>
          <w:spacing w:val="-91"/>
        </w:rPr>
      </w:r>
      <w:r>
        <w:rPr/>
        <w:t>设在发行日转换。</w:t>
      </w:r>
    </w:p>
    <w:p>
      <w:pPr>
        <w:pStyle w:val="BodyText"/>
        <w:spacing w:line="318" w:lineRule="exact"/>
        <w:ind w:left="633" w:right="1125"/>
        <w:jc w:val="left"/>
      </w:pPr>
      <w:r>
        <w:rPr/>
        <w:t>（</w:t>
      </w:r>
      <w:r>
        <w:rPr>
          <w:rFonts w:ascii="Times New Roman" w:hAnsi="Times New Roman" w:cs="Times New Roman" w:eastAsia="Times New Roman" w:hint="default"/>
        </w:rPr>
        <w:t>1</w:t>
      </w:r>
      <w:r>
        <w:rPr/>
        <w:t>）各期基本每股收益和稀释每股收益金额列示</w:t>
      </w:r>
    </w:p>
    <w:p>
      <w:pPr>
        <w:spacing w:line="240" w:lineRule="auto" w:before="2"/>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4263"/>
        <w:gridCol w:w="1241"/>
        <w:gridCol w:w="1206"/>
        <w:gridCol w:w="1325"/>
        <w:gridCol w:w="1197"/>
      </w:tblGrid>
      <w:tr>
        <w:trPr>
          <w:trHeight w:val="285" w:hRule="exact"/>
        </w:trPr>
        <w:tc>
          <w:tcPr>
            <w:tcW w:w="4263" w:type="dxa"/>
            <w:tcBorders>
              <w:top w:val="nil" w:sz="6" w:space="0" w:color="auto"/>
              <w:left w:val="nil" w:sz="6" w:space="0" w:color="auto"/>
              <w:bottom w:val="nil" w:sz="6" w:space="0" w:color="auto"/>
              <w:right w:val="nil" w:sz="6" w:space="0" w:color="auto"/>
            </w:tcBorders>
          </w:tcPr>
          <w:p>
            <w:pPr>
              <w:pStyle w:val="TableParagraph"/>
              <w:spacing w:line="211" w:lineRule="exact"/>
              <w:ind w:left="21"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447" w:type="dxa"/>
            <w:gridSpan w:val="2"/>
            <w:tcBorders>
              <w:top w:val="nil" w:sz="6" w:space="0" w:color="auto"/>
              <w:left w:val="nil" w:sz="6" w:space="0" w:color="auto"/>
              <w:bottom w:val="single" w:sz="12" w:space="0" w:color="000000"/>
              <w:right w:val="nil" w:sz="6" w:space="0" w:color="auto"/>
            </w:tcBorders>
          </w:tcPr>
          <w:p>
            <w:pPr>
              <w:pStyle w:val="TableParagraph"/>
              <w:spacing w:line="211" w:lineRule="exact"/>
              <w:ind w:left="696"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522" w:type="dxa"/>
            <w:gridSpan w:val="2"/>
            <w:tcBorders>
              <w:top w:val="nil" w:sz="6" w:space="0" w:color="auto"/>
              <w:left w:val="nil" w:sz="6" w:space="0" w:color="auto"/>
              <w:bottom w:val="single" w:sz="12" w:space="0" w:color="000000"/>
              <w:right w:val="nil" w:sz="6" w:space="0" w:color="auto"/>
            </w:tcBorders>
          </w:tcPr>
          <w:p>
            <w:pPr>
              <w:pStyle w:val="TableParagraph"/>
              <w:spacing w:line="211" w:lineRule="exact"/>
              <w:ind w:left="735"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665" w:hRule="exact"/>
        </w:trPr>
        <w:tc>
          <w:tcPr>
            <w:tcW w:w="5504" w:type="dxa"/>
            <w:gridSpan w:val="2"/>
            <w:tcBorders>
              <w:top w:val="nil" w:sz="6" w:space="0" w:color="auto"/>
              <w:left w:val="nil" w:sz="6" w:space="0" w:color="auto"/>
              <w:bottom w:val="single" w:sz="12" w:space="0" w:color="000000"/>
              <w:right w:val="nil" w:sz="6" w:space="0" w:color="auto"/>
            </w:tcBorders>
          </w:tcPr>
          <w:p>
            <w:pPr>
              <w:pStyle w:val="TableParagraph"/>
              <w:spacing w:line="273" w:lineRule="auto" w:before="4"/>
              <w:ind w:left="4755" w:right="113" w:hanging="420"/>
              <w:jc w:val="left"/>
              <w:rPr>
                <w:rFonts w:ascii="宋体" w:hAnsi="宋体" w:cs="宋体" w:eastAsia="宋体" w:hint="default"/>
                <w:sz w:val="21"/>
                <w:szCs w:val="21"/>
              </w:rPr>
            </w:pPr>
            <w:r>
              <w:rPr>
                <w:rFonts w:ascii="宋体" w:hAnsi="宋体" w:cs="宋体" w:eastAsia="宋体" w:hint="default"/>
                <w:spacing w:val="-1"/>
                <w:sz w:val="21"/>
                <w:szCs w:val="21"/>
              </w:rPr>
              <w:t>基本每股收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益</w:t>
            </w:r>
          </w:p>
        </w:tc>
        <w:tc>
          <w:tcPr>
            <w:tcW w:w="1206" w:type="dxa"/>
            <w:tcBorders>
              <w:top w:val="single" w:sz="12" w:space="0" w:color="000000"/>
              <w:left w:val="nil" w:sz="6" w:space="0" w:color="auto"/>
              <w:bottom w:val="single" w:sz="12" w:space="0" w:color="000000"/>
              <w:right w:val="nil" w:sz="6" w:space="0" w:color="auto"/>
            </w:tcBorders>
          </w:tcPr>
          <w:p>
            <w:pPr>
              <w:pStyle w:val="TableParagraph"/>
              <w:spacing w:line="273" w:lineRule="auto"/>
              <w:ind w:left="475" w:right="95" w:hanging="420"/>
              <w:jc w:val="left"/>
              <w:rPr>
                <w:rFonts w:ascii="宋体" w:hAnsi="宋体" w:cs="宋体" w:eastAsia="宋体" w:hint="default"/>
                <w:sz w:val="21"/>
                <w:szCs w:val="21"/>
              </w:rPr>
            </w:pPr>
            <w:r>
              <w:rPr>
                <w:rFonts w:ascii="宋体" w:hAnsi="宋体" w:cs="宋体" w:eastAsia="宋体" w:hint="default"/>
                <w:spacing w:val="-1"/>
                <w:sz w:val="21"/>
                <w:szCs w:val="21"/>
              </w:rPr>
              <w:t>稀释每股收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益</w:t>
            </w:r>
          </w:p>
        </w:tc>
        <w:tc>
          <w:tcPr>
            <w:tcW w:w="1325" w:type="dxa"/>
            <w:tcBorders>
              <w:top w:val="single" w:sz="12" w:space="0" w:color="000000"/>
              <w:left w:val="nil" w:sz="6" w:space="0" w:color="auto"/>
              <w:bottom w:val="single" w:sz="12" w:space="0" w:color="000000"/>
              <w:right w:val="nil" w:sz="6" w:space="0" w:color="auto"/>
            </w:tcBorders>
          </w:tcPr>
          <w:p>
            <w:pPr>
              <w:pStyle w:val="TableParagraph"/>
              <w:spacing w:line="265" w:lineRule="exact"/>
              <w:ind w:right="49"/>
              <w:jc w:val="right"/>
              <w:rPr>
                <w:rFonts w:ascii="宋体" w:hAnsi="宋体" w:cs="宋体" w:eastAsia="宋体" w:hint="default"/>
                <w:sz w:val="21"/>
                <w:szCs w:val="21"/>
              </w:rPr>
            </w:pPr>
            <w:r>
              <w:rPr>
                <w:rFonts w:ascii="宋体" w:hAnsi="宋体" w:cs="宋体" w:eastAsia="宋体" w:hint="default"/>
                <w:spacing w:val="-1"/>
                <w:sz w:val="21"/>
                <w:szCs w:val="21"/>
              </w:rPr>
              <w:t>基本每股收益</w:t>
            </w:r>
          </w:p>
        </w:tc>
        <w:tc>
          <w:tcPr>
            <w:tcW w:w="1197" w:type="dxa"/>
            <w:tcBorders>
              <w:top w:val="single" w:sz="12" w:space="0" w:color="000000"/>
              <w:left w:val="nil" w:sz="6" w:space="0" w:color="auto"/>
              <w:bottom w:val="single" w:sz="12" w:space="0" w:color="000000"/>
              <w:right w:val="nil" w:sz="6" w:space="0" w:color="auto"/>
            </w:tcBorders>
          </w:tcPr>
          <w:p>
            <w:pPr>
              <w:pStyle w:val="TableParagraph"/>
              <w:spacing w:line="273" w:lineRule="auto"/>
              <w:ind w:left="471" w:right="89" w:hanging="420"/>
              <w:jc w:val="left"/>
              <w:rPr>
                <w:rFonts w:ascii="宋体" w:hAnsi="宋体" w:cs="宋体" w:eastAsia="宋体" w:hint="default"/>
                <w:sz w:val="21"/>
                <w:szCs w:val="21"/>
              </w:rPr>
            </w:pPr>
            <w:r>
              <w:rPr>
                <w:rFonts w:ascii="宋体" w:hAnsi="宋体" w:cs="宋体" w:eastAsia="宋体" w:hint="default"/>
                <w:spacing w:val="-1"/>
                <w:sz w:val="21"/>
                <w:szCs w:val="21"/>
              </w:rPr>
              <w:t>稀释每股收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益</w:t>
            </w:r>
          </w:p>
        </w:tc>
      </w:tr>
      <w:tr>
        <w:trPr>
          <w:trHeight w:val="353" w:hRule="exact"/>
        </w:trPr>
        <w:tc>
          <w:tcPr>
            <w:tcW w:w="4263"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2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right="53"/>
              <w:jc w:val="right"/>
              <w:rPr>
                <w:rFonts w:ascii="Times New Roman" w:hAnsi="Times New Roman" w:cs="Times New Roman" w:eastAsia="Times New Roman" w:hint="default"/>
                <w:sz w:val="21"/>
                <w:szCs w:val="21"/>
              </w:rPr>
            </w:pPr>
            <w:r>
              <w:rPr>
                <w:rFonts w:ascii="Times New Roman"/>
                <w:sz w:val="21"/>
              </w:rPr>
              <w:t>0.072</w:t>
            </w:r>
          </w:p>
        </w:tc>
        <w:tc>
          <w:tcPr>
            <w:tcW w:w="1206"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0.072</w:t>
            </w:r>
          </w:p>
        </w:tc>
        <w:tc>
          <w:tcPr>
            <w:tcW w:w="13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right="49"/>
              <w:jc w:val="right"/>
              <w:rPr>
                <w:rFonts w:ascii="Times New Roman" w:hAnsi="Times New Roman" w:cs="Times New Roman" w:eastAsia="Times New Roman" w:hint="default"/>
                <w:sz w:val="21"/>
                <w:szCs w:val="21"/>
              </w:rPr>
            </w:pPr>
            <w:r>
              <w:rPr>
                <w:rFonts w:ascii="Times New Roman"/>
                <w:sz w:val="21"/>
              </w:rPr>
              <w:t>0.070</w:t>
            </w:r>
          </w:p>
        </w:tc>
        <w:tc>
          <w:tcPr>
            <w:tcW w:w="11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0.070</w:t>
            </w:r>
          </w:p>
        </w:tc>
      </w:tr>
      <w:tr>
        <w:trPr>
          <w:trHeight w:val="665" w:hRule="exact"/>
        </w:trPr>
        <w:tc>
          <w:tcPr>
            <w:tcW w:w="4263" w:type="dxa"/>
            <w:tcBorders>
              <w:top w:val="single" w:sz="12" w:space="0" w:color="000000"/>
              <w:left w:val="nil" w:sz="6" w:space="0" w:color="auto"/>
              <w:bottom w:val="single" w:sz="12" w:space="0" w:color="000000"/>
              <w:right w:val="nil" w:sz="6" w:space="0" w:color="auto"/>
            </w:tcBorders>
          </w:tcPr>
          <w:p>
            <w:pPr>
              <w:pStyle w:val="TableParagraph"/>
              <w:spacing w:line="273" w:lineRule="auto"/>
              <w:ind w:left="26" w:right="29"/>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扣除非经常性损益后归属于公司普通股股东的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净利润</w:t>
            </w:r>
          </w:p>
        </w:tc>
        <w:tc>
          <w:tcPr>
            <w:tcW w:w="124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right="53"/>
              <w:jc w:val="right"/>
              <w:rPr>
                <w:rFonts w:ascii="Times New Roman" w:hAnsi="Times New Roman" w:cs="Times New Roman" w:eastAsia="Times New Roman" w:hint="default"/>
                <w:sz w:val="21"/>
                <w:szCs w:val="21"/>
              </w:rPr>
            </w:pPr>
            <w:r>
              <w:rPr>
                <w:rFonts w:ascii="Times New Roman"/>
                <w:sz w:val="21"/>
              </w:rPr>
              <w:t>0.058</w:t>
            </w:r>
          </w:p>
        </w:tc>
        <w:tc>
          <w:tcPr>
            <w:tcW w:w="1206"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0.058</w:t>
            </w:r>
          </w:p>
        </w:tc>
        <w:tc>
          <w:tcPr>
            <w:tcW w:w="1325"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right="49"/>
              <w:jc w:val="right"/>
              <w:rPr>
                <w:rFonts w:ascii="Times New Roman" w:hAnsi="Times New Roman" w:cs="Times New Roman" w:eastAsia="Times New Roman" w:hint="default"/>
                <w:sz w:val="21"/>
                <w:szCs w:val="21"/>
              </w:rPr>
            </w:pPr>
            <w:r>
              <w:rPr>
                <w:rFonts w:ascii="Times New Roman"/>
                <w:sz w:val="21"/>
              </w:rPr>
              <w:t>0.050</w:t>
            </w:r>
          </w:p>
        </w:tc>
        <w:tc>
          <w:tcPr>
            <w:tcW w:w="1197"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0.050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340" w:top="1060" w:bottom="1540" w:left="980" w:right="0"/>
        </w:sectPr>
      </w:pPr>
    </w:p>
    <w:p>
      <w:pPr>
        <w:spacing w:line="240" w:lineRule="auto" w:before="6"/>
        <w:rPr>
          <w:rFonts w:ascii="宋体" w:hAnsi="宋体" w:cs="宋体" w:eastAsia="宋体" w:hint="default"/>
          <w:sz w:val="23"/>
          <w:szCs w:val="23"/>
        </w:rPr>
      </w:pPr>
      <w:r>
        <w:rPr/>
        <w:pict>
          <v:group style="position:absolute;margin-left:460.320007pt;margin-top:764.919983pt;width:135pt;height:77pt;mso-position-horizontal-relative:page;mso-position-vertical-relative:page;z-index:-1259992" coordorigin="9206,15298" coordsize="2700,1540">
            <v:shape style="position:absolute;left:9206;top:15298;width:2700;height:1540" type="#_x0000_t75" stroked="false">
              <v:imagedata r:id="rId18"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183</w:t>
                    </w:r>
                  </w:p>
                </w:txbxContent>
              </v:textbox>
              <w10:wrap type="none"/>
            </v:shape>
            <w10:wrap type="none"/>
          </v:group>
        </w:pict>
      </w:r>
    </w:p>
    <w:p>
      <w:pPr>
        <w:pStyle w:val="BodyText"/>
        <w:spacing w:line="312" w:lineRule="exact" w:before="56"/>
        <w:ind w:left="633" w:right="1125"/>
        <w:jc w:val="left"/>
      </w:pPr>
      <w:r>
        <w:rPr/>
        <w:t>（</w:t>
      </w:r>
      <w:r>
        <w:rPr>
          <w:rFonts w:ascii="Times New Roman" w:hAnsi="Times New Roman" w:cs="Times New Roman" w:eastAsia="Times New Roman" w:hint="default"/>
        </w:rPr>
        <w:t>2</w:t>
      </w:r>
      <w:r>
        <w:rPr/>
        <w:t>）每股收益和稀释每股收益的计算过程 于报告期内，本公司不存在具有稀释性的潜在普通股，因此，稀释每股收益等于基本每</w:t>
      </w:r>
    </w:p>
    <w:p>
      <w:pPr>
        <w:pStyle w:val="BodyText"/>
        <w:spacing w:line="282" w:lineRule="exact"/>
        <w:ind w:right="1125"/>
        <w:jc w:val="left"/>
      </w:pPr>
      <w:r>
        <w:rPr/>
        <w:t>股收益。</w:t>
      </w:r>
    </w:p>
    <w:p>
      <w:pPr>
        <w:pStyle w:val="BodyText"/>
        <w:spacing w:line="313" w:lineRule="exact"/>
        <w:ind w:left="537" w:right="1125"/>
        <w:jc w:val="left"/>
      </w:pPr>
      <w:r>
        <w:rPr>
          <w:sz w:val="21"/>
          <w:szCs w:val="21"/>
        </w:rPr>
        <w:t>①</w:t>
      </w:r>
      <w:r>
        <w:rPr/>
        <w:t>计算基本每股收益时，归属于普通股股东的当期净利润为：</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5226"/>
        <w:gridCol w:w="2181"/>
        <w:gridCol w:w="1826"/>
      </w:tblGrid>
      <w:tr>
        <w:trPr>
          <w:trHeight w:val="285" w:hRule="exact"/>
        </w:trPr>
        <w:tc>
          <w:tcPr>
            <w:tcW w:w="5226" w:type="dxa"/>
            <w:tcBorders>
              <w:top w:val="nil" w:sz="6" w:space="0" w:color="auto"/>
              <w:left w:val="nil" w:sz="6" w:space="0" w:color="auto"/>
              <w:bottom w:val="single" w:sz="12" w:space="0" w:color="000000"/>
              <w:right w:val="nil" w:sz="6" w:space="0" w:color="auto"/>
            </w:tcBorders>
          </w:tcPr>
          <w:p>
            <w:pPr>
              <w:pStyle w:val="TableParagraph"/>
              <w:spacing w:line="211" w:lineRule="exact"/>
              <w:ind w:right="125"/>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2181" w:type="dxa"/>
            <w:tcBorders>
              <w:top w:val="nil" w:sz="6" w:space="0" w:color="auto"/>
              <w:left w:val="nil" w:sz="6" w:space="0" w:color="auto"/>
              <w:bottom w:val="single" w:sz="12" w:space="0" w:color="000000"/>
              <w:right w:val="nil" w:sz="6" w:space="0" w:color="auto"/>
            </w:tcBorders>
          </w:tcPr>
          <w:p>
            <w:pPr>
              <w:pStyle w:val="TableParagraph"/>
              <w:spacing w:line="211" w:lineRule="exact"/>
              <w:ind w:left="365"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826" w:type="dxa"/>
            <w:tcBorders>
              <w:top w:val="nil" w:sz="6" w:space="0" w:color="auto"/>
              <w:left w:val="nil" w:sz="6" w:space="0" w:color="auto"/>
              <w:bottom w:val="single" w:sz="12" w:space="0" w:color="000000"/>
              <w:right w:val="nil" w:sz="6" w:space="0" w:color="auto"/>
            </w:tcBorders>
          </w:tcPr>
          <w:p>
            <w:pPr>
              <w:pStyle w:val="TableParagraph"/>
              <w:spacing w:line="211" w:lineRule="exact"/>
              <w:ind w:left="260"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53" w:hRule="exact"/>
        </w:trPr>
        <w:tc>
          <w:tcPr>
            <w:tcW w:w="5226" w:type="dxa"/>
            <w:tcBorders>
              <w:top w:val="single" w:sz="12" w:space="0" w:color="000000"/>
              <w:left w:val="nil" w:sz="6" w:space="0" w:color="auto"/>
              <w:bottom w:val="single" w:sz="12" w:space="0" w:color="000000"/>
              <w:right w:val="nil" w:sz="6" w:space="0" w:color="auto"/>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归属于普通股股东的当期净利润</w:t>
            </w:r>
          </w:p>
        </w:tc>
        <w:tc>
          <w:tcPr>
            <w:tcW w:w="21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6"/>
              <w:ind w:right="258"/>
              <w:jc w:val="right"/>
              <w:rPr>
                <w:rFonts w:ascii="Times New Roman" w:hAnsi="Times New Roman" w:cs="Times New Roman" w:eastAsia="Times New Roman" w:hint="default"/>
                <w:sz w:val="21"/>
                <w:szCs w:val="21"/>
              </w:rPr>
            </w:pPr>
            <w:r>
              <w:rPr>
                <w:rFonts w:ascii="Times New Roman"/>
                <w:spacing w:val="-1"/>
                <w:sz w:val="21"/>
              </w:rPr>
              <w:t>25,005,713.64</w:t>
            </w:r>
          </w:p>
        </w:tc>
        <w:tc>
          <w:tcPr>
            <w:tcW w:w="18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36"/>
              <w:ind w:right="7"/>
              <w:jc w:val="right"/>
              <w:rPr>
                <w:rFonts w:ascii="Times New Roman" w:hAnsi="Times New Roman" w:cs="Times New Roman" w:eastAsia="Times New Roman" w:hint="default"/>
                <w:sz w:val="21"/>
                <w:szCs w:val="21"/>
              </w:rPr>
            </w:pPr>
            <w:r>
              <w:rPr>
                <w:rFonts w:ascii="Times New Roman"/>
                <w:spacing w:val="-1"/>
                <w:sz w:val="21"/>
              </w:rPr>
              <w:t>23,473,158.66</w:t>
            </w:r>
          </w:p>
        </w:tc>
      </w:tr>
      <w:tr>
        <w:trPr>
          <w:trHeight w:val="353" w:hRule="exact"/>
        </w:trPr>
        <w:tc>
          <w:tcPr>
            <w:tcW w:w="5226"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其中：归属于持续经营的净利润</w:t>
            </w:r>
          </w:p>
        </w:tc>
        <w:tc>
          <w:tcPr>
            <w:tcW w:w="21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right="258"/>
              <w:jc w:val="right"/>
              <w:rPr>
                <w:rFonts w:ascii="Times New Roman" w:hAnsi="Times New Roman" w:cs="Times New Roman" w:eastAsia="Times New Roman" w:hint="default"/>
                <w:sz w:val="21"/>
                <w:szCs w:val="21"/>
              </w:rPr>
            </w:pPr>
            <w:r>
              <w:rPr>
                <w:rFonts w:ascii="Times New Roman"/>
                <w:spacing w:val="-1"/>
                <w:sz w:val="21"/>
              </w:rPr>
              <w:t>25,005,713.64</w:t>
            </w:r>
          </w:p>
        </w:tc>
        <w:tc>
          <w:tcPr>
            <w:tcW w:w="18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23,473,158.66</w:t>
            </w:r>
          </w:p>
        </w:tc>
      </w:tr>
      <w:tr>
        <w:trPr>
          <w:trHeight w:val="350" w:hRule="exact"/>
        </w:trPr>
        <w:tc>
          <w:tcPr>
            <w:tcW w:w="5226"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614" w:right="0"/>
              <w:jc w:val="left"/>
              <w:rPr>
                <w:rFonts w:ascii="宋体" w:hAnsi="宋体" w:cs="宋体" w:eastAsia="宋体" w:hint="default"/>
                <w:sz w:val="21"/>
                <w:szCs w:val="21"/>
              </w:rPr>
            </w:pPr>
            <w:r>
              <w:rPr>
                <w:rFonts w:ascii="宋体" w:hAnsi="宋体" w:cs="宋体" w:eastAsia="宋体" w:hint="default"/>
                <w:sz w:val="21"/>
                <w:szCs w:val="21"/>
              </w:rPr>
              <w:t>归属于终止经营的净利润</w:t>
            </w:r>
          </w:p>
        </w:tc>
        <w:tc>
          <w:tcPr>
            <w:tcW w:w="2181" w:type="dxa"/>
            <w:tcBorders>
              <w:top w:val="single" w:sz="12" w:space="0" w:color="000000"/>
              <w:left w:val="nil" w:sz="6" w:space="0" w:color="auto"/>
              <w:bottom w:val="single" w:sz="12" w:space="0" w:color="000000"/>
              <w:right w:val="nil" w:sz="6" w:space="0" w:color="auto"/>
            </w:tcBorders>
          </w:tcPr>
          <w:p>
            <w:pPr/>
          </w:p>
        </w:tc>
        <w:tc>
          <w:tcPr>
            <w:tcW w:w="1826"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5226" w:type="dxa"/>
            <w:tcBorders>
              <w:top w:val="single" w:sz="12" w:space="0" w:color="000000"/>
              <w:left w:val="nil" w:sz="6" w:space="0" w:color="auto"/>
              <w:bottom w:val="single" w:sz="12" w:space="0" w:color="000000"/>
              <w:right w:val="nil" w:sz="6" w:space="0" w:color="auto"/>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w:t>
            </w:r>
          </w:p>
        </w:tc>
        <w:tc>
          <w:tcPr>
            <w:tcW w:w="21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6"/>
              <w:ind w:right="258"/>
              <w:jc w:val="right"/>
              <w:rPr>
                <w:rFonts w:ascii="Times New Roman" w:hAnsi="Times New Roman" w:cs="Times New Roman" w:eastAsia="Times New Roman" w:hint="default"/>
                <w:sz w:val="21"/>
                <w:szCs w:val="21"/>
              </w:rPr>
            </w:pPr>
            <w:r>
              <w:rPr>
                <w:rFonts w:ascii="Times New Roman"/>
                <w:spacing w:val="-1"/>
                <w:sz w:val="21"/>
              </w:rPr>
              <w:t>20,169,145.84</w:t>
            </w:r>
          </w:p>
        </w:tc>
        <w:tc>
          <w:tcPr>
            <w:tcW w:w="18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36"/>
              <w:ind w:right="7"/>
              <w:jc w:val="right"/>
              <w:rPr>
                <w:rFonts w:ascii="Times New Roman" w:hAnsi="Times New Roman" w:cs="Times New Roman" w:eastAsia="Times New Roman" w:hint="default"/>
                <w:sz w:val="21"/>
                <w:szCs w:val="21"/>
              </w:rPr>
            </w:pPr>
            <w:r>
              <w:rPr>
                <w:rFonts w:ascii="Times New Roman"/>
                <w:spacing w:val="-1"/>
                <w:sz w:val="21"/>
              </w:rPr>
              <w:t>17,639,200.43</w:t>
            </w:r>
          </w:p>
        </w:tc>
      </w:tr>
      <w:tr>
        <w:trPr>
          <w:trHeight w:val="353" w:hRule="exact"/>
        </w:trPr>
        <w:tc>
          <w:tcPr>
            <w:tcW w:w="5226"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其中：归属于持续经营的净利润</w:t>
            </w:r>
          </w:p>
        </w:tc>
        <w:tc>
          <w:tcPr>
            <w:tcW w:w="21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right="258"/>
              <w:jc w:val="right"/>
              <w:rPr>
                <w:rFonts w:ascii="Times New Roman" w:hAnsi="Times New Roman" w:cs="Times New Roman" w:eastAsia="Times New Roman" w:hint="default"/>
                <w:sz w:val="21"/>
                <w:szCs w:val="21"/>
              </w:rPr>
            </w:pPr>
            <w:r>
              <w:rPr>
                <w:rFonts w:ascii="Times New Roman"/>
                <w:spacing w:val="-1"/>
                <w:sz w:val="21"/>
              </w:rPr>
              <w:t>20,169,145.84</w:t>
            </w:r>
          </w:p>
        </w:tc>
        <w:tc>
          <w:tcPr>
            <w:tcW w:w="18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pacing w:val="-1"/>
                <w:sz w:val="21"/>
              </w:rPr>
              <w:t>17,639,200.43</w:t>
            </w:r>
          </w:p>
        </w:tc>
      </w:tr>
      <w:tr>
        <w:trPr>
          <w:trHeight w:val="353" w:hRule="exact"/>
        </w:trPr>
        <w:tc>
          <w:tcPr>
            <w:tcW w:w="5226"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614" w:right="0"/>
              <w:jc w:val="left"/>
              <w:rPr>
                <w:rFonts w:ascii="宋体" w:hAnsi="宋体" w:cs="宋体" w:eastAsia="宋体" w:hint="default"/>
                <w:sz w:val="21"/>
                <w:szCs w:val="21"/>
              </w:rPr>
            </w:pPr>
            <w:r>
              <w:rPr>
                <w:rFonts w:ascii="宋体" w:hAnsi="宋体" w:cs="宋体" w:eastAsia="宋体" w:hint="default"/>
                <w:sz w:val="21"/>
                <w:szCs w:val="21"/>
              </w:rPr>
              <w:t>归属于终止经营的净利润</w:t>
            </w:r>
          </w:p>
        </w:tc>
        <w:tc>
          <w:tcPr>
            <w:tcW w:w="2181" w:type="dxa"/>
            <w:tcBorders>
              <w:top w:val="single" w:sz="12" w:space="0" w:color="000000"/>
              <w:left w:val="nil" w:sz="6" w:space="0" w:color="auto"/>
              <w:bottom w:val="single" w:sz="12" w:space="0" w:color="000000"/>
              <w:right w:val="nil" w:sz="6" w:space="0" w:color="auto"/>
            </w:tcBorders>
          </w:tcPr>
          <w:p>
            <w:pPr/>
          </w:p>
        </w:tc>
        <w:tc>
          <w:tcPr>
            <w:tcW w:w="1826" w:type="dxa"/>
            <w:tcBorders>
              <w:top w:val="single" w:sz="12" w:space="0" w:color="000000"/>
              <w:left w:val="nil" w:sz="6" w:space="0" w:color="auto"/>
              <w:bottom w:val="single" w:sz="12" w:space="0" w:color="000000"/>
              <w:right w:val="nil" w:sz="6" w:space="0" w:color="auto"/>
            </w:tcBorders>
          </w:tcPr>
          <w:p>
            <w:pPr/>
          </w:p>
        </w:tc>
      </w:tr>
    </w:tbl>
    <w:p>
      <w:pPr>
        <w:spacing w:line="240" w:lineRule="auto" w:before="11"/>
        <w:rPr>
          <w:rFonts w:ascii="宋体" w:hAnsi="宋体" w:cs="宋体" w:eastAsia="宋体" w:hint="default"/>
          <w:sz w:val="18"/>
          <w:szCs w:val="18"/>
        </w:rPr>
      </w:pPr>
    </w:p>
    <w:p>
      <w:pPr>
        <w:pStyle w:val="BodyText"/>
        <w:spacing w:line="240" w:lineRule="auto" w:before="26"/>
        <w:ind w:left="633" w:right="1125"/>
        <w:jc w:val="left"/>
      </w:pPr>
      <w:r>
        <w:rPr/>
        <w:t>②计算基本每股收益时，分母为发行在外普通股加权平均数，计算过程如下：</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4218"/>
        <w:gridCol w:w="3189"/>
        <w:gridCol w:w="1826"/>
      </w:tblGrid>
      <w:tr>
        <w:trPr>
          <w:trHeight w:val="285" w:hRule="exact"/>
        </w:trPr>
        <w:tc>
          <w:tcPr>
            <w:tcW w:w="4218" w:type="dxa"/>
            <w:tcBorders>
              <w:top w:val="nil" w:sz="6" w:space="0" w:color="auto"/>
              <w:left w:val="nil" w:sz="6" w:space="0" w:color="auto"/>
              <w:bottom w:val="single" w:sz="12" w:space="0" w:color="000000"/>
              <w:right w:val="nil" w:sz="6" w:space="0" w:color="auto"/>
            </w:tcBorders>
          </w:tcPr>
          <w:p>
            <w:pPr>
              <w:pStyle w:val="TableParagraph"/>
              <w:spacing w:line="211" w:lineRule="exact"/>
              <w:ind w:left="2254"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3189" w:type="dxa"/>
            <w:tcBorders>
              <w:top w:val="nil" w:sz="6" w:space="0" w:color="auto"/>
              <w:left w:val="nil" w:sz="6" w:space="0" w:color="auto"/>
              <w:bottom w:val="single" w:sz="12" w:space="0" w:color="000000"/>
              <w:right w:val="nil" w:sz="6" w:space="0" w:color="auto"/>
            </w:tcBorders>
          </w:tcPr>
          <w:p>
            <w:pPr>
              <w:pStyle w:val="TableParagraph"/>
              <w:spacing w:line="211" w:lineRule="exact"/>
              <w:ind w:left="1373"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1826" w:type="dxa"/>
            <w:tcBorders>
              <w:top w:val="nil" w:sz="6" w:space="0" w:color="auto"/>
              <w:left w:val="nil" w:sz="6" w:space="0" w:color="auto"/>
              <w:bottom w:val="single" w:sz="12" w:space="0" w:color="000000"/>
              <w:right w:val="nil" w:sz="6" w:space="0" w:color="auto"/>
            </w:tcBorders>
          </w:tcPr>
          <w:p>
            <w:pPr>
              <w:pStyle w:val="TableParagraph"/>
              <w:spacing w:line="211" w:lineRule="exact"/>
              <w:ind w:left="260" w:right="0"/>
              <w:jc w:val="left"/>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353" w:hRule="exact"/>
        </w:trPr>
        <w:tc>
          <w:tcPr>
            <w:tcW w:w="4218" w:type="dxa"/>
            <w:tcBorders>
              <w:top w:val="single" w:sz="12" w:space="0" w:color="000000"/>
              <w:left w:val="nil" w:sz="6" w:space="0" w:color="auto"/>
              <w:bottom w:val="single" w:sz="12" w:space="0" w:color="000000"/>
              <w:right w:val="nil" w:sz="6" w:space="0" w:color="auto"/>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年初发行在外的普通股股数</w:t>
            </w:r>
          </w:p>
        </w:tc>
        <w:tc>
          <w:tcPr>
            <w:tcW w:w="31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36"/>
              <w:ind w:right="258"/>
              <w:jc w:val="right"/>
              <w:rPr>
                <w:rFonts w:ascii="Times New Roman" w:hAnsi="Times New Roman" w:cs="Times New Roman" w:eastAsia="Times New Roman" w:hint="default"/>
                <w:sz w:val="21"/>
                <w:szCs w:val="21"/>
              </w:rPr>
            </w:pPr>
            <w:r>
              <w:rPr>
                <w:rFonts w:ascii="Times New Roman"/>
                <w:spacing w:val="-1"/>
                <w:sz w:val="21"/>
              </w:rPr>
              <w:t>332,900,000.00</w:t>
            </w:r>
          </w:p>
        </w:tc>
        <w:tc>
          <w:tcPr>
            <w:tcW w:w="18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36"/>
              <w:ind w:right="7"/>
              <w:jc w:val="right"/>
              <w:rPr>
                <w:rFonts w:ascii="Times New Roman" w:hAnsi="Times New Roman" w:cs="Times New Roman" w:eastAsia="Times New Roman" w:hint="default"/>
                <w:sz w:val="21"/>
                <w:szCs w:val="21"/>
              </w:rPr>
            </w:pPr>
            <w:r>
              <w:rPr>
                <w:rFonts w:ascii="Times New Roman"/>
                <w:spacing w:val="-1"/>
                <w:sz w:val="21"/>
              </w:rPr>
              <w:t>332,900,000.00</w:t>
            </w:r>
          </w:p>
        </w:tc>
      </w:tr>
      <w:tr>
        <w:trPr>
          <w:trHeight w:val="350" w:hRule="exact"/>
        </w:trPr>
        <w:tc>
          <w:tcPr>
            <w:tcW w:w="4218" w:type="dxa"/>
            <w:tcBorders>
              <w:top w:val="single" w:sz="12" w:space="0" w:color="000000"/>
              <w:left w:val="nil" w:sz="6" w:space="0" w:color="auto"/>
              <w:bottom w:val="single" w:sz="12" w:space="0" w:color="000000"/>
              <w:right w:val="nil" w:sz="6" w:space="0" w:color="auto"/>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加：本年发行的普通股加权数</w:t>
            </w:r>
          </w:p>
        </w:tc>
        <w:tc>
          <w:tcPr>
            <w:tcW w:w="31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right="258"/>
              <w:jc w:val="right"/>
              <w:rPr>
                <w:rFonts w:ascii="Times New Roman" w:hAnsi="Times New Roman" w:cs="Times New Roman" w:eastAsia="Times New Roman" w:hint="default"/>
                <w:sz w:val="21"/>
                <w:szCs w:val="21"/>
              </w:rPr>
            </w:pPr>
            <w:r>
              <w:rPr>
                <w:rFonts w:ascii="Times New Roman"/>
                <w:spacing w:val="-1"/>
                <w:sz w:val="21"/>
              </w:rPr>
              <w:t>15,253,333.33</w:t>
            </w:r>
          </w:p>
        </w:tc>
        <w:tc>
          <w:tcPr>
            <w:tcW w:w="1826"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4218" w:type="dxa"/>
            <w:tcBorders>
              <w:top w:val="single" w:sz="12" w:space="0" w:color="000000"/>
              <w:left w:val="nil" w:sz="6" w:space="0" w:color="auto"/>
              <w:bottom w:val="single" w:sz="12" w:space="0" w:color="000000"/>
              <w:right w:val="nil" w:sz="6" w:space="0" w:color="auto"/>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减：本年回购的普通股加权数</w:t>
            </w:r>
          </w:p>
        </w:tc>
        <w:tc>
          <w:tcPr>
            <w:tcW w:w="3189" w:type="dxa"/>
            <w:tcBorders>
              <w:top w:val="single" w:sz="12" w:space="0" w:color="000000"/>
              <w:left w:val="nil" w:sz="6" w:space="0" w:color="auto"/>
              <w:bottom w:val="single" w:sz="12" w:space="0" w:color="000000"/>
              <w:right w:val="nil" w:sz="6" w:space="0" w:color="auto"/>
            </w:tcBorders>
          </w:tcPr>
          <w:p>
            <w:pPr/>
          </w:p>
        </w:tc>
        <w:tc>
          <w:tcPr>
            <w:tcW w:w="1826"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4218" w:type="dxa"/>
            <w:tcBorders>
              <w:top w:val="single" w:sz="12" w:space="0" w:color="000000"/>
              <w:left w:val="nil" w:sz="6" w:space="0" w:color="auto"/>
              <w:bottom w:val="single" w:sz="12" w:space="0" w:color="000000"/>
              <w:right w:val="nil" w:sz="6" w:space="0" w:color="auto"/>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年末发行在外的普通股加权数</w:t>
            </w:r>
          </w:p>
        </w:tc>
        <w:tc>
          <w:tcPr>
            <w:tcW w:w="3189" w:type="dxa"/>
            <w:tcBorders>
              <w:top w:val="single" w:sz="12" w:space="0" w:color="000000"/>
              <w:left w:val="nil" w:sz="6" w:space="0" w:color="auto"/>
              <w:bottom w:val="single" w:sz="12" w:space="0" w:color="000000"/>
              <w:right w:val="nil" w:sz="6" w:space="0" w:color="auto"/>
            </w:tcBorders>
          </w:tcPr>
          <w:p>
            <w:pPr>
              <w:pStyle w:val="TableParagraph"/>
              <w:spacing w:line="240" w:lineRule="auto" w:before="36"/>
              <w:ind w:right="258"/>
              <w:jc w:val="right"/>
              <w:rPr>
                <w:rFonts w:ascii="Times New Roman" w:hAnsi="Times New Roman" w:cs="Times New Roman" w:eastAsia="Times New Roman" w:hint="default"/>
                <w:sz w:val="21"/>
                <w:szCs w:val="21"/>
              </w:rPr>
            </w:pPr>
            <w:r>
              <w:rPr>
                <w:rFonts w:ascii="Times New Roman"/>
                <w:spacing w:val="-1"/>
                <w:sz w:val="21"/>
              </w:rPr>
              <w:t>348,153,333.33</w:t>
            </w:r>
          </w:p>
        </w:tc>
        <w:tc>
          <w:tcPr>
            <w:tcW w:w="1826" w:type="dxa"/>
            <w:tcBorders>
              <w:top w:val="single" w:sz="12" w:space="0" w:color="000000"/>
              <w:left w:val="nil" w:sz="6" w:space="0" w:color="auto"/>
              <w:bottom w:val="single" w:sz="12" w:space="0" w:color="000000"/>
              <w:right w:val="nil" w:sz="6" w:space="0" w:color="auto"/>
            </w:tcBorders>
          </w:tcPr>
          <w:p>
            <w:pPr>
              <w:pStyle w:val="TableParagraph"/>
              <w:spacing w:line="240" w:lineRule="auto" w:before="36"/>
              <w:ind w:right="7"/>
              <w:jc w:val="right"/>
              <w:rPr>
                <w:rFonts w:ascii="Times New Roman" w:hAnsi="Times New Roman" w:cs="Times New Roman" w:eastAsia="Times New Roman" w:hint="default"/>
                <w:sz w:val="21"/>
                <w:szCs w:val="21"/>
              </w:rPr>
            </w:pPr>
            <w:r>
              <w:rPr>
                <w:rFonts w:ascii="Times New Roman"/>
                <w:spacing w:val="-1"/>
                <w:sz w:val="21"/>
              </w:rPr>
              <w:t>332,900,000.00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29"/>
        <w:gridCol w:w="2536"/>
        <w:gridCol w:w="2393"/>
      </w:tblGrid>
      <w:tr>
        <w:trPr>
          <w:trHeight w:val="401"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53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1,376,513.18</w:t>
            </w:r>
          </w:p>
        </w:tc>
      </w:tr>
      <w:tr>
        <w:trPr>
          <w:trHeight w:val="401"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小计</w:t>
            </w:r>
          </w:p>
        </w:tc>
        <w:tc>
          <w:tcPr>
            <w:tcW w:w="253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1,376,513.18</w:t>
            </w:r>
          </w:p>
        </w:tc>
      </w:tr>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1,376,513.18</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其他综合收益说明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68</w:t>
      </w:r>
      <w:r>
        <w:rPr>
          <w:rFonts w:ascii="宋体" w:hAnsi="宋体" w:cs="宋体" w:eastAsia="宋体" w:hint="default"/>
          <w:b/>
          <w:bCs/>
          <w:sz w:val="21"/>
          <w:szCs w:val="21"/>
        </w:rPr>
        <w:t>、现金流量表附注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2,903,941.51</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92,551,717.78</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罚款、违约金、赔偿金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60,406.62</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3,172,591.50</w:t>
            </w:r>
          </w:p>
        </w:tc>
      </w:tr>
    </w:tbl>
    <w:p>
      <w:pPr>
        <w:spacing w:after="0" w:line="240" w:lineRule="auto"/>
        <w:jc w:val="right"/>
        <w:rPr>
          <w:rFonts w:ascii="Times New Roman" w:hAnsi="Times New Roman" w:cs="Times New Roman" w:eastAsia="Times New Roman" w:hint="default"/>
          <w:sz w:val="18"/>
          <w:szCs w:val="18"/>
        </w:rPr>
        <w:sectPr>
          <w:headerReference w:type="default" r:id="rId92"/>
          <w:footerReference w:type="default" r:id="rId93"/>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收回个人借款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94,598.74</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13,550,000.00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3,476,947.00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5,854,179.67</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121,664,382.82</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700,300.17</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6,656,033.99</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4,215,437.97</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1,899,753.23</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1,613,176.92</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3,048,824.36</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2,787,387.42</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583,214.72</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14,306,237.47</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1,405,086.90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-75,074.72</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718,804.80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运输邮寄费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3,081,880.68</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广告宣传展览费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2,232,505.75</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80,554,617.90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9,567,221.71</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1,647,354.15</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7,224,755.55</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142,167,518.97</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after="0" w:line="240" w:lineRule="auto"/>
        <w:jc w:val="center"/>
        <w:rPr>
          <w:rFonts w:ascii="宋体" w:hAnsi="宋体" w:cs="宋体" w:eastAsia="宋体" w:hint="default"/>
          <w:sz w:val="18"/>
          <w:szCs w:val="18"/>
        </w:rPr>
        <w:sectPr>
          <w:footerReference w:type="default" r:id="rId94"/>
          <w:pgSz w:w="11910" w:h="16840"/>
          <w:pgMar w:footer="1340" w:header="877" w:top="1060" w:bottom="1540" w:left="980" w:right="0"/>
          <w:pgNumType w:start="184"/>
        </w:sectPr>
      </w:pPr>
    </w:p>
    <w:p>
      <w:pPr>
        <w:spacing w:line="240" w:lineRule="auto" w:before="9"/>
        <w:rPr>
          <w:rFonts w:ascii="宋体" w:hAnsi="宋体" w:cs="宋体" w:eastAsia="宋体" w:hint="default"/>
          <w:sz w:val="25"/>
          <w:szCs w:val="25"/>
        </w:rPr>
      </w:pPr>
    </w:p>
    <w:p>
      <w:pPr>
        <w:spacing w:before="44"/>
        <w:ind w:left="152" w:right="1125"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spacing w:before="12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spacing w:before="12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增发费用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8,311,840.00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委托贷款手续费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267,935.00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短期融资券发行费用</w:t>
            </w:r>
          </w:p>
        </w:tc>
        <w:tc>
          <w:tcPr>
            <w:tcW w:w="39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8,579,775.00</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22,499,035.11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27,157,683.10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34,243,468.53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12,081,625.36</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31,502,119.96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28,166,262.62</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14,295,144.30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13,821,574.60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6,234,694.91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14,053,139.07</w:t>
            </w:r>
          </w:p>
        </w:tc>
      </w:tr>
      <w:tr>
        <w:trPr>
          <w:trHeight w:val="71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507,104.65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21,591.78</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74,271.28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93,816.23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58,790,845.86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39,678,223.19</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-2,816,346.84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-288,495.95</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-3,784,234.77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-1,535,158.06</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92,670,425.31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-19,873,442.86</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-458,573,983.44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-77,614,343.12</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167,785,223.25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-395,343,182.11</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-36,572,231.89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-359,580,706.15</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1,189,015,013.11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313,912,044.28</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313,912,044.28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535,001,097.49</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875,102,968.83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-221,089,053.21</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）本报告期取得或处置子公司及其他营业单位的相关信息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取得子公司及其他营业单</w:t>
            </w:r>
            <w:r>
              <w:rPr>
                <w:rFonts w:ascii="宋体" w:hAnsi="宋体" w:cs="宋体" w:eastAsia="宋体" w:hint="default"/>
                <w:spacing w:val="-3"/>
                <w:sz w:val="18"/>
                <w:szCs w:val="18"/>
              </w:rPr>
              <w:t>位</w:t>
            </w:r>
            <w:r>
              <w:rPr>
                <w:rFonts w:ascii="宋体" w:hAnsi="宋体" w:cs="宋体" w:eastAsia="宋体" w:hint="default"/>
                <w:sz w:val="18"/>
                <w:szCs w:val="18"/>
              </w:rPr>
              <w:t>支付的现金和现金等价物</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71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1,369,595.46</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5,630,404.54</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5,231,496.48</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20,658,036.80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416,257.78</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15,842,798.10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1,189,015,013.11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313,912,044.28</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165,653.58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649,673.19</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1,187,842,465.08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306,575,947.54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387"/>
        <w:gridCol w:w="2525"/>
        <w:gridCol w:w="2657"/>
      </w:tblGrid>
      <w:tr>
        <w:trPr>
          <w:trHeight w:val="401"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1,006,894.45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6,686,423.55</w:t>
            </w:r>
          </w:p>
        </w:tc>
      </w:tr>
      <w:tr>
        <w:trPr>
          <w:trHeight w:val="403"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1,189,015,013.11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313,912,044.28</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现金流量表补充资料的说明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、所有者权益变动表项目注释</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2314" w:firstLine="0"/>
        <w:jc w:val="left"/>
        <w:rPr>
          <w:rFonts w:ascii="宋体" w:hAnsi="宋体" w:cs="宋体" w:eastAsia="宋体" w:hint="default"/>
          <w:sz w:val="18"/>
          <w:szCs w:val="18"/>
        </w:rPr>
      </w:pPr>
      <w:r>
        <w:rPr>
          <w:rFonts w:ascii="宋体" w:hAnsi="宋体" w:cs="宋体" w:eastAsia="宋体" w:hint="default"/>
          <w:sz w:val="18"/>
          <w:szCs w:val="18"/>
        </w:rPr>
        <w:t>说明对上年年末余额进行调整的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项目名称及调整金额、由同一控制下企业合并产生的追溯调整等事项 无</w:t>
      </w:r>
    </w:p>
    <w:p>
      <w:pPr>
        <w:spacing w:line="240" w:lineRule="auto" w:before="6"/>
        <w:rPr>
          <w:rFonts w:ascii="宋体" w:hAnsi="宋体" w:cs="宋体" w:eastAsia="宋体" w:hint="default"/>
          <w:sz w:val="19"/>
          <w:szCs w:val="19"/>
        </w:rPr>
      </w:pPr>
    </w:p>
    <w:p>
      <w:pPr>
        <w:spacing w:line="506" w:lineRule="auto" w:before="0"/>
        <w:ind w:left="152" w:right="3853" w:firstLine="0"/>
        <w:jc w:val="left"/>
        <w:rPr>
          <w:rFonts w:ascii="宋体" w:hAnsi="宋体" w:cs="宋体" w:eastAsia="宋体" w:hint="default"/>
          <w:sz w:val="18"/>
          <w:szCs w:val="18"/>
        </w:rPr>
      </w:pPr>
      <w:r>
        <w:rPr>
          <w:rFonts w:ascii="宋体" w:hAnsi="宋体" w:cs="宋体" w:eastAsia="宋体" w:hint="default"/>
          <w:b/>
          <w:bCs/>
          <w:sz w:val="24"/>
          <w:szCs w:val="24"/>
        </w:rPr>
        <w:t>八、资产证券化业务的会计处理</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、说明资产证券化业务的主要交易安排及其会计处理、破产隔离条款</w:t>
      </w:r>
      <w:r>
        <w:rPr>
          <w:rFonts w:ascii="宋体" w:hAnsi="宋体" w:cs="宋体" w:eastAsia="宋体" w:hint="default"/>
          <w:b/>
          <w:bCs/>
          <w:spacing w:val="-75"/>
          <w:sz w:val="21"/>
          <w:szCs w:val="21"/>
        </w:rPr>
        <w:t> </w:t>
      </w:r>
      <w:r>
        <w:rPr>
          <w:rFonts w:ascii="宋体" w:hAnsi="宋体" w:cs="宋体" w:eastAsia="宋体" w:hint="default"/>
          <w:b/>
          <w:bCs/>
          <w:spacing w:val="-75"/>
          <w:sz w:val="21"/>
          <w:szCs w:val="21"/>
        </w:rPr>
      </w:r>
      <w:r>
        <w:rPr>
          <w:rFonts w:ascii="宋体" w:hAnsi="宋体" w:cs="宋体" w:eastAsia="宋体" w:hint="default"/>
          <w:sz w:val="18"/>
          <w:szCs w:val="18"/>
        </w:rPr>
        <w:t>不适用。</w:t>
      </w:r>
    </w:p>
    <w:p>
      <w:pPr>
        <w:spacing w:before="15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、公司不具有控制权但实质上承担其风险的特殊目的主体情况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71"/>
        <w:gridCol w:w="1367"/>
        <w:gridCol w:w="1365"/>
        <w:gridCol w:w="1368"/>
        <w:gridCol w:w="1367"/>
        <w:gridCol w:w="1367"/>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6"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
        <w:rPr>
          <w:rFonts w:ascii="宋体" w:hAnsi="宋体" w:cs="宋体" w:eastAsia="宋体" w:hint="default"/>
          <w:sz w:val="18"/>
          <w:szCs w:val="18"/>
        </w:rPr>
      </w:pPr>
    </w:p>
    <w:p>
      <w:pPr>
        <w:pStyle w:val="Heading2"/>
        <w:spacing w:line="240" w:lineRule="auto"/>
        <w:ind w:right="1125"/>
        <w:jc w:val="left"/>
        <w:rPr>
          <w:b w:val="0"/>
          <w:bCs w:val="0"/>
        </w:rPr>
      </w:pPr>
      <w:r>
        <w:rPr/>
        <w:t>九、关联方及关联交易</w:t>
      </w:r>
      <w:r>
        <w:rPr>
          <w:b w:val="0"/>
          <w:bCs w:val="0"/>
        </w:rPr>
      </w:r>
    </w:p>
    <w:p>
      <w:pPr>
        <w:spacing w:line="240" w:lineRule="auto" w:before="12"/>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74"/>
        <w:gridCol w:w="869"/>
        <w:gridCol w:w="871"/>
        <w:gridCol w:w="869"/>
        <w:gridCol w:w="871"/>
        <w:gridCol w:w="869"/>
        <w:gridCol w:w="871"/>
        <w:gridCol w:w="869"/>
        <w:gridCol w:w="872"/>
        <w:gridCol w:w="869"/>
        <w:gridCol w:w="862"/>
      </w:tblGrid>
      <w:tr>
        <w:trPr>
          <w:trHeight w:val="1337"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1" w:right="70"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69"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持股比例 </w:t>
            </w:r>
            <w:r>
              <w:rPr>
                <w:rFonts w:ascii="Times New Roman" w:hAnsi="Times New Roman" w:cs="Times New Roman" w:eastAsia="Times New Roman"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1339"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电信科学 技术研究 院</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13"/>
              <w:jc w:val="left"/>
              <w:rPr>
                <w:rFonts w:ascii="宋体" w:hAnsi="宋体" w:cs="宋体" w:eastAsia="宋体" w:hint="default"/>
                <w:sz w:val="18"/>
                <w:szCs w:val="18"/>
              </w:rPr>
            </w:pPr>
            <w:r>
              <w:rPr>
                <w:rFonts w:ascii="宋体" w:hAnsi="宋体" w:cs="宋体" w:eastAsia="宋体" w:hint="default"/>
                <w:sz w:val="18"/>
                <w:szCs w:val="18"/>
              </w:rPr>
              <w:t>实际控制 人</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15"/>
              <w:jc w:val="left"/>
              <w:rPr>
                <w:rFonts w:ascii="宋体" w:hAnsi="宋体" w:cs="宋体" w:eastAsia="宋体" w:hint="default"/>
                <w:sz w:val="18"/>
                <w:szCs w:val="18"/>
              </w:rPr>
            </w:pPr>
            <w:r>
              <w:rPr>
                <w:rFonts w:ascii="宋体" w:hAnsi="宋体" w:cs="宋体" w:eastAsia="宋体" w:hint="default"/>
                <w:sz w:val="18"/>
                <w:szCs w:val="18"/>
              </w:rPr>
              <w:t>全民所有 制</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真才基</w:t>
            </w:r>
          </w:p>
        </w:tc>
        <w:tc>
          <w:tcPr>
            <w:tcW w:w="869"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9"/>
              <w:jc w:val="left"/>
              <w:rPr>
                <w:rFonts w:ascii="宋体" w:hAnsi="宋体" w:cs="宋体" w:eastAsia="宋体" w:hint="default"/>
                <w:sz w:val="18"/>
                <w:szCs w:val="18"/>
              </w:rPr>
            </w:pPr>
            <w:r>
              <w:rPr>
                <w:rFonts w:ascii="宋体" w:hAnsi="宋体" w:cs="宋体" w:eastAsia="宋体" w:hint="default"/>
                <w:spacing w:val="-18"/>
                <w:sz w:val="18"/>
                <w:szCs w:val="18"/>
              </w:rPr>
              <w:t>通信、电子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设备的开</w:t>
            </w: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87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Times New Roman"/>
                <w:sz w:val="18"/>
              </w:rPr>
              <w:t>652,327</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13.03%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13.03%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3"/>
              <w:jc w:val="both"/>
              <w:rPr>
                <w:rFonts w:ascii="宋体" w:hAnsi="宋体" w:cs="宋体" w:eastAsia="宋体" w:hint="default"/>
                <w:sz w:val="18"/>
                <w:szCs w:val="18"/>
              </w:rPr>
            </w:pPr>
            <w:r>
              <w:rPr>
                <w:rFonts w:ascii="宋体" w:hAnsi="宋体" w:cs="宋体" w:eastAsia="宋体" w:hint="default"/>
                <w:sz w:val="18"/>
                <w:szCs w:val="18"/>
              </w:rPr>
              <w:t>电信科学 技术研究 院</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400011016</w:t>
            </w:r>
          </w:p>
        </w:tc>
      </w:tr>
    </w:tbl>
    <w:p>
      <w:pPr>
        <w:spacing w:before="49"/>
        <w:ind w:left="152" w:right="1125" w:firstLine="0"/>
        <w:jc w:val="left"/>
        <w:rPr>
          <w:rFonts w:ascii="宋体" w:hAnsi="宋体" w:cs="宋体" w:eastAsia="宋体" w:hint="default"/>
          <w:sz w:val="18"/>
          <w:szCs w:val="18"/>
        </w:rPr>
      </w:pPr>
      <w:r>
        <w:rPr/>
        <w:pict>
          <v:shape style="position:absolute;margin-left:275.809998pt;margin-top:-33.748276pt;width:84.3pt;height:17.650pt;mso-position-horizontal-relative:page;mso-position-vertical-relative:paragraph;z-index:-1259968"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发、生产、</w:t>
                  </w:r>
                </w:p>
              </w:txbxContent>
            </v:textbox>
            <w10:wrap type="none"/>
          </v:shape>
        </w:pict>
      </w:r>
      <w:r>
        <w:rPr/>
        <w:pict>
          <v:group style="position:absolute;margin-left:319.269989pt;margin-top:-33.748276pt;width:40.8pt;height:17.650pt;mso-position-horizontal-relative:page;mso-position-vertical-relative:paragraph;z-index:-1259944" coordorigin="6385,-675" coordsize="816,353">
            <v:shape style="position:absolute;left:6385;top:-675;width:816;height:353" coordorigin="6385,-675" coordsize="816,353" path="m6385,-322l7201,-322,7201,-675,6385,-675,6385,-322xe" filled="true" fillcolor="#ffffff" stroked="false">
              <v:path arrowok="t"/>
              <v:fill type="solid"/>
            </v:shape>
            <w10:wrap type="none"/>
          </v:group>
        </w:pict>
      </w:r>
      <w:r>
        <w:rPr>
          <w:rFonts w:ascii="宋体" w:hAnsi="宋体" w:cs="宋体" w:eastAsia="宋体" w:hint="default"/>
          <w:sz w:val="18"/>
          <w:szCs w:val="18"/>
        </w:rPr>
        <w:t>本企业的母公司情况的说明</w:t>
      </w:r>
    </w:p>
    <w:p>
      <w:pPr>
        <w:pStyle w:val="BodyText"/>
        <w:spacing w:line="273" w:lineRule="auto" w:before="92"/>
        <w:ind w:right="1131" w:firstLine="960"/>
        <w:jc w:val="both"/>
      </w:pPr>
      <w:r>
        <w:rPr>
          <w:spacing w:val="3"/>
        </w:rPr>
        <w:t>本集团的控股母公司电信科学技术研究院原注册资本为人民币</w:t>
      </w:r>
      <w:r>
        <w:rPr>
          <w:rFonts w:ascii="宋体" w:hAnsi="宋体" w:cs="宋体" w:eastAsia="宋体" w:hint="default"/>
          <w:spacing w:val="3"/>
        </w:rPr>
        <w:t>552,327</w:t>
      </w:r>
      <w:r>
        <w:rPr>
          <w:spacing w:val="3"/>
        </w:rPr>
        <w:t>万元。</w:t>
      </w:r>
      <w:r>
        <w:rPr>
          <w:rFonts w:ascii="宋体" w:hAnsi="宋体" w:cs="宋体" w:eastAsia="宋体" w:hint="default"/>
          <w:spacing w:val="3"/>
        </w:rPr>
        <w:t>2011</w:t>
      </w:r>
      <w:r>
        <w:rPr>
          <w:rFonts w:ascii="宋体" w:hAnsi="宋体" w:cs="宋体" w:eastAsia="宋体" w:hint="default"/>
        </w:rPr>
        <w:t> </w:t>
      </w:r>
      <w:r>
        <w:rPr/>
        <w:t>年</w:t>
      </w:r>
      <w:r>
        <w:rPr>
          <w:rFonts w:ascii="宋体" w:hAnsi="宋体" w:cs="宋体" w:eastAsia="宋体" w:hint="default"/>
        </w:rPr>
        <w:t>12</w:t>
      </w:r>
      <w:r>
        <w:rPr/>
        <w:t>月，经国务院国资委《国资改革</w:t>
      </w:r>
      <w:r>
        <w:rPr>
          <w:rFonts w:ascii="宋体" w:hAnsi="宋体" w:cs="宋体" w:eastAsia="宋体" w:hint="default"/>
        </w:rPr>
        <w:t>[2011]1394</w:t>
      </w:r>
      <w:r>
        <w:rPr/>
        <w:t>号》文批准，将财政部拨付的</w:t>
      </w:r>
      <w:r>
        <w:rPr>
          <w:rFonts w:ascii="宋体" w:hAnsi="宋体" w:cs="宋体" w:eastAsia="宋体" w:hint="default"/>
        </w:rPr>
        <w:t>10</w:t>
      </w:r>
      <w:r>
        <w:rPr/>
        <w:t>亿元人民币</w:t>
      </w:r>
      <w:r>
        <w:rPr>
          <w:spacing w:val="-85"/>
        </w:rPr>
        <w:t> </w:t>
      </w:r>
      <w:r>
        <w:rPr>
          <w:spacing w:val="-85"/>
        </w:rPr>
      </w:r>
      <w:r>
        <w:rPr/>
        <w:t>做增加注册资本金处理并相应修改研究院章程。</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4</w:t>
      </w:r>
      <w:r>
        <w:rPr/>
        <w:t>日工商变更登记完毕，注册资本</w:t>
      </w:r>
      <w:r>
        <w:rPr>
          <w:spacing w:val="-89"/>
        </w:rPr>
        <w:t> </w:t>
      </w:r>
      <w:r>
        <w:rPr>
          <w:spacing w:val="-89"/>
        </w:rPr>
      </w:r>
      <w:r>
        <w:rPr/>
        <w:t>为人民币</w:t>
      </w:r>
      <w:r>
        <w:rPr>
          <w:rFonts w:ascii="宋体" w:hAnsi="宋体" w:cs="宋体" w:eastAsia="宋体" w:hint="default"/>
        </w:rPr>
        <w:t>652,327</w:t>
      </w:r>
      <w:r>
        <w:rPr/>
        <w:t>万元。</w:t>
      </w:r>
    </w:p>
    <w:p>
      <w:pPr>
        <w:spacing w:line="240" w:lineRule="auto" w:before="10"/>
        <w:rPr>
          <w:rFonts w:ascii="宋体" w:hAnsi="宋体" w:cs="宋体" w:eastAsia="宋体" w:hint="default"/>
          <w:sz w:val="23"/>
          <w:szCs w:val="23"/>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9"/>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33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北京大唐高 鸿数据网络 技术有限公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付景林</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1"/>
              <w:jc w:val="both"/>
              <w:rPr>
                <w:rFonts w:ascii="宋体" w:hAnsi="宋体" w:cs="宋体" w:eastAsia="宋体" w:hint="default"/>
                <w:sz w:val="18"/>
                <w:szCs w:val="18"/>
              </w:rPr>
            </w:pPr>
            <w:r>
              <w:rPr>
                <w:rFonts w:ascii="宋体" w:hAnsi="宋体" w:cs="宋体" w:eastAsia="宋体" w:hint="default"/>
                <w:sz w:val="18"/>
                <w:szCs w:val="18"/>
              </w:rPr>
              <w:t>通讯设备系 统集成、贸 易</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146,250,000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801170093</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北京大唐高 鸿软件技术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侯玉成</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6"/>
              <w:jc w:val="center"/>
              <w:rPr>
                <w:rFonts w:ascii="Times New Roman" w:hAnsi="Times New Roman" w:cs="Times New Roman" w:eastAsia="Times New Roman" w:hint="default"/>
                <w:sz w:val="18"/>
                <w:szCs w:val="18"/>
              </w:rPr>
            </w:pPr>
            <w:r>
              <w:rPr>
                <w:rFonts w:ascii="Times New Roman"/>
                <w:sz w:val="18"/>
              </w:rPr>
              <w:t>30,000,000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782501511</w:t>
            </w:r>
          </w:p>
        </w:tc>
      </w:tr>
      <w:tr>
        <w:trPr>
          <w:trHeight w:val="10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大唐高鸿通 信技术有限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1"/>
              <w:jc w:val="left"/>
              <w:rPr>
                <w:rFonts w:ascii="宋体" w:hAnsi="宋体" w:cs="宋体" w:eastAsia="宋体" w:hint="default"/>
                <w:sz w:val="18"/>
                <w:szCs w:val="18"/>
              </w:rPr>
            </w:pPr>
            <w:r>
              <w:rPr>
                <w:rFonts w:ascii="宋体" w:hAnsi="宋体" w:cs="宋体" w:eastAsia="宋体" w:hint="default"/>
                <w:sz w:val="18"/>
                <w:szCs w:val="18"/>
              </w:rPr>
              <w:t>互联网增值 信息服务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185,000,000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783964614</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大唐高鸿信 息技术有限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付景林</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电子产品销 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85.77%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90.87%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685103052</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北京大唐高 鸿科技发展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刘雪峰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1"/>
              <w:jc w:val="left"/>
              <w:rPr>
                <w:rFonts w:ascii="宋体" w:hAnsi="宋体" w:cs="宋体" w:eastAsia="宋体" w:hint="default"/>
                <w:sz w:val="18"/>
                <w:szCs w:val="18"/>
              </w:rPr>
            </w:pPr>
            <w:r>
              <w:rPr>
                <w:rFonts w:ascii="宋体" w:hAnsi="宋体" w:cs="宋体" w:eastAsia="宋体" w:hint="default"/>
                <w:sz w:val="18"/>
                <w:szCs w:val="18"/>
              </w:rPr>
              <w:t>计算机软硬 件销售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86"/>
              <w:jc w:val="center"/>
              <w:rPr>
                <w:rFonts w:ascii="Times New Roman" w:hAnsi="Times New Roman" w:cs="Times New Roman" w:eastAsia="Times New Roman" w:hint="default"/>
                <w:sz w:val="18"/>
                <w:szCs w:val="18"/>
              </w:rPr>
            </w:pPr>
            <w:r>
              <w:rPr>
                <w:rFonts w:ascii="Times New Roman"/>
                <w:sz w:val="18"/>
              </w:rPr>
              <w:t>65,000,000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69.23%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551427043</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大唐高鸿济 宁电子信息 技术有限公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济宁市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刘雪峰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1"/>
              <w:jc w:val="left"/>
              <w:rPr>
                <w:rFonts w:ascii="宋体" w:hAnsi="宋体" w:cs="宋体" w:eastAsia="宋体" w:hint="default"/>
                <w:sz w:val="18"/>
                <w:szCs w:val="18"/>
              </w:rPr>
            </w:pPr>
            <w:r>
              <w:rPr>
                <w:rFonts w:ascii="宋体" w:hAnsi="宋体" w:cs="宋体" w:eastAsia="宋体" w:hint="default"/>
                <w:sz w:val="18"/>
                <w:szCs w:val="18"/>
              </w:rPr>
              <w:t>计算机软硬 件销售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86"/>
              <w:jc w:val="center"/>
              <w:rPr>
                <w:rFonts w:ascii="Times New Roman" w:hAnsi="Times New Roman" w:cs="Times New Roman" w:eastAsia="Times New Roman" w:hint="default"/>
                <w:sz w:val="18"/>
                <w:szCs w:val="18"/>
              </w:rPr>
            </w:pPr>
            <w:r>
              <w:rPr>
                <w:rFonts w:ascii="Times New Roman"/>
                <w:sz w:val="18"/>
              </w:rPr>
              <w:t>60,000,000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595221653</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北京大唐融 合通信技术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侯玉成</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1"/>
              <w:jc w:val="left"/>
              <w:rPr>
                <w:rFonts w:ascii="宋体" w:hAnsi="宋体" w:cs="宋体" w:eastAsia="宋体" w:hint="default"/>
                <w:sz w:val="18"/>
                <w:szCs w:val="18"/>
              </w:rPr>
            </w:pPr>
            <w:r>
              <w:rPr>
                <w:rFonts w:ascii="宋体" w:hAnsi="宋体" w:cs="宋体" w:eastAsia="宋体" w:hint="default"/>
                <w:sz w:val="18"/>
                <w:szCs w:val="18"/>
              </w:rPr>
              <w:t>电信增值业 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86"/>
              <w:jc w:val="center"/>
              <w:rPr>
                <w:rFonts w:ascii="Times New Roman" w:hAnsi="Times New Roman" w:cs="Times New Roman" w:eastAsia="Times New Roman" w:hint="default"/>
                <w:sz w:val="18"/>
                <w:szCs w:val="18"/>
              </w:rPr>
            </w:pPr>
            <w:r>
              <w:rPr>
                <w:rFonts w:ascii="Times New Roman"/>
                <w:sz w:val="18"/>
              </w:rPr>
              <w:t>20,000,000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717742394</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、本企业的合营和联营企业情况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6"/>
        <w:gridCol w:w="953"/>
        <w:gridCol w:w="961"/>
        <w:gridCol w:w="955"/>
        <w:gridCol w:w="955"/>
        <w:gridCol w:w="960"/>
        <w:gridCol w:w="958"/>
        <w:gridCol w:w="958"/>
        <w:gridCol w:w="958"/>
        <w:gridCol w:w="960"/>
      </w:tblGrid>
      <w:tr>
        <w:trPr>
          <w:trHeight w:val="1339"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02" w:right="111"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84"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60"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19"/>
              <w:jc w:val="center"/>
              <w:rPr>
                <w:rFonts w:ascii="宋体" w:hAnsi="宋体" w:cs="宋体" w:eastAsia="宋体" w:hint="default"/>
                <w:sz w:val="18"/>
                <w:szCs w:val="18"/>
              </w:rPr>
            </w:pPr>
            <w:r>
              <w:rPr>
                <w:rFonts w:ascii="宋体" w:hAnsi="宋体" w:cs="宋体" w:eastAsia="宋体" w:hint="default"/>
                <w:sz w:val="18"/>
                <w:szCs w:val="18"/>
              </w:rPr>
              <w:t>本企业在被 投资单位表 决权比例</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83"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2"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北京海岸 淘金创业 投资有限 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范浩</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9"/>
              <w:jc w:val="left"/>
              <w:rPr>
                <w:rFonts w:ascii="宋体" w:hAnsi="宋体" w:cs="宋体" w:eastAsia="宋体" w:hint="default"/>
                <w:sz w:val="18"/>
                <w:szCs w:val="18"/>
              </w:rPr>
            </w:pPr>
            <w:r>
              <w:rPr>
                <w:rFonts w:ascii="宋体" w:hAnsi="宋体" w:cs="宋体" w:eastAsia="宋体" w:hint="default"/>
                <w:sz w:val="18"/>
                <w:szCs w:val="18"/>
              </w:rPr>
              <w:t>创业投资业 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89"/>
              <w:jc w:val="center"/>
              <w:rPr>
                <w:rFonts w:ascii="Times New Roman" w:hAnsi="Times New Roman" w:cs="Times New Roman" w:eastAsia="Times New Roman" w:hint="default"/>
                <w:sz w:val="18"/>
                <w:szCs w:val="18"/>
              </w:rPr>
            </w:pPr>
            <w:r>
              <w:rPr>
                <w:rFonts w:ascii="Times New Roman"/>
                <w:sz w:val="18"/>
              </w:rPr>
              <w:t>56,000,000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35.71%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35.71%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67960164-5</w:t>
            </w:r>
          </w:p>
        </w:tc>
      </w:tr>
      <w:tr>
        <w:trPr>
          <w:trHeight w:val="40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大唐高新</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高永岗</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创业投资业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55686179-7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1259896" coordorigin="9206,15298" coordsize="2700,1540">
            <v:shape style="position:absolute;left:9206;top:15298;width:2700;height:1540" type="#_x0000_t75" stroked="false">
              <v:imagedata r:id="rId18"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189</w:t>
                    </w:r>
                  </w:p>
                </w:txbxContent>
              </v:textbox>
              <w10:wrap type="none"/>
            </v:shape>
            <w10:wrap type="none"/>
          </v:group>
        </w:pict>
      </w:r>
    </w:p>
    <w:tbl>
      <w:tblPr>
        <w:tblW w:w="0" w:type="auto"/>
        <w:jc w:val="left"/>
        <w:tblInd w:w="145" w:type="dxa"/>
        <w:tblLayout w:type="fixed"/>
        <w:tblCellMar>
          <w:top w:w="0" w:type="dxa"/>
          <w:left w:w="0" w:type="dxa"/>
          <w:bottom w:w="0" w:type="dxa"/>
          <w:right w:w="0" w:type="dxa"/>
        </w:tblCellMar>
        <w:tblLook w:val="01E0"/>
      </w:tblPr>
      <w:tblGrid>
        <w:gridCol w:w="958"/>
        <w:gridCol w:w="953"/>
        <w:gridCol w:w="961"/>
        <w:gridCol w:w="955"/>
        <w:gridCol w:w="955"/>
        <w:gridCol w:w="960"/>
        <w:gridCol w:w="958"/>
        <w:gridCol w:w="958"/>
        <w:gridCol w:w="958"/>
        <w:gridCol w:w="960"/>
      </w:tblGrid>
      <w:tr>
        <w:trPr>
          <w:trHeight w:val="67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02"/>
              <w:jc w:val="left"/>
              <w:rPr>
                <w:rFonts w:ascii="宋体" w:hAnsi="宋体" w:cs="宋体" w:eastAsia="宋体" w:hint="default"/>
                <w:sz w:val="18"/>
                <w:szCs w:val="18"/>
              </w:rPr>
            </w:pPr>
            <w:r>
              <w:rPr>
                <w:rFonts w:ascii="宋体" w:hAnsi="宋体" w:cs="宋体" w:eastAsia="宋体" w:hint="default"/>
                <w:sz w:val="18"/>
                <w:szCs w:val="18"/>
              </w:rPr>
              <w:t>创业投资 有限公司</w:t>
            </w:r>
          </w:p>
        </w:tc>
        <w:tc>
          <w:tcPr>
            <w:tcW w:w="95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、本企业的其他关联方情况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电信科学技术半导体研究所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电信科学技术第一研究所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上海飞利通信科技实业总公司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上海迪爱斯通信设备有限公司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上海友益通信服务有限公司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上海友益职业技术培训中心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上海中研天讯通讯科技有限公司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上海通信计量站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国家无线电频谱管理研究所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大唐电信科技产业控股有限公司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大唐控股（香港）投资有限公司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大唐联仪科技有限公司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上海原动力通信科技有限公司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上海大唐移动通信有限公司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大唐投资控股发展</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大唐电信国际技术有限公司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大唐电信国际技术（香港）有限公司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香港金讯科技有限公司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BUCDBVBA</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香港金唐电讯有限公司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大唐投资管理（北京）有限公司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海南大唐发控股权投资基金管理有限公 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大唐高新创业投资有限公司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数据通信科学技术研究所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北京兴唐开元智能物业科技有限公司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北京八达开元建筑安装工程技术有限公 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兴唐通信科技有限公司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95"/>
          <w:footerReference w:type="default" r:id="rId96"/>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1259848" coordorigin="9206,15298" coordsize="2700,1540">
            <v:shape style="position:absolute;left:9206;top:15298;width:2700;height:1540" type="#_x0000_t75" stroked="false">
              <v:imagedata r:id="rId18"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190</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北京通和实益电信科学技术研究所有限 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大唐联诚信息系统技术有限公司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电信科学技术第五研究所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现代传输杂志社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成都泰瑞通信设备检测有限公司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北京大唐实创投资中心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北京大唐物业管理有限公司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电信科学技术第十研究所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电信科学技术仪表研究所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北京畅通达通信技术有限公司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电信科学技术第四研究所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西安翠华通信技术有限公司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陕西博大电讯设备机械制造有限公司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陕西大唐商务宾馆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西安通和电信设备检测有限公司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北京大唐科技发展有限公司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大唐电信（南京）科技实业有限公司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大唐电信（天津）技术服务有限公司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江苏安防科技有限公司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江苏安防信息技术有限公司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大唐电信投资有限公司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启东优思电子有限公司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西安大唐电信有限公司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西安大唐监控技术有限公司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大唐电信（成都）信息技术有限公司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大唐电信（南京）信息技术有限公司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大唐电信（天津）通信终端制造有限公 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盛耀无线通讯科技（北京）有限公司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北京新华瑞德电子阅读技术有限公司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北京大唐智能卡技术有限公司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97"/>
          <w:footerReference w:type="default" r:id="rId98"/>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北京大唐志诚软件技术有限公司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上海优思通信科技有限公司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上海浦歌电子有限公司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上海精佑通信科技有限公司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深圳优思伟业通信科技有限公司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大唐电信（香港）有限公司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联芯科技（香港）有限公司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大唐微电子技术有限公司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受同一控制下的公司</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贵州达众磨料磨具有限责任公司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本企业的其他关联方情况的说明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、关联方交易</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）采购商品、接受劳务情况表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140" w:firstLine="0"/>
        <w:jc w:val="right"/>
        <w:rPr>
          <w:rFonts w:ascii="宋体" w:hAnsi="宋体" w:cs="宋体" w:eastAsia="宋体" w:hint="default"/>
          <w:sz w:val="18"/>
          <w:szCs w:val="18"/>
        </w:rPr>
      </w:pPr>
      <w:r>
        <w:rPr/>
        <w:pict>
          <v:shape style="position:absolute;margin-left:409.630005pt;margin-top:3.807715pt;width:85.5pt;height:15.65pt;mso-position-horizontal-relative:page;mso-position-vertical-relative:paragraph;z-index:-1259824"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00002pt;margin-top:-51.988285pt;width:479.15pt;height:321.8pt;mso-position-horizontal-relative:page;mso-position-vertical-relative:paragraph;z-index:40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729"/>
                    <w:gridCol w:w="1462"/>
                    <w:gridCol w:w="1594"/>
                    <w:gridCol w:w="797"/>
                    <w:gridCol w:w="340"/>
                    <w:gridCol w:w="1254"/>
                    <w:gridCol w:w="797"/>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8"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大唐移动通信设备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7,345,707.74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0.18%</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233,357.26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大唐电信国际技术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76,923.07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大唐联诚信息系统 技术有限公司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1,474,337.33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7,666,666.55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0.19%</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电信科学技术仪表 研究所</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711,834.68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615,631.80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大唐电信科技股份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396,472.43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大唐软件技术股份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16,577,797.33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0.4%</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北京大唐志诚软件 技术有限公司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19,940,941.66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0.48%</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出售商品、提供劳务情况表</w:t>
      </w:r>
    </w:p>
    <w:p>
      <w:pPr>
        <w:spacing w:before="117"/>
        <w:ind w:left="0" w:right="1131" w:firstLine="0"/>
        <w:jc w:val="right"/>
        <w:rPr>
          <w:rFonts w:ascii="宋体" w:hAnsi="宋体" w:cs="宋体" w:eastAsia="宋体" w:hint="default"/>
          <w:sz w:val="18"/>
          <w:szCs w:val="18"/>
        </w:rPr>
      </w:pPr>
      <w:r>
        <w:rPr/>
        <w:pict>
          <v:group style="position:absolute;margin-left:460.320007pt;margin-top:43.781715pt;width:135pt;height:77pt;mso-position-horizontal-relative:page;mso-position-vertical-relative:paragraph;z-index:3976" coordorigin="9206,876" coordsize="2700,1540">
            <v:shape style="position:absolute;left:9206;top:876;width:2700;height:1540" type="#_x0000_t75" stroked="false">
              <v:imagedata r:id="rId18" o:title=""/>
            </v:shape>
            <v:shape style="position:absolute;left:10502;top:1236;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191</w:t>
                    </w:r>
                  </w:p>
                </w:txbxContent>
              </v:textbox>
              <w10:wrap type="none"/>
            </v:shape>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7"/>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729"/>
        <w:gridCol w:w="1462"/>
        <w:gridCol w:w="2391"/>
        <w:gridCol w:w="2380"/>
      </w:tblGrid>
      <w:tr>
        <w:trPr>
          <w:trHeight w:val="39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96" w:right="0"/>
              <w:jc w:val="left"/>
              <w:rPr>
                <w:rFonts w:ascii="宋体" w:hAnsi="宋体" w:cs="宋体" w:eastAsia="宋体" w:hint="default"/>
                <w:sz w:val="18"/>
                <w:szCs w:val="18"/>
              </w:rPr>
            </w:pPr>
            <w:r>
              <w:rPr>
                <w:rFonts w:ascii="宋体" w:hAnsi="宋体" w:cs="宋体" w:eastAsia="宋体" w:hint="default"/>
                <w:sz w:val="18"/>
                <w:szCs w:val="18"/>
              </w:rPr>
              <w:t>关联交易定价方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headerReference w:type="default" r:id="rId99"/>
          <w:footerReference w:type="default" r:id="rId100"/>
          <w:pgSz w:w="11910" w:h="16840"/>
          <w:pgMar w:header="877" w:footer="0" w:top="1060" w:bottom="0" w:left="980" w:right="0"/>
        </w:sectPr>
      </w:pPr>
    </w:p>
    <w:p>
      <w:pPr>
        <w:spacing w:line="240" w:lineRule="auto" w:before="0"/>
        <w:rPr>
          <w:rFonts w:ascii="宋体" w:hAnsi="宋体" w:cs="宋体" w:eastAsia="宋体" w:hint="default"/>
          <w:sz w:val="20"/>
          <w:szCs w:val="20"/>
        </w:rPr>
      </w:pPr>
      <w:r>
        <w:rPr/>
        <w:pict>
          <v:group style="position:absolute;margin-left:460.320007pt;margin-top:764.919983pt;width:135pt;height:77pt;mso-position-horizontal-relative:page;mso-position-vertical-relative:page;z-index:4072" coordorigin="9206,15298" coordsize="2700,1540">
            <v:shape style="position:absolute;left:9206;top:15298;width:2700;height:1540" type="#_x0000_t75" stroked="false">
              <v:imagedata r:id="rId18"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192</w:t>
                    </w:r>
                  </w:p>
                </w:txbxContent>
              </v:textbox>
              <w10:wrap type="none"/>
            </v:shape>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44"/>
        <w:ind w:left="0" w:right="1140" w:firstLine="0"/>
        <w:jc w:val="right"/>
        <w:rPr>
          <w:rFonts w:ascii="宋体" w:hAnsi="宋体" w:cs="宋体" w:eastAsia="宋体" w:hint="default"/>
          <w:sz w:val="18"/>
          <w:szCs w:val="18"/>
        </w:rPr>
      </w:pPr>
      <w:r>
        <w:rPr/>
        <w:pict>
          <v:shape style="position:absolute;margin-left:409.630005pt;margin-top:3.711729pt;width:85.5pt;height:15.6pt;mso-position-horizontal-relative:page;mso-position-vertical-relative:paragraph;z-index:-1259728"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00002pt;margin-top:-31.948271pt;width:479.15pt;height:694.55pt;mso-position-horizontal-relative:page;mso-position-vertical-relative:paragraph;z-index:4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729"/>
                    <w:gridCol w:w="1462"/>
                    <w:gridCol w:w="1594"/>
                    <w:gridCol w:w="797"/>
                    <w:gridCol w:w="340"/>
                    <w:gridCol w:w="1254"/>
                    <w:gridCol w:w="797"/>
                  </w:tblGrid>
                  <w:tr>
                    <w:trPr>
                      <w:trHeight w:val="102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4" w:right="0"/>
                          <w:jc w:val="left"/>
                          <w:rPr>
                            <w:rFonts w:ascii="宋体" w:hAnsi="宋体" w:cs="宋体" w:eastAsia="宋体" w:hint="default"/>
                            <w:sz w:val="18"/>
                            <w:szCs w:val="18"/>
                          </w:rPr>
                        </w:pPr>
                        <w:r>
                          <w:rPr>
                            <w:rFonts w:ascii="宋体" w:hAnsi="宋体" w:cs="宋体" w:eastAsia="宋体" w:hint="default"/>
                            <w:sz w:val="18"/>
                            <w:szCs w:val="18"/>
                          </w:rPr>
                          <w:t>式及决策程序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电信科学技术研究 院</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522,896.58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341,301.71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电信科学技术半导 体研究所</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18,285.47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电信科学技术第一 研究所</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17,777.78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国家无线电频谱管 理研究所</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146,666.67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20"/>
                          <w:jc w:val="left"/>
                          <w:rPr>
                            <w:rFonts w:ascii="宋体" w:hAnsi="宋体" w:cs="宋体" w:eastAsia="宋体" w:hint="default"/>
                            <w:sz w:val="18"/>
                            <w:szCs w:val="18"/>
                          </w:rPr>
                        </w:pPr>
                        <w:r>
                          <w:rPr>
                            <w:rFonts w:ascii="宋体" w:hAnsi="宋体" w:cs="宋体" w:eastAsia="宋体" w:hint="default"/>
                            <w:sz w:val="18"/>
                            <w:szCs w:val="18"/>
                          </w:rPr>
                          <w:t>大唐电信科技产业 控股有限公司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1,962,402.39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2,235,417.95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大唐移动通信设备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14,236,081.77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0.31%</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168,692.31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大唐电信国际技术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141,981.20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633,842.73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大唐投资管理（北 京）有限公司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67,349.57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86,635.90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数据通信科学技术 研究所</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296,446.15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102,897.44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兴唐通信科技有限 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4,556,426.19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0.1%</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1,232,480.34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大唐联诚信息系统 技术有限公司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902,646.04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854,393.16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电信科学技术第五 研究所</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61,416.24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成都泰瑞通信设备 检测有限公司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36,190.60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北京大唐实创投资 中心</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44,775.21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89,918.80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20"/>
                          <w:jc w:val="left"/>
                          <w:rPr>
                            <w:rFonts w:ascii="宋体" w:hAnsi="宋体" w:cs="宋体" w:eastAsia="宋体" w:hint="default"/>
                            <w:sz w:val="18"/>
                            <w:szCs w:val="18"/>
                          </w:rPr>
                        </w:pPr>
                        <w:r>
                          <w:rPr>
                            <w:rFonts w:ascii="宋体" w:hAnsi="宋体" w:cs="宋体" w:eastAsia="宋体" w:hint="default"/>
                            <w:sz w:val="18"/>
                            <w:szCs w:val="18"/>
                          </w:rPr>
                          <w:t>北京大唐物业管理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12,757.26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30,675.21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电信科学技术仪表 研究所</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133,332.48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北京畅通达通信技 术有限公司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5,826.50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大唐电信集团财务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106,708.46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167,251.28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headerReference w:type="default" r:id="rId101"/>
          <w:footerReference w:type="default" r:id="rId102"/>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729"/>
        <w:gridCol w:w="1462"/>
        <w:gridCol w:w="1594"/>
        <w:gridCol w:w="797"/>
        <w:gridCol w:w="1594"/>
        <w:gridCol w:w="797"/>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电信科学技术第四 研究所</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75,436.75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西安通和电信设备 检测有限公司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34,286.33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大唐电信科技股份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346,841.96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206,479.48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西安大唐电信有限 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32,570.94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53,014.53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pacing w:val="-9"/>
                <w:sz w:val="18"/>
                <w:szCs w:val="18"/>
              </w:rPr>
              <w:t>大唐电信（天津）通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信终端制造有限公 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25,205.13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盛耀无线通讯科技</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102,950.68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北京新华瑞德电子 阅读技术有限公司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46,794.02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49,834.19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大唐软件技术股份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8,147,779.50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289,803.42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北京大唐志诚软件 技术有限公司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38,541.19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联芯科技有限公司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548,054.71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1,364,886.32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0.03%</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大唐微电子技术有 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1,610,688.04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1,331,112.82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成都大唐线缆有限 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商业原则</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3,482.91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）关联托管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25" w:firstLine="0"/>
        <w:jc w:val="left"/>
        <w:rPr>
          <w:rFonts w:ascii="宋体" w:hAnsi="宋体" w:cs="宋体" w:eastAsia="宋体" w:hint="default"/>
          <w:sz w:val="18"/>
          <w:szCs w:val="18"/>
        </w:rPr>
      </w:pPr>
      <w:r>
        <w:rPr>
          <w:rFonts w:ascii="宋体" w:hAnsi="宋体" w:cs="宋体" w:eastAsia="宋体" w:hint="default"/>
          <w:sz w:val="18"/>
          <w:szCs w:val="18"/>
        </w:rPr>
        <w:t>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1"/>
        <w:gridCol w:w="1348"/>
      </w:tblGrid>
      <w:tr>
        <w:trPr>
          <w:trHeight w:val="1028"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2" w:right="22" w:hanging="20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45" w:right="30"/>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2"/>
        <w:gridCol w:w="1346"/>
      </w:tblGrid>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12" w:right="23" w:hanging="387"/>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9" w:right="30" w:hanging="65"/>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w:t>
      </w:r>
    </w:p>
    <w:p>
      <w:pPr>
        <w:spacing w:after="0"/>
        <w:jc w:val="left"/>
        <w:rPr>
          <w:rFonts w:ascii="宋体" w:hAnsi="宋体" w:cs="宋体" w:eastAsia="宋体" w:hint="default"/>
          <w:sz w:val="18"/>
          <w:szCs w:val="18"/>
        </w:rPr>
        <w:sectPr>
          <w:footerReference w:type="default" r:id="rId103"/>
          <w:pgSz w:w="11910" w:h="16840"/>
          <w:pgMar w:footer="1271" w:header="877" w:top="1060" w:bottom="1460" w:left="980" w:right="0"/>
          <w:pgNumType w:start="193"/>
        </w:sectPr>
      </w:pPr>
    </w:p>
    <w:p>
      <w:pPr>
        <w:spacing w:line="240" w:lineRule="auto" w:before="10"/>
        <w:rPr>
          <w:rFonts w:ascii="宋体" w:hAnsi="宋体" w:cs="宋体" w:eastAsia="宋体" w:hint="default"/>
          <w:sz w:val="24"/>
          <w:szCs w:val="24"/>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25" w:firstLine="0"/>
        <w:jc w:val="left"/>
        <w:rPr>
          <w:rFonts w:ascii="宋体" w:hAnsi="宋体" w:cs="宋体" w:eastAsia="宋体" w:hint="default"/>
          <w:sz w:val="18"/>
          <w:szCs w:val="18"/>
        </w:rPr>
      </w:pPr>
      <w:r>
        <w:rPr>
          <w:rFonts w:ascii="宋体" w:hAnsi="宋体" w:cs="宋体" w:eastAsia="宋体" w:hint="default"/>
          <w:sz w:val="18"/>
          <w:szCs w:val="18"/>
        </w:rPr>
        <w:t>公司出租情况表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4"/>
        <w:gridCol w:w="1373"/>
        <w:gridCol w:w="1368"/>
        <w:gridCol w:w="1370"/>
        <w:gridCol w:w="1372"/>
        <w:gridCol w:w="1360"/>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50"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3" w:right="43" w:hanging="269"/>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bl>
    <w:p>
      <w:pPr>
        <w:spacing w:before="50"/>
        <w:ind w:left="152" w:right="1125" w:firstLine="0"/>
        <w:jc w:val="left"/>
        <w:rPr>
          <w:rFonts w:ascii="宋体" w:hAnsi="宋体" w:cs="宋体" w:eastAsia="宋体" w:hint="default"/>
          <w:sz w:val="18"/>
          <w:szCs w:val="18"/>
        </w:rPr>
      </w:pPr>
      <w:r>
        <w:rPr>
          <w:rFonts w:ascii="宋体" w:hAnsi="宋体" w:cs="宋体" w:eastAsia="宋体" w:hint="default"/>
          <w:sz w:val="18"/>
          <w:szCs w:val="18"/>
        </w:rPr>
        <w:t>公司承租情况表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2"/>
        <w:gridCol w:w="1371"/>
        <w:gridCol w:w="1373"/>
        <w:gridCol w:w="1368"/>
        <w:gridCol w:w="1368"/>
        <w:gridCol w:w="1369"/>
        <w:gridCol w:w="1351"/>
      </w:tblGrid>
      <w:tr>
        <w:trPr>
          <w:trHeight w:val="713"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03" w:right="36"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spacing w:before="121"/>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2"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138" w:firstLine="0"/>
        <w:jc w:val="right"/>
        <w:rPr>
          <w:rFonts w:ascii="宋体" w:hAnsi="宋体" w:cs="宋体" w:eastAsia="宋体" w:hint="default"/>
          <w:sz w:val="18"/>
          <w:szCs w:val="18"/>
        </w:rPr>
      </w:pPr>
      <w:r>
        <w:rPr/>
        <w:pict>
          <v:shape style="position:absolute;margin-left:416.350006pt;margin-top:3.711714pt;width:78.75pt;height:15.6pt;mso-position-horizontal-relative:page;mso-position-vertical-relative:paragraph;z-index:-1259632"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52.058285pt;width:479.2pt;height:71.95pt;mso-position-horizontal-relative:page;mso-position-vertical-relative:paragraph;z-index:4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1"/>
                    <w:gridCol w:w="931"/>
                    <w:gridCol w:w="1460"/>
                    <w:gridCol w:w="1330"/>
                    <w:gridCol w:w="1462"/>
                    <w:gridCol w:w="797"/>
                    <w:gridCol w:w="306"/>
                    <w:gridCol w:w="1156"/>
                    <w:gridCol w:w="797"/>
                  </w:tblGrid>
                  <w:tr>
                    <w:trPr>
                      <w:trHeight w:val="402" w:hRule="exact"/>
                    </w:trPr>
                    <w:tc>
                      <w:tcPr>
                        <w:tcW w:w="13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283" w:right="96"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7" w:hRule="exact"/>
                    </w:trPr>
                    <w:tc>
                      <w:tcPr>
                        <w:tcW w:w="1331"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06" w:type="dxa"/>
                        <w:tcBorders>
                          <w:top w:val="single" w:sz="4" w:space="0" w:color="000000"/>
                          <w:left w:val="single" w:sz="4" w:space="0" w:color="000000"/>
                          <w:bottom w:val="single" w:sz="4" w:space="0" w:color="000000"/>
                          <w:right w:val="nil" w:sz="6" w:space="0" w:color="auto"/>
                        </w:tcBorders>
                        <w:shd w:val="clear" w:color="auto" w:fill="D2D2D2"/>
                      </w:tcPr>
                      <w:p>
                        <w:pPr/>
                      </w:p>
                    </w:tc>
                    <w:tc>
                      <w:tcPr>
                        <w:tcW w:w="115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8"/>
          <w:szCs w:val="28"/>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1125" w:firstLine="0"/>
        <w:jc w:val="left"/>
        <w:rPr>
          <w:rFonts w:ascii="宋体" w:hAnsi="宋体" w:cs="宋体" w:eastAsia="宋体" w:hint="default"/>
          <w:sz w:val="18"/>
          <w:szCs w:val="18"/>
        </w:rPr>
      </w:pPr>
      <w:r>
        <w:rPr>
          <w:rFonts w:ascii="宋体" w:hAnsi="宋体" w:cs="宋体" w:eastAsia="宋体" w:hint="default"/>
          <w:sz w:val="18"/>
          <w:szCs w:val="18"/>
        </w:rPr>
        <w:t>上市公司应收关联方款项</w:t>
      </w:r>
    </w:p>
    <w:p>
      <w:pPr>
        <w:spacing w:before="11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1271"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060"/>
        <w:gridCol w:w="1666"/>
        <w:gridCol w:w="1462"/>
        <w:gridCol w:w="1462"/>
        <w:gridCol w:w="1460"/>
        <w:gridCol w:w="1459"/>
      </w:tblGrid>
      <w:tr>
        <w:trPr>
          <w:trHeight w:val="402" w:hRule="exact"/>
        </w:trPr>
        <w:tc>
          <w:tcPr>
            <w:tcW w:w="2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2060" w:type="dxa"/>
            <w:vMerge/>
            <w:tcBorders>
              <w:left w:val="single" w:sz="4" w:space="0" w:color="000000"/>
              <w:bottom w:val="single" w:sz="4" w:space="0" w:color="000000"/>
              <w:right w:val="single" w:sz="4" w:space="0" w:color="000000"/>
            </w:tcBorders>
            <w:shd w:val="clear" w:color="auto" w:fill="D2D2D2"/>
          </w:tcPr>
          <w:p>
            <w:pPr/>
          </w:p>
        </w:tc>
        <w:tc>
          <w:tcPr>
            <w:tcW w:w="1666"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大唐电信科技产业 控股有限公司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161,906.00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1,644.77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113,632.00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700.04</w:t>
            </w: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大唐移动通信设备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865,660.37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4,328.30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142,339.37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14,691.56</w:t>
            </w: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大唐电信国际技术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3,630.00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18.15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27,435.00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137.18</w:t>
            </w: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大唐投资管理（北 京）有限公司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10,638.00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53.19</w:t>
            </w: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数据通信科学技术 研究所</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371,310.00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1,856.55</w:t>
            </w: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兴唐通信科技有限 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1,392,725.21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6,963.63</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大唐联诚信息系统 技术有限公司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244,085.00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1,220.43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335,013.00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1,675.07</w:t>
            </w: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电信科学技术第五 研究所</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1,999.00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北京大唐实创投资 中心</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7,035.00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35.18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0.93</w:t>
            </w:r>
          </w:p>
        </w:tc>
      </w:tr>
      <w:tr>
        <w:trPr>
          <w:trHeight w:val="71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电信科学技术仪表 研究所</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798.00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3.99</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大唐电信集团财务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38,215.00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191.08</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电信科学技术第四 研究所</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10,794.00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53.97</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大唐电信科技股份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20,991.00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104.96</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西安大唐电信有限 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107.50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16,490.00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82.45</w:t>
            </w: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盛耀无线通讯科技</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44,204.90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221.02</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大唐软件技术股份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741,748.00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3,708.74</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北京大唐志诚软件 技术有限公司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联芯科技有限公司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198,580.00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992.90</w:t>
            </w: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大唐微电子技术有</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120,163.00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600.82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239,952.00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1,199.76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1" w:top="1060" w:bottom="16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060"/>
        <w:gridCol w:w="1666"/>
        <w:gridCol w:w="1462"/>
        <w:gridCol w:w="1462"/>
        <w:gridCol w:w="1460"/>
        <w:gridCol w:w="1459"/>
      </w:tblGrid>
      <w:tr>
        <w:trPr>
          <w:trHeight w:val="363"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both"/>
              <w:rPr>
                <w:rFonts w:ascii="宋体" w:hAnsi="宋体" w:cs="宋体" w:eastAsia="宋体" w:hint="default"/>
                <w:sz w:val="18"/>
                <w:szCs w:val="18"/>
              </w:rPr>
            </w:pPr>
            <w:r>
              <w:rPr>
                <w:rFonts w:ascii="宋体" w:hAnsi="宋体" w:cs="宋体" w:eastAsia="宋体" w:hint="default"/>
                <w:sz w:val="18"/>
                <w:szCs w:val="18"/>
              </w:rPr>
              <w:t>大唐电信科技股份 有限公司无线分公 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148,000.00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148,000.00</w:t>
            </w: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电信科学技术研究 院</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827,000.00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247,000.00</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大唐微电子技术有 限公司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25,945.00</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贵州达众磨料磨具 有限责任公司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6,600,000.00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6,600,000.00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6,600,000.00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6,600,000.00</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上市公司应付关联方款项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5"/>
        <w:gridCol w:w="2258"/>
        <w:gridCol w:w="2259"/>
        <w:gridCol w:w="2259"/>
      </w:tblGrid>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154,545.00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电信科学技术第一研究所</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5,000.00</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电信科学技术第十研究所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48,884.00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8,000.00</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西安大唐电信有限公司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7,526,295.00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2"/>
              <w:jc w:val="left"/>
              <w:rPr>
                <w:rFonts w:ascii="宋体" w:hAnsi="宋体" w:cs="宋体" w:eastAsia="宋体" w:hint="default"/>
                <w:sz w:val="18"/>
                <w:szCs w:val="18"/>
              </w:rPr>
            </w:pPr>
            <w:r>
              <w:rPr>
                <w:rFonts w:ascii="宋体" w:hAnsi="宋体" w:cs="宋体" w:eastAsia="宋体" w:hint="default"/>
                <w:sz w:val="18"/>
                <w:szCs w:val="18"/>
              </w:rPr>
              <w:t>大唐联诚信息系统技术有限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1,724,974.68</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电信科学技术仪表研究所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632,888.10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487,552.41</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463,872.75</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10,180,326.03</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2"/>
              <w:jc w:val="left"/>
              <w:rPr>
                <w:rFonts w:ascii="宋体" w:hAnsi="宋体" w:cs="宋体" w:eastAsia="宋体" w:hint="default"/>
                <w:sz w:val="18"/>
                <w:szCs w:val="18"/>
              </w:rPr>
            </w:pPr>
            <w:r>
              <w:rPr>
                <w:rFonts w:ascii="宋体" w:hAnsi="宋体" w:cs="宋体" w:eastAsia="宋体" w:hint="default"/>
                <w:sz w:val="18"/>
                <w:szCs w:val="18"/>
              </w:rPr>
              <w:t>北京大唐志诚软件技术有限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11,564,704.54</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电信科学技术研究院</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93,257.59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40,092,487.59</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电信科学技术半导体研究所</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3,816,857.83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754,214.75</w:t>
            </w:r>
          </w:p>
        </w:tc>
      </w:tr>
      <w:tr>
        <w:trPr>
          <w:trHeight w:val="71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2"/>
              <w:jc w:val="left"/>
              <w:rPr>
                <w:rFonts w:ascii="宋体" w:hAnsi="宋体" w:cs="宋体" w:eastAsia="宋体" w:hint="default"/>
                <w:sz w:val="18"/>
                <w:szCs w:val="18"/>
              </w:rPr>
            </w:pPr>
            <w:r>
              <w:rPr>
                <w:rFonts w:ascii="宋体" w:hAnsi="宋体" w:cs="宋体" w:eastAsia="宋体" w:hint="default"/>
                <w:sz w:val="18"/>
                <w:szCs w:val="18"/>
              </w:rPr>
              <w:t>大唐电信科技产业控股有限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120,051,985.00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410,004,013.00</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230,340.00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95,040.00</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大唐电信国际技术有限公司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3,954.00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8,358.07</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兴唐通信科技有限公司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111,780.00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22,680,600.00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8,000.00</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西安大唐电信有限公司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2,876,400.00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102,500.00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1" w:top="1060" w:bottom="154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797"/>
        <w:gridCol w:w="2258"/>
        <w:gridCol w:w="2259"/>
        <w:gridCol w:w="2259"/>
      </w:tblGrid>
      <w:tr>
        <w:trPr>
          <w:trHeight w:val="716" w:hRule="exact"/>
        </w:trPr>
        <w:tc>
          <w:tcPr>
            <w:tcW w:w="2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2"/>
              <w:jc w:val="left"/>
              <w:rPr>
                <w:rFonts w:ascii="宋体" w:hAnsi="宋体" w:cs="宋体" w:eastAsia="宋体" w:hint="default"/>
                <w:sz w:val="18"/>
                <w:szCs w:val="18"/>
              </w:rPr>
            </w:pPr>
            <w:r>
              <w:rPr>
                <w:rFonts w:ascii="宋体" w:hAnsi="宋体" w:cs="宋体" w:eastAsia="宋体" w:hint="default"/>
                <w:sz w:val="18"/>
                <w:szCs w:val="18"/>
              </w:rPr>
              <w:t>北京大唐志诚软件技术有限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1" w:right="0"/>
              <w:jc w:val="left"/>
              <w:rPr>
                <w:rFonts w:ascii="Times New Roman" w:hAnsi="Times New Roman" w:cs="Times New Roman" w:eastAsia="Times New Roman" w:hint="default"/>
                <w:sz w:val="18"/>
                <w:szCs w:val="18"/>
              </w:rPr>
            </w:pPr>
            <w:r>
              <w:rPr>
                <w:rFonts w:ascii="Times New Roman"/>
                <w:sz w:val="18"/>
              </w:rPr>
              <w:t>2,246,873.81</w:t>
            </w:r>
          </w:p>
        </w:tc>
        <w:tc>
          <w:tcPr>
            <w:tcW w:w="22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ind w:right="1125"/>
        <w:jc w:val="left"/>
        <w:rPr>
          <w:b w:val="0"/>
          <w:bCs w:val="0"/>
        </w:rPr>
      </w:pPr>
      <w:r>
        <w:rPr/>
        <w:t>十、股份支付</w:t>
      </w:r>
      <w:r>
        <w:rPr>
          <w:b w:val="0"/>
          <w:bCs w:val="0"/>
        </w:rPr>
      </w:r>
    </w:p>
    <w:p>
      <w:pPr>
        <w:spacing w:line="240" w:lineRule="auto" w:before="9"/>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271" w:top="1060" w:bottom="1540" w:left="980" w:right="0"/>
        </w:sectPr>
      </w:pPr>
    </w:p>
    <w:p>
      <w:pPr>
        <w:spacing w:line="240" w:lineRule="auto" w:before="0"/>
        <w:rPr>
          <w:rFonts w:ascii="宋体" w:hAnsi="宋体" w:cs="宋体" w:eastAsia="宋体" w:hint="default"/>
          <w:b/>
          <w:bCs/>
          <w:sz w:val="18"/>
          <w:szCs w:val="18"/>
        </w:rPr>
      </w:pPr>
    </w:p>
    <w:p>
      <w:pPr>
        <w:spacing w:line="360" w:lineRule="auto" w:before="159"/>
        <w:ind w:left="152" w:right="1207" w:firstLine="0"/>
        <w:jc w:val="left"/>
        <w:rPr>
          <w:rFonts w:ascii="宋体" w:hAnsi="宋体" w:cs="宋体" w:eastAsia="宋体" w:hint="default"/>
          <w:sz w:val="18"/>
          <w:szCs w:val="18"/>
        </w:rPr>
      </w:pPr>
      <w:r>
        <w:rPr>
          <w:rFonts w:ascii="宋体" w:hAnsi="宋体" w:cs="宋体" w:eastAsia="宋体" w:hint="default"/>
          <w:sz w:val="18"/>
          <w:szCs w:val="18"/>
        </w:rPr>
        <w:t>股份支付情况的说明 无</w:t>
      </w:r>
    </w:p>
    <w:p>
      <w:pPr>
        <w:spacing w:line="240" w:lineRule="auto" w:before="4"/>
        <w:rPr>
          <w:rFonts w:ascii="宋体" w:hAnsi="宋体" w:cs="宋体" w:eastAsia="宋体" w:hint="default"/>
          <w:sz w:val="20"/>
          <w:szCs w:val="20"/>
        </w:rPr>
      </w:pPr>
    </w:p>
    <w:p>
      <w:pPr>
        <w:spacing w:before="0"/>
        <w:ind w:left="152" w:right="-5"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、以权益结算的股份支付情况</w:t>
      </w:r>
      <w:r>
        <w:rPr>
          <w:rFonts w:ascii="宋体" w:hAnsi="宋体" w:cs="宋体" w:eastAsia="宋体" w:hint="default"/>
          <w:spacing w:val="-1"/>
          <w:sz w:val="21"/>
          <w:szCs w:val="21"/>
        </w:rPr>
      </w:r>
    </w:p>
    <w:p>
      <w:pPr>
        <w:spacing w:before="44"/>
        <w:ind w:left="15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3000" w:space="5829"/>
            <w:col w:w="2101"/>
          </w:cols>
        </w:sectPr>
      </w:pP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540" w:left="980" w:right="0"/>
        </w:sectPr>
      </w:pPr>
    </w:p>
    <w:p>
      <w:pPr>
        <w:spacing w:line="240" w:lineRule="auto" w:before="0"/>
        <w:rPr>
          <w:rFonts w:ascii="宋体" w:hAnsi="宋体" w:cs="宋体" w:eastAsia="宋体" w:hint="default"/>
          <w:sz w:val="18"/>
          <w:szCs w:val="18"/>
        </w:rPr>
      </w:pPr>
    </w:p>
    <w:p>
      <w:pPr>
        <w:spacing w:before="159"/>
        <w:ind w:left="152" w:right="-5" w:firstLine="0"/>
        <w:jc w:val="left"/>
        <w:rPr>
          <w:rFonts w:ascii="宋体" w:hAnsi="宋体" w:cs="宋体" w:eastAsia="宋体" w:hint="default"/>
          <w:sz w:val="18"/>
          <w:szCs w:val="18"/>
        </w:rPr>
      </w:pPr>
      <w:r>
        <w:rPr>
          <w:rFonts w:ascii="宋体" w:hAnsi="宋体" w:cs="宋体" w:eastAsia="宋体" w:hint="default"/>
          <w:sz w:val="18"/>
          <w:szCs w:val="18"/>
        </w:rPr>
        <w:t>以权益结算的股份支付的说明</w:t>
      </w:r>
    </w:p>
    <w:p>
      <w:pPr>
        <w:spacing w:line="240" w:lineRule="auto" w:before="0"/>
        <w:rPr>
          <w:rFonts w:ascii="宋体" w:hAnsi="宋体" w:cs="宋体" w:eastAsia="宋体" w:hint="default"/>
          <w:sz w:val="18"/>
          <w:szCs w:val="18"/>
        </w:rPr>
      </w:pPr>
    </w:p>
    <w:p>
      <w:pPr>
        <w:spacing w:before="120"/>
        <w:ind w:left="152" w:right="-5"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、以现金结算的股份支付情况</w:t>
      </w:r>
      <w:r>
        <w:rPr>
          <w:rFonts w:ascii="宋体" w:hAnsi="宋体" w:cs="宋体" w:eastAsia="宋体" w:hint="default"/>
          <w:spacing w:val="-1"/>
          <w:sz w:val="21"/>
          <w:szCs w:val="21"/>
        </w:rPr>
      </w:r>
    </w:p>
    <w:p>
      <w:pPr>
        <w:spacing w:before="44"/>
        <w:ind w:left="15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3000" w:space="5829"/>
            <w:col w:w="2101"/>
          </w:cols>
        </w:sectPr>
      </w:pP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540" w:left="980" w:right="0"/>
        </w:sectPr>
      </w:pPr>
    </w:p>
    <w:p>
      <w:pPr>
        <w:spacing w:line="240" w:lineRule="auto" w:before="0"/>
        <w:rPr>
          <w:rFonts w:ascii="宋体" w:hAnsi="宋体" w:cs="宋体" w:eastAsia="宋体" w:hint="default"/>
          <w:sz w:val="18"/>
          <w:szCs w:val="18"/>
        </w:rPr>
      </w:pPr>
    </w:p>
    <w:p>
      <w:pPr>
        <w:spacing w:before="159"/>
        <w:ind w:left="152" w:right="-20" w:firstLine="0"/>
        <w:jc w:val="left"/>
        <w:rPr>
          <w:rFonts w:ascii="宋体" w:hAnsi="宋体" w:cs="宋体" w:eastAsia="宋体" w:hint="default"/>
          <w:sz w:val="18"/>
          <w:szCs w:val="18"/>
        </w:rPr>
      </w:pPr>
      <w:r>
        <w:rPr>
          <w:rFonts w:ascii="宋体" w:hAnsi="宋体" w:cs="宋体" w:eastAsia="宋体" w:hint="default"/>
          <w:sz w:val="18"/>
          <w:szCs w:val="18"/>
        </w:rPr>
        <w:t>以现金结算的股份支付的说明</w:t>
      </w:r>
    </w:p>
    <w:p>
      <w:pPr>
        <w:spacing w:line="240" w:lineRule="auto" w:before="0"/>
        <w:rPr>
          <w:rFonts w:ascii="宋体" w:hAnsi="宋体" w:cs="宋体" w:eastAsia="宋体" w:hint="default"/>
          <w:sz w:val="18"/>
          <w:szCs w:val="18"/>
        </w:rPr>
      </w:pPr>
    </w:p>
    <w:p>
      <w:pPr>
        <w:spacing w:before="120"/>
        <w:ind w:left="152" w:right="-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、以股份支付服务情况</w:t>
      </w:r>
      <w:r>
        <w:rPr>
          <w:rFonts w:ascii="宋体" w:hAnsi="宋体" w:cs="宋体" w:eastAsia="宋体" w:hint="default"/>
          <w:sz w:val="21"/>
          <w:szCs w:val="21"/>
        </w:rPr>
      </w:r>
    </w:p>
    <w:p>
      <w:pPr>
        <w:spacing w:before="44"/>
        <w:ind w:left="15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2493" w:space="6336"/>
            <w:col w:w="2101"/>
          </w:cols>
        </w:sectPr>
      </w:pPr>
    </w:p>
    <w:p>
      <w:pPr>
        <w:spacing w:line="240" w:lineRule="auto" w:before="12"/>
        <w:rPr>
          <w:rFonts w:ascii="宋体" w:hAnsi="宋体" w:cs="宋体" w:eastAsia="宋体" w:hint="default"/>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6"/>
        <w:rPr>
          <w:rFonts w:ascii="宋体" w:hAnsi="宋体" w:cs="宋体" w:eastAsia="宋体" w:hint="default"/>
          <w:sz w:val="24"/>
          <w:szCs w:val="24"/>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、股份支付的修改、终止情况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Heading2"/>
        <w:spacing w:line="240" w:lineRule="auto" w:before="0"/>
        <w:ind w:right="1125"/>
        <w:jc w:val="left"/>
        <w:rPr>
          <w:b w:val="0"/>
          <w:bCs w:val="0"/>
        </w:rPr>
      </w:pPr>
      <w:r>
        <w:rPr/>
        <w:t>十一、或有事项</w:t>
      </w:r>
      <w:r>
        <w:rPr>
          <w:b w:val="0"/>
          <w:bCs w:val="0"/>
        </w:rPr>
      </w:r>
    </w:p>
    <w:p>
      <w:pPr>
        <w:spacing w:line="240" w:lineRule="auto" w:before="9"/>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、未决诉讼或仲裁形成的或有负债及其财务影响</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513" w:right="112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、为其他单位提供债务担保形成的或有负债及其财务影响</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right="1125"/>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）本公司为控股子公司高鸿有限下列短期借款提供担保</w:t>
      </w:r>
      <w:r>
        <w:rPr>
          <w:rFonts w:ascii="Times New Roman" w:hAnsi="Times New Roman" w:cs="Times New Roman" w:eastAsia="Times New Roman" w:hint="default"/>
        </w:rPr>
        <w:t>:</w:t>
      </w:r>
    </w:p>
    <w:p>
      <w:pPr>
        <w:spacing w:line="240" w:lineRule="auto" w:before="4"/>
        <w:rPr>
          <w:rFonts w:ascii="Times New Roman" w:hAnsi="Times New Roman" w:cs="Times New Roman" w:eastAsia="Times New Roman"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535"/>
        <w:gridCol w:w="2376"/>
        <w:gridCol w:w="3321"/>
      </w:tblGrid>
      <w:tr>
        <w:trPr>
          <w:trHeight w:val="282" w:hRule="exact"/>
        </w:trPr>
        <w:tc>
          <w:tcPr>
            <w:tcW w:w="3535" w:type="dxa"/>
            <w:tcBorders>
              <w:top w:val="nil" w:sz="6" w:space="0" w:color="auto"/>
              <w:left w:val="nil" w:sz="6" w:space="0" w:color="auto"/>
              <w:bottom w:val="single" w:sz="12" w:space="0" w:color="000000"/>
              <w:right w:val="nil" w:sz="6" w:space="0" w:color="auto"/>
            </w:tcBorders>
          </w:tcPr>
          <w:p>
            <w:pPr>
              <w:pStyle w:val="TableParagraph"/>
              <w:spacing w:line="199" w:lineRule="exact"/>
              <w:ind w:right="230"/>
              <w:jc w:val="center"/>
              <w:rPr>
                <w:rFonts w:ascii="宋体" w:hAnsi="宋体" w:cs="宋体" w:eastAsia="宋体" w:hint="default"/>
                <w:sz w:val="20"/>
                <w:szCs w:val="20"/>
              </w:rPr>
            </w:pPr>
            <w:r>
              <w:rPr>
                <w:rFonts w:ascii="宋体" w:hAnsi="宋体" w:cs="宋体" w:eastAsia="宋体" w:hint="default"/>
                <w:sz w:val="20"/>
                <w:szCs w:val="20"/>
              </w:rPr>
              <w:t>借款银行</w:t>
            </w:r>
          </w:p>
        </w:tc>
        <w:tc>
          <w:tcPr>
            <w:tcW w:w="2376" w:type="dxa"/>
            <w:tcBorders>
              <w:top w:val="nil" w:sz="6" w:space="0" w:color="auto"/>
              <w:left w:val="nil" w:sz="6" w:space="0" w:color="auto"/>
              <w:bottom w:val="single" w:sz="12" w:space="0" w:color="000000"/>
              <w:right w:val="nil" w:sz="6" w:space="0" w:color="auto"/>
            </w:tcBorders>
          </w:tcPr>
          <w:p>
            <w:pPr>
              <w:pStyle w:val="TableParagraph"/>
              <w:spacing w:line="199" w:lineRule="exact"/>
              <w:ind w:left="711"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3321" w:type="dxa"/>
            <w:tcBorders>
              <w:top w:val="nil" w:sz="6" w:space="0" w:color="auto"/>
              <w:left w:val="nil" w:sz="6" w:space="0" w:color="auto"/>
              <w:bottom w:val="single" w:sz="12" w:space="0" w:color="000000"/>
              <w:right w:val="nil" w:sz="6" w:space="0" w:color="auto"/>
            </w:tcBorders>
          </w:tcPr>
          <w:p>
            <w:pPr>
              <w:pStyle w:val="TableParagraph"/>
              <w:spacing w:line="199" w:lineRule="exact"/>
              <w:ind w:right="301"/>
              <w:jc w:val="center"/>
              <w:rPr>
                <w:rFonts w:ascii="宋体" w:hAnsi="宋体" w:cs="宋体" w:eastAsia="宋体" w:hint="default"/>
                <w:sz w:val="20"/>
                <w:szCs w:val="20"/>
              </w:rPr>
            </w:pPr>
            <w:r>
              <w:rPr>
                <w:rFonts w:ascii="宋体" w:hAnsi="宋体" w:cs="宋体" w:eastAsia="宋体" w:hint="default"/>
                <w:sz w:val="20"/>
                <w:szCs w:val="20"/>
              </w:rPr>
              <w:t>期限</w:t>
            </w:r>
          </w:p>
        </w:tc>
      </w:tr>
      <w:tr>
        <w:trPr>
          <w:trHeight w:val="353" w:hRule="exact"/>
        </w:trPr>
        <w:tc>
          <w:tcPr>
            <w:tcW w:w="3535"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26" w:right="0"/>
              <w:jc w:val="left"/>
              <w:rPr>
                <w:rFonts w:ascii="宋体" w:hAnsi="宋体" w:cs="宋体" w:eastAsia="宋体" w:hint="default"/>
                <w:sz w:val="20"/>
                <w:szCs w:val="20"/>
              </w:rPr>
            </w:pPr>
            <w:r>
              <w:rPr>
                <w:rFonts w:ascii="宋体" w:hAnsi="宋体" w:cs="宋体" w:eastAsia="宋体" w:hint="default"/>
                <w:sz w:val="20"/>
                <w:szCs w:val="20"/>
              </w:rPr>
              <w:t>大唐电信集团财务有限公司</w:t>
            </w:r>
          </w:p>
        </w:tc>
        <w:tc>
          <w:tcPr>
            <w:tcW w:w="23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41"/>
              <w:ind w:right="311"/>
              <w:jc w:val="right"/>
              <w:rPr>
                <w:rFonts w:ascii="Times New Roman" w:hAnsi="Times New Roman" w:cs="Times New Roman" w:eastAsia="Times New Roman" w:hint="default"/>
                <w:sz w:val="20"/>
                <w:szCs w:val="20"/>
              </w:rPr>
            </w:pPr>
            <w:r>
              <w:rPr>
                <w:rFonts w:ascii="Times New Roman"/>
                <w:w w:val="95"/>
                <w:sz w:val="20"/>
              </w:rPr>
              <w:t>8,000.00</w:t>
            </w:r>
            <w:r>
              <w:rPr>
                <w:rFonts w:ascii="Times New Roman"/>
                <w:sz w:val="20"/>
              </w:rPr>
            </w:r>
          </w:p>
        </w:tc>
        <w:tc>
          <w:tcPr>
            <w:tcW w:w="3321" w:type="dxa"/>
            <w:tcBorders>
              <w:top w:val="single" w:sz="12" w:space="0" w:color="000000"/>
              <w:left w:val="nil" w:sz="6" w:space="0" w:color="auto"/>
              <w:bottom w:val="single" w:sz="12" w:space="0" w:color="000000"/>
              <w:right w:val="nil" w:sz="6" w:space="0" w:color="auto"/>
            </w:tcBorders>
          </w:tcPr>
          <w:p>
            <w:pPr>
              <w:pStyle w:val="TableParagraph"/>
              <w:spacing w:line="271" w:lineRule="exact"/>
              <w:ind w:right="6"/>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2012</w:t>
            </w:r>
            <w:r>
              <w:rPr>
                <w:rFonts w:ascii="宋体" w:hAnsi="宋体" w:cs="宋体" w:eastAsia="宋体" w:hint="default"/>
                <w:w w:val="95"/>
                <w:sz w:val="20"/>
                <w:szCs w:val="20"/>
              </w:rPr>
              <w:t>年</w:t>
            </w:r>
            <w:r>
              <w:rPr>
                <w:rFonts w:ascii="Times New Roman" w:hAnsi="Times New Roman" w:cs="Times New Roman" w:eastAsia="Times New Roman" w:hint="default"/>
                <w:w w:val="95"/>
                <w:sz w:val="20"/>
                <w:szCs w:val="20"/>
              </w:rPr>
              <w:t>7</w:t>
            </w:r>
            <w:r>
              <w:rPr>
                <w:rFonts w:ascii="宋体" w:hAnsi="宋体" w:cs="宋体" w:eastAsia="宋体" w:hint="default"/>
                <w:w w:val="95"/>
                <w:sz w:val="20"/>
                <w:szCs w:val="20"/>
              </w:rPr>
              <w:t>月</w:t>
            </w:r>
            <w:r>
              <w:rPr>
                <w:rFonts w:ascii="Times New Roman" w:hAnsi="Times New Roman" w:cs="Times New Roman" w:eastAsia="Times New Roman" w:hint="default"/>
                <w:w w:val="95"/>
                <w:sz w:val="20"/>
                <w:szCs w:val="20"/>
              </w:rPr>
              <w:t>30</w:t>
            </w:r>
            <w:r>
              <w:rPr>
                <w:rFonts w:ascii="宋体" w:hAnsi="宋体" w:cs="宋体" w:eastAsia="宋体" w:hint="default"/>
                <w:w w:val="95"/>
                <w:sz w:val="20"/>
                <w:szCs w:val="20"/>
              </w:rPr>
              <w:t>日至</w:t>
            </w:r>
            <w:r>
              <w:rPr>
                <w:rFonts w:ascii="Times New Roman" w:hAnsi="Times New Roman" w:cs="Times New Roman" w:eastAsia="Times New Roman" w:hint="default"/>
                <w:w w:val="95"/>
                <w:sz w:val="20"/>
                <w:szCs w:val="20"/>
              </w:rPr>
              <w:t>2013</w:t>
            </w:r>
            <w:r>
              <w:rPr>
                <w:rFonts w:ascii="宋体" w:hAnsi="宋体" w:cs="宋体" w:eastAsia="宋体" w:hint="default"/>
                <w:w w:val="95"/>
                <w:sz w:val="20"/>
                <w:szCs w:val="20"/>
              </w:rPr>
              <w:t>年</w:t>
            </w:r>
            <w:r>
              <w:rPr>
                <w:rFonts w:ascii="Times New Roman" w:hAnsi="Times New Roman" w:cs="Times New Roman" w:eastAsia="Times New Roman" w:hint="default"/>
                <w:w w:val="95"/>
                <w:sz w:val="20"/>
                <w:szCs w:val="20"/>
              </w:rPr>
              <w:t>7</w:t>
            </w:r>
            <w:r>
              <w:rPr>
                <w:rFonts w:ascii="宋体" w:hAnsi="宋体" w:cs="宋体" w:eastAsia="宋体" w:hint="default"/>
                <w:w w:val="95"/>
                <w:sz w:val="20"/>
                <w:szCs w:val="20"/>
              </w:rPr>
              <w:t>月</w:t>
            </w:r>
            <w:r>
              <w:rPr>
                <w:rFonts w:ascii="Times New Roman" w:hAnsi="Times New Roman" w:cs="Times New Roman" w:eastAsia="Times New Roman" w:hint="default"/>
                <w:w w:val="95"/>
                <w:sz w:val="20"/>
                <w:szCs w:val="20"/>
              </w:rPr>
              <w:t>30</w:t>
            </w:r>
            <w:r>
              <w:rPr>
                <w:rFonts w:ascii="宋体" w:hAnsi="宋体" w:cs="宋体" w:eastAsia="宋体" w:hint="default"/>
                <w:w w:val="95"/>
                <w:sz w:val="20"/>
                <w:szCs w:val="20"/>
              </w:rPr>
              <w:t>日</w:t>
            </w:r>
            <w:r>
              <w:rPr>
                <w:rFonts w:ascii="宋体" w:hAnsi="宋体" w:cs="宋体" w:eastAsia="宋体" w:hint="default"/>
                <w:sz w:val="20"/>
                <w:szCs w:val="20"/>
              </w:rPr>
            </w:r>
          </w:p>
        </w:tc>
      </w:tr>
      <w:tr>
        <w:trPr>
          <w:trHeight w:val="353" w:hRule="exact"/>
        </w:trPr>
        <w:tc>
          <w:tcPr>
            <w:tcW w:w="3535" w:type="dxa"/>
            <w:tcBorders>
              <w:top w:val="single" w:sz="12" w:space="0" w:color="000000"/>
              <w:left w:val="nil" w:sz="6" w:space="0" w:color="auto"/>
              <w:bottom w:val="single" w:sz="12" w:space="0" w:color="000000"/>
              <w:right w:val="nil" w:sz="6" w:space="0" w:color="auto"/>
            </w:tcBorders>
          </w:tcPr>
          <w:p>
            <w:pPr>
              <w:pStyle w:val="TableParagraph"/>
              <w:spacing w:line="254" w:lineRule="exact"/>
              <w:ind w:left="26" w:right="0"/>
              <w:jc w:val="left"/>
              <w:rPr>
                <w:rFonts w:ascii="宋体" w:hAnsi="宋体" w:cs="宋体" w:eastAsia="宋体" w:hint="default"/>
                <w:sz w:val="20"/>
                <w:szCs w:val="20"/>
              </w:rPr>
            </w:pPr>
            <w:r>
              <w:rPr>
                <w:rFonts w:ascii="宋体" w:hAnsi="宋体" w:cs="宋体" w:eastAsia="宋体" w:hint="default"/>
                <w:sz w:val="20"/>
                <w:szCs w:val="20"/>
              </w:rPr>
              <w:t>华夏银行亮马河支行</w:t>
            </w:r>
          </w:p>
        </w:tc>
        <w:tc>
          <w:tcPr>
            <w:tcW w:w="23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right="311"/>
              <w:jc w:val="right"/>
              <w:rPr>
                <w:rFonts w:ascii="Times New Roman" w:hAnsi="Times New Roman" w:cs="Times New Roman" w:eastAsia="Times New Roman" w:hint="default"/>
                <w:sz w:val="20"/>
                <w:szCs w:val="20"/>
              </w:rPr>
            </w:pPr>
            <w:r>
              <w:rPr>
                <w:rFonts w:ascii="Times New Roman"/>
                <w:w w:val="95"/>
                <w:sz w:val="20"/>
              </w:rPr>
              <w:t>2,000.00</w:t>
            </w:r>
            <w:r>
              <w:rPr>
                <w:rFonts w:ascii="Times New Roman"/>
                <w:sz w:val="20"/>
              </w:rPr>
            </w:r>
          </w:p>
        </w:tc>
        <w:tc>
          <w:tcPr>
            <w:tcW w:w="3321" w:type="dxa"/>
            <w:tcBorders>
              <w:top w:val="single" w:sz="12" w:space="0" w:color="000000"/>
              <w:left w:val="nil" w:sz="6" w:space="0" w:color="auto"/>
              <w:bottom w:val="single" w:sz="12" w:space="0" w:color="000000"/>
              <w:right w:val="nil" w:sz="6" w:space="0" w:color="auto"/>
            </w:tcBorders>
          </w:tcPr>
          <w:p>
            <w:pPr>
              <w:pStyle w:val="TableParagraph"/>
              <w:spacing w:line="269" w:lineRule="exact"/>
              <w:ind w:right="6"/>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2012</w:t>
            </w:r>
            <w:r>
              <w:rPr>
                <w:rFonts w:ascii="宋体" w:hAnsi="宋体" w:cs="宋体" w:eastAsia="宋体" w:hint="default"/>
                <w:w w:val="95"/>
                <w:sz w:val="20"/>
                <w:szCs w:val="20"/>
              </w:rPr>
              <w:t>年</w:t>
            </w:r>
            <w:r>
              <w:rPr>
                <w:rFonts w:ascii="Times New Roman" w:hAnsi="Times New Roman" w:cs="Times New Roman" w:eastAsia="Times New Roman" w:hint="default"/>
                <w:w w:val="95"/>
                <w:sz w:val="20"/>
                <w:szCs w:val="20"/>
              </w:rPr>
              <w:t>9</w:t>
            </w:r>
            <w:r>
              <w:rPr>
                <w:rFonts w:ascii="宋体" w:hAnsi="宋体" w:cs="宋体" w:eastAsia="宋体" w:hint="default"/>
                <w:w w:val="95"/>
                <w:sz w:val="20"/>
                <w:szCs w:val="20"/>
              </w:rPr>
              <w:t>月</w:t>
            </w:r>
            <w:r>
              <w:rPr>
                <w:rFonts w:ascii="Times New Roman" w:hAnsi="Times New Roman" w:cs="Times New Roman" w:eastAsia="Times New Roman" w:hint="default"/>
                <w:w w:val="95"/>
                <w:sz w:val="20"/>
                <w:szCs w:val="20"/>
              </w:rPr>
              <w:t>20</w:t>
            </w:r>
            <w:r>
              <w:rPr>
                <w:rFonts w:ascii="宋体" w:hAnsi="宋体" w:cs="宋体" w:eastAsia="宋体" w:hint="default"/>
                <w:w w:val="95"/>
                <w:sz w:val="20"/>
                <w:szCs w:val="20"/>
              </w:rPr>
              <w:t>日至</w:t>
            </w:r>
            <w:r>
              <w:rPr>
                <w:rFonts w:ascii="Times New Roman" w:hAnsi="Times New Roman" w:cs="Times New Roman" w:eastAsia="Times New Roman" w:hint="default"/>
                <w:w w:val="95"/>
                <w:sz w:val="20"/>
                <w:szCs w:val="20"/>
              </w:rPr>
              <w:t>2013</w:t>
            </w:r>
            <w:r>
              <w:rPr>
                <w:rFonts w:ascii="宋体" w:hAnsi="宋体" w:cs="宋体" w:eastAsia="宋体" w:hint="default"/>
                <w:w w:val="95"/>
                <w:sz w:val="20"/>
                <w:szCs w:val="20"/>
              </w:rPr>
              <w:t>年</w:t>
            </w:r>
            <w:r>
              <w:rPr>
                <w:rFonts w:ascii="Times New Roman" w:hAnsi="Times New Roman" w:cs="Times New Roman" w:eastAsia="Times New Roman" w:hint="default"/>
                <w:w w:val="95"/>
                <w:sz w:val="20"/>
                <w:szCs w:val="20"/>
              </w:rPr>
              <w:t>9</w:t>
            </w:r>
            <w:r>
              <w:rPr>
                <w:rFonts w:ascii="宋体" w:hAnsi="宋体" w:cs="宋体" w:eastAsia="宋体" w:hint="default"/>
                <w:w w:val="95"/>
                <w:sz w:val="20"/>
                <w:szCs w:val="20"/>
              </w:rPr>
              <w:t>月</w:t>
            </w:r>
            <w:r>
              <w:rPr>
                <w:rFonts w:ascii="Times New Roman" w:hAnsi="Times New Roman" w:cs="Times New Roman" w:eastAsia="Times New Roman" w:hint="default"/>
                <w:w w:val="95"/>
                <w:sz w:val="20"/>
                <w:szCs w:val="20"/>
              </w:rPr>
              <w:t>20</w:t>
            </w:r>
            <w:r>
              <w:rPr>
                <w:rFonts w:ascii="宋体" w:hAnsi="宋体" w:cs="宋体" w:eastAsia="宋体" w:hint="default"/>
                <w:w w:val="95"/>
                <w:sz w:val="20"/>
                <w:szCs w:val="20"/>
              </w:rPr>
              <w:t>日</w:t>
            </w:r>
            <w:r>
              <w:rPr>
                <w:rFonts w:ascii="宋体" w:hAnsi="宋体" w:cs="宋体" w:eastAsia="宋体" w:hint="default"/>
                <w:sz w:val="20"/>
                <w:szCs w:val="20"/>
              </w:rPr>
            </w:r>
          </w:p>
        </w:tc>
      </w:tr>
      <w:tr>
        <w:trPr>
          <w:trHeight w:val="350" w:hRule="exact"/>
        </w:trPr>
        <w:tc>
          <w:tcPr>
            <w:tcW w:w="3535" w:type="dxa"/>
            <w:tcBorders>
              <w:top w:val="single" w:sz="12" w:space="0" w:color="000000"/>
              <w:left w:val="nil" w:sz="6" w:space="0" w:color="auto"/>
              <w:bottom w:val="single" w:sz="12" w:space="0" w:color="000000"/>
              <w:right w:val="nil" w:sz="6" w:space="0" w:color="auto"/>
            </w:tcBorders>
          </w:tcPr>
          <w:p>
            <w:pPr>
              <w:pStyle w:val="TableParagraph"/>
              <w:spacing w:line="254" w:lineRule="exact"/>
              <w:ind w:left="26" w:right="0"/>
              <w:jc w:val="left"/>
              <w:rPr>
                <w:rFonts w:ascii="宋体" w:hAnsi="宋体" w:cs="宋体" w:eastAsia="宋体" w:hint="default"/>
                <w:sz w:val="20"/>
                <w:szCs w:val="20"/>
              </w:rPr>
            </w:pPr>
            <w:r>
              <w:rPr>
                <w:rFonts w:ascii="宋体" w:hAnsi="宋体" w:cs="宋体" w:eastAsia="宋体" w:hint="default"/>
                <w:sz w:val="20"/>
                <w:szCs w:val="20"/>
              </w:rPr>
              <w:t>大唐电信科技产业控股有限公司</w:t>
            </w:r>
          </w:p>
        </w:tc>
        <w:tc>
          <w:tcPr>
            <w:tcW w:w="23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right="311"/>
              <w:jc w:val="right"/>
              <w:rPr>
                <w:rFonts w:ascii="Times New Roman" w:hAnsi="Times New Roman" w:cs="Times New Roman" w:eastAsia="Times New Roman" w:hint="default"/>
                <w:sz w:val="20"/>
                <w:szCs w:val="20"/>
              </w:rPr>
            </w:pPr>
            <w:r>
              <w:rPr>
                <w:rFonts w:ascii="Times New Roman"/>
                <w:w w:val="95"/>
                <w:sz w:val="20"/>
              </w:rPr>
              <w:t>5,000.00</w:t>
            </w:r>
            <w:r>
              <w:rPr>
                <w:rFonts w:ascii="Times New Roman"/>
                <w:sz w:val="20"/>
              </w:rPr>
            </w:r>
          </w:p>
        </w:tc>
        <w:tc>
          <w:tcPr>
            <w:tcW w:w="3321" w:type="dxa"/>
            <w:tcBorders>
              <w:top w:val="single" w:sz="12" w:space="0" w:color="000000"/>
              <w:left w:val="nil" w:sz="6" w:space="0" w:color="auto"/>
              <w:bottom w:val="single" w:sz="12" w:space="0" w:color="000000"/>
              <w:right w:val="nil" w:sz="6" w:space="0" w:color="auto"/>
            </w:tcBorders>
          </w:tcPr>
          <w:p>
            <w:pPr>
              <w:pStyle w:val="TableParagraph"/>
              <w:spacing w:line="269" w:lineRule="exact"/>
              <w:ind w:right="6"/>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2012</w:t>
            </w:r>
            <w:r>
              <w:rPr>
                <w:rFonts w:ascii="宋体" w:hAnsi="宋体" w:cs="宋体" w:eastAsia="宋体" w:hint="default"/>
                <w:w w:val="95"/>
                <w:sz w:val="20"/>
                <w:szCs w:val="20"/>
              </w:rPr>
              <w:t>年</w:t>
            </w:r>
            <w:r>
              <w:rPr>
                <w:rFonts w:ascii="Times New Roman" w:hAnsi="Times New Roman" w:cs="Times New Roman" w:eastAsia="Times New Roman" w:hint="default"/>
                <w:w w:val="95"/>
                <w:sz w:val="20"/>
                <w:szCs w:val="20"/>
              </w:rPr>
              <w:t>12</w:t>
            </w:r>
            <w:r>
              <w:rPr>
                <w:rFonts w:ascii="宋体" w:hAnsi="宋体" w:cs="宋体" w:eastAsia="宋体" w:hint="default"/>
                <w:w w:val="95"/>
                <w:sz w:val="20"/>
                <w:szCs w:val="20"/>
              </w:rPr>
              <w:t>月</w:t>
            </w:r>
            <w:r>
              <w:rPr>
                <w:rFonts w:ascii="Times New Roman" w:hAnsi="Times New Roman" w:cs="Times New Roman" w:eastAsia="Times New Roman" w:hint="default"/>
                <w:w w:val="95"/>
                <w:sz w:val="20"/>
                <w:szCs w:val="20"/>
              </w:rPr>
              <w:t>24</w:t>
            </w:r>
            <w:r>
              <w:rPr>
                <w:rFonts w:ascii="宋体" w:hAnsi="宋体" w:cs="宋体" w:eastAsia="宋体" w:hint="default"/>
                <w:w w:val="95"/>
                <w:sz w:val="20"/>
                <w:szCs w:val="20"/>
              </w:rPr>
              <w:t>日至</w:t>
            </w:r>
            <w:r>
              <w:rPr>
                <w:rFonts w:ascii="Times New Roman" w:hAnsi="Times New Roman" w:cs="Times New Roman" w:eastAsia="Times New Roman" w:hint="default"/>
                <w:w w:val="95"/>
                <w:sz w:val="20"/>
                <w:szCs w:val="20"/>
              </w:rPr>
              <w:t>2013</w:t>
            </w:r>
            <w:r>
              <w:rPr>
                <w:rFonts w:ascii="宋体" w:hAnsi="宋体" w:cs="宋体" w:eastAsia="宋体" w:hint="default"/>
                <w:w w:val="95"/>
                <w:sz w:val="20"/>
                <w:szCs w:val="20"/>
              </w:rPr>
              <w:t>年</w:t>
            </w:r>
            <w:r>
              <w:rPr>
                <w:rFonts w:ascii="Times New Roman" w:hAnsi="Times New Roman" w:cs="Times New Roman" w:eastAsia="Times New Roman" w:hint="default"/>
                <w:w w:val="95"/>
                <w:sz w:val="20"/>
                <w:szCs w:val="20"/>
              </w:rPr>
              <w:t>12</w:t>
            </w:r>
            <w:r>
              <w:rPr>
                <w:rFonts w:ascii="宋体" w:hAnsi="宋体" w:cs="宋体" w:eastAsia="宋体" w:hint="default"/>
                <w:w w:val="95"/>
                <w:sz w:val="20"/>
                <w:szCs w:val="20"/>
              </w:rPr>
              <w:t>月</w:t>
            </w:r>
            <w:r>
              <w:rPr>
                <w:rFonts w:ascii="Times New Roman" w:hAnsi="Times New Roman" w:cs="Times New Roman" w:eastAsia="Times New Roman" w:hint="default"/>
                <w:w w:val="95"/>
                <w:sz w:val="20"/>
                <w:szCs w:val="20"/>
              </w:rPr>
              <w:t>13</w:t>
            </w:r>
            <w:r>
              <w:rPr>
                <w:rFonts w:ascii="宋体" w:hAnsi="宋体" w:cs="宋体" w:eastAsia="宋体" w:hint="default"/>
                <w:w w:val="95"/>
                <w:sz w:val="20"/>
                <w:szCs w:val="20"/>
              </w:rPr>
              <w:t>日</w:t>
            </w:r>
            <w:r>
              <w:rPr>
                <w:rFonts w:ascii="宋体" w:hAnsi="宋体" w:cs="宋体" w:eastAsia="宋体" w:hint="default"/>
                <w:sz w:val="20"/>
                <w:szCs w:val="20"/>
              </w:rPr>
            </w:r>
          </w:p>
        </w:tc>
      </w:tr>
      <w:tr>
        <w:trPr>
          <w:trHeight w:val="353" w:hRule="exact"/>
        </w:trPr>
        <w:tc>
          <w:tcPr>
            <w:tcW w:w="3535" w:type="dxa"/>
            <w:tcBorders>
              <w:top w:val="single" w:sz="12" w:space="0" w:color="000000"/>
              <w:left w:val="nil" w:sz="6" w:space="0" w:color="auto"/>
              <w:bottom w:val="single" w:sz="12" w:space="0" w:color="000000"/>
              <w:right w:val="nil" w:sz="6" w:space="0" w:color="auto"/>
            </w:tcBorders>
          </w:tcPr>
          <w:p>
            <w:pPr>
              <w:pStyle w:val="TableParagraph"/>
              <w:spacing w:line="256" w:lineRule="exact"/>
              <w:ind w:right="230"/>
              <w:jc w:val="center"/>
              <w:rPr>
                <w:rFonts w:ascii="宋体" w:hAnsi="宋体" w:cs="宋体" w:eastAsia="宋体" w:hint="default"/>
                <w:sz w:val="20"/>
                <w:szCs w:val="20"/>
              </w:rPr>
            </w:pPr>
            <w:r>
              <w:rPr>
                <w:rFonts w:ascii="宋体" w:hAnsi="宋体" w:cs="宋体" w:eastAsia="宋体" w:hint="default"/>
                <w:sz w:val="20"/>
                <w:szCs w:val="20"/>
              </w:rPr>
              <w:t>合计</w:t>
            </w:r>
          </w:p>
        </w:tc>
        <w:tc>
          <w:tcPr>
            <w:tcW w:w="23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41"/>
              <w:ind w:right="313"/>
              <w:jc w:val="right"/>
              <w:rPr>
                <w:rFonts w:ascii="Times New Roman" w:hAnsi="Times New Roman" w:cs="Times New Roman" w:eastAsia="Times New Roman" w:hint="default"/>
                <w:sz w:val="20"/>
                <w:szCs w:val="20"/>
              </w:rPr>
            </w:pPr>
            <w:r>
              <w:rPr>
                <w:rFonts w:ascii="Times New Roman"/>
                <w:w w:val="95"/>
                <w:sz w:val="20"/>
              </w:rPr>
              <w:t>15,000.00</w:t>
            </w:r>
            <w:r>
              <w:rPr>
                <w:rFonts w:ascii="Times New Roman"/>
                <w:sz w:val="20"/>
              </w:rPr>
            </w:r>
          </w:p>
        </w:tc>
        <w:tc>
          <w:tcPr>
            <w:tcW w:w="3321" w:type="dxa"/>
            <w:tcBorders>
              <w:top w:val="single" w:sz="12" w:space="0" w:color="000000"/>
              <w:left w:val="nil" w:sz="6" w:space="0" w:color="auto"/>
              <w:bottom w:val="single" w:sz="12" w:space="0" w:color="000000"/>
              <w:right w:val="nil" w:sz="6" w:space="0" w:color="auto"/>
            </w:tcBorders>
          </w:tcPr>
          <w:p>
            <w:pPr/>
          </w:p>
        </w:tc>
      </w:tr>
    </w:tbl>
    <w:p>
      <w:pPr>
        <w:spacing w:after="0"/>
        <w:sectPr>
          <w:type w:val="continuous"/>
          <w:pgSz w:w="11910" w:h="16840"/>
          <w:pgMar w:top="1060" w:bottom="1540" w:left="980" w:right="0"/>
        </w:sectPr>
      </w:pPr>
    </w:p>
    <w:p>
      <w:pPr>
        <w:spacing w:line="240" w:lineRule="auto" w:before="8"/>
        <w:rPr>
          <w:rFonts w:ascii="Times New Roman" w:hAnsi="Times New Roman" w:cs="Times New Roman" w:eastAsia="Times New Roman" w:hint="default"/>
          <w:sz w:val="26"/>
          <w:szCs w:val="26"/>
        </w:rPr>
      </w:pPr>
    </w:p>
    <w:p>
      <w:pPr>
        <w:pStyle w:val="BodyText"/>
        <w:spacing w:line="240" w:lineRule="auto" w:before="26"/>
        <w:ind w:right="1125"/>
        <w:jc w:val="left"/>
      </w:pPr>
      <w:r>
        <w:rPr/>
        <w:t>（</w:t>
      </w:r>
      <w:r>
        <w:rPr>
          <w:rFonts w:ascii="Times New Roman" w:hAnsi="Times New Roman" w:cs="Times New Roman" w:eastAsia="Times New Roman" w:hint="default"/>
        </w:rPr>
        <w:t>2</w:t>
      </w:r>
      <w:r>
        <w:rPr/>
        <w:t>）本公司为控股子公司之子公司高鸿恒昌提供担保：</w:t>
      </w:r>
    </w:p>
    <w:p>
      <w:pPr>
        <w:spacing w:line="240" w:lineRule="auto" w:before="6"/>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3139"/>
        <w:gridCol w:w="2894"/>
        <w:gridCol w:w="3200"/>
      </w:tblGrid>
      <w:tr>
        <w:trPr>
          <w:trHeight w:val="282" w:hRule="exact"/>
        </w:trPr>
        <w:tc>
          <w:tcPr>
            <w:tcW w:w="3139" w:type="dxa"/>
            <w:tcBorders>
              <w:top w:val="nil" w:sz="6" w:space="0" w:color="auto"/>
              <w:left w:val="nil" w:sz="6" w:space="0" w:color="auto"/>
              <w:bottom w:val="single" w:sz="12" w:space="0" w:color="000000"/>
              <w:right w:val="nil" w:sz="6" w:space="0" w:color="auto"/>
            </w:tcBorders>
          </w:tcPr>
          <w:p>
            <w:pPr>
              <w:pStyle w:val="TableParagraph"/>
              <w:spacing w:line="199" w:lineRule="exact"/>
              <w:ind w:left="121" w:right="0"/>
              <w:jc w:val="center"/>
              <w:rPr>
                <w:rFonts w:ascii="宋体" w:hAnsi="宋体" w:cs="宋体" w:eastAsia="宋体" w:hint="default"/>
                <w:sz w:val="20"/>
                <w:szCs w:val="20"/>
              </w:rPr>
            </w:pPr>
            <w:r>
              <w:rPr>
                <w:rFonts w:ascii="宋体" w:hAnsi="宋体" w:cs="宋体" w:eastAsia="宋体" w:hint="default"/>
                <w:sz w:val="20"/>
                <w:szCs w:val="20"/>
              </w:rPr>
              <w:t>借款银行</w:t>
            </w:r>
          </w:p>
        </w:tc>
        <w:tc>
          <w:tcPr>
            <w:tcW w:w="2894" w:type="dxa"/>
            <w:tcBorders>
              <w:top w:val="nil" w:sz="6" w:space="0" w:color="auto"/>
              <w:left w:val="nil" w:sz="6" w:space="0" w:color="auto"/>
              <w:bottom w:val="single" w:sz="12" w:space="0" w:color="000000"/>
              <w:right w:val="nil" w:sz="6" w:space="0" w:color="auto"/>
            </w:tcBorders>
          </w:tcPr>
          <w:p>
            <w:pPr>
              <w:pStyle w:val="TableParagraph"/>
              <w:spacing w:line="199" w:lineRule="exact"/>
              <w:ind w:right="272"/>
              <w:jc w:val="center"/>
              <w:rPr>
                <w:rFonts w:ascii="宋体" w:hAnsi="宋体" w:cs="宋体" w:eastAsia="宋体" w:hint="default"/>
                <w:sz w:val="20"/>
                <w:szCs w:val="20"/>
              </w:rPr>
            </w:pPr>
            <w:r>
              <w:rPr>
                <w:rFonts w:ascii="宋体" w:hAnsi="宋体" w:cs="宋体" w:eastAsia="宋体" w:hint="default"/>
                <w:sz w:val="20"/>
                <w:szCs w:val="20"/>
              </w:rPr>
              <w:t>金额</w:t>
            </w:r>
          </w:p>
        </w:tc>
        <w:tc>
          <w:tcPr>
            <w:tcW w:w="3200" w:type="dxa"/>
            <w:tcBorders>
              <w:top w:val="nil" w:sz="6" w:space="0" w:color="auto"/>
              <w:left w:val="nil" w:sz="6" w:space="0" w:color="auto"/>
              <w:bottom w:val="single" w:sz="12" w:space="0" w:color="000000"/>
              <w:right w:val="nil" w:sz="6" w:space="0" w:color="auto"/>
            </w:tcBorders>
          </w:tcPr>
          <w:p>
            <w:pPr>
              <w:pStyle w:val="TableParagraph"/>
              <w:spacing w:line="199" w:lineRule="exact"/>
              <w:ind w:right="379"/>
              <w:jc w:val="center"/>
              <w:rPr>
                <w:rFonts w:ascii="宋体" w:hAnsi="宋体" w:cs="宋体" w:eastAsia="宋体" w:hint="default"/>
                <w:sz w:val="20"/>
                <w:szCs w:val="20"/>
              </w:rPr>
            </w:pPr>
            <w:r>
              <w:rPr>
                <w:rFonts w:ascii="宋体" w:hAnsi="宋体" w:cs="宋体" w:eastAsia="宋体" w:hint="default"/>
                <w:sz w:val="20"/>
                <w:szCs w:val="20"/>
              </w:rPr>
              <w:t>期限</w:t>
            </w:r>
          </w:p>
        </w:tc>
      </w:tr>
      <w:tr>
        <w:trPr>
          <w:trHeight w:val="353" w:hRule="exact"/>
        </w:trPr>
        <w:tc>
          <w:tcPr>
            <w:tcW w:w="313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26" w:right="0"/>
              <w:jc w:val="left"/>
              <w:rPr>
                <w:rFonts w:ascii="宋体" w:hAnsi="宋体" w:cs="宋体" w:eastAsia="宋体" w:hint="default"/>
                <w:sz w:val="20"/>
                <w:szCs w:val="20"/>
              </w:rPr>
            </w:pPr>
            <w:r>
              <w:rPr>
                <w:rFonts w:ascii="宋体" w:hAnsi="宋体" w:cs="宋体" w:eastAsia="宋体" w:hint="default"/>
                <w:sz w:val="20"/>
                <w:szCs w:val="20"/>
              </w:rPr>
              <w:t>北京银行广源支行</w:t>
            </w:r>
          </w:p>
        </w:tc>
        <w:tc>
          <w:tcPr>
            <w:tcW w:w="28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41"/>
              <w:ind w:right="387"/>
              <w:jc w:val="right"/>
              <w:rPr>
                <w:rFonts w:ascii="Times New Roman" w:hAnsi="Times New Roman" w:cs="Times New Roman" w:eastAsia="Times New Roman" w:hint="default"/>
                <w:sz w:val="20"/>
                <w:szCs w:val="20"/>
              </w:rPr>
            </w:pPr>
            <w:r>
              <w:rPr>
                <w:rFonts w:ascii="Times New Roman"/>
                <w:w w:val="95"/>
                <w:sz w:val="20"/>
              </w:rPr>
              <w:t>1,000.00</w:t>
            </w:r>
            <w:r>
              <w:rPr>
                <w:rFonts w:ascii="Times New Roman"/>
                <w:sz w:val="20"/>
              </w:rPr>
            </w:r>
          </w:p>
        </w:tc>
        <w:tc>
          <w:tcPr>
            <w:tcW w:w="3200" w:type="dxa"/>
            <w:tcBorders>
              <w:top w:val="single" w:sz="12" w:space="0" w:color="000000"/>
              <w:left w:val="nil" w:sz="6" w:space="0" w:color="auto"/>
              <w:bottom w:val="single" w:sz="12" w:space="0" w:color="000000"/>
              <w:right w:val="nil" w:sz="6" w:space="0" w:color="auto"/>
            </w:tcBorders>
          </w:tcPr>
          <w:p>
            <w:pPr>
              <w:pStyle w:val="TableParagraph"/>
              <w:spacing w:line="271" w:lineRule="exact"/>
              <w:ind w:right="7"/>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2012</w:t>
            </w:r>
            <w:r>
              <w:rPr>
                <w:rFonts w:ascii="宋体" w:hAnsi="宋体" w:cs="宋体" w:eastAsia="宋体" w:hint="default"/>
                <w:w w:val="95"/>
                <w:sz w:val="20"/>
                <w:szCs w:val="20"/>
              </w:rPr>
              <w:t>年</w:t>
            </w:r>
            <w:r>
              <w:rPr>
                <w:rFonts w:ascii="Times New Roman" w:hAnsi="Times New Roman" w:cs="Times New Roman" w:eastAsia="Times New Roman" w:hint="default"/>
                <w:w w:val="95"/>
                <w:sz w:val="20"/>
                <w:szCs w:val="20"/>
              </w:rPr>
              <w:t>5</w:t>
            </w:r>
            <w:r>
              <w:rPr>
                <w:rFonts w:ascii="宋体" w:hAnsi="宋体" w:cs="宋体" w:eastAsia="宋体" w:hint="default"/>
                <w:w w:val="95"/>
                <w:sz w:val="20"/>
                <w:szCs w:val="20"/>
              </w:rPr>
              <w:t>月</w:t>
            </w:r>
            <w:r>
              <w:rPr>
                <w:rFonts w:ascii="Times New Roman" w:hAnsi="Times New Roman" w:cs="Times New Roman" w:eastAsia="Times New Roman" w:hint="default"/>
                <w:w w:val="95"/>
                <w:sz w:val="20"/>
                <w:szCs w:val="20"/>
              </w:rPr>
              <w:t>30</w:t>
            </w:r>
            <w:r>
              <w:rPr>
                <w:rFonts w:ascii="宋体" w:hAnsi="宋体" w:cs="宋体" w:eastAsia="宋体" w:hint="default"/>
                <w:w w:val="95"/>
                <w:sz w:val="20"/>
                <w:szCs w:val="20"/>
              </w:rPr>
              <w:t>日至</w:t>
            </w:r>
            <w:r>
              <w:rPr>
                <w:rFonts w:ascii="Times New Roman" w:hAnsi="Times New Roman" w:cs="Times New Roman" w:eastAsia="Times New Roman" w:hint="default"/>
                <w:w w:val="95"/>
                <w:sz w:val="20"/>
                <w:szCs w:val="20"/>
              </w:rPr>
              <w:t>2013</w:t>
            </w:r>
            <w:r>
              <w:rPr>
                <w:rFonts w:ascii="宋体" w:hAnsi="宋体" w:cs="宋体" w:eastAsia="宋体" w:hint="default"/>
                <w:w w:val="95"/>
                <w:sz w:val="20"/>
                <w:szCs w:val="20"/>
              </w:rPr>
              <w:t>年</w:t>
            </w:r>
            <w:r>
              <w:rPr>
                <w:rFonts w:ascii="Times New Roman" w:hAnsi="Times New Roman" w:cs="Times New Roman" w:eastAsia="Times New Roman" w:hint="default"/>
                <w:w w:val="95"/>
                <w:sz w:val="20"/>
                <w:szCs w:val="20"/>
              </w:rPr>
              <w:t>5</w:t>
            </w:r>
            <w:r>
              <w:rPr>
                <w:rFonts w:ascii="宋体" w:hAnsi="宋体" w:cs="宋体" w:eastAsia="宋体" w:hint="default"/>
                <w:w w:val="95"/>
                <w:sz w:val="20"/>
                <w:szCs w:val="20"/>
              </w:rPr>
              <w:t>月</w:t>
            </w:r>
            <w:r>
              <w:rPr>
                <w:rFonts w:ascii="Times New Roman" w:hAnsi="Times New Roman" w:cs="Times New Roman" w:eastAsia="Times New Roman" w:hint="default"/>
                <w:w w:val="95"/>
                <w:sz w:val="20"/>
                <w:szCs w:val="20"/>
              </w:rPr>
              <w:t>30</w:t>
            </w:r>
            <w:r>
              <w:rPr>
                <w:rFonts w:ascii="宋体" w:hAnsi="宋体" w:cs="宋体" w:eastAsia="宋体" w:hint="default"/>
                <w:w w:val="95"/>
                <w:sz w:val="20"/>
                <w:szCs w:val="20"/>
              </w:rPr>
              <w:t>日</w:t>
            </w:r>
            <w:r>
              <w:rPr>
                <w:rFonts w:ascii="宋体" w:hAnsi="宋体" w:cs="宋体" w:eastAsia="宋体" w:hint="default"/>
                <w:sz w:val="20"/>
                <w:szCs w:val="20"/>
              </w:rPr>
            </w:r>
          </w:p>
        </w:tc>
      </w:tr>
      <w:tr>
        <w:trPr>
          <w:trHeight w:val="353" w:hRule="exact"/>
        </w:trPr>
        <w:tc>
          <w:tcPr>
            <w:tcW w:w="3139" w:type="dxa"/>
            <w:tcBorders>
              <w:top w:val="single" w:sz="12" w:space="0" w:color="000000"/>
              <w:left w:val="nil" w:sz="6" w:space="0" w:color="auto"/>
              <w:bottom w:val="single" w:sz="12" w:space="0" w:color="000000"/>
              <w:right w:val="nil" w:sz="6" w:space="0" w:color="auto"/>
            </w:tcBorders>
          </w:tcPr>
          <w:p>
            <w:pPr>
              <w:pStyle w:val="TableParagraph"/>
              <w:spacing w:line="254" w:lineRule="exact"/>
              <w:ind w:left="26" w:right="0"/>
              <w:jc w:val="left"/>
              <w:rPr>
                <w:rFonts w:ascii="宋体" w:hAnsi="宋体" w:cs="宋体" w:eastAsia="宋体" w:hint="default"/>
                <w:sz w:val="20"/>
                <w:szCs w:val="20"/>
              </w:rPr>
            </w:pPr>
            <w:r>
              <w:rPr>
                <w:rFonts w:ascii="宋体" w:hAnsi="宋体" w:cs="宋体" w:eastAsia="宋体" w:hint="default"/>
                <w:sz w:val="20"/>
                <w:szCs w:val="20"/>
              </w:rPr>
              <w:t>北京银行广源支行</w:t>
            </w:r>
          </w:p>
        </w:tc>
        <w:tc>
          <w:tcPr>
            <w:tcW w:w="28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right="387"/>
              <w:jc w:val="right"/>
              <w:rPr>
                <w:rFonts w:ascii="Times New Roman" w:hAnsi="Times New Roman" w:cs="Times New Roman" w:eastAsia="Times New Roman" w:hint="default"/>
                <w:sz w:val="20"/>
                <w:szCs w:val="20"/>
              </w:rPr>
            </w:pPr>
            <w:r>
              <w:rPr>
                <w:rFonts w:ascii="Times New Roman"/>
                <w:w w:val="95"/>
                <w:sz w:val="20"/>
              </w:rPr>
              <w:t>1,000.00</w:t>
            </w:r>
            <w:r>
              <w:rPr>
                <w:rFonts w:ascii="Times New Roman"/>
                <w:sz w:val="20"/>
              </w:rPr>
            </w:r>
          </w:p>
        </w:tc>
        <w:tc>
          <w:tcPr>
            <w:tcW w:w="3200" w:type="dxa"/>
            <w:tcBorders>
              <w:top w:val="single" w:sz="12" w:space="0" w:color="000000"/>
              <w:left w:val="nil" w:sz="6" w:space="0" w:color="auto"/>
              <w:bottom w:val="single" w:sz="12" w:space="0" w:color="000000"/>
              <w:right w:val="nil" w:sz="6" w:space="0" w:color="auto"/>
            </w:tcBorders>
          </w:tcPr>
          <w:p>
            <w:pPr>
              <w:pStyle w:val="TableParagraph"/>
              <w:spacing w:line="269" w:lineRule="exact"/>
              <w:ind w:right="7"/>
              <w:jc w:val="right"/>
              <w:rPr>
                <w:rFonts w:ascii="宋体" w:hAnsi="宋体" w:cs="宋体" w:eastAsia="宋体" w:hint="default"/>
                <w:sz w:val="20"/>
                <w:szCs w:val="20"/>
              </w:rPr>
            </w:pPr>
            <w:r>
              <w:rPr>
                <w:rFonts w:ascii="Times New Roman" w:hAnsi="Times New Roman" w:cs="Times New Roman" w:eastAsia="Times New Roman" w:hint="default"/>
                <w:w w:val="95"/>
                <w:sz w:val="20"/>
                <w:szCs w:val="20"/>
              </w:rPr>
              <w:t>2012</w:t>
            </w:r>
            <w:r>
              <w:rPr>
                <w:rFonts w:ascii="宋体" w:hAnsi="宋体" w:cs="宋体" w:eastAsia="宋体" w:hint="default"/>
                <w:w w:val="95"/>
                <w:sz w:val="20"/>
                <w:szCs w:val="20"/>
              </w:rPr>
              <w:t>年</w:t>
            </w:r>
            <w:r>
              <w:rPr>
                <w:rFonts w:ascii="Times New Roman" w:hAnsi="Times New Roman" w:cs="Times New Roman" w:eastAsia="Times New Roman" w:hint="default"/>
                <w:w w:val="95"/>
                <w:sz w:val="20"/>
                <w:szCs w:val="20"/>
              </w:rPr>
              <w:t>5</w:t>
            </w:r>
            <w:r>
              <w:rPr>
                <w:rFonts w:ascii="宋体" w:hAnsi="宋体" w:cs="宋体" w:eastAsia="宋体" w:hint="default"/>
                <w:w w:val="95"/>
                <w:sz w:val="20"/>
                <w:szCs w:val="20"/>
              </w:rPr>
              <w:t>月</w:t>
            </w:r>
            <w:r>
              <w:rPr>
                <w:rFonts w:ascii="Times New Roman" w:hAnsi="Times New Roman" w:cs="Times New Roman" w:eastAsia="Times New Roman" w:hint="default"/>
                <w:w w:val="95"/>
                <w:sz w:val="20"/>
                <w:szCs w:val="20"/>
              </w:rPr>
              <w:t>18</w:t>
            </w:r>
            <w:r>
              <w:rPr>
                <w:rFonts w:ascii="宋体" w:hAnsi="宋体" w:cs="宋体" w:eastAsia="宋体" w:hint="default"/>
                <w:w w:val="95"/>
                <w:sz w:val="20"/>
                <w:szCs w:val="20"/>
              </w:rPr>
              <w:t>日至</w:t>
            </w:r>
            <w:r>
              <w:rPr>
                <w:rFonts w:ascii="Times New Roman" w:hAnsi="Times New Roman" w:cs="Times New Roman" w:eastAsia="Times New Roman" w:hint="default"/>
                <w:w w:val="95"/>
                <w:sz w:val="20"/>
                <w:szCs w:val="20"/>
              </w:rPr>
              <w:t>2013</w:t>
            </w:r>
            <w:r>
              <w:rPr>
                <w:rFonts w:ascii="宋体" w:hAnsi="宋体" w:cs="宋体" w:eastAsia="宋体" w:hint="default"/>
                <w:w w:val="95"/>
                <w:sz w:val="20"/>
                <w:szCs w:val="20"/>
              </w:rPr>
              <w:t>年</w:t>
            </w:r>
            <w:r>
              <w:rPr>
                <w:rFonts w:ascii="Times New Roman" w:hAnsi="Times New Roman" w:cs="Times New Roman" w:eastAsia="Times New Roman" w:hint="default"/>
                <w:w w:val="95"/>
                <w:sz w:val="20"/>
                <w:szCs w:val="20"/>
              </w:rPr>
              <w:t>5</w:t>
            </w:r>
            <w:r>
              <w:rPr>
                <w:rFonts w:ascii="宋体" w:hAnsi="宋体" w:cs="宋体" w:eastAsia="宋体" w:hint="default"/>
                <w:w w:val="95"/>
                <w:sz w:val="20"/>
                <w:szCs w:val="20"/>
              </w:rPr>
              <w:t>月</w:t>
            </w:r>
            <w:r>
              <w:rPr>
                <w:rFonts w:ascii="Times New Roman" w:hAnsi="Times New Roman" w:cs="Times New Roman" w:eastAsia="Times New Roman" w:hint="default"/>
                <w:w w:val="95"/>
                <w:sz w:val="20"/>
                <w:szCs w:val="20"/>
              </w:rPr>
              <w:t>18</w:t>
            </w:r>
            <w:r>
              <w:rPr>
                <w:rFonts w:ascii="宋体" w:hAnsi="宋体" w:cs="宋体" w:eastAsia="宋体" w:hint="default"/>
                <w:w w:val="95"/>
                <w:sz w:val="20"/>
                <w:szCs w:val="20"/>
              </w:rPr>
              <w:t>日</w:t>
            </w:r>
            <w:r>
              <w:rPr>
                <w:rFonts w:ascii="宋体" w:hAnsi="宋体" w:cs="宋体" w:eastAsia="宋体" w:hint="default"/>
                <w:sz w:val="20"/>
                <w:szCs w:val="20"/>
              </w:rPr>
            </w:r>
          </w:p>
        </w:tc>
      </w:tr>
      <w:tr>
        <w:trPr>
          <w:trHeight w:val="353" w:hRule="exact"/>
        </w:trPr>
        <w:tc>
          <w:tcPr>
            <w:tcW w:w="3139" w:type="dxa"/>
            <w:tcBorders>
              <w:top w:val="single" w:sz="12" w:space="0" w:color="000000"/>
              <w:left w:val="nil" w:sz="6" w:space="0" w:color="auto"/>
              <w:bottom w:val="single" w:sz="12" w:space="0" w:color="000000"/>
              <w:right w:val="nil" w:sz="6" w:space="0" w:color="auto"/>
            </w:tcBorders>
          </w:tcPr>
          <w:p>
            <w:pPr>
              <w:pStyle w:val="TableParagraph"/>
              <w:spacing w:line="254" w:lineRule="exact"/>
              <w:ind w:left="121"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8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right="387"/>
              <w:jc w:val="right"/>
              <w:rPr>
                <w:rFonts w:ascii="Times New Roman" w:hAnsi="Times New Roman" w:cs="Times New Roman" w:eastAsia="Times New Roman" w:hint="default"/>
                <w:sz w:val="20"/>
                <w:szCs w:val="20"/>
              </w:rPr>
            </w:pPr>
            <w:r>
              <w:rPr>
                <w:rFonts w:ascii="Times New Roman"/>
                <w:w w:val="95"/>
                <w:sz w:val="20"/>
              </w:rPr>
              <w:t>2,000.00</w:t>
            </w:r>
            <w:r>
              <w:rPr>
                <w:rFonts w:ascii="Times New Roman"/>
                <w:sz w:val="20"/>
              </w:rPr>
            </w:r>
          </w:p>
        </w:tc>
        <w:tc>
          <w:tcPr>
            <w:tcW w:w="3200" w:type="dxa"/>
            <w:tcBorders>
              <w:top w:val="single" w:sz="12" w:space="0" w:color="000000"/>
              <w:left w:val="nil" w:sz="6" w:space="0" w:color="auto"/>
              <w:bottom w:val="single" w:sz="12" w:space="0" w:color="000000"/>
              <w:right w:val="nil" w:sz="6" w:space="0" w:color="auto"/>
            </w:tcBorders>
          </w:tcPr>
          <w:p>
            <w:pPr/>
          </w:p>
        </w:tc>
      </w:tr>
    </w:tbl>
    <w:p>
      <w:pPr>
        <w:spacing w:line="240" w:lineRule="auto" w:before="10"/>
        <w:rPr>
          <w:rFonts w:ascii="宋体" w:hAnsi="宋体" w:cs="宋体" w:eastAsia="宋体" w:hint="default"/>
          <w:sz w:val="18"/>
          <w:szCs w:val="18"/>
        </w:rPr>
      </w:pPr>
    </w:p>
    <w:p>
      <w:pPr>
        <w:pStyle w:val="BodyText"/>
        <w:spacing w:line="240" w:lineRule="auto" w:before="26"/>
        <w:ind w:right="1125"/>
        <w:jc w:val="left"/>
      </w:pPr>
      <w:r>
        <w:rPr/>
        <w:t>（</w:t>
      </w:r>
      <w:r>
        <w:rPr>
          <w:rFonts w:ascii="Times New Roman" w:hAnsi="Times New Roman" w:cs="Times New Roman" w:eastAsia="Times New Roman" w:hint="default"/>
        </w:rPr>
        <w:t>3</w:t>
      </w:r>
      <w:r>
        <w:rPr/>
        <w:t>）本公司为控股子公司高鸿信息提供担保：</w:t>
      </w:r>
    </w:p>
    <w:p>
      <w:pPr>
        <w:spacing w:line="240" w:lineRule="auto" w:before="6"/>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3139"/>
        <w:gridCol w:w="2772"/>
        <w:gridCol w:w="3321"/>
      </w:tblGrid>
      <w:tr>
        <w:trPr>
          <w:trHeight w:val="282" w:hRule="exact"/>
        </w:trPr>
        <w:tc>
          <w:tcPr>
            <w:tcW w:w="3139" w:type="dxa"/>
            <w:tcBorders>
              <w:top w:val="nil" w:sz="6" w:space="0" w:color="auto"/>
              <w:left w:val="nil" w:sz="6" w:space="0" w:color="auto"/>
              <w:bottom w:val="single" w:sz="12" w:space="0" w:color="000000"/>
              <w:right w:val="nil" w:sz="6" w:space="0" w:color="auto"/>
            </w:tcBorders>
          </w:tcPr>
          <w:p>
            <w:pPr>
              <w:pStyle w:val="TableParagraph"/>
              <w:spacing w:line="199" w:lineRule="exact"/>
              <w:ind w:left="145" w:right="0"/>
              <w:jc w:val="center"/>
              <w:rPr>
                <w:rFonts w:ascii="宋体" w:hAnsi="宋体" w:cs="宋体" w:eastAsia="宋体" w:hint="default"/>
                <w:sz w:val="20"/>
                <w:szCs w:val="20"/>
              </w:rPr>
            </w:pPr>
            <w:r>
              <w:rPr>
                <w:rFonts w:ascii="宋体" w:hAnsi="宋体" w:cs="宋体" w:eastAsia="宋体" w:hint="default"/>
                <w:sz w:val="20"/>
                <w:szCs w:val="20"/>
              </w:rPr>
              <w:t>借款银行</w:t>
            </w:r>
          </w:p>
        </w:tc>
        <w:tc>
          <w:tcPr>
            <w:tcW w:w="2772" w:type="dxa"/>
            <w:tcBorders>
              <w:top w:val="nil" w:sz="6" w:space="0" w:color="auto"/>
              <w:left w:val="nil" w:sz="6" w:space="0" w:color="auto"/>
              <w:bottom w:val="single" w:sz="12" w:space="0" w:color="000000"/>
              <w:right w:val="nil" w:sz="6" w:space="0" w:color="auto"/>
            </w:tcBorders>
          </w:tcPr>
          <w:p>
            <w:pPr>
              <w:pStyle w:val="TableParagraph"/>
              <w:spacing w:line="199" w:lineRule="exact"/>
              <w:ind w:right="175"/>
              <w:jc w:val="center"/>
              <w:rPr>
                <w:rFonts w:ascii="宋体" w:hAnsi="宋体" w:cs="宋体" w:eastAsia="宋体" w:hint="default"/>
                <w:sz w:val="20"/>
                <w:szCs w:val="20"/>
              </w:rPr>
            </w:pPr>
            <w:r>
              <w:rPr>
                <w:rFonts w:ascii="宋体" w:hAnsi="宋体" w:cs="宋体" w:eastAsia="宋体" w:hint="default"/>
                <w:sz w:val="20"/>
                <w:szCs w:val="20"/>
              </w:rPr>
              <w:t>金额</w:t>
            </w:r>
          </w:p>
        </w:tc>
        <w:tc>
          <w:tcPr>
            <w:tcW w:w="3321" w:type="dxa"/>
            <w:tcBorders>
              <w:top w:val="nil" w:sz="6" w:space="0" w:color="auto"/>
              <w:left w:val="nil" w:sz="6" w:space="0" w:color="auto"/>
              <w:bottom w:val="single" w:sz="12" w:space="0" w:color="000000"/>
              <w:right w:val="nil" w:sz="6" w:space="0" w:color="auto"/>
            </w:tcBorders>
          </w:tcPr>
          <w:p>
            <w:pPr>
              <w:pStyle w:val="TableParagraph"/>
              <w:spacing w:line="199" w:lineRule="exact"/>
              <w:ind w:right="301"/>
              <w:jc w:val="center"/>
              <w:rPr>
                <w:rFonts w:ascii="宋体" w:hAnsi="宋体" w:cs="宋体" w:eastAsia="宋体" w:hint="default"/>
                <w:sz w:val="20"/>
                <w:szCs w:val="20"/>
              </w:rPr>
            </w:pPr>
            <w:r>
              <w:rPr>
                <w:rFonts w:ascii="宋体" w:hAnsi="宋体" w:cs="宋体" w:eastAsia="宋体" w:hint="default"/>
                <w:sz w:val="20"/>
                <w:szCs w:val="20"/>
              </w:rPr>
              <w:t>期限</w:t>
            </w:r>
          </w:p>
        </w:tc>
      </w:tr>
      <w:tr>
        <w:trPr>
          <w:trHeight w:val="353" w:hRule="exact"/>
        </w:trPr>
        <w:tc>
          <w:tcPr>
            <w:tcW w:w="313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26" w:right="0"/>
              <w:jc w:val="left"/>
              <w:rPr>
                <w:rFonts w:ascii="宋体" w:hAnsi="宋体" w:cs="宋体" w:eastAsia="宋体" w:hint="default"/>
                <w:sz w:val="20"/>
                <w:szCs w:val="20"/>
              </w:rPr>
            </w:pPr>
            <w:r>
              <w:rPr>
                <w:rFonts w:ascii="宋体" w:hAnsi="宋体" w:cs="宋体" w:eastAsia="宋体" w:hint="default"/>
                <w:sz w:val="20"/>
                <w:szCs w:val="20"/>
              </w:rPr>
              <w:t>宁波银行北京分行</w:t>
            </w:r>
          </w:p>
        </w:tc>
        <w:tc>
          <w:tcPr>
            <w:tcW w:w="2772" w:type="dxa"/>
            <w:tcBorders>
              <w:top w:val="single" w:sz="12" w:space="0" w:color="000000"/>
              <w:left w:val="nil" w:sz="6" w:space="0" w:color="auto"/>
              <w:bottom w:val="single" w:sz="12" w:space="0" w:color="000000"/>
              <w:right w:val="nil" w:sz="6" w:space="0" w:color="auto"/>
            </w:tcBorders>
          </w:tcPr>
          <w:p>
            <w:pPr>
              <w:pStyle w:val="TableParagraph"/>
              <w:spacing w:line="240" w:lineRule="auto" w:before="41"/>
              <w:ind w:right="311"/>
              <w:jc w:val="right"/>
              <w:rPr>
                <w:rFonts w:ascii="Times New Roman" w:hAnsi="Times New Roman" w:cs="Times New Roman" w:eastAsia="Times New Roman" w:hint="default"/>
                <w:sz w:val="20"/>
                <w:szCs w:val="20"/>
              </w:rPr>
            </w:pPr>
            <w:r>
              <w:rPr>
                <w:rFonts w:ascii="Times New Roman"/>
                <w:w w:val="95"/>
                <w:sz w:val="20"/>
              </w:rPr>
              <w:t>1,000.00</w:t>
            </w:r>
            <w:r>
              <w:rPr>
                <w:rFonts w:ascii="Times New Roman"/>
                <w:sz w:val="20"/>
              </w:rPr>
            </w:r>
          </w:p>
        </w:tc>
        <w:tc>
          <w:tcPr>
            <w:tcW w:w="3321" w:type="dxa"/>
            <w:tcBorders>
              <w:top w:val="single" w:sz="12" w:space="0" w:color="000000"/>
              <w:left w:val="nil" w:sz="6" w:space="0" w:color="auto"/>
              <w:bottom w:val="single" w:sz="12" w:space="0" w:color="000000"/>
              <w:right w:val="nil" w:sz="6" w:space="0" w:color="auto"/>
            </w:tcBorders>
          </w:tcPr>
          <w:p>
            <w:pPr>
              <w:pStyle w:val="TableParagraph"/>
              <w:spacing w:line="271" w:lineRule="exact"/>
              <w:ind w:left="31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宋体" w:hAnsi="宋体" w:cs="宋体" w:eastAsia="宋体" w:hint="default"/>
                <w:sz w:val="20"/>
                <w:szCs w:val="20"/>
              </w:rPr>
              <w:t>年</w:t>
            </w:r>
            <w:r>
              <w:rPr>
                <w:rFonts w:ascii="Times New Roman" w:hAnsi="Times New Roman" w:cs="Times New Roman" w:eastAsia="Times New Roman" w:hint="default"/>
                <w:sz w:val="20"/>
                <w:szCs w:val="20"/>
              </w:rPr>
              <w:t>10</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日至</w:t>
            </w:r>
            <w:r>
              <w:rPr>
                <w:rFonts w:ascii="Times New Roman" w:hAnsi="Times New Roman" w:cs="Times New Roman" w:eastAsia="Times New Roman" w:hint="default"/>
                <w:sz w:val="20"/>
                <w:szCs w:val="20"/>
              </w:rPr>
              <w:t>2013</w:t>
            </w:r>
            <w:r>
              <w:rPr>
                <w:rFonts w:ascii="宋体" w:hAnsi="宋体" w:cs="宋体" w:eastAsia="宋体" w:hint="default"/>
                <w:sz w:val="20"/>
                <w:szCs w:val="20"/>
              </w:rPr>
              <w:t>年</w:t>
            </w:r>
            <w:r>
              <w:rPr>
                <w:rFonts w:ascii="Times New Roman" w:hAnsi="Times New Roman" w:cs="Times New Roman" w:eastAsia="Times New Roman" w:hint="default"/>
                <w:sz w:val="20"/>
                <w:szCs w:val="20"/>
              </w:rPr>
              <w:t>10</w:t>
            </w:r>
            <w:r>
              <w:rPr>
                <w:rFonts w:ascii="宋体" w:hAnsi="宋体" w:cs="宋体" w:eastAsia="宋体" w:hint="default"/>
                <w:sz w:val="20"/>
                <w:szCs w:val="20"/>
              </w:rPr>
              <w:t>月</w:t>
            </w:r>
            <w:r>
              <w:rPr>
                <w:rFonts w:ascii="Times New Roman" w:hAnsi="Times New Roman" w:cs="Times New Roman" w:eastAsia="Times New Roman" w:hint="default"/>
                <w:sz w:val="20"/>
                <w:szCs w:val="20"/>
              </w:rPr>
              <w:t>30</w:t>
            </w:r>
            <w:r>
              <w:rPr>
                <w:rFonts w:ascii="宋体" w:hAnsi="宋体" w:cs="宋体" w:eastAsia="宋体" w:hint="default"/>
                <w:sz w:val="20"/>
                <w:szCs w:val="20"/>
              </w:rPr>
              <w:t>日</w:t>
            </w:r>
          </w:p>
        </w:tc>
      </w:tr>
      <w:tr>
        <w:trPr>
          <w:trHeight w:val="353" w:hRule="exact"/>
        </w:trPr>
        <w:tc>
          <w:tcPr>
            <w:tcW w:w="3139" w:type="dxa"/>
            <w:tcBorders>
              <w:top w:val="single" w:sz="12" w:space="0" w:color="000000"/>
              <w:left w:val="nil" w:sz="6" w:space="0" w:color="auto"/>
              <w:bottom w:val="single" w:sz="12" w:space="0" w:color="000000"/>
              <w:right w:val="nil" w:sz="6" w:space="0" w:color="auto"/>
            </w:tcBorders>
          </w:tcPr>
          <w:p>
            <w:pPr>
              <w:pStyle w:val="TableParagraph"/>
              <w:spacing w:line="254" w:lineRule="exact"/>
              <w:ind w:left="145"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772" w:type="dxa"/>
            <w:tcBorders>
              <w:top w:val="single" w:sz="12" w:space="0" w:color="000000"/>
              <w:left w:val="nil" w:sz="6" w:space="0" w:color="auto"/>
              <w:bottom w:val="single" w:sz="12" w:space="0" w:color="000000"/>
              <w:right w:val="nil" w:sz="6" w:space="0" w:color="auto"/>
            </w:tcBorders>
          </w:tcPr>
          <w:p>
            <w:pPr>
              <w:pStyle w:val="TableParagraph"/>
              <w:spacing w:line="240" w:lineRule="auto" w:before="39"/>
              <w:ind w:right="311"/>
              <w:jc w:val="right"/>
              <w:rPr>
                <w:rFonts w:ascii="Times New Roman" w:hAnsi="Times New Roman" w:cs="Times New Roman" w:eastAsia="Times New Roman" w:hint="default"/>
                <w:sz w:val="20"/>
                <w:szCs w:val="20"/>
              </w:rPr>
            </w:pPr>
            <w:r>
              <w:rPr>
                <w:rFonts w:ascii="Times New Roman"/>
                <w:w w:val="95"/>
                <w:sz w:val="20"/>
              </w:rPr>
              <w:t>1,000.00</w:t>
            </w:r>
            <w:r>
              <w:rPr>
                <w:rFonts w:ascii="Times New Roman"/>
                <w:sz w:val="20"/>
              </w:rPr>
            </w:r>
          </w:p>
        </w:tc>
        <w:tc>
          <w:tcPr>
            <w:tcW w:w="3321" w:type="dxa"/>
            <w:tcBorders>
              <w:top w:val="single" w:sz="12" w:space="0" w:color="000000"/>
              <w:left w:val="nil" w:sz="6" w:space="0" w:color="auto"/>
              <w:bottom w:val="single" w:sz="12" w:space="0" w:color="000000"/>
              <w:right w:val="nil" w:sz="6" w:space="0" w:color="auto"/>
            </w:tcBorders>
          </w:tcPr>
          <w:p>
            <w:pPr/>
          </w:p>
        </w:tc>
      </w:tr>
    </w:tbl>
    <w:p>
      <w:pPr>
        <w:spacing w:line="240" w:lineRule="auto" w:before="3"/>
        <w:rPr>
          <w:rFonts w:ascii="宋体" w:hAnsi="宋体" w:cs="宋体" w:eastAsia="宋体" w:hint="default"/>
          <w:sz w:val="24"/>
          <w:szCs w:val="24"/>
        </w:rPr>
      </w:pPr>
    </w:p>
    <w:p>
      <w:pPr>
        <w:spacing w:line="357" w:lineRule="auto" w:before="44"/>
        <w:ind w:left="513" w:right="8594" w:hanging="361"/>
        <w:jc w:val="left"/>
        <w:rPr>
          <w:rFonts w:ascii="宋体" w:hAnsi="宋体" w:cs="宋体" w:eastAsia="宋体" w:hint="default"/>
          <w:sz w:val="18"/>
          <w:szCs w:val="18"/>
        </w:rPr>
      </w:pPr>
      <w:r>
        <w:rPr>
          <w:rFonts w:ascii="宋体" w:hAnsi="宋体" w:cs="宋体" w:eastAsia="宋体" w:hint="default"/>
          <w:sz w:val="18"/>
          <w:szCs w:val="18"/>
        </w:rPr>
        <w:t>其他或有负债及其财务影响 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4"/>
        <w:ind w:right="1125"/>
        <w:jc w:val="left"/>
        <w:rPr>
          <w:b w:val="0"/>
          <w:bCs w:val="0"/>
        </w:rPr>
      </w:pPr>
      <w:r>
        <w:rPr/>
        <w:t>十二、承诺事项</w:t>
      </w:r>
      <w:r>
        <w:rPr>
          <w:b w:val="0"/>
          <w:bCs w:val="0"/>
        </w:rPr>
      </w:r>
    </w:p>
    <w:p>
      <w:pPr>
        <w:spacing w:line="240" w:lineRule="auto" w:before="12"/>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、重大承诺事项</w:t>
      </w:r>
      <w:r>
        <w:rPr>
          <w:rFonts w:ascii="宋体" w:hAnsi="宋体" w:cs="宋体" w:eastAsia="宋体" w:hint="default"/>
          <w:sz w:val="21"/>
          <w:szCs w:val="21"/>
        </w:rPr>
      </w:r>
    </w:p>
    <w:p>
      <w:pPr>
        <w:spacing w:line="240" w:lineRule="auto" w:before="6"/>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77" w:footer="1271" w:top="1060" w:bottom="1460" w:left="980" w:right="0"/>
        </w:sectPr>
      </w:pPr>
    </w:p>
    <w:p>
      <w:pPr>
        <w:pStyle w:val="BodyText"/>
        <w:spacing w:line="312" w:lineRule="exact" w:before="56"/>
        <w:ind w:left="633" w:right="-20" w:firstLine="2"/>
        <w:jc w:val="left"/>
      </w:pPr>
      <w:r>
        <w:rPr/>
        <w:t>（</w:t>
      </w:r>
      <w:r>
        <w:rPr>
          <w:rFonts w:ascii="Times New Roman" w:hAnsi="Times New Roman" w:cs="Times New Roman" w:eastAsia="Times New Roman" w:hint="default"/>
        </w:rPr>
        <w:t>1</w:t>
      </w:r>
      <w:r>
        <w:rPr/>
        <w:t>）经营租赁承诺 至资产负债表日止，本集团对外签订的不可撤销的经营租赁合约情况如下：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before="154"/>
        <w:ind w:left="148" w:right="0" w:firstLine="0"/>
        <w:jc w:val="left"/>
        <w:rPr>
          <w:rFonts w:ascii="宋体" w:hAnsi="宋体" w:cs="宋体" w:eastAsia="宋体" w:hint="default"/>
          <w:sz w:val="21"/>
          <w:szCs w:val="21"/>
        </w:rPr>
      </w:pPr>
      <w:r>
        <w:rPr>
          <w:rFonts w:ascii="宋体" w:hAnsi="宋体" w:cs="宋体" w:eastAsia="宋体" w:hint="default"/>
          <w:sz w:val="21"/>
          <w:szCs w:val="21"/>
        </w:rPr>
        <w:t>人民币元</w:t>
      </w:r>
    </w:p>
    <w:p>
      <w:pPr>
        <w:spacing w:after="0"/>
        <w:jc w:val="left"/>
        <w:rPr>
          <w:rFonts w:ascii="宋体" w:hAnsi="宋体" w:cs="宋体" w:eastAsia="宋体" w:hint="default"/>
          <w:sz w:val="21"/>
          <w:szCs w:val="21"/>
        </w:rPr>
        <w:sectPr>
          <w:type w:val="continuous"/>
          <w:pgSz w:w="11910" w:h="16840"/>
          <w:pgMar w:top="1060" w:bottom="1540" w:left="980" w:right="0"/>
          <w:cols w:num="2" w:equalWidth="0">
            <w:col w:w="8554" w:space="40"/>
            <w:col w:w="2336"/>
          </w:cols>
        </w:sectPr>
      </w:pP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4273"/>
        <w:gridCol w:w="2374"/>
        <w:gridCol w:w="2568"/>
      </w:tblGrid>
      <w:tr>
        <w:trPr>
          <w:trHeight w:val="356" w:hRule="exact"/>
        </w:trPr>
        <w:tc>
          <w:tcPr>
            <w:tcW w:w="4273"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2374"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568"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50" w:hRule="exact"/>
        </w:trPr>
        <w:tc>
          <w:tcPr>
            <w:tcW w:w="427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不可撤销经营租赁的最低租赁付款额：</w:t>
            </w:r>
          </w:p>
        </w:tc>
        <w:tc>
          <w:tcPr>
            <w:tcW w:w="2374" w:type="dxa"/>
            <w:tcBorders>
              <w:top w:val="single" w:sz="12" w:space="0" w:color="000000"/>
              <w:left w:val="single" w:sz="6" w:space="0" w:color="000000"/>
              <w:bottom w:val="single" w:sz="12" w:space="0" w:color="000000"/>
              <w:right w:val="single" w:sz="6" w:space="0" w:color="000000"/>
            </w:tcBorders>
          </w:tcPr>
          <w:p>
            <w:pPr/>
          </w:p>
        </w:tc>
        <w:tc>
          <w:tcPr>
            <w:tcW w:w="256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273" w:type="dxa"/>
            <w:tcBorders>
              <w:top w:val="single" w:sz="12" w:space="0" w:color="000000"/>
              <w:left w:val="single" w:sz="6" w:space="0" w:color="000000"/>
              <w:bottom w:val="single" w:sz="12"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3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3,816,857.83</w:t>
            </w:r>
          </w:p>
        </w:tc>
        <w:tc>
          <w:tcPr>
            <w:tcW w:w="256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27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以后年度</w:t>
            </w:r>
          </w:p>
        </w:tc>
        <w:tc>
          <w:tcPr>
            <w:tcW w:w="2374" w:type="dxa"/>
            <w:tcBorders>
              <w:top w:val="single" w:sz="12" w:space="0" w:color="000000"/>
              <w:left w:val="single" w:sz="6" w:space="0" w:color="000000"/>
              <w:bottom w:val="single" w:sz="12" w:space="0" w:color="000000"/>
              <w:right w:val="single" w:sz="6" w:space="0" w:color="000000"/>
            </w:tcBorders>
          </w:tcPr>
          <w:p>
            <w:pPr/>
          </w:p>
        </w:tc>
        <w:tc>
          <w:tcPr>
            <w:tcW w:w="256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27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9"/>
                <w:sz w:val="21"/>
                <w:szCs w:val="21"/>
              </w:rPr>
              <w:t> </w:t>
            </w:r>
            <w:r>
              <w:rPr>
                <w:rFonts w:ascii="宋体" w:hAnsi="宋体" w:cs="宋体" w:eastAsia="宋体" w:hint="default"/>
                <w:sz w:val="21"/>
                <w:szCs w:val="21"/>
              </w:rPr>
              <w:t>计</w:t>
            </w:r>
          </w:p>
        </w:tc>
        <w:tc>
          <w:tcPr>
            <w:tcW w:w="23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3,816,857.83</w:t>
            </w:r>
          </w:p>
        </w:tc>
        <w:tc>
          <w:tcPr>
            <w:tcW w:w="2568"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18"/>
          <w:szCs w:val="18"/>
        </w:rPr>
      </w:pPr>
    </w:p>
    <w:p>
      <w:pPr>
        <w:pStyle w:val="BodyText"/>
        <w:spacing w:line="244" w:lineRule="auto" w:before="26"/>
        <w:ind w:left="633" w:right="1125" w:firstLine="2"/>
        <w:jc w:val="left"/>
      </w:pPr>
      <w:r>
        <w:rPr/>
        <w:t>（</w:t>
      </w:r>
      <w:r>
        <w:rPr>
          <w:rFonts w:ascii="Times New Roman" w:hAnsi="Times New Roman" w:cs="Times New Roman" w:eastAsia="Times New Roman" w:hint="default"/>
        </w:rPr>
        <w:t>2</w:t>
      </w:r>
      <w:r>
        <w:rPr/>
        <w:t>）其他承诺事项 本集团的原办公地点为北京市海淀区</w:t>
      </w:r>
      <w:r>
        <w:rPr>
          <w:rFonts w:ascii="宋体" w:hAnsi="宋体" w:cs="宋体" w:eastAsia="宋体" w:hint="default"/>
        </w:rPr>
        <w:t>40</w:t>
      </w:r>
      <w:r>
        <w:rPr/>
        <w:t>号研六楼，属电信科学技术研究院房产，委托电</w:t>
      </w:r>
    </w:p>
    <w:p>
      <w:pPr>
        <w:pStyle w:val="BodyText"/>
        <w:spacing w:line="273" w:lineRule="auto" w:before="38"/>
        <w:ind w:right="1000"/>
        <w:jc w:val="left"/>
      </w:pPr>
      <w:r>
        <w:rPr/>
        <w:t>信科学技术半导体研究所租赁经营。因市政建设被列入拆迁计划，原计划</w:t>
      </w:r>
      <w:r>
        <w:rPr>
          <w:rFonts w:ascii="宋体" w:hAnsi="宋体" w:cs="宋体" w:eastAsia="宋体" w:hint="default"/>
        </w:rPr>
        <w:t>2012</w:t>
      </w:r>
      <w:r>
        <w:rPr/>
        <w:t>年完成搬迁工</w:t>
      </w:r>
      <w:r>
        <w:rPr>
          <w:spacing w:val="-89"/>
        </w:rPr>
        <w:t> </w:t>
      </w:r>
      <w:r>
        <w:rPr>
          <w:spacing w:val="-89"/>
        </w:rPr>
      </w:r>
      <w:r>
        <w:rPr>
          <w:spacing w:val="-2"/>
        </w:rPr>
        <w:t>作，因此与电信科学技术半导体研究所商定</w:t>
      </w:r>
      <w:r>
        <w:rPr>
          <w:rFonts w:ascii="宋体" w:hAnsi="宋体" w:cs="宋体" w:eastAsia="宋体" w:hint="default"/>
          <w:spacing w:val="-2"/>
        </w:rPr>
        <w:t>2012</w:t>
      </w:r>
      <w:r>
        <w:rPr>
          <w:spacing w:val="-2"/>
        </w:rPr>
        <w:t>年暂不签订房屋租赁协议。但由于各种原因，</w:t>
      </w:r>
      <w:r>
        <w:rPr>
          <w:spacing w:val="-115"/>
        </w:rPr>
        <w:t> </w:t>
      </w:r>
      <w:r>
        <w:rPr>
          <w:spacing w:val="-115"/>
        </w:rPr>
      </w:r>
      <w:r>
        <w:rPr>
          <w:rFonts w:ascii="宋体" w:hAnsi="宋体" w:cs="宋体" w:eastAsia="宋体" w:hint="default"/>
        </w:rPr>
        <w:t>2012</w:t>
      </w:r>
      <w:r>
        <w:rPr/>
        <w:t>年未能完成搬迁，故补签了房租协议，并支付了上半年的租金。目前，</w:t>
      </w:r>
      <w:r>
        <w:rPr>
          <w:rFonts w:ascii="宋体" w:hAnsi="宋体" w:cs="宋体" w:eastAsia="宋体" w:hint="default"/>
        </w:rPr>
        <w:t>2012</w:t>
      </w:r>
      <w:r>
        <w:rPr/>
        <w:t>年下半年的</w:t>
      </w:r>
      <w:r>
        <w:rPr>
          <w:spacing w:val="-89"/>
        </w:rPr>
        <w:t> </w:t>
      </w:r>
      <w:r>
        <w:rPr>
          <w:spacing w:val="-89"/>
        </w:rPr>
      </w:r>
      <w:r>
        <w:rPr/>
        <w:t>租金尚未支付。</w:t>
      </w:r>
    </w:p>
    <w:p>
      <w:pPr>
        <w:pStyle w:val="BodyText"/>
        <w:spacing w:line="276" w:lineRule="auto" w:before="10"/>
        <w:ind w:right="1136" w:firstLine="480"/>
        <w:jc w:val="both"/>
      </w:pPr>
      <w:r>
        <w:rPr/>
        <w:t>本集团已初步和电信科学技术研究院协商，搬迁后的办公地点租用北京市海淀区</w:t>
      </w:r>
      <w:r>
        <w:rPr>
          <w:rFonts w:ascii="宋体" w:hAnsi="宋体" w:cs="宋体" w:eastAsia="宋体" w:hint="default"/>
        </w:rPr>
        <w:t>40</w:t>
      </w:r>
      <w:r>
        <w:rPr/>
        <w:t>号大 唐电信集团院内两处办公楼：</w:t>
      </w:r>
    </w:p>
    <w:p>
      <w:pPr>
        <w:pStyle w:val="BodyText"/>
        <w:spacing w:line="273" w:lineRule="auto" w:before="7"/>
        <w:ind w:right="1128" w:firstLine="480"/>
        <w:jc w:val="both"/>
      </w:pPr>
      <w:r>
        <w:rPr>
          <w:rFonts w:ascii="宋体" w:hAnsi="宋体" w:cs="宋体" w:eastAsia="宋体" w:hint="default"/>
          <w:spacing w:val="-7"/>
        </w:rPr>
        <w:t>1.</w:t>
      </w:r>
      <w:r>
        <w:rPr>
          <w:spacing w:val="-7"/>
        </w:rPr>
        <w:t>科研综合楼</w:t>
      </w:r>
      <w:r>
        <w:rPr>
          <w:rFonts w:ascii="宋体" w:hAnsi="宋体" w:cs="宋体" w:eastAsia="宋体" w:hint="default"/>
          <w:spacing w:val="-7"/>
        </w:rPr>
        <w:t>10</w:t>
      </w:r>
      <w:r>
        <w:rPr>
          <w:spacing w:val="-7"/>
        </w:rPr>
        <w:t>层南半区、</w:t>
      </w:r>
      <w:r>
        <w:rPr>
          <w:rFonts w:ascii="宋体" w:hAnsi="宋体" w:cs="宋体" w:eastAsia="宋体" w:hint="default"/>
          <w:spacing w:val="-7"/>
        </w:rPr>
        <w:t>11</w:t>
      </w:r>
      <w:r>
        <w:rPr>
          <w:spacing w:val="-7"/>
        </w:rPr>
        <w:t>层整层：已签订租赁合同，面积</w:t>
      </w:r>
      <w:r>
        <w:rPr>
          <w:rFonts w:ascii="宋体" w:hAnsi="宋体" w:cs="宋体" w:eastAsia="宋体" w:hint="default"/>
          <w:spacing w:val="-7"/>
        </w:rPr>
        <w:t>1631.2</w:t>
      </w:r>
      <w:r>
        <w:rPr>
          <w:spacing w:val="-7"/>
        </w:rPr>
        <w:t>平米，租金</w:t>
      </w:r>
      <w:r>
        <w:rPr>
          <w:rFonts w:ascii="宋体" w:hAnsi="宋体" w:cs="宋体" w:eastAsia="宋体" w:hint="default"/>
          <w:spacing w:val="-7"/>
        </w:rPr>
        <w:t>3.9</w:t>
      </w:r>
      <w:r>
        <w:rPr>
          <w:spacing w:val="-7"/>
        </w:rPr>
        <w:t>元/m2•</w:t>
      </w:r>
      <w:r>
        <w:rPr/>
        <w:t> </w:t>
      </w:r>
      <w:r>
        <w:rPr>
          <w:spacing w:val="-2"/>
        </w:rPr>
        <w:t>天，物业管理及能源费</w:t>
      </w:r>
      <w:r>
        <w:rPr>
          <w:rFonts w:ascii="宋体" w:hAnsi="宋体" w:cs="宋体" w:eastAsia="宋体" w:hint="default"/>
          <w:spacing w:val="-2"/>
        </w:rPr>
        <w:t>0.8</w:t>
      </w:r>
      <w:r>
        <w:rPr>
          <w:spacing w:val="-2"/>
        </w:rPr>
        <w:t>元/m2•天；租赁时间自</w:t>
      </w:r>
      <w:r>
        <w:rPr>
          <w:rFonts w:ascii="宋体" w:hAnsi="宋体" w:cs="宋体" w:eastAsia="宋体" w:hint="default"/>
          <w:spacing w:val="-2"/>
        </w:rPr>
        <w:t>2012</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22</w:t>
      </w:r>
      <w:r>
        <w:rPr>
          <w:spacing w:val="-2"/>
        </w:rPr>
        <w:t>日至</w:t>
      </w:r>
      <w:r>
        <w:rPr>
          <w:rFonts w:ascii="宋体" w:hAnsi="宋体" w:cs="宋体" w:eastAsia="宋体" w:hint="default"/>
          <w:spacing w:val="-2"/>
        </w:rPr>
        <w:t>2013</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21</w:t>
      </w:r>
      <w:r>
        <w:rPr>
          <w:spacing w:val="-2"/>
        </w:rPr>
        <w:t>日。由于办</w:t>
      </w:r>
      <w:r>
        <w:rPr>
          <w:spacing w:val="-97"/>
        </w:rPr>
        <w:t> </w:t>
      </w:r>
      <w:r>
        <w:rPr>
          <w:spacing w:val="-97"/>
        </w:rPr>
      </w:r>
      <w:r>
        <w:rPr/>
        <w:t>公用地装修工作尚未完成，经协商一致，上述费用自实际搬入之日起核算。</w:t>
      </w:r>
    </w:p>
    <w:p>
      <w:pPr>
        <w:pStyle w:val="BodyText"/>
        <w:spacing w:line="273" w:lineRule="auto" w:before="12"/>
        <w:ind w:right="1128" w:firstLine="480"/>
        <w:jc w:val="both"/>
      </w:pPr>
      <w:r>
        <w:rPr>
          <w:rFonts w:ascii="宋体" w:hAnsi="宋体" w:cs="宋体" w:eastAsia="宋体" w:hint="default"/>
          <w:spacing w:val="-2"/>
        </w:rPr>
        <w:t>2.</w:t>
      </w:r>
      <w:r>
        <w:rPr>
          <w:spacing w:val="-2"/>
        </w:rPr>
        <w:t>研八楼：已签订租赁合同，面积</w:t>
      </w:r>
      <w:r>
        <w:rPr>
          <w:rFonts w:ascii="宋体" w:hAnsi="宋体" w:cs="宋体" w:eastAsia="宋体" w:hint="default"/>
          <w:spacing w:val="-2"/>
        </w:rPr>
        <w:t>2431</w:t>
      </w:r>
      <w:r>
        <w:rPr>
          <w:spacing w:val="-2"/>
        </w:rPr>
        <w:t>平米，租金</w:t>
      </w:r>
      <w:r>
        <w:rPr>
          <w:rFonts w:ascii="宋体" w:hAnsi="宋体" w:cs="宋体" w:eastAsia="宋体" w:hint="default"/>
          <w:spacing w:val="-2"/>
        </w:rPr>
        <w:t>2.3</w:t>
      </w:r>
      <w:r>
        <w:rPr>
          <w:spacing w:val="-2"/>
        </w:rPr>
        <w:t>元/m2•天，租赁时间自</w:t>
      </w:r>
      <w:r>
        <w:rPr>
          <w:rFonts w:ascii="宋体" w:hAnsi="宋体" w:cs="宋体" w:eastAsia="宋体" w:hint="default"/>
          <w:spacing w:val="-2"/>
        </w:rPr>
        <w:t>2013</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w:t>
      </w:r>
      <w:r>
        <w:rPr>
          <w:rFonts w:ascii="宋体" w:hAnsi="宋体" w:cs="宋体" w:eastAsia="宋体" w:hint="default"/>
        </w:rPr>
        <w:t> </w:t>
      </w:r>
      <w:r>
        <w:rPr/>
        <w:t>日至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w:t>
      </w:r>
    </w:p>
    <w:p>
      <w:pPr>
        <w:spacing w:after="0" w:line="273" w:lineRule="auto"/>
        <w:jc w:val="both"/>
        <w:sectPr>
          <w:type w:val="continuous"/>
          <w:pgSz w:w="11910" w:h="16840"/>
          <w:pgMar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pStyle w:val="BodyText"/>
        <w:spacing w:line="322" w:lineRule="exact" w:before="26"/>
        <w:ind w:left="633" w:right="1125"/>
        <w:jc w:val="left"/>
      </w:pPr>
      <w:r>
        <w:rPr/>
        <w:t>本集团</w:t>
      </w:r>
      <w:r>
        <w:rPr>
          <w:rFonts w:ascii="Times New Roman" w:hAnsi="Times New Roman" w:cs="Times New Roman" w:eastAsia="Times New Roman" w:hint="default"/>
        </w:rPr>
        <w:t>2011</w:t>
      </w:r>
      <w:r>
        <w:rPr/>
        <w:t>年与电信科学技术半导体研究所签订的房租租赁合同本报告期已全部履行完</w:t>
      </w:r>
    </w:p>
    <w:p>
      <w:pPr>
        <w:pStyle w:val="BodyText"/>
        <w:spacing w:line="304" w:lineRule="exact"/>
        <w:ind w:right="1125"/>
        <w:jc w:val="left"/>
      </w:pPr>
      <w:r>
        <w:rPr/>
        <w:t>毕。</w:t>
      </w:r>
    </w:p>
    <w:p>
      <w:pPr>
        <w:spacing w:line="240" w:lineRule="auto" w:before="13"/>
        <w:rPr>
          <w:rFonts w:ascii="宋体" w:hAnsi="宋体" w:cs="宋体" w:eastAsia="宋体" w:hint="default"/>
          <w:sz w:val="20"/>
          <w:szCs w:val="20"/>
        </w:rPr>
      </w:pPr>
    </w:p>
    <w:p>
      <w:pPr>
        <w:pStyle w:val="Heading2"/>
        <w:spacing w:line="240" w:lineRule="auto"/>
        <w:ind w:right="1125"/>
        <w:jc w:val="left"/>
        <w:rPr>
          <w:b w:val="0"/>
          <w:bCs w:val="0"/>
        </w:rPr>
      </w:pPr>
      <w:r>
        <w:rPr/>
        <w:t>十三、资产负债表日后事项</w:t>
      </w:r>
      <w:r>
        <w:rPr>
          <w:b w:val="0"/>
          <w:bCs w:val="0"/>
        </w:rPr>
      </w:r>
    </w:p>
    <w:p>
      <w:pPr>
        <w:spacing w:line="240" w:lineRule="auto" w:before="9"/>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、重要的资产负债表日后事项说明</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、资产负债表日后利润分配情况说明</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30,956,400.00</w:t>
            </w:r>
          </w:p>
        </w:tc>
      </w:tr>
    </w:tbl>
    <w:p>
      <w:pPr>
        <w:spacing w:line="240" w:lineRule="auto" w:before="3"/>
        <w:rPr>
          <w:rFonts w:ascii="宋体" w:hAnsi="宋体" w:cs="宋体" w:eastAsia="宋体" w:hint="default"/>
          <w:sz w:val="19"/>
          <w:szCs w:val="19"/>
        </w:rPr>
      </w:pPr>
    </w:p>
    <w:p>
      <w:pPr>
        <w:spacing w:line="487" w:lineRule="auto" w:before="36"/>
        <w:ind w:left="152" w:right="771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、其他资产负债表日后事项说明</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z w:val="24"/>
          <w:szCs w:val="24"/>
        </w:rPr>
        <w:t>十四、其他重要事项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spacing w:before="81"/>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6"/>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77" w:footer="1271" w:top="1060" w:bottom="1460" w:left="980" w:right="0"/>
        </w:sectPr>
      </w:pPr>
    </w:p>
    <w:p>
      <w:pPr>
        <w:pStyle w:val="BodyText"/>
        <w:spacing w:line="312" w:lineRule="exact" w:before="56"/>
        <w:ind w:left="633" w:right="-20" w:firstLine="2"/>
        <w:jc w:val="left"/>
      </w:pPr>
      <w:r>
        <w:rPr/>
        <w:t>（</w:t>
      </w:r>
      <w:r>
        <w:rPr>
          <w:rFonts w:ascii="Times New Roman" w:hAnsi="Times New Roman" w:cs="Times New Roman" w:eastAsia="Times New Roman" w:hint="default"/>
        </w:rPr>
        <w:t>1</w:t>
      </w:r>
      <w:r>
        <w:rPr/>
        <w:t>）经营租赁 至资产负债表日止，本集团对外签订的不可撤销的经营租赁合约情况如下：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before="155"/>
        <w:ind w:left="148" w:right="0" w:firstLine="0"/>
        <w:jc w:val="left"/>
        <w:rPr>
          <w:rFonts w:ascii="宋体" w:hAnsi="宋体" w:cs="宋体" w:eastAsia="宋体" w:hint="default"/>
          <w:sz w:val="21"/>
          <w:szCs w:val="21"/>
        </w:rPr>
      </w:pPr>
      <w:r>
        <w:rPr>
          <w:rFonts w:ascii="宋体" w:hAnsi="宋体" w:cs="宋体" w:eastAsia="宋体" w:hint="default"/>
          <w:sz w:val="21"/>
          <w:szCs w:val="21"/>
        </w:rPr>
        <w:t>人民币元</w:t>
      </w:r>
    </w:p>
    <w:p>
      <w:pPr>
        <w:spacing w:after="0"/>
        <w:jc w:val="left"/>
        <w:rPr>
          <w:rFonts w:ascii="宋体" w:hAnsi="宋体" w:cs="宋体" w:eastAsia="宋体" w:hint="default"/>
          <w:sz w:val="21"/>
          <w:szCs w:val="21"/>
        </w:rPr>
        <w:sectPr>
          <w:type w:val="continuous"/>
          <w:pgSz w:w="11910" w:h="16840"/>
          <w:pgMar w:top="1060" w:bottom="1540" w:left="980" w:right="0"/>
          <w:cols w:num="2" w:equalWidth="0">
            <w:col w:w="8554" w:space="40"/>
            <w:col w:w="2336"/>
          </w:cols>
        </w:sectPr>
      </w:pP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4273"/>
        <w:gridCol w:w="2374"/>
        <w:gridCol w:w="2568"/>
      </w:tblGrid>
      <w:tr>
        <w:trPr>
          <w:trHeight w:val="355" w:hRule="exact"/>
        </w:trPr>
        <w:tc>
          <w:tcPr>
            <w:tcW w:w="4273"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2374"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568"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50" w:hRule="exact"/>
        </w:trPr>
        <w:tc>
          <w:tcPr>
            <w:tcW w:w="427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不可撤销经营租赁的最低租赁付款额：</w:t>
            </w:r>
          </w:p>
        </w:tc>
        <w:tc>
          <w:tcPr>
            <w:tcW w:w="2374" w:type="dxa"/>
            <w:tcBorders>
              <w:top w:val="single" w:sz="12" w:space="0" w:color="000000"/>
              <w:left w:val="single" w:sz="6" w:space="0" w:color="000000"/>
              <w:bottom w:val="single" w:sz="12" w:space="0" w:color="000000"/>
              <w:right w:val="single" w:sz="6" w:space="0" w:color="000000"/>
            </w:tcBorders>
          </w:tcPr>
          <w:p>
            <w:pPr/>
          </w:p>
        </w:tc>
        <w:tc>
          <w:tcPr>
            <w:tcW w:w="256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273" w:type="dxa"/>
            <w:tcBorders>
              <w:top w:val="single" w:sz="12" w:space="0" w:color="000000"/>
              <w:left w:val="single" w:sz="6" w:space="0" w:color="000000"/>
              <w:bottom w:val="single" w:sz="12"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3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3,816,857.83</w:t>
            </w:r>
          </w:p>
        </w:tc>
        <w:tc>
          <w:tcPr>
            <w:tcW w:w="256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27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以后年度</w:t>
            </w:r>
          </w:p>
        </w:tc>
        <w:tc>
          <w:tcPr>
            <w:tcW w:w="2374" w:type="dxa"/>
            <w:tcBorders>
              <w:top w:val="single" w:sz="12" w:space="0" w:color="000000"/>
              <w:left w:val="single" w:sz="6" w:space="0" w:color="000000"/>
              <w:bottom w:val="single" w:sz="12" w:space="0" w:color="000000"/>
              <w:right w:val="single" w:sz="6" w:space="0" w:color="000000"/>
            </w:tcBorders>
          </w:tcPr>
          <w:p>
            <w:pPr/>
          </w:p>
        </w:tc>
        <w:tc>
          <w:tcPr>
            <w:tcW w:w="256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27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9"/>
                <w:sz w:val="21"/>
                <w:szCs w:val="21"/>
              </w:rPr>
              <w:t> </w:t>
            </w:r>
            <w:r>
              <w:rPr>
                <w:rFonts w:ascii="宋体" w:hAnsi="宋体" w:cs="宋体" w:eastAsia="宋体" w:hint="default"/>
                <w:sz w:val="21"/>
                <w:szCs w:val="21"/>
              </w:rPr>
              <w:t>计</w:t>
            </w:r>
          </w:p>
        </w:tc>
        <w:tc>
          <w:tcPr>
            <w:tcW w:w="23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3,816,857.83</w:t>
            </w:r>
          </w:p>
        </w:tc>
        <w:tc>
          <w:tcPr>
            <w:tcW w:w="2568" w:type="dxa"/>
            <w:tcBorders>
              <w:top w:val="single" w:sz="12" w:space="0" w:color="000000"/>
              <w:left w:val="single" w:sz="6" w:space="0" w:color="000000"/>
              <w:bottom w:val="single" w:sz="12" w:space="0" w:color="000000"/>
              <w:right w:val="nil" w:sz="6" w:space="0" w:color="auto"/>
            </w:tcBorders>
          </w:tcPr>
          <w:p>
            <w:pPr/>
          </w:p>
        </w:tc>
      </w:tr>
    </w:tbl>
    <w:p>
      <w:pPr>
        <w:pStyle w:val="BodyText"/>
        <w:spacing w:line="292" w:lineRule="exact"/>
        <w:ind w:left="635" w:right="1125"/>
        <w:jc w:val="left"/>
      </w:pPr>
      <w:r>
        <w:rPr/>
        <w:t>（</w:t>
      </w:r>
      <w:r>
        <w:rPr>
          <w:rFonts w:ascii="Times New Roman" w:hAnsi="Times New Roman" w:cs="Times New Roman" w:eastAsia="Times New Roman" w:hint="default"/>
        </w:rPr>
        <w:t>2</w:t>
      </w:r>
      <w:r>
        <w:rPr/>
        <w:t>）其他承诺事项</w:t>
      </w:r>
    </w:p>
    <w:p>
      <w:pPr>
        <w:pStyle w:val="BodyText"/>
        <w:spacing w:line="240" w:lineRule="auto" w:before="6"/>
        <w:ind w:left="633" w:right="1125"/>
        <w:jc w:val="left"/>
      </w:pPr>
      <w:r>
        <w:rPr/>
        <w:t>本集团的原办公地点为北京市海淀区</w:t>
      </w:r>
      <w:r>
        <w:rPr>
          <w:rFonts w:ascii="宋体" w:hAnsi="宋体" w:cs="宋体" w:eastAsia="宋体" w:hint="default"/>
        </w:rPr>
        <w:t>40</w:t>
      </w:r>
      <w:r>
        <w:rPr/>
        <w:t>号研六楼，属电信科学技术研究院房产，委托电</w:t>
      </w:r>
    </w:p>
    <w:p>
      <w:pPr>
        <w:spacing w:after="0" w:line="240" w:lineRule="auto"/>
        <w:jc w:val="left"/>
        <w:sectPr>
          <w:type w:val="continuous"/>
          <w:pgSz w:w="11910" w:h="16840"/>
          <w:pgMar w:top="1060" w:bottom="1540" w:left="980" w:right="0"/>
        </w:sectPr>
      </w:pPr>
    </w:p>
    <w:p>
      <w:pPr>
        <w:spacing w:line="240" w:lineRule="auto" w:before="6"/>
        <w:rPr>
          <w:rFonts w:ascii="宋体" w:hAnsi="宋体" w:cs="宋体" w:eastAsia="宋体" w:hint="default"/>
          <w:sz w:val="25"/>
          <w:szCs w:val="25"/>
        </w:rPr>
      </w:pPr>
    </w:p>
    <w:p>
      <w:pPr>
        <w:pStyle w:val="BodyText"/>
        <w:spacing w:line="273" w:lineRule="auto" w:before="26"/>
        <w:ind w:right="1000"/>
        <w:jc w:val="left"/>
      </w:pPr>
      <w:r>
        <w:rPr/>
        <w:t>信科学技术半导体研究所租赁经营。因市政建设被列入拆迁计划，原计划</w:t>
      </w:r>
      <w:r>
        <w:rPr>
          <w:rFonts w:ascii="宋体" w:hAnsi="宋体" w:cs="宋体" w:eastAsia="宋体" w:hint="default"/>
        </w:rPr>
        <w:t>2012</w:t>
      </w:r>
      <w:r>
        <w:rPr/>
        <w:t>年完成搬迁工</w:t>
      </w:r>
      <w:r>
        <w:rPr>
          <w:spacing w:val="-89"/>
        </w:rPr>
        <w:t> </w:t>
      </w:r>
      <w:r>
        <w:rPr>
          <w:spacing w:val="-89"/>
        </w:rPr>
      </w:r>
      <w:r>
        <w:rPr>
          <w:spacing w:val="-2"/>
        </w:rPr>
        <w:t>作，因此与电信科学技术半导体研究所商定</w:t>
      </w:r>
      <w:r>
        <w:rPr>
          <w:rFonts w:ascii="宋体" w:hAnsi="宋体" w:cs="宋体" w:eastAsia="宋体" w:hint="default"/>
          <w:spacing w:val="-2"/>
        </w:rPr>
        <w:t>2012</w:t>
      </w:r>
      <w:r>
        <w:rPr>
          <w:spacing w:val="-2"/>
        </w:rPr>
        <w:t>年暂不签订房屋租赁协议。但由于各种原因，</w:t>
      </w:r>
      <w:r>
        <w:rPr>
          <w:spacing w:val="-115"/>
        </w:rPr>
        <w:t> </w:t>
      </w:r>
      <w:r>
        <w:rPr>
          <w:spacing w:val="-115"/>
        </w:rPr>
      </w:r>
      <w:r>
        <w:rPr>
          <w:rFonts w:ascii="宋体" w:hAnsi="宋体" w:cs="宋体" w:eastAsia="宋体" w:hint="default"/>
        </w:rPr>
        <w:t>2012</w:t>
      </w:r>
      <w:r>
        <w:rPr/>
        <w:t>年未能完成搬迁，故补签了房租协议，并支付了上半年的租金。目前，</w:t>
      </w:r>
      <w:r>
        <w:rPr>
          <w:rFonts w:ascii="宋体" w:hAnsi="宋体" w:cs="宋体" w:eastAsia="宋体" w:hint="default"/>
        </w:rPr>
        <w:t>2012</w:t>
      </w:r>
      <w:r>
        <w:rPr/>
        <w:t>年下半年的</w:t>
      </w:r>
      <w:r>
        <w:rPr>
          <w:spacing w:val="-89"/>
        </w:rPr>
        <w:t> </w:t>
      </w:r>
      <w:r>
        <w:rPr>
          <w:spacing w:val="-89"/>
        </w:rPr>
      </w:r>
      <w:r>
        <w:rPr/>
        <w:t>租金尚未支付。</w:t>
      </w:r>
    </w:p>
    <w:p>
      <w:pPr>
        <w:pStyle w:val="BodyText"/>
        <w:spacing w:line="273" w:lineRule="auto" w:before="12"/>
        <w:ind w:right="1136" w:firstLine="480"/>
        <w:jc w:val="both"/>
      </w:pPr>
      <w:r>
        <w:rPr/>
        <w:t>本集团已初步和电信科学技术研究院协商，搬迁后的办公地点租用北京市海淀区</w:t>
      </w:r>
      <w:r>
        <w:rPr>
          <w:rFonts w:ascii="宋体" w:hAnsi="宋体" w:cs="宋体" w:eastAsia="宋体" w:hint="default"/>
        </w:rPr>
        <w:t>40</w:t>
      </w:r>
      <w:r>
        <w:rPr/>
        <w:t>号大 唐电信集团院内两处办公楼：</w:t>
      </w:r>
    </w:p>
    <w:p>
      <w:pPr>
        <w:pStyle w:val="BodyText"/>
        <w:spacing w:line="273" w:lineRule="auto" w:before="12"/>
        <w:ind w:right="1128" w:firstLine="480"/>
        <w:jc w:val="both"/>
      </w:pPr>
      <w:r>
        <w:rPr>
          <w:spacing w:val="-7"/>
        </w:rPr>
        <w:t>①科研综合楼</w:t>
      </w:r>
      <w:r>
        <w:rPr>
          <w:rFonts w:ascii="宋体" w:hAnsi="宋体" w:cs="宋体" w:eastAsia="宋体" w:hint="default"/>
          <w:spacing w:val="-7"/>
        </w:rPr>
        <w:t>10</w:t>
      </w:r>
      <w:r>
        <w:rPr>
          <w:spacing w:val="-7"/>
        </w:rPr>
        <w:t>层南半区、</w:t>
      </w:r>
      <w:r>
        <w:rPr>
          <w:rFonts w:ascii="宋体" w:hAnsi="宋体" w:cs="宋体" w:eastAsia="宋体" w:hint="default"/>
          <w:spacing w:val="-7"/>
        </w:rPr>
        <w:t>11</w:t>
      </w:r>
      <w:r>
        <w:rPr>
          <w:spacing w:val="-7"/>
        </w:rPr>
        <w:t>层整层：已签订租赁合同，面积</w:t>
      </w:r>
      <w:r>
        <w:rPr>
          <w:rFonts w:ascii="宋体" w:hAnsi="宋体" w:cs="宋体" w:eastAsia="宋体" w:hint="default"/>
          <w:spacing w:val="-7"/>
        </w:rPr>
        <w:t>1631.2</w:t>
      </w:r>
      <w:r>
        <w:rPr>
          <w:spacing w:val="-7"/>
        </w:rPr>
        <w:t>平米，租金</w:t>
      </w:r>
      <w:r>
        <w:rPr>
          <w:rFonts w:ascii="宋体" w:hAnsi="宋体" w:cs="宋体" w:eastAsia="宋体" w:hint="default"/>
          <w:spacing w:val="-7"/>
        </w:rPr>
        <w:t>3.9</w:t>
      </w:r>
      <w:r>
        <w:rPr>
          <w:spacing w:val="-7"/>
        </w:rPr>
        <w:t>元/m2•</w:t>
      </w:r>
      <w:r>
        <w:rPr/>
        <w:t> </w:t>
      </w:r>
      <w:r>
        <w:rPr>
          <w:spacing w:val="-2"/>
        </w:rPr>
        <w:t>天，物业管理及能源费</w:t>
      </w:r>
      <w:r>
        <w:rPr>
          <w:rFonts w:ascii="宋体" w:hAnsi="宋体" w:cs="宋体" w:eastAsia="宋体" w:hint="default"/>
          <w:spacing w:val="-2"/>
        </w:rPr>
        <w:t>0.8</w:t>
      </w:r>
      <w:r>
        <w:rPr>
          <w:spacing w:val="-2"/>
        </w:rPr>
        <w:t>元/m2•天；租赁时间自</w:t>
      </w:r>
      <w:r>
        <w:rPr>
          <w:rFonts w:ascii="宋体" w:hAnsi="宋体" w:cs="宋体" w:eastAsia="宋体" w:hint="default"/>
          <w:spacing w:val="-2"/>
        </w:rPr>
        <w:t>2012</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22</w:t>
      </w:r>
      <w:r>
        <w:rPr>
          <w:spacing w:val="-2"/>
        </w:rPr>
        <w:t>日至</w:t>
      </w:r>
      <w:r>
        <w:rPr>
          <w:rFonts w:ascii="宋体" w:hAnsi="宋体" w:cs="宋体" w:eastAsia="宋体" w:hint="default"/>
          <w:spacing w:val="-2"/>
        </w:rPr>
        <w:t>2013</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21</w:t>
      </w:r>
      <w:r>
        <w:rPr>
          <w:spacing w:val="-2"/>
        </w:rPr>
        <w:t>日。由于办</w:t>
      </w:r>
      <w:r>
        <w:rPr>
          <w:spacing w:val="-97"/>
        </w:rPr>
        <w:t> </w:t>
      </w:r>
      <w:r>
        <w:rPr>
          <w:spacing w:val="-97"/>
        </w:rPr>
      </w:r>
      <w:r>
        <w:rPr/>
        <w:t>公用地装修工作尚未完成，经协商一致，上述费用自实际搬入之日起核算。</w:t>
      </w:r>
    </w:p>
    <w:p>
      <w:pPr>
        <w:pStyle w:val="BodyText"/>
        <w:spacing w:line="276" w:lineRule="auto" w:before="10"/>
        <w:ind w:right="1128" w:firstLine="480"/>
        <w:jc w:val="both"/>
      </w:pPr>
      <w:r>
        <w:rPr>
          <w:spacing w:val="-2"/>
        </w:rPr>
        <w:t>②研八楼：已签订租赁合同，面积</w:t>
      </w:r>
      <w:r>
        <w:rPr>
          <w:rFonts w:ascii="宋体" w:hAnsi="宋体" w:cs="宋体" w:eastAsia="宋体" w:hint="default"/>
          <w:spacing w:val="-2"/>
        </w:rPr>
        <w:t>2431</w:t>
      </w:r>
      <w:r>
        <w:rPr>
          <w:spacing w:val="-2"/>
        </w:rPr>
        <w:t>平米，租金</w:t>
      </w:r>
      <w:r>
        <w:rPr>
          <w:rFonts w:ascii="宋体" w:hAnsi="宋体" w:cs="宋体" w:eastAsia="宋体" w:hint="default"/>
          <w:spacing w:val="-2"/>
        </w:rPr>
        <w:t>2.3</w:t>
      </w:r>
      <w:r>
        <w:rPr>
          <w:spacing w:val="-2"/>
        </w:rPr>
        <w:t>元/m2•天，租赁时间自</w:t>
      </w:r>
      <w:r>
        <w:rPr>
          <w:rFonts w:ascii="宋体" w:hAnsi="宋体" w:cs="宋体" w:eastAsia="宋体" w:hint="default"/>
          <w:spacing w:val="-2"/>
        </w:rPr>
        <w:t>2013</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w:t>
      </w:r>
      <w:r>
        <w:rPr>
          <w:rFonts w:ascii="宋体" w:hAnsi="宋体" w:cs="宋体" w:eastAsia="宋体" w:hint="default"/>
        </w:rPr>
        <w:t> </w:t>
      </w:r>
      <w:r>
        <w:rPr/>
        <w:t>日至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、期末发行在外的、可转换为股份的金融工具</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44"/>
        <w:gridCol w:w="1532"/>
        <w:gridCol w:w="1517"/>
        <w:gridCol w:w="1517"/>
        <w:gridCol w:w="1528"/>
        <w:gridCol w:w="1522"/>
      </w:tblGrid>
      <w:tr>
        <w:trPr>
          <w:trHeight w:val="161" w:hRule="exact"/>
        </w:trPr>
        <w:tc>
          <w:tcPr>
            <w:tcW w:w="19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71"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7" w:right="30"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7"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c>
          <w:tcPr>
            <w:tcW w:w="15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4"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、外币金融资产和外币金融负债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3"/>
        <w:gridCol w:w="1531"/>
        <w:gridCol w:w="1511"/>
        <w:gridCol w:w="1517"/>
        <w:gridCol w:w="1517"/>
        <w:gridCol w:w="1517"/>
      </w:tblGrid>
      <w:tr>
        <w:trPr>
          <w:trHeight w:val="161" w:hRule="exact"/>
        </w:trPr>
        <w:tc>
          <w:tcPr>
            <w:tcW w:w="19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67"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5" w:right="33"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1"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1" w:type="dxa"/>
            <w:vMerge/>
            <w:tcBorders>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4"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footerReference w:type="default" r:id="rId104"/>
          <w:pgSz w:w="11910" w:h="16840"/>
          <w:pgMar w:footer="1340" w:header="877" w:top="1060" w:bottom="1540" w:left="980" w:right="0"/>
        </w:sectPr>
      </w:pPr>
    </w:p>
    <w:p>
      <w:pPr>
        <w:spacing w:line="240" w:lineRule="auto" w:before="10"/>
        <w:rPr>
          <w:rFonts w:ascii="宋体" w:hAnsi="宋体" w:cs="宋体" w:eastAsia="宋体" w:hint="default"/>
          <w:sz w:val="24"/>
          <w:szCs w:val="24"/>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、年金计划主要内容及重大变化</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7" w:lineRule="auto" w:before="0"/>
        <w:ind w:left="152" w:right="68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81"/>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193"/>
        <w:gridCol w:w="533"/>
        <w:gridCol w:w="1327"/>
        <w:gridCol w:w="665"/>
        <w:gridCol w:w="1195"/>
        <w:gridCol w:w="665"/>
        <w:gridCol w:w="1328"/>
        <w:gridCol w:w="665"/>
      </w:tblGrid>
      <w:tr>
        <w:trPr>
          <w:trHeight w:val="402"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998"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center"/>
              <w:rPr>
                <w:rFonts w:ascii="Times New Roman" w:hAnsi="Times New Roman" w:cs="Times New Roman" w:eastAsia="Times New Roman" w:hint="default"/>
                <w:sz w:val="18"/>
                <w:szCs w:val="18"/>
              </w:rPr>
            </w:pPr>
            <w:r>
              <w:rPr>
                <w:rFonts w:ascii="Times New Roman"/>
                <w:sz w:val="18"/>
              </w:rPr>
              <w:t>32,566,778.23</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9,450,923.47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29.02%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Times New Roman" w:hAnsi="Times New Roman" w:cs="Times New Roman" w:eastAsia="Times New Roman" w:hint="default"/>
                <w:sz w:val="18"/>
                <w:szCs w:val="18"/>
              </w:rPr>
            </w:pPr>
            <w:r>
              <w:rPr>
                <w:rFonts w:ascii="Times New Roman"/>
                <w:sz w:val="18"/>
              </w:rPr>
              <w:t>45,176,288.54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10,055,245.91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22.26%</w:t>
            </w:r>
          </w:p>
        </w:tc>
      </w:tr>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32,566,778.23</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9,450,923.47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29.02%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45,176,288.54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10,055,245.91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22.26%</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center"/>
              <w:rPr>
                <w:rFonts w:ascii="Times New Roman" w:hAnsi="Times New Roman" w:cs="Times New Roman" w:eastAsia="Times New Roman" w:hint="default"/>
                <w:sz w:val="18"/>
                <w:szCs w:val="18"/>
              </w:rPr>
            </w:pPr>
            <w:r>
              <w:rPr>
                <w:rFonts w:ascii="Times New Roman"/>
                <w:sz w:val="18"/>
              </w:rPr>
              <w:t>32,566,778.23</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9,450,923.47</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Times New Roman" w:hAnsi="Times New Roman" w:cs="Times New Roman" w:eastAsia="Times New Roman" w:hint="default"/>
                <w:sz w:val="18"/>
                <w:szCs w:val="18"/>
              </w:rPr>
            </w:pPr>
            <w:r>
              <w:rPr>
                <w:rFonts w:ascii="Times New Roman"/>
                <w:sz w:val="18"/>
              </w:rPr>
              <w:t>45,176,288.54</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10,055,245.91</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footerReference w:type="default" r:id="rId105"/>
          <w:pgSz w:w="11910" w:h="16840"/>
          <w:pgMar w:footer="1340" w:header="877" w:top="1060" w:bottom="1540" w:left="980" w:right="0"/>
          <w:pgNumType w:start="201"/>
        </w:sectPr>
      </w:pPr>
    </w:p>
    <w:p>
      <w:pPr>
        <w:spacing w:line="357" w:lineRule="auto" w:before="49"/>
        <w:ind w:left="152" w:right="-19"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40" w:lineRule="auto" w:before="29"/>
        <w:ind w:left="1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组合中，采用账龄分析法计提坏账准备的应收账款</w:t>
      </w:r>
    </w:p>
    <w:p>
      <w:pPr>
        <w:spacing w:before="39"/>
        <w:ind w:left="1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4114" w:space="4715"/>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995"/>
        <w:gridCol w:w="662"/>
        <w:gridCol w:w="1462"/>
        <w:gridCol w:w="2126"/>
        <w:gridCol w:w="665"/>
        <w:gridCol w:w="1594"/>
      </w:tblGrid>
      <w:tr>
        <w:trPr>
          <w:trHeight w:val="401"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34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066" w:type="dxa"/>
            <w:vMerge/>
            <w:tcBorders>
              <w:left w:val="single" w:sz="4" w:space="0" w:color="000000"/>
              <w:right w:val="single" w:sz="4" w:space="0" w:color="000000"/>
            </w:tcBorders>
            <w:shd w:val="clear" w:color="auto" w:fill="D2D2D2"/>
          </w:tcPr>
          <w:p>
            <w:pPr/>
          </w:p>
        </w:tc>
        <w:tc>
          <w:tcPr>
            <w:tcW w:w="26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5,247,196.40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16.11%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26,235.99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14,214,458.13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71,072.29</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 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5,247,196.40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16.11%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26,235.99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14,214,458.13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71,072.29</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4,428,949.50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88,578.99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9,120,033.63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182,400.67</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9,120,032.63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912,003.26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7,402,689.30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740,268.93</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13,770,599.70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8,424,105.20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14,439,107.50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9,061,504.00</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6,432,841.30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19.75%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1,929,852.39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1,706,185.81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511,855.74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5"/>
        <w:gridCol w:w="1995"/>
        <w:gridCol w:w="662"/>
        <w:gridCol w:w="1462"/>
        <w:gridCol w:w="2126"/>
        <w:gridCol w:w="665"/>
        <w:gridCol w:w="1594"/>
      </w:tblGrid>
      <w:tr>
        <w:trPr>
          <w:trHeight w:val="401"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1,687,011.12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center"/>
              <w:rPr>
                <w:rFonts w:ascii="Times New Roman" w:hAnsi="Times New Roman" w:cs="Times New Roman" w:eastAsia="Times New Roman" w:hint="default"/>
                <w:sz w:val="18"/>
                <w:szCs w:val="18"/>
              </w:rPr>
            </w:pPr>
            <w:r>
              <w:rPr>
                <w:rFonts w:ascii="Times New Roman"/>
                <w:sz w:val="18"/>
              </w:rPr>
              <w:t>5.18%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843,505.56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8,366,546.79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4,183,273.40</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5,650,747.28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8" w:right="0"/>
              <w:jc w:val="center"/>
              <w:rPr>
                <w:rFonts w:ascii="Times New Roman" w:hAnsi="Times New Roman" w:cs="Times New Roman" w:eastAsia="Times New Roman" w:hint="default"/>
                <w:sz w:val="18"/>
                <w:szCs w:val="18"/>
              </w:rPr>
            </w:pPr>
            <w:r>
              <w:rPr>
                <w:rFonts w:ascii="Times New Roman"/>
                <w:sz w:val="18"/>
              </w:rPr>
              <w:t>17.36%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5,650,747.28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4,366,374.88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4,366,374.88</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32,566,778.23</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9,450,923.47</w:t>
            </w:r>
          </w:p>
        </w:tc>
        <w:tc>
          <w:tcPr>
            <w:tcW w:w="212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pacing w:val="-1"/>
                <w:sz w:val="18"/>
              </w:rPr>
              <w:t>45,176,288.54</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10,055,245.91</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5"/>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340" w:lineRule="auto" w:before="39"/>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期末单项金额虽不重大但单项计提坏账准备的应收账款</w:t>
      </w:r>
    </w:p>
    <w:p>
      <w:pPr>
        <w:spacing w:before="41"/>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）本报告期转回或收回的应收账款情况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3"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3"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12"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32"/>
        <w:gridCol w:w="1935"/>
        <w:gridCol w:w="1935"/>
        <w:gridCol w:w="1933"/>
        <w:gridCol w:w="1834"/>
      </w:tblGrid>
      <w:tr>
        <w:trPr>
          <w:trHeight w:val="403" w:hRule="exact"/>
        </w:trPr>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1" w:hRule="exact"/>
        </w:trPr>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35"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spacing w:before="12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）本报告期实际核销的应收账款情况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spacing w:before="12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）本报告期应收账款中持有公司</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594"/>
        <w:gridCol w:w="1863"/>
        <w:gridCol w:w="1860"/>
      </w:tblGrid>
      <w:tr>
        <w:trPr>
          <w:trHeight w:val="403"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3" w:hRule="exact"/>
        </w:trPr>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10"/>
        <w:rPr>
          <w:rFonts w:ascii="宋体" w:hAnsi="宋体" w:cs="宋体" w:eastAsia="宋体" w:hint="default"/>
          <w:sz w:val="24"/>
          <w:szCs w:val="24"/>
        </w:rPr>
      </w:pPr>
      <w:r>
        <w:rPr/>
        <w:pict>
          <v:group style="position:absolute;margin-left:460.320007pt;margin-top:764.919983pt;width:135pt;height:77pt;mso-position-horizontal-relative:page;mso-position-vertical-relative:page;z-index:-1259560" coordorigin="9206,15298" coordsize="2700,1540">
            <v:shape style="position:absolute;left:9206;top:15298;width:2700;height:1540" type="#_x0000_t75" stroked="false">
              <v:imagedata r:id="rId18"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203</w:t>
                    </w:r>
                  </w:p>
                </w:txbxContent>
              </v:textbox>
              <w10:wrap type="none"/>
            </v:shape>
            <w10:wrap type="none"/>
          </v:group>
        </w:pict>
      </w: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）金额较大的其他的应收账款的性质或内容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）应收账款中金额前五名单位情况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贵州沣恒投资管理有限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6,052,092.00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18.58%</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北京中化兴源投资有限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3,660,725.00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11.24%</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北京世捷正达科技有限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3,270,000.00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10.04%</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北京中经赛博科技有限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7.52%</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珠海祺利通信科技有限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17,112,817.00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52.54%</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）应收关联方账款情况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30"/>
        <w:gridCol w:w="2431"/>
        <w:gridCol w:w="2418"/>
      </w:tblGrid>
      <w:tr>
        <w:trPr>
          <w:trHeight w:val="401"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不符合终止确认条件的应收账款的转移金额为元。</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）以应收款项为标的资产进行资产证券化的，需简要说明相关交易安排</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71"/>
        <w:gridCol w:w="1454"/>
        <w:gridCol w:w="517"/>
        <w:gridCol w:w="1331"/>
        <w:gridCol w:w="530"/>
        <w:gridCol w:w="1320"/>
        <w:gridCol w:w="530"/>
        <w:gridCol w:w="1189"/>
        <w:gridCol w:w="515"/>
      </w:tblGrid>
      <w:tr>
        <w:trPr>
          <w:trHeight w:val="398" w:hRule="exact"/>
        </w:trPr>
        <w:tc>
          <w:tcPr>
            <w:tcW w:w="2171" w:type="dxa"/>
            <w:vMerge w:val="restart"/>
            <w:tcBorders>
              <w:top w:val="single" w:sz="4" w:space="0" w:color="000000"/>
              <w:left w:val="single" w:sz="4" w:space="0" w:color="000000"/>
              <w:right w:val="single" w:sz="4" w:space="0" w:color="000000"/>
            </w:tcBorders>
            <w:shd w:val="clear" w:color="auto" w:fill="D2D2D2"/>
          </w:tcPr>
          <w:p>
            <w:pPr/>
          </w:p>
        </w:tc>
        <w:tc>
          <w:tcPr>
            <w:tcW w:w="383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6" w:hRule="exact"/>
        </w:trPr>
        <w:tc>
          <w:tcPr>
            <w:tcW w:w="2171" w:type="dxa"/>
            <w:vMerge/>
            <w:tcBorders>
              <w:left w:val="single" w:sz="4" w:space="0" w:color="000000"/>
              <w:bottom w:val="nil" w:sz="6" w:space="0" w:color="auto"/>
              <w:right w:val="single" w:sz="4" w:space="0" w:color="000000"/>
            </w:tcBorders>
            <w:shd w:val="clear" w:color="auto" w:fill="D2D2D2"/>
          </w:tcPr>
          <w:p>
            <w:pPr/>
          </w:p>
        </w:tc>
        <w:tc>
          <w:tcPr>
            <w:tcW w:w="197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0" w:hRule="exact"/>
        </w:trPr>
        <w:tc>
          <w:tcPr>
            <w:tcW w:w="21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971" w:type="dxa"/>
            <w:gridSpan w:val="2"/>
            <w:vMerge/>
            <w:tcBorders>
              <w:left w:val="single" w:sz="4" w:space="0" w:color="000000"/>
              <w:bottom w:val="single" w:sz="4" w:space="0" w:color="000000"/>
              <w:right w:val="single" w:sz="4" w:space="0" w:color="000000"/>
            </w:tcBorders>
            <w:shd w:val="clear" w:color="auto" w:fill="D2D2D2"/>
          </w:tcPr>
          <w:p>
            <w:pPr/>
          </w:p>
        </w:tc>
        <w:tc>
          <w:tcPr>
            <w:tcW w:w="1862" w:type="dxa"/>
            <w:gridSpan w:val="2"/>
            <w:vMerge/>
            <w:tcBorders>
              <w:left w:val="single" w:sz="4" w:space="0" w:color="000000"/>
              <w:bottom w:val="single" w:sz="4" w:space="0" w:color="000000"/>
              <w:right w:val="single" w:sz="4" w:space="0" w:color="000000"/>
            </w:tcBorders>
            <w:shd w:val="clear" w:color="auto" w:fill="D2D2D2"/>
          </w:tcPr>
          <w:p>
            <w:pPr/>
          </w:p>
        </w:tc>
        <w:tc>
          <w:tcPr>
            <w:tcW w:w="1850" w:type="dxa"/>
            <w:gridSpan w:val="2"/>
            <w:vMerge/>
            <w:tcBorders>
              <w:left w:val="single" w:sz="4" w:space="0" w:color="000000"/>
              <w:bottom w:val="single" w:sz="4" w:space="0" w:color="000000"/>
              <w:right w:val="single" w:sz="4" w:space="0" w:color="000000"/>
            </w:tcBorders>
            <w:shd w:val="clear" w:color="auto" w:fill="D2D2D2"/>
          </w:tcPr>
          <w:p>
            <w:pPr/>
          </w:p>
        </w:tc>
        <w:tc>
          <w:tcPr>
            <w:tcW w:w="1704" w:type="dxa"/>
            <w:gridSpan w:val="2"/>
            <w:vMerge/>
            <w:tcBorders>
              <w:left w:val="single" w:sz="4" w:space="0" w:color="000000"/>
              <w:bottom w:val="single" w:sz="4" w:space="0" w:color="000000"/>
              <w:right w:val="single" w:sz="4" w:space="0" w:color="000000"/>
            </w:tcBorders>
            <w:shd w:val="clear" w:color="auto" w:fill="D2D2D2"/>
          </w:tcPr>
          <w:p>
            <w:pPr/>
          </w:p>
        </w:tc>
      </w:tr>
      <w:tr>
        <w:trPr>
          <w:trHeight w:val="158" w:hRule="exact"/>
        </w:trPr>
        <w:tc>
          <w:tcPr>
            <w:tcW w:w="2171" w:type="dxa"/>
            <w:vMerge/>
            <w:tcBorders>
              <w:left w:val="single" w:sz="4" w:space="0" w:color="000000"/>
              <w:bottom w:val="single" w:sz="4" w:space="0" w:color="FFFFFF"/>
              <w:right w:val="single" w:sz="4" w:space="0" w:color="000000"/>
            </w:tcBorders>
            <w:shd w:val="clear" w:color="auto" w:fill="D2D2D2"/>
          </w:tcPr>
          <w:p>
            <w:pPr/>
          </w:p>
        </w:tc>
        <w:tc>
          <w:tcPr>
            <w:tcW w:w="145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5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31" w:type="dxa"/>
            <w:tcBorders>
              <w:top w:val="single" w:sz="4" w:space="0" w:color="000000"/>
              <w:left w:val="single" w:sz="4" w:space="0" w:color="000000"/>
              <w:bottom w:val="nil" w:sz="6" w:space="0" w:color="auto"/>
              <w:right w:val="single" w:sz="4" w:space="0" w:color="000000"/>
            </w:tcBorders>
            <w:shd w:val="clear" w:color="auto" w:fill="D2D2D2"/>
          </w:tcPr>
          <w:p>
            <w:pP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nil" w:sz="6" w:space="0" w:color="auto"/>
              <w:right w:val="single" w:sz="4" w:space="0" w:color="000000"/>
            </w:tcBorders>
            <w:shd w:val="clear" w:color="auto" w:fill="D2D2D2"/>
          </w:tcPr>
          <w:p>
            <w:pP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5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2171" w:type="dxa"/>
            <w:vMerge w:val="restart"/>
            <w:tcBorders>
              <w:top w:val="single" w:sz="4" w:space="0" w:color="FFFFFF"/>
              <w:left w:val="single" w:sz="4" w:space="0" w:color="000000"/>
              <w:right w:val="single" w:sz="4" w:space="0" w:color="000000"/>
            </w:tcBorders>
            <w:shd w:val="clear" w:color="auto" w:fill="D2D2D2"/>
          </w:tcPr>
          <w:p>
            <w:pPr/>
          </w:p>
        </w:tc>
        <w:tc>
          <w:tcPr>
            <w:tcW w:w="1454"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17" w:type="dxa"/>
            <w:vMerge/>
            <w:tcBorders>
              <w:left w:val="single" w:sz="4" w:space="0" w:color="000000"/>
              <w:right w:val="single" w:sz="4" w:space="0" w:color="000000"/>
            </w:tcBorders>
            <w:shd w:val="clear" w:color="auto" w:fill="D2D2D2"/>
          </w:tcPr>
          <w:p>
            <w:pPr/>
          </w:p>
        </w:tc>
        <w:tc>
          <w:tcPr>
            <w:tcW w:w="13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0" w:type="dxa"/>
            <w:vMerge/>
            <w:tcBorders>
              <w:left w:val="single" w:sz="4" w:space="0" w:color="000000"/>
              <w:right w:val="single" w:sz="4" w:space="0" w:color="000000"/>
            </w:tcBorders>
            <w:shd w:val="clear" w:color="auto" w:fill="D2D2D2"/>
          </w:tcPr>
          <w:p>
            <w:pPr/>
          </w:p>
        </w:tc>
        <w:tc>
          <w:tcPr>
            <w:tcW w:w="13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0" w:type="dxa"/>
            <w:vMerge/>
            <w:tcBorders>
              <w:left w:val="single" w:sz="4" w:space="0" w:color="000000"/>
              <w:right w:val="single" w:sz="4" w:space="0" w:color="000000"/>
            </w:tcBorders>
            <w:shd w:val="clear" w:color="auto" w:fill="D2D2D2"/>
          </w:tcPr>
          <w:p>
            <w:pPr/>
          </w:p>
        </w:tc>
        <w:tc>
          <w:tcPr>
            <w:tcW w:w="1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15" w:type="dxa"/>
            <w:vMerge/>
            <w:tcBorders>
              <w:left w:val="single" w:sz="4" w:space="0" w:color="000000"/>
              <w:right w:val="single" w:sz="4" w:space="0" w:color="000000"/>
            </w:tcBorders>
            <w:shd w:val="clear" w:color="auto" w:fill="D2D2D2"/>
          </w:tcPr>
          <w:p>
            <w:pPr/>
          </w:p>
        </w:tc>
      </w:tr>
      <w:tr>
        <w:trPr>
          <w:trHeight w:val="161" w:hRule="exact"/>
        </w:trPr>
        <w:tc>
          <w:tcPr>
            <w:tcW w:w="2171" w:type="dxa"/>
            <w:vMerge/>
            <w:tcBorders>
              <w:left w:val="single" w:sz="4" w:space="0" w:color="000000"/>
              <w:bottom w:val="single" w:sz="4" w:space="0" w:color="000000"/>
              <w:right w:val="single" w:sz="4" w:space="0" w:color="000000"/>
            </w:tcBorders>
            <w:shd w:val="clear" w:color="auto" w:fill="D2D2D2"/>
          </w:tcPr>
          <w:p>
            <w:pPr/>
          </w:p>
        </w:tc>
        <w:tc>
          <w:tcPr>
            <w:tcW w:w="1454" w:type="dxa"/>
            <w:tcBorders>
              <w:top w:val="nil" w:sz="6" w:space="0" w:color="auto"/>
              <w:left w:val="single" w:sz="4" w:space="0" w:color="000000"/>
              <w:bottom w:val="single" w:sz="4" w:space="0" w:color="000000"/>
              <w:right w:val="single" w:sz="4" w:space="0" w:color="000000"/>
            </w:tcBorders>
            <w:shd w:val="clear" w:color="auto" w:fill="D2D2D2"/>
          </w:tcPr>
          <w:p>
            <w:pPr/>
          </w:p>
        </w:tc>
        <w:tc>
          <w:tcPr>
            <w:tcW w:w="517" w:type="dxa"/>
            <w:vMerge/>
            <w:tcBorders>
              <w:left w:val="single" w:sz="4" w:space="0" w:color="000000"/>
              <w:bottom w:val="single" w:sz="4" w:space="0" w:color="000000"/>
              <w:right w:val="single" w:sz="4" w:space="0" w:color="000000"/>
            </w:tcBorders>
            <w:shd w:val="clear" w:color="auto" w:fill="D2D2D2"/>
          </w:tcPr>
          <w:p>
            <w:pPr/>
          </w:p>
        </w:tc>
        <w:tc>
          <w:tcPr>
            <w:tcW w:w="1331" w:type="dxa"/>
            <w:tcBorders>
              <w:top w:val="nil" w:sz="6" w:space="0" w:color="auto"/>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1320" w:type="dxa"/>
            <w:tcBorders>
              <w:top w:val="nil" w:sz="6" w:space="0" w:color="auto"/>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1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51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55"/>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坏账准备的其他应收款</w:t>
            </w:r>
          </w:p>
        </w:tc>
        <w:tc>
          <w:tcPr>
            <w:tcW w:w="1454" w:type="dxa"/>
            <w:tcBorders>
              <w:top w:val="single" w:sz="4" w:space="0" w:color="000000"/>
              <w:left w:val="single" w:sz="10" w:space="0" w:color="D2D2D2"/>
              <w:bottom w:val="single" w:sz="4" w:space="0" w:color="000000"/>
              <w:right w:val="single" w:sz="4" w:space="0" w:color="000000"/>
            </w:tcBorders>
          </w:tcPr>
          <w:p>
            <w:pPr/>
          </w:p>
        </w:tc>
        <w:tc>
          <w:tcPr>
            <w:tcW w:w="517"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50,500,000.00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252,500.00</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0.5%</w:t>
            </w:r>
          </w:p>
        </w:tc>
      </w:tr>
    </w:tbl>
    <w:p>
      <w:pPr>
        <w:spacing w:after="0" w:line="240" w:lineRule="auto"/>
        <w:jc w:val="left"/>
        <w:rPr>
          <w:rFonts w:ascii="Times New Roman" w:hAnsi="Times New Roman" w:cs="Times New Roman" w:eastAsia="Times New Roman" w:hint="default"/>
          <w:sz w:val="18"/>
          <w:szCs w:val="18"/>
        </w:rPr>
        <w:sectPr>
          <w:headerReference w:type="default" r:id="rId106"/>
          <w:footerReference w:type="default" r:id="rId107"/>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70"/>
        <w:gridCol w:w="1455"/>
        <w:gridCol w:w="528"/>
        <w:gridCol w:w="1320"/>
        <w:gridCol w:w="528"/>
        <w:gridCol w:w="1322"/>
        <w:gridCol w:w="529"/>
        <w:gridCol w:w="1190"/>
        <w:gridCol w:w="526"/>
      </w:tblGrid>
      <w:tr>
        <w:trPr>
          <w:trHeight w:val="401"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5" w:hRule="exact"/>
        </w:trPr>
        <w:tc>
          <w:tcPr>
            <w:tcW w:w="2170"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603,396,741.72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13,047,935.15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2.16%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340,751,360.66</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87.09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11,131,117.93</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3.27%</w:t>
            </w:r>
          </w:p>
        </w:tc>
      </w:tr>
      <w:tr>
        <w:trPr>
          <w:trHeight w:val="713"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603,396,741.72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13,047,935.15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2.16%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340,751,360.66</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11,131,117.93</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3.27%</w:t>
            </w: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603,396,741.72</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13,047,935.15</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391,251,360.66</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11,383,617.93</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footerReference w:type="default" r:id="rId108"/>
          <w:pgSz w:w="11910" w:h="16840"/>
          <w:pgMar w:footer="1340" w:header="877" w:top="1060" w:bottom="1540" w:left="980" w:right="0"/>
          <w:pgNumType w:start="204"/>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line="340" w:lineRule="auto" w:before="2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组合中，采用账龄分析法计提坏账准备的其他应收款</w:t>
      </w:r>
    </w:p>
    <w:p>
      <w:pPr>
        <w:spacing w:before="40"/>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793"/>
        <w:gridCol w:w="662"/>
        <w:gridCol w:w="1594"/>
        <w:gridCol w:w="1862"/>
        <w:gridCol w:w="665"/>
        <w:gridCol w:w="1726"/>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268" w:type="dxa"/>
            <w:vMerge/>
            <w:tcBorders>
              <w:left w:val="single" w:sz="4" w:space="0" w:color="000000"/>
              <w:right w:val="single" w:sz="4" w:space="0" w:color="000000"/>
            </w:tcBorders>
            <w:shd w:val="clear" w:color="auto" w:fill="D2D2D2"/>
          </w:tcPr>
          <w:p>
            <w:pPr/>
          </w:p>
        </w:tc>
        <w:tc>
          <w:tcPr>
            <w:tcW w:w="24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425,042,712.38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2,125,213.56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290,266,768.77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85.18%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1,451,333.86</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425,042,712.38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2,125,213.56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290,266,768.77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85.18%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1,451,333.86</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166,801,582.08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27.64%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3,336,031.64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39,783,284.41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795,665.69</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4,384,239.78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438,423.98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28,487.88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2,848.79</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7,168,207.48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7,148,265.97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10,672,819.60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8,881,269.59</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28,487.88</w:t>
            </w:r>
          </w:p>
        </w:tc>
        <w:tc>
          <w:tcPr>
            <w:tcW w:w="6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8,546.37</w:t>
            </w:r>
          </w:p>
        </w:tc>
        <w:tc>
          <w:tcPr>
            <w:tcW w:w="18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3,583,100.00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1,791,549.99</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7,139,719.60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7,139,719.60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7,089,719.60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7,089,719.60</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603,396,741.72</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13,047,935.15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340,751,360.66</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11,131,117.93</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line="338" w:lineRule="auto" w:before="41"/>
        <w:ind w:left="152" w:right="6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期末单项金额虽不重大但单项计提坏账准备的其他应收款</w:t>
      </w:r>
    </w:p>
    <w:p>
      <w:pPr>
        <w:spacing w:before="43"/>
        <w:ind w:left="152" w:right="11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）本报告期转回或收回的其他应收款情况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4"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50"/>
        <w:ind w:left="152" w:right="1125"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1"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spacing w:before="12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）本报告期实际核销的其他应收款情况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spacing w:before="118"/>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）本报告期其他应收款中持有公司</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726"/>
        <w:gridCol w:w="1861"/>
        <w:gridCol w:w="1596"/>
      </w:tblGrid>
      <w:tr>
        <w:trPr>
          <w:trHeight w:val="401"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）金额较大的其他应收款的性质或内容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）其他应收款金额前五名单位情况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大唐高鸿通信技术有限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本公司之子公司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326,873,700.00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54.17%</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本公司之子公司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154,448,066.67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本公司之子公司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27,646,965.35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贵阳城南地产有限公司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项目协作单位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30,090,000.00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贵阳市公共资源阳光交 易中心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合作开发商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554,058,732.02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91.82%</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）其他应收关联方账款情况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北京大唐高鸿数据网络技术 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27,646,965.35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4.58%</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北京大唐高鸿软件技术有限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
              <w:jc w:val="center"/>
              <w:rPr>
                <w:rFonts w:ascii="宋体" w:hAnsi="宋体" w:cs="宋体" w:eastAsia="宋体" w:hint="default"/>
                <w:sz w:val="18"/>
                <w:szCs w:val="18"/>
              </w:rPr>
            </w:pPr>
            <w:r>
              <w:rPr>
                <w:rFonts w:ascii="宋体" w:hAnsi="宋体" w:cs="宋体" w:eastAsia="宋体" w:hint="default"/>
                <w:sz w:val="18"/>
                <w:szCs w:val="18"/>
              </w:rPr>
              <w:t>大唐高鸿通信技术有限公司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326,873,700.00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54.17%</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北京大唐融合通信技术有限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8,217,089.21</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北京大唐高鸿科技发展有限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12,702,229.69</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2.11%</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大唐高鸿济宁电子信息技术 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12,500,000.00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8"/>
              <w:jc w:val="center"/>
              <w:rPr>
                <w:rFonts w:ascii="宋体" w:hAnsi="宋体" w:cs="宋体" w:eastAsia="宋体" w:hint="default"/>
                <w:sz w:val="18"/>
                <w:szCs w:val="18"/>
              </w:rPr>
            </w:pPr>
            <w:r>
              <w:rPr>
                <w:rFonts w:ascii="宋体" w:hAnsi="宋体" w:cs="宋体" w:eastAsia="宋体" w:hint="default"/>
                <w:sz w:val="18"/>
                <w:szCs w:val="18"/>
              </w:rPr>
              <w:t>大唐高鸿信息技术有限公司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154,448,066.67</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25.6%</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542,518,050.92</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89.91%</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125"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不符合终止确认条件的其他应收款项的转移金额为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26"/>
          <w:szCs w:val="26"/>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）以其他应收款项为标的资产进行资产证券化的，需简要说明相关交易安排</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61"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340"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北京大唐 高鸿数据 网络技术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189,405,8</w:t>
            </w:r>
          </w:p>
          <w:p>
            <w:pPr>
              <w:pStyle w:val="TableParagraph"/>
              <w:spacing w:line="240" w:lineRule="auto" w:before="103"/>
              <w:ind w:left="360" w:right="0"/>
              <w:jc w:val="left"/>
              <w:rPr>
                <w:rFonts w:ascii="Times New Roman" w:hAnsi="Times New Roman" w:cs="Times New Roman" w:eastAsia="Times New Roman" w:hint="default"/>
                <w:sz w:val="18"/>
                <w:szCs w:val="18"/>
              </w:rPr>
            </w:pPr>
            <w:r>
              <w:rPr>
                <w:rFonts w:ascii="Times New Roman"/>
                <w:sz w:val="18"/>
              </w:rPr>
              <w:t>56.90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119,405,8</w:t>
            </w:r>
          </w:p>
          <w:p>
            <w:pPr>
              <w:pStyle w:val="TableParagraph"/>
              <w:spacing w:line="240" w:lineRule="auto" w:before="103"/>
              <w:ind w:left="360" w:right="0"/>
              <w:jc w:val="left"/>
              <w:rPr>
                <w:rFonts w:ascii="Times New Roman" w:hAnsi="Times New Roman" w:cs="Times New Roman" w:eastAsia="Times New Roman" w:hint="default"/>
                <w:sz w:val="18"/>
                <w:szCs w:val="18"/>
              </w:rPr>
            </w:pPr>
            <w:r>
              <w:rPr>
                <w:rFonts w:ascii="Times New Roman"/>
                <w:sz w:val="18"/>
              </w:rPr>
              <w:t>56.90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189,405,8</w:t>
            </w:r>
          </w:p>
          <w:p>
            <w:pPr>
              <w:pStyle w:val="TableParagraph"/>
              <w:spacing w:line="240" w:lineRule="auto" w:before="103"/>
              <w:ind w:left="360" w:right="0"/>
              <w:jc w:val="left"/>
              <w:rPr>
                <w:rFonts w:ascii="Times New Roman" w:hAnsi="Times New Roman" w:cs="Times New Roman" w:eastAsia="Times New Roman" w:hint="default"/>
                <w:sz w:val="18"/>
                <w:szCs w:val="18"/>
              </w:rPr>
            </w:pPr>
            <w:r>
              <w:rPr>
                <w:rFonts w:ascii="Times New Roman"/>
                <w:sz w:val="18"/>
              </w:rPr>
              <w:t>56.90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230,000,0</w:t>
            </w:r>
          </w:p>
          <w:p>
            <w:pPr>
              <w:pStyle w:val="TableParagraph"/>
              <w:spacing w:line="240" w:lineRule="auto" w:before="103"/>
              <w:ind w:left="360" w:right="0"/>
              <w:jc w:val="left"/>
              <w:rPr>
                <w:rFonts w:ascii="Times New Roman" w:hAnsi="Times New Roman" w:cs="Times New Roman" w:eastAsia="Times New Roman" w:hint="default"/>
                <w:sz w:val="18"/>
                <w:szCs w:val="18"/>
              </w:rPr>
            </w:pPr>
            <w:r>
              <w:rPr>
                <w:rFonts w:ascii="Times New Roman"/>
                <w:sz w:val="18"/>
              </w:rPr>
              <w:t>00.00</w:t>
            </w: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北京大唐 高鸿软件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39"/>
              <w:jc w:val="left"/>
              <w:rPr>
                <w:rFonts w:ascii="宋体" w:hAnsi="宋体" w:cs="宋体" w:eastAsia="宋体" w:hint="default"/>
                <w:sz w:val="18"/>
                <w:szCs w:val="18"/>
              </w:rPr>
            </w:pPr>
            <w:r>
              <w:rPr>
                <w:rFonts w:ascii="宋体" w:hAnsi="宋体" w:cs="宋体" w:eastAsia="宋体" w:hint="default"/>
                <w:sz w:val="18"/>
                <w:szCs w:val="18"/>
              </w:rPr>
              <w:t>大唐高鸿 通信技术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184,930,0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183,000,0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1,930,000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184,930,0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91.752991pt;margin-top:184.219986pt;width:62.45pt;height:19.6pt;mso-position-horizontal-relative:page;mso-position-vertical-relative:page;z-index:-125948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因此，</w:t>
                  </w:r>
                </w:p>
              </w:txbxContent>
            </v:textbox>
            <w10:wrap type="none"/>
          </v:shape>
        </w:pict>
      </w:r>
      <w:r>
        <w:rPr/>
        <w:pict>
          <v:shape style="position:absolute;margin-left:391.752991pt;margin-top:391.48999pt;width:62.45pt;height:19.7pt;mso-position-horizontal-relative:page;mso-position-vertical-relative:page;z-index:-125946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因此，</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36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795"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公司通过</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415" w:lineRule="exact"/>
              <w:ind w:right="-1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38.35pt;height:20.8pt;mso-position-horizontal-relative:char;mso-position-vertical-relative:line" coordorigin="0,0" coordsize="767,416">
                  <v:group style="position:absolute;left:12;top:12;width:2;height:392" coordorigin="12,12" coordsize="2,392">
                    <v:shape style="position:absolute;left:12;top:12;width:2;height:392" coordorigin="12,12" coordsize="0,392" path="m12,12l12,403e" filled="false" stroked="true" strokeweight="1.2pt" strokecolor="#ffffff">
                      <v:path arrowok="t"/>
                    </v:shape>
                  </v:group>
                  <v:group style="position:absolute;left:24;top:12;width:743;height:392" coordorigin="24,12" coordsize="743,392">
                    <v:shape style="position:absolute;left:24;top:12;width:743;height:392" coordorigin="24,12" coordsize="743,392" path="m24,403l766,403,766,12,24,12,24,403xe" filled="true" fillcolor="#ffffff" stroked="false">
                      <v:path arrowok="t"/>
                      <v:fill type="solid"/>
                    </v:shape>
                  </v:group>
                </v:group>
              </w:pict>
            </w:r>
            <w:r>
              <w:rPr>
                <w:rFonts w:ascii="Times New Roman" w:hAnsi="Times New Roman" w:cs="Times New Roman" w:eastAsia="Times New Roman" w:hint="default"/>
                <w:position w:val="-7"/>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2"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子公司高</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2"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鸿信息间</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2"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接持有高</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560" w:hRule="exact"/>
        </w:trPr>
        <w:tc>
          <w:tcPr>
            <w:tcW w:w="7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39"/>
              <w:jc w:val="both"/>
              <w:rPr>
                <w:rFonts w:ascii="宋体" w:hAnsi="宋体" w:cs="宋体" w:eastAsia="宋体" w:hint="default"/>
                <w:sz w:val="18"/>
                <w:szCs w:val="18"/>
              </w:rPr>
            </w:pPr>
            <w:r>
              <w:rPr>
                <w:rFonts w:ascii="宋体" w:hAnsi="宋体" w:cs="宋体" w:eastAsia="宋体" w:hint="default"/>
                <w:sz w:val="18"/>
                <w:szCs w:val="18"/>
              </w:rPr>
              <w:t>北京大唐 高鸿科技 发展有限 公司</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5" w:right="0"/>
              <w:jc w:val="lef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69.23%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鸿科技</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30.77%</w:t>
            </w:r>
            <w:r>
              <w:rPr>
                <w:rFonts w:ascii="宋体" w:hAnsi="宋体" w:cs="宋体" w:eastAsia="宋体" w:hint="default"/>
                <w:sz w:val="18"/>
                <w:szCs w:val="18"/>
              </w:rPr>
              <w:t>股</w:t>
            </w:r>
          </w:p>
          <w:p>
            <w:pPr>
              <w:pStyle w:val="TableParagraph"/>
              <w:spacing w:line="316" w:lineRule="auto" w:before="63"/>
              <w:ind w:left="23" w:right="43"/>
              <w:jc w:val="left"/>
              <w:rPr>
                <w:rFonts w:ascii="宋体" w:hAnsi="宋体" w:cs="宋体" w:eastAsia="宋体" w:hint="default"/>
                <w:sz w:val="18"/>
                <w:szCs w:val="18"/>
              </w:rPr>
            </w:pPr>
            <w:r>
              <w:rPr>
                <w:rFonts w:ascii="宋体" w:hAnsi="宋体" w:cs="宋体" w:eastAsia="宋体" w:hint="default"/>
                <w:sz w:val="18"/>
                <w:szCs w:val="18"/>
              </w:rPr>
              <w:t>权， 公司直 接、间接</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2"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拥有高鸿</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2"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科技</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7"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3" w:hRule="exact"/>
        </w:trPr>
        <w:tc>
          <w:tcPr>
            <w:tcW w:w="795"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权。</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5" w:hRule="exact"/>
        </w:trPr>
        <w:tc>
          <w:tcPr>
            <w:tcW w:w="795"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公司通过</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417" w:lineRule="exact"/>
              <w:ind w:right="-1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38.35pt;height:20.9pt;mso-position-horizontal-relative:char;mso-position-vertical-relative:line" coordorigin="0,0" coordsize="767,418">
                  <v:group style="position:absolute;left:12;top:12;width:2;height:394" coordorigin="12,12" coordsize="2,394">
                    <v:shape style="position:absolute;left:12;top:12;width:2;height:394" coordorigin="12,12" coordsize="0,394" path="m12,12l12,406e" filled="false" stroked="true" strokeweight="1.2pt" strokecolor="#ffffff">
                      <v:path arrowok="t"/>
                    </v:shape>
                  </v:group>
                  <v:group style="position:absolute;left:24;top:12;width:743;height:394" coordorigin="24,12" coordsize="743,394">
                    <v:shape style="position:absolute;left:24;top:12;width:743;height:394" coordorigin="24,12" coordsize="743,394" path="m24,406l766,406,766,12,24,12,24,406xe" filled="true" fillcolor="#ffffff" stroked="false">
                      <v:path arrowok="t"/>
                      <v:fill type="solid"/>
                    </v:shape>
                  </v:group>
                </v:group>
              </w:pict>
            </w:r>
            <w:r>
              <w:rPr>
                <w:rFonts w:ascii="Times New Roman" w:hAnsi="Times New Roman" w:cs="Times New Roman" w:eastAsia="Times New Roman" w:hint="default"/>
                <w:position w:val="-7"/>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312"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子公司高</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2"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鸿有限间</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2"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接持有高</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2"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鸿信息</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936" w:hRule="exact"/>
        </w:trPr>
        <w:tc>
          <w:tcPr>
            <w:tcW w:w="7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39"/>
              <w:jc w:val="both"/>
              <w:rPr>
                <w:rFonts w:ascii="宋体" w:hAnsi="宋体" w:cs="宋体" w:eastAsia="宋体" w:hint="default"/>
                <w:sz w:val="18"/>
                <w:szCs w:val="18"/>
              </w:rPr>
            </w:pPr>
            <w:r>
              <w:rPr>
                <w:rFonts w:ascii="宋体" w:hAnsi="宋体" w:cs="宋体" w:eastAsia="宋体" w:hint="default"/>
                <w:sz w:val="18"/>
                <w:szCs w:val="18"/>
              </w:rPr>
              <w:t>大唐高鸿 信息技术 有限公司</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257,300,0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257,300,0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257,300,0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z w:val="18"/>
              </w:rPr>
              <w:t>85.77%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6"/>
              <w:jc w:val="right"/>
              <w:rPr>
                <w:rFonts w:ascii="Times New Roman" w:hAnsi="Times New Roman" w:cs="Times New Roman" w:eastAsia="Times New Roman" w:hint="default"/>
                <w:sz w:val="18"/>
                <w:szCs w:val="18"/>
              </w:rPr>
            </w:pPr>
            <w:r>
              <w:rPr>
                <w:rFonts w:ascii="Times New Roman"/>
                <w:sz w:val="18"/>
              </w:rPr>
              <w:t>90.87%</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股</w:t>
            </w:r>
          </w:p>
          <w:p>
            <w:pPr>
              <w:pStyle w:val="TableParagraph"/>
              <w:spacing w:line="316" w:lineRule="auto" w:before="63"/>
              <w:ind w:left="23" w:right="223"/>
              <w:jc w:val="left"/>
              <w:rPr>
                <w:rFonts w:ascii="宋体" w:hAnsi="宋体" w:cs="宋体" w:eastAsia="宋体" w:hint="default"/>
                <w:sz w:val="18"/>
                <w:szCs w:val="18"/>
              </w:rPr>
            </w:pPr>
            <w:r>
              <w:rPr>
                <w:rFonts w:ascii="宋体" w:hAnsi="宋体" w:cs="宋体" w:eastAsia="宋体" w:hint="default"/>
                <w:sz w:val="18"/>
                <w:szCs w:val="18"/>
              </w:rPr>
              <w:t>权， 公司直</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2"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接、间接</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2"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拥有高鸿</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2"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信息</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17" w:hRule="exact"/>
        </w:trPr>
        <w:tc>
          <w:tcPr>
            <w:tcW w:w="795"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90.87%</w:t>
            </w:r>
            <w:r>
              <w:rPr>
                <w:rFonts w:ascii="宋体" w:hAnsi="宋体" w:cs="宋体" w:eastAsia="宋体" w:hint="default"/>
                <w:sz w:val="18"/>
                <w:szCs w:val="18"/>
              </w:rPr>
              <w:t>股</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5" w:hRule="exact"/>
        </w:trPr>
        <w:tc>
          <w:tcPr>
            <w:tcW w:w="795"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权。</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355" w:hRule="exact"/>
        </w:trPr>
        <w:tc>
          <w:tcPr>
            <w:tcW w:w="7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北京海岸</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9" w:hRule="exact"/>
        </w:trPr>
        <w:tc>
          <w:tcPr>
            <w:tcW w:w="7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39"/>
              <w:jc w:val="left"/>
              <w:rPr>
                <w:rFonts w:ascii="宋体" w:hAnsi="宋体" w:cs="宋体" w:eastAsia="宋体" w:hint="default"/>
                <w:sz w:val="18"/>
                <w:szCs w:val="18"/>
              </w:rPr>
            </w:pPr>
            <w:r>
              <w:rPr>
                <w:rFonts w:ascii="宋体" w:hAnsi="宋体" w:cs="宋体" w:eastAsia="宋体" w:hint="default"/>
                <w:sz w:val="18"/>
                <w:szCs w:val="18"/>
              </w:rPr>
              <w:t>淘金创业 投资有限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20,168,14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5.62</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272,739.7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20,440,88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5.38</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35.71%</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35.71%</w:t>
            </w: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3" w:hRule="exact"/>
        </w:trPr>
        <w:tc>
          <w:tcPr>
            <w:tcW w:w="7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大唐高新 创业投资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26,365,25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70,114.66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26,435,36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5.12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贵州达众 磨料磨具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61,719,92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61,719,92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61,719,92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17.79%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52,510,42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10,116,00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7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629" w:hRule="exact"/>
        </w:trPr>
        <w:tc>
          <w:tcPr>
            <w:tcW w:w="7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39"/>
              <w:jc w:val="left"/>
              <w:rPr>
                <w:rFonts w:ascii="宋体" w:hAnsi="宋体" w:cs="宋体" w:eastAsia="宋体" w:hint="default"/>
                <w:sz w:val="18"/>
                <w:szCs w:val="18"/>
              </w:rPr>
            </w:pPr>
            <w:r>
              <w:rPr>
                <w:rFonts w:ascii="宋体" w:hAnsi="宋体" w:cs="宋体" w:eastAsia="宋体" w:hint="default"/>
                <w:sz w:val="18"/>
                <w:szCs w:val="18"/>
              </w:rPr>
              <w:t>融合通信 技术有限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3,923,622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3,923,622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c>
          <w:tcPr>
            <w:tcW w:w="799"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3,923,622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w:t>
            </w: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5" w:hRule="exact"/>
        </w:trPr>
        <w:tc>
          <w:tcPr>
            <w:tcW w:w="7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401"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大唐高鸿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29,400,00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8"/>
                <w:szCs w:val="18"/>
              </w:rPr>
            </w:pPr>
            <w:r>
              <w:rPr>
                <w:rFonts w:ascii="Times New Roman"/>
                <w:spacing w:val="-1"/>
                <w:sz w:val="18"/>
              </w:rPr>
              <w:t>29,400,00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29,400,00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公司通过</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6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348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39"/>
              <w:jc w:val="both"/>
              <w:rPr>
                <w:rFonts w:ascii="宋体" w:hAnsi="宋体" w:cs="宋体" w:eastAsia="宋体" w:hint="default"/>
                <w:sz w:val="18"/>
                <w:szCs w:val="18"/>
              </w:rPr>
            </w:pPr>
            <w:r>
              <w:rPr>
                <w:rFonts w:ascii="宋体" w:hAnsi="宋体" w:cs="宋体" w:eastAsia="宋体" w:hint="default"/>
                <w:sz w:val="18"/>
                <w:szCs w:val="18"/>
              </w:rPr>
              <w:t>济宁电子 信息技术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5"/>
              <w:jc w:val="left"/>
              <w:rPr>
                <w:rFonts w:ascii="宋体" w:hAnsi="宋体" w:cs="宋体" w:eastAsia="宋体" w:hint="default"/>
                <w:sz w:val="18"/>
                <w:szCs w:val="18"/>
              </w:rPr>
            </w:pPr>
            <w:r>
              <w:rPr>
                <w:rFonts w:ascii="宋体" w:hAnsi="宋体" w:cs="宋体" w:eastAsia="宋体" w:hint="default"/>
                <w:sz w:val="18"/>
                <w:szCs w:val="18"/>
              </w:rPr>
              <w:t>子公司高 鸿信息间 接持有济 宁高鸿 </w:t>
            </w:r>
            <w:r>
              <w:rPr>
                <w:rFonts w:ascii="Times New Roman" w:hAnsi="Times New Roman" w:cs="Times New Roman" w:eastAsia="Times New Roman" w:hint="default"/>
                <w:sz w:val="18"/>
                <w:szCs w:val="18"/>
              </w:rPr>
              <w:t>2%</w:t>
            </w:r>
            <w:r>
              <w:rPr>
                <w:rFonts w:ascii="宋体" w:hAnsi="宋体" w:cs="宋体" w:eastAsia="宋体" w:hint="default"/>
                <w:sz w:val="18"/>
                <w:szCs w:val="18"/>
              </w:rPr>
              <w:t>股权， 因此，公 司直接、 间接拥有 济宁高鸿 </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权。</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国泰君安 证券股份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635,958.0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635,958.0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635,958.0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0.01%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国泰君安 投资管理 股份有限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2,261,184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2,261,184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2,261,184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99" w:right="0"/>
              <w:jc w:val="left"/>
              <w:rPr>
                <w:rFonts w:ascii="Times New Roman" w:hAnsi="Times New Roman" w:cs="Times New Roman" w:eastAsia="Times New Roman" w:hint="default"/>
                <w:sz w:val="18"/>
                <w:szCs w:val="18"/>
              </w:rPr>
            </w:pPr>
            <w:r>
              <w:rPr>
                <w:rFonts w:ascii="Times New Roman"/>
                <w:sz w:val="18"/>
              </w:rPr>
              <w:t>0.09%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00" w:right="0"/>
              <w:jc w:val="left"/>
              <w:rPr>
                <w:rFonts w:ascii="Times New Roman" w:hAnsi="Times New Roman" w:cs="Times New Roman" w:eastAsia="Times New Roman" w:hint="default"/>
                <w:sz w:val="18"/>
                <w:szCs w:val="18"/>
              </w:rPr>
            </w:pPr>
            <w:r>
              <w:rPr>
                <w:rFonts w:ascii="Times New Roman"/>
                <w:sz w:val="18"/>
              </w:rPr>
              <w:t>0.09%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850,576,5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42.72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746,882,7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96.80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104,569,9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96.42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851,452,7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93.22</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52,510,42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10,116,00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245,260,0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spacing w:line="240" w:lineRule="auto" w:before="0"/>
        <w:rPr>
          <w:rFonts w:ascii="宋体" w:hAnsi="宋体" w:cs="宋体" w:eastAsia="宋体" w:hint="default"/>
          <w:sz w:val="18"/>
          <w:szCs w:val="18"/>
        </w:rPr>
      </w:pPr>
    </w:p>
    <w:p>
      <w:pPr>
        <w:spacing w:before="12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10,657,759.81</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31,311,893.56</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10,657,759.81</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31,311,893.56</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7,768,246.46</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13,656,702.36</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）主营业务（分行业）</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企业信息化服务业务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10,481,955.88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7,685,490.70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23,965,707.51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11,008,906.58</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3G-IT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连锁销售业务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175,803.93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82,755.76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7,346,186.05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2,647,795.78</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10,657,759.81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7,768,246.46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31,311,893.56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13,656,702.36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）主营业务（分产品）</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通信设备产品及制造</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627,038.41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135,799.10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814,621.89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232,041.66</w:t>
            </w:r>
          </w:p>
        </w:tc>
      </w:tr>
      <w:tr>
        <w:trPr>
          <w:trHeight w:val="71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计算机涉密、系统集成业务 及外围设备销售业务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9,854,917.47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7,549,691.60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23,151,085.62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10,776,864.92</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电信增值业务</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3G-IT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连锁销售业务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175,803.93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82,755.76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7,346,186.05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2,647,795.78</w:t>
            </w:r>
          </w:p>
        </w:tc>
      </w:tr>
      <w:tr>
        <w:trPr>
          <w:trHeight w:val="40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10,657,759.81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7,768,246.46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31,311,893.56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13,656,702.36</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）主营业务（分地区）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27,791.01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28,206.14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4,329.06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3,726.45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524,354.44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407,794.87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15,694,776.94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9,985,029.67</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796,094.79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740,402.12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1,390,816.93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1,100,471.07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9,309,519.57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6,591,843.33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14,221,970.63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2,567,475.17</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10,657,759.81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7,768,246.46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31,311,893.56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13,656,702.36</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）公司前五名客户的营业收入情况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2922"/>
        <w:gridCol w:w="1865"/>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14"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遵义市商业银行</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2,720,085.47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25.52%</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珠海祺利通信科技有限公司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1,435,897.46</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13.47%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许继电源有限公司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1,318,085.45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北京汉唐中智网络科技发展有限公司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1,201,893.99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11.28%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北京天宇威视科技有限公司技术开发服务费</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7,675,962.37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72.02%</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after="0"/>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00"/>
        <w:gridCol w:w="2534"/>
        <w:gridCol w:w="2525"/>
      </w:tblGrid>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245,000,000.00</w:t>
            </w: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602,854.42</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288,495.95</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2,213,492.42</w:t>
            </w: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247,816,346.84</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288,495.95</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）按成本法核算的长期股权投资收益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594"/>
        <w:gridCol w:w="2921"/>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北京大唐高鸿数据网络技术有限公司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子公司利润分配</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北京大唐高鸿软件技术有限公司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子公司利润分配</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245,000,000.00</w:t>
            </w:r>
          </w:p>
        </w:tc>
        <w:tc>
          <w:tcPr>
            <w:tcW w:w="1594" w:type="dxa"/>
            <w:tcBorders>
              <w:top w:val="single" w:sz="4" w:space="0" w:color="000000"/>
              <w:left w:val="single" w:sz="4" w:space="0" w:color="000000"/>
              <w:bottom w:val="single" w:sz="4" w:space="0" w:color="000000"/>
              <w:right w:val="single" w:sz="13" w:space="0" w:color="D2D2D2"/>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）按权益法核算的长期股权投资收益</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594"/>
        <w:gridCol w:w="2921"/>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北京海岸淘金创业投资有限公司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272,739.76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14,623.90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损益调整</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大唐高新创业投资有限公司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330,114.66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273,872.05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损益调整</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602,854.42</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288,495.95</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441" w:right="7765" w:hanging="289"/>
        <w:jc w:val="left"/>
        <w:rPr>
          <w:rFonts w:ascii="宋体" w:hAnsi="宋体" w:cs="宋体" w:eastAsia="宋体" w:hint="default"/>
          <w:sz w:val="18"/>
          <w:szCs w:val="18"/>
        </w:rPr>
      </w:pPr>
      <w:r>
        <w:rPr>
          <w:rFonts w:ascii="宋体" w:hAnsi="宋体" w:cs="宋体" w:eastAsia="宋体" w:hint="default"/>
          <w:sz w:val="18"/>
          <w:szCs w:val="18"/>
        </w:rPr>
        <w:t>投资收益的说明 投资收益的汇回不存在重大限制。</w:t>
      </w:r>
    </w:p>
    <w:p>
      <w:pPr>
        <w:spacing w:line="240" w:lineRule="auto" w:before="6"/>
        <w:rPr>
          <w:rFonts w:ascii="宋体" w:hAnsi="宋体" w:cs="宋体" w:eastAsia="宋体" w:hint="default"/>
          <w:sz w:val="20"/>
          <w:szCs w:val="20"/>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209,904,069.54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-22,823,131.34</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12,135,998.08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5,015,525.87</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317,862.47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370,423.41</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4,964,506.79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4,591,209.23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53,142.84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53,142.84</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4,932.86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3,036.25</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19,497,210.32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19,116,812.98</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-247,816,346.84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-288,495.95</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2,659,438.54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2,760,672.31</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-197,051,754.43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-293,267,718.30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-14,233,716.37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-21,961,276.21</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-209,564,656.20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-306,429,798.91</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76" w:right="0"/>
              <w:jc w:val="left"/>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76" w:right="0"/>
              <w:jc w:val="left"/>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667,618,815.23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85,788,125.43</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85,788,125.43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290,962,477.17</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581,830,689.80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-205,174,351.74</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、反向购买下以评估值入账的资产、负债情况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1125" w:firstLine="0"/>
        <w:jc w:val="left"/>
        <w:rPr>
          <w:rFonts w:ascii="宋体" w:hAnsi="宋体" w:cs="宋体" w:eastAsia="宋体" w:hint="default"/>
          <w:sz w:val="18"/>
          <w:szCs w:val="18"/>
        </w:rPr>
      </w:pPr>
      <w:r>
        <w:rPr>
          <w:rFonts w:ascii="宋体" w:hAnsi="宋体" w:cs="宋体" w:eastAsia="宋体" w:hint="default"/>
          <w:sz w:val="18"/>
          <w:szCs w:val="18"/>
        </w:rPr>
        <w:t>反向购买下以公允价值入账的资产、负债情况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bl>
    <w:p>
      <w:pPr>
        <w:spacing w:before="49"/>
        <w:ind w:left="152" w:right="1125" w:firstLine="0"/>
        <w:jc w:val="left"/>
        <w:rPr>
          <w:rFonts w:ascii="宋体" w:hAnsi="宋体" w:cs="宋体" w:eastAsia="宋体" w:hint="default"/>
          <w:sz w:val="18"/>
          <w:szCs w:val="18"/>
        </w:rPr>
      </w:pPr>
      <w:r>
        <w:rPr>
          <w:rFonts w:ascii="宋体" w:hAnsi="宋体" w:cs="宋体" w:eastAsia="宋体" w:hint="default"/>
          <w:sz w:val="18"/>
          <w:szCs w:val="18"/>
        </w:rPr>
        <w:t>反向购买形成长期股权投资的情况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bl>
    <w:p>
      <w:pPr>
        <w:spacing w:line="240" w:lineRule="auto" w:before="1"/>
        <w:rPr>
          <w:rFonts w:ascii="宋体" w:hAnsi="宋体" w:cs="宋体" w:eastAsia="宋体" w:hint="default"/>
          <w:sz w:val="18"/>
          <w:szCs w:val="18"/>
        </w:rPr>
      </w:pPr>
    </w:p>
    <w:p>
      <w:pPr>
        <w:pStyle w:val="Heading2"/>
        <w:spacing w:line="240" w:lineRule="auto"/>
        <w:ind w:right="1125"/>
        <w:jc w:val="left"/>
        <w:rPr>
          <w:b w:val="0"/>
          <w:bCs w:val="0"/>
        </w:rPr>
      </w:pPr>
      <w:r>
        <w:rPr/>
        <w:t>十六、补充资料</w:t>
      </w:r>
      <w:r>
        <w:rPr>
          <w:b w:val="0"/>
          <w:bCs w:val="0"/>
        </w:rPr>
      </w:r>
    </w:p>
    <w:p>
      <w:pPr>
        <w:spacing w:line="240" w:lineRule="auto" w:before="9"/>
        <w:rPr>
          <w:rFonts w:ascii="宋体" w:hAnsi="宋体" w:cs="宋体" w:eastAsia="宋体" w:hint="default"/>
          <w:b/>
          <w:bCs/>
          <w:sz w:val="24"/>
          <w:szCs w:val="24"/>
        </w:rPr>
      </w:pPr>
    </w:p>
    <w:p>
      <w:pPr>
        <w:spacing w:before="0"/>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529"/>
        <w:gridCol w:w="2177"/>
        <w:gridCol w:w="1915"/>
        <w:gridCol w:w="1937"/>
      </w:tblGrid>
      <w:tr>
        <w:trPr>
          <w:trHeight w:val="184" w:hRule="exact"/>
        </w:trPr>
        <w:tc>
          <w:tcPr>
            <w:tcW w:w="3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3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529"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2" w:space="0" w:color="D2D2D2"/>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0.07</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pacing w:val="-1"/>
                <w:sz w:val="18"/>
              </w:rPr>
              <w:t>0.07</w:t>
            </w:r>
          </w:p>
        </w:tc>
      </w:tr>
      <w:tr>
        <w:trPr>
          <w:trHeight w:val="715"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0.06</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0.06</w:t>
            </w:r>
          </w:p>
        </w:tc>
      </w:tr>
    </w:tbl>
    <w:p>
      <w:pPr>
        <w:spacing w:line="240" w:lineRule="auto" w:before="3"/>
        <w:rPr>
          <w:rFonts w:ascii="宋体" w:hAnsi="宋体" w:cs="宋体" w:eastAsia="宋体" w:hint="default"/>
          <w:sz w:val="19"/>
          <w:szCs w:val="19"/>
        </w:rPr>
      </w:pPr>
    </w:p>
    <w:p>
      <w:pPr>
        <w:spacing w:before="36"/>
        <w:ind w:left="152" w:right="112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、公司主要会计报表项目的异常情况及原因的说明</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633" w:right="1125" w:firstLine="0"/>
        <w:jc w:val="left"/>
        <w:rPr>
          <w:rFonts w:ascii="宋体" w:hAnsi="宋体" w:cs="宋体" w:eastAsia="宋体" w:hint="default"/>
          <w:sz w:val="18"/>
          <w:szCs w:val="18"/>
        </w:rPr>
      </w:pPr>
      <w:r>
        <w:rPr/>
        <w:pict>
          <v:group style="position:absolute;margin-left:55.439999pt;margin-top:31.867718pt;width:462.6pt;height:1pt;mso-position-horizontal-relative:page;mso-position-vertical-relative:paragraph;z-index:-1259440" coordorigin="1109,637" coordsize="9252,20">
            <v:group style="position:absolute;left:1118;top:647;width:2098;height:2" coordorigin="1118,647" coordsize="2098,2">
              <v:shape style="position:absolute;left:1118;top:647;width:2098;height:2" coordorigin="1118,647" coordsize="2098,0" path="m1118,647l3216,647e" filled="false" stroked="true" strokeweight=".96pt" strokecolor="#000000">
                <v:path arrowok="t"/>
              </v:shape>
            </v:group>
            <v:group style="position:absolute;left:3202;top:647;width:20;height:2" coordorigin="3202,647" coordsize="20,2">
              <v:shape style="position:absolute;left:3202;top:647;width:20;height:2" coordorigin="3202,647" coordsize="20,0" path="m3202,647l3221,647e" filled="false" stroked="true" strokeweight=".96pt" strokecolor="#000000">
                <v:path arrowok="t"/>
              </v:shape>
            </v:group>
            <v:group style="position:absolute;left:3221;top:647;width:1489;height:2" coordorigin="3221,647" coordsize="1489,2">
              <v:shape style="position:absolute;left:3221;top:647;width:1489;height:2" coordorigin="3221,647" coordsize="1489,0" path="m3221,647l4710,647e" filled="false" stroked="true" strokeweight=".96pt" strokecolor="#000000">
                <v:path arrowok="t"/>
              </v:shape>
            </v:group>
            <v:group style="position:absolute;left:4695;top:647;width:20;height:2" coordorigin="4695,647" coordsize="20,2">
              <v:shape style="position:absolute;left:4695;top:647;width:20;height:2" coordorigin="4695,647" coordsize="20,0" path="m4695,647l4715,647e" filled="false" stroked="true" strokeweight=".96pt" strokecolor="#000000">
                <v:path arrowok="t"/>
              </v:shape>
            </v:group>
            <v:group style="position:absolute;left:4715;top:647;width:1352;height:2" coordorigin="4715,647" coordsize="1352,2">
              <v:shape style="position:absolute;left:4715;top:647;width:1352;height:2" coordorigin="4715,647" coordsize="1352,0" path="m4715,647l6066,647e" filled="false" stroked="true" strokeweight=".96pt" strokecolor="#000000">
                <v:path arrowok="t"/>
              </v:shape>
            </v:group>
            <v:group style="position:absolute;left:6051;top:647;width:20;height:2" coordorigin="6051,647" coordsize="20,2">
              <v:shape style="position:absolute;left:6051;top:647;width:20;height:2" coordorigin="6051,647" coordsize="20,0" path="m6051,647l6071,647e" filled="false" stroked="true" strokeweight=".96pt" strokecolor="#000000">
                <v:path arrowok="t"/>
              </v:shape>
            </v:group>
            <v:group style="position:absolute;left:6071;top:647;width:1407;height:2" coordorigin="6071,647" coordsize="1407,2">
              <v:shape style="position:absolute;left:6071;top:647;width:1407;height:2" coordorigin="6071,647" coordsize="1407,0" path="m6071,647l7477,647e" filled="false" stroked="true" strokeweight=".96pt" strokecolor="#000000">
                <v:path arrowok="t"/>
              </v:shape>
            </v:group>
            <v:group style="position:absolute;left:7463;top:647;width:20;height:2" coordorigin="7463,647" coordsize="20,2">
              <v:shape style="position:absolute;left:7463;top:647;width:20;height:2" coordorigin="7463,647" coordsize="20,0" path="m7463,647l7482,647e" filled="false" stroked="true" strokeweight=".96pt" strokecolor="#000000">
                <v:path arrowok="t"/>
              </v:shape>
            </v:group>
            <v:group style="position:absolute;left:7482;top:647;width:912;height:2" coordorigin="7482,647" coordsize="912,2">
              <v:shape style="position:absolute;left:7482;top:647;width:912;height:2" coordorigin="7482,647" coordsize="912,0" path="m7482,647l8394,647e" filled="false" stroked="true" strokeweight=".96pt" strokecolor="#000000">
                <v:path arrowok="t"/>
              </v:shape>
            </v:group>
            <v:group style="position:absolute;left:8380;top:647;width:20;height:2" coordorigin="8380,647" coordsize="20,2">
              <v:shape style="position:absolute;left:8380;top:647;width:20;height:2" coordorigin="8380,647" coordsize="20,0" path="m8380,647l8399,647e" filled="false" stroked="true" strokeweight=".96pt" strokecolor="#000000">
                <v:path arrowok="t"/>
              </v:shape>
            </v:group>
            <v:group style="position:absolute;left:8399;top:647;width:1952;height:2" coordorigin="8399,647" coordsize="1952,2">
              <v:shape style="position:absolute;left:8399;top:647;width:1952;height:2" coordorigin="8399,647" coordsize="1952,0" path="m8399,647l10351,647e" filled="false" stroked="true" strokeweight=".96pt" strokecolor="#000000">
                <v:path arrowok="t"/>
              </v:shape>
            </v:group>
            <w10:wrap type="none"/>
          </v:group>
        </w:pic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）、资产负债表项目：</w:t>
      </w:r>
    </w:p>
    <w:p>
      <w:pPr>
        <w:spacing w:line="240" w:lineRule="auto" w:before="1"/>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122"/>
        <w:gridCol w:w="1478"/>
        <w:gridCol w:w="1454"/>
        <w:gridCol w:w="1204"/>
        <w:gridCol w:w="1229"/>
        <w:gridCol w:w="1366"/>
      </w:tblGrid>
      <w:tr>
        <w:trPr>
          <w:trHeight w:val="279" w:hRule="exact"/>
        </w:trPr>
        <w:tc>
          <w:tcPr>
            <w:tcW w:w="2122" w:type="dxa"/>
            <w:tcBorders>
              <w:top w:val="nil" w:sz="6" w:space="0" w:color="auto"/>
              <w:left w:val="nil" w:sz="6" w:space="0" w:color="auto"/>
              <w:bottom w:val="nil" w:sz="6" w:space="0" w:color="auto"/>
              <w:right w:val="nil" w:sz="6" w:space="0" w:color="auto"/>
            </w:tcBorders>
          </w:tcPr>
          <w:p>
            <w:pPr>
              <w:pStyle w:val="TableParagraph"/>
              <w:spacing w:line="199" w:lineRule="exact"/>
              <w:ind w:left="358" w:right="0"/>
              <w:jc w:val="left"/>
              <w:rPr>
                <w:rFonts w:ascii="宋体" w:hAnsi="宋体" w:cs="宋体" w:eastAsia="宋体" w:hint="default"/>
                <w:sz w:val="20"/>
                <w:szCs w:val="20"/>
              </w:rPr>
            </w:pPr>
            <w:r>
              <w:rPr>
                <w:rFonts w:ascii="宋体" w:hAnsi="宋体" w:cs="宋体" w:eastAsia="宋体" w:hint="default"/>
                <w:sz w:val="20"/>
                <w:szCs w:val="20"/>
              </w:rPr>
              <w:t>资产负债表项目</w:t>
            </w:r>
          </w:p>
        </w:tc>
        <w:tc>
          <w:tcPr>
            <w:tcW w:w="1478" w:type="dxa"/>
            <w:tcBorders>
              <w:top w:val="nil" w:sz="6" w:space="0" w:color="auto"/>
              <w:left w:val="nil" w:sz="6" w:space="0" w:color="auto"/>
              <w:bottom w:val="nil" w:sz="6" w:space="0" w:color="auto"/>
              <w:right w:val="nil" w:sz="6" w:space="0" w:color="auto"/>
            </w:tcBorders>
          </w:tcPr>
          <w:p>
            <w:pPr>
              <w:pStyle w:val="TableParagraph"/>
              <w:spacing w:line="199" w:lineRule="exact"/>
              <w:ind w:left="367" w:right="0"/>
              <w:jc w:val="left"/>
              <w:rPr>
                <w:rFonts w:ascii="宋体" w:hAnsi="宋体" w:cs="宋体" w:eastAsia="宋体" w:hint="default"/>
                <w:sz w:val="20"/>
                <w:szCs w:val="20"/>
              </w:rPr>
            </w:pPr>
            <w:r>
              <w:rPr>
                <w:rFonts w:ascii="宋体" w:hAnsi="宋体" w:cs="宋体" w:eastAsia="宋体" w:hint="default"/>
                <w:sz w:val="20"/>
                <w:szCs w:val="20"/>
              </w:rPr>
              <w:t>期末金额</w:t>
            </w:r>
          </w:p>
        </w:tc>
        <w:tc>
          <w:tcPr>
            <w:tcW w:w="1454" w:type="dxa"/>
            <w:tcBorders>
              <w:top w:val="nil" w:sz="6" w:space="0" w:color="auto"/>
              <w:left w:val="nil" w:sz="6" w:space="0" w:color="auto"/>
              <w:bottom w:val="nil" w:sz="6" w:space="0" w:color="auto"/>
              <w:right w:val="nil" w:sz="6" w:space="0" w:color="auto"/>
            </w:tcBorders>
          </w:tcPr>
          <w:p>
            <w:pPr>
              <w:pStyle w:val="TableParagraph"/>
              <w:spacing w:line="199" w:lineRule="exact"/>
              <w:ind w:left="313" w:right="0"/>
              <w:jc w:val="left"/>
              <w:rPr>
                <w:rFonts w:ascii="宋体" w:hAnsi="宋体" w:cs="宋体" w:eastAsia="宋体" w:hint="default"/>
                <w:sz w:val="20"/>
                <w:szCs w:val="20"/>
              </w:rPr>
            </w:pPr>
            <w:r>
              <w:rPr>
                <w:rFonts w:ascii="宋体" w:hAnsi="宋体" w:cs="宋体" w:eastAsia="宋体" w:hint="default"/>
                <w:sz w:val="20"/>
                <w:szCs w:val="20"/>
              </w:rPr>
              <w:t>期初金额</w:t>
            </w:r>
          </w:p>
        </w:tc>
        <w:tc>
          <w:tcPr>
            <w:tcW w:w="1204" w:type="dxa"/>
            <w:tcBorders>
              <w:top w:val="nil" w:sz="6" w:space="0" w:color="auto"/>
              <w:left w:val="nil" w:sz="6" w:space="0" w:color="auto"/>
              <w:bottom w:val="nil" w:sz="6" w:space="0" w:color="auto"/>
              <w:right w:val="nil" w:sz="6" w:space="0" w:color="auto"/>
            </w:tcBorders>
          </w:tcPr>
          <w:p>
            <w:pPr>
              <w:pStyle w:val="TableParagraph"/>
              <w:spacing w:line="199" w:lineRule="exact"/>
              <w:ind w:left="343" w:right="0"/>
              <w:jc w:val="left"/>
              <w:rPr>
                <w:rFonts w:ascii="宋体" w:hAnsi="宋体" w:cs="宋体" w:eastAsia="宋体" w:hint="default"/>
                <w:sz w:val="20"/>
                <w:szCs w:val="20"/>
              </w:rPr>
            </w:pPr>
            <w:r>
              <w:rPr>
                <w:rFonts w:ascii="宋体" w:hAnsi="宋体" w:cs="宋体" w:eastAsia="宋体" w:hint="default"/>
                <w:sz w:val="20"/>
                <w:szCs w:val="20"/>
              </w:rPr>
              <w:t>变动额</w:t>
            </w:r>
          </w:p>
        </w:tc>
        <w:tc>
          <w:tcPr>
            <w:tcW w:w="1229" w:type="dxa"/>
            <w:tcBorders>
              <w:top w:val="nil" w:sz="6" w:space="0" w:color="auto"/>
              <w:left w:val="nil" w:sz="6" w:space="0" w:color="auto"/>
              <w:bottom w:val="nil" w:sz="6" w:space="0" w:color="auto"/>
              <w:right w:val="nil" w:sz="6" w:space="0" w:color="auto"/>
            </w:tcBorders>
          </w:tcPr>
          <w:p>
            <w:pPr>
              <w:pStyle w:val="TableParagraph"/>
              <w:spacing w:line="199" w:lineRule="exact"/>
              <w:ind w:left="262" w:right="0"/>
              <w:jc w:val="left"/>
              <w:rPr>
                <w:rFonts w:ascii="宋体" w:hAnsi="宋体" w:cs="宋体" w:eastAsia="宋体" w:hint="default"/>
                <w:sz w:val="20"/>
                <w:szCs w:val="20"/>
              </w:rPr>
            </w:pPr>
            <w:r>
              <w:rPr>
                <w:rFonts w:ascii="宋体" w:hAnsi="宋体" w:cs="宋体" w:eastAsia="宋体" w:hint="default"/>
                <w:sz w:val="20"/>
                <w:szCs w:val="20"/>
              </w:rPr>
              <w:t>变动率</w:t>
            </w:r>
          </w:p>
        </w:tc>
        <w:tc>
          <w:tcPr>
            <w:tcW w:w="1366" w:type="dxa"/>
            <w:tcBorders>
              <w:top w:val="nil" w:sz="6" w:space="0" w:color="auto"/>
              <w:left w:val="nil" w:sz="6" w:space="0" w:color="auto"/>
              <w:bottom w:val="nil" w:sz="6" w:space="0" w:color="auto"/>
              <w:right w:val="nil" w:sz="6" w:space="0" w:color="auto"/>
            </w:tcBorders>
          </w:tcPr>
          <w:p>
            <w:pPr>
              <w:pStyle w:val="TableParagraph"/>
              <w:spacing w:line="199" w:lineRule="exact"/>
              <w:ind w:left="368" w:right="0"/>
              <w:jc w:val="left"/>
              <w:rPr>
                <w:rFonts w:ascii="宋体" w:hAnsi="宋体" w:cs="宋体" w:eastAsia="宋体" w:hint="default"/>
                <w:sz w:val="20"/>
                <w:szCs w:val="20"/>
              </w:rPr>
            </w:pPr>
            <w:r>
              <w:rPr>
                <w:rFonts w:ascii="宋体" w:hAnsi="宋体" w:cs="宋体" w:eastAsia="宋体" w:hint="default"/>
                <w:sz w:val="20"/>
                <w:szCs w:val="20"/>
              </w:rPr>
              <w:t>变动原因</w:t>
            </w:r>
          </w:p>
        </w:tc>
      </w:tr>
    </w:tbl>
    <w:p>
      <w:pPr>
        <w:spacing w:after="0" w:line="199" w:lineRule="exact"/>
        <w:jc w:val="left"/>
        <w:rPr>
          <w:rFonts w:ascii="宋体" w:hAnsi="宋体" w:cs="宋体" w:eastAsia="宋体" w:hint="default"/>
          <w:sz w:val="20"/>
          <w:szCs w:val="20"/>
        </w:rPr>
        <w:sectPr>
          <w:pgSz w:w="11910" w:h="16840"/>
          <w:pgMar w:header="877" w:footer="1340" w:top="1060" w:bottom="1540" w:left="980" w:right="0"/>
        </w:sectPr>
      </w:pPr>
    </w:p>
    <w:p>
      <w:pPr>
        <w:spacing w:line="240" w:lineRule="auto" w:before="5"/>
        <w:rPr>
          <w:rFonts w:ascii="宋体" w:hAnsi="宋体" w:cs="宋体" w:eastAsia="宋体" w:hint="default"/>
          <w:sz w:val="3"/>
          <w:szCs w:val="3"/>
        </w:rPr>
      </w:pPr>
      <w:r>
        <w:rPr/>
        <w:pict>
          <v:group style="position:absolute;margin-left:55.200001pt;margin-top:55.559982pt;width:484.9pt;height:.1pt;mso-position-horizontal-relative:page;mso-position-vertical-relative:page;z-index:-1259416" coordorigin="1104,1111" coordsize="9698,2">
            <v:shape style="position:absolute;left:1104;top:1111;width:9698;height:2" coordorigin="1104,1111" coordsize="9698,0" path="m1104,1111l10802,1111e" filled="false" stroked="true" strokeweight=".72pt" strokecolor="#000000">
              <v:path arrowok="t"/>
            </v:shape>
            <w10:wrap type="none"/>
          </v:group>
        </w:pict>
      </w:r>
    </w:p>
    <w:tbl>
      <w:tblPr>
        <w:tblW w:w="0" w:type="auto"/>
        <w:jc w:val="left"/>
        <w:tblInd w:w="123" w:type="dxa"/>
        <w:tblLayout w:type="fixed"/>
        <w:tblCellMar>
          <w:top w:w="0" w:type="dxa"/>
          <w:left w:w="0" w:type="dxa"/>
          <w:bottom w:w="0" w:type="dxa"/>
          <w:right w:w="0" w:type="dxa"/>
        </w:tblCellMar>
        <w:tblLook w:val="01E0"/>
      </w:tblPr>
      <w:tblGrid>
        <w:gridCol w:w="1964"/>
        <w:gridCol w:w="1687"/>
        <w:gridCol w:w="1350"/>
        <w:gridCol w:w="1432"/>
        <w:gridCol w:w="860"/>
        <w:gridCol w:w="1953"/>
        <w:gridCol w:w="400"/>
      </w:tblGrid>
      <w:tr>
        <w:trPr>
          <w:trHeight w:val="982" w:hRule="exact"/>
        </w:trPr>
        <w:tc>
          <w:tcPr>
            <w:tcW w:w="1964" w:type="dxa"/>
            <w:tcBorders>
              <w:top w:val="nil" w:sz="6" w:space="0" w:color="auto"/>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0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687"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54"/>
              <w:jc w:val="right"/>
              <w:rPr>
                <w:rFonts w:ascii="Times New Roman" w:hAnsi="Times New Roman" w:cs="Times New Roman" w:eastAsia="Times New Roman" w:hint="default"/>
                <w:sz w:val="20"/>
                <w:szCs w:val="20"/>
              </w:rPr>
            </w:pPr>
            <w:r>
              <w:rPr>
                <w:rFonts w:ascii="Times New Roman"/>
                <w:spacing w:val="-1"/>
                <w:sz w:val="20"/>
              </w:rPr>
              <w:t>1,189,015,013.11</w:t>
            </w:r>
          </w:p>
        </w:tc>
        <w:tc>
          <w:tcPr>
            <w:tcW w:w="1350"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45"/>
              <w:jc w:val="right"/>
              <w:rPr>
                <w:rFonts w:ascii="Times New Roman" w:hAnsi="Times New Roman" w:cs="Times New Roman" w:eastAsia="Times New Roman" w:hint="default"/>
                <w:sz w:val="20"/>
                <w:szCs w:val="20"/>
              </w:rPr>
            </w:pPr>
            <w:r>
              <w:rPr>
                <w:rFonts w:ascii="Times New Roman"/>
                <w:w w:val="95"/>
                <w:sz w:val="20"/>
              </w:rPr>
              <w:t>313,912,044.28</w:t>
            </w:r>
            <w:r>
              <w:rPr>
                <w:rFonts w:ascii="Times New Roman"/>
                <w:sz w:val="20"/>
              </w:rPr>
            </w:r>
          </w:p>
        </w:tc>
        <w:tc>
          <w:tcPr>
            <w:tcW w:w="1432"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66"/>
              <w:jc w:val="right"/>
              <w:rPr>
                <w:rFonts w:ascii="Times New Roman" w:hAnsi="Times New Roman" w:cs="Times New Roman" w:eastAsia="Times New Roman" w:hint="default"/>
                <w:sz w:val="20"/>
                <w:szCs w:val="20"/>
              </w:rPr>
            </w:pPr>
            <w:r>
              <w:rPr>
                <w:rFonts w:ascii="Times New Roman"/>
                <w:w w:val="95"/>
                <w:sz w:val="20"/>
              </w:rPr>
              <w:t>875,102,968.83</w:t>
            </w:r>
            <w:r>
              <w:rPr>
                <w:rFonts w:ascii="Times New Roman"/>
                <w:sz w:val="20"/>
              </w:rPr>
            </w:r>
          </w:p>
        </w:tc>
        <w:tc>
          <w:tcPr>
            <w:tcW w:w="860"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9"/>
              <w:jc w:val="right"/>
              <w:rPr>
                <w:rFonts w:ascii="Times New Roman" w:hAnsi="Times New Roman" w:cs="Times New Roman" w:eastAsia="Times New Roman" w:hint="default"/>
                <w:sz w:val="20"/>
                <w:szCs w:val="20"/>
              </w:rPr>
            </w:pPr>
            <w:r>
              <w:rPr>
                <w:rFonts w:ascii="Times New Roman"/>
                <w:w w:val="95"/>
                <w:sz w:val="20"/>
              </w:rPr>
              <w:t>278.77%</w:t>
            </w:r>
            <w:r>
              <w:rPr>
                <w:rFonts w:ascii="Times New Roman"/>
                <w:sz w:val="20"/>
              </w:rPr>
            </w:r>
          </w:p>
        </w:tc>
        <w:tc>
          <w:tcPr>
            <w:tcW w:w="1953" w:type="dxa"/>
            <w:tcBorders>
              <w:top w:val="nil" w:sz="6" w:space="0" w:color="auto"/>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85" w:lineRule="auto"/>
              <w:ind w:left="8" w:right="145"/>
              <w:jc w:val="left"/>
              <w:rPr>
                <w:rFonts w:ascii="宋体" w:hAnsi="宋体" w:cs="宋体" w:eastAsia="宋体" w:hint="default"/>
                <w:sz w:val="20"/>
                <w:szCs w:val="20"/>
              </w:rPr>
            </w:pPr>
            <w:r>
              <w:rPr>
                <w:rFonts w:ascii="宋体" w:hAnsi="宋体" w:cs="宋体" w:eastAsia="宋体" w:hint="default"/>
                <w:w w:val="95"/>
                <w:sz w:val="20"/>
                <w:szCs w:val="20"/>
              </w:rPr>
              <w:t>本期完成定向增发股</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z w:val="20"/>
                <w:szCs w:val="20"/>
              </w:rPr>
              <w:t>份所致</w:t>
            </w:r>
          </w:p>
        </w:tc>
        <w:tc>
          <w:tcPr>
            <w:tcW w:w="400" w:type="dxa"/>
            <w:tcBorders>
              <w:top w:val="nil" w:sz="6" w:space="0" w:color="auto"/>
              <w:left w:val="nil" w:sz="6" w:space="0" w:color="auto"/>
              <w:bottom w:val="nil" w:sz="6" w:space="0" w:color="auto"/>
              <w:right w:val="nil" w:sz="6" w:space="0" w:color="auto"/>
            </w:tcBorders>
          </w:tcPr>
          <w:p>
            <w:pPr/>
          </w:p>
        </w:tc>
      </w:tr>
      <w:tr>
        <w:trPr>
          <w:trHeight w:val="343" w:hRule="exact"/>
        </w:trPr>
        <w:tc>
          <w:tcPr>
            <w:tcW w:w="1964"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204"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687"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50"/>
              <w:jc w:val="right"/>
              <w:rPr>
                <w:rFonts w:ascii="Times New Roman" w:hAnsi="Times New Roman" w:cs="Times New Roman" w:eastAsia="Times New Roman" w:hint="default"/>
                <w:sz w:val="20"/>
                <w:szCs w:val="20"/>
              </w:rPr>
            </w:pPr>
            <w:r>
              <w:rPr>
                <w:rFonts w:ascii="Times New Roman"/>
                <w:w w:val="95"/>
                <w:sz w:val="20"/>
              </w:rPr>
              <w:t>120,000.00</w:t>
            </w:r>
            <w:r>
              <w:rPr>
                <w:rFonts w:ascii="Times New Roman"/>
                <w:sz w:val="20"/>
              </w:rPr>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47"/>
              <w:jc w:val="right"/>
              <w:rPr>
                <w:rFonts w:ascii="Times New Roman" w:hAnsi="Times New Roman" w:cs="Times New Roman" w:eastAsia="Times New Roman" w:hint="default"/>
                <w:sz w:val="20"/>
                <w:szCs w:val="20"/>
              </w:rPr>
            </w:pPr>
            <w:r>
              <w:rPr>
                <w:rFonts w:ascii="Times New Roman"/>
                <w:w w:val="95"/>
                <w:sz w:val="20"/>
              </w:rPr>
              <w:t>22,135,829.50</w:t>
            </w:r>
            <w:r>
              <w:rPr>
                <w:rFonts w:ascii="Times New Roman"/>
                <w:sz w:val="20"/>
              </w:rPr>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65"/>
              <w:jc w:val="right"/>
              <w:rPr>
                <w:rFonts w:ascii="Times New Roman" w:hAnsi="Times New Roman" w:cs="Times New Roman" w:eastAsia="Times New Roman" w:hint="default"/>
                <w:sz w:val="20"/>
                <w:szCs w:val="20"/>
              </w:rPr>
            </w:pPr>
            <w:r>
              <w:rPr>
                <w:rFonts w:ascii="Times New Roman"/>
                <w:w w:val="95"/>
                <w:sz w:val="20"/>
              </w:rPr>
              <w:t>-22,015,829.50</w:t>
            </w:r>
            <w:r>
              <w:rPr>
                <w:rFonts w:ascii="Times New Roman"/>
                <w:sz w:val="20"/>
              </w:rPr>
            </w:r>
          </w:p>
        </w:tc>
        <w:tc>
          <w:tcPr>
            <w:tcW w:w="860"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9"/>
              <w:jc w:val="right"/>
              <w:rPr>
                <w:rFonts w:ascii="Times New Roman" w:hAnsi="Times New Roman" w:cs="Times New Roman" w:eastAsia="Times New Roman" w:hint="default"/>
                <w:sz w:val="20"/>
                <w:szCs w:val="20"/>
              </w:rPr>
            </w:pPr>
            <w:r>
              <w:rPr>
                <w:rFonts w:ascii="Times New Roman"/>
                <w:w w:val="95"/>
                <w:sz w:val="20"/>
              </w:rPr>
              <w:t>-99.46%</w:t>
            </w:r>
            <w:r>
              <w:rPr>
                <w:rFonts w:ascii="Times New Roman"/>
                <w:sz w:val="20"/>
              </w:rPr>
            </w:r>
          </w:p>
        </w:tc>
        <w:tc>
          <w:tcPr>
            <w:tcW w:w="1953"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8" w:right="0"/>
              <w:jc w:val="left"/>
              <w:rPr>
                <w:rFonts w:ascii="宋体" w:hAnsi="宋体" w:cs="宋体" w:eastAsia="宋体" w:hint="default"/>
                <w:sz w:val="20"/>
                <w:szCs w:val="20"/>
              </w:rPr>
            </w:pPr>
            <w:r>
              <w:rPr>
                <w:rFonts w:ascii="宋体" w:hAnsi="宋体" w:cs="宋体" w:eastAsia="宋体" w:hint="default"/>
                <w:sz w:val="20"/>
                <w:szCs w:val="20"/>
              </w:rPr>
              <w:t>本期支付票据所致</w:t>
            </w:r>
          </w:p>
        </w:tc>
        <w:tc>
          <w:tcPr>
            <w:tcW w:w="400" w:type="dxa"/>
            <w:tcBorders>
              <w:top w:val="nil" w:sz="6" w:space="0" w:color="auto"/>
              <w:left w:val="nil" w:sz="6" w:space="0" w:color="auto"/>
              <w:bottom w:val="nil" w:sz="6" w:space="0" w:color="auto"/>
              <w:right w:val="nil" w:sz="6" w:space="0" w:color="auto"/>
            </w:tcBorders>
          </w:tcPr>
          <w:p>
            <w:pPr/>
          </w:p>
        </w:tc>
      </w:tr>
      <w:tr>
        <w:trPr>
          <w:trHeight w:val="653" w:hRule="exact"/>
        </w:trPr>
        <w:tc>
          <w:tcPr>
            <w:tcW w:w="1964"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20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687"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52"/>
              <w:jc w:val="right"/>
              <w:rPr>
                <w:rFonts w:ascii="Times New Roman" w:hAnsi="Times New Roman" w:cs="Times New Roman" w:eastAsia="Times New Roman" w:hint="default"/>
                <w:sz w:val="20"/>
                <w:szCs w:val="20"/>
              </w:rPr>
            </w:pPr>
            <w:r>
              <w:rPr>
                <w:rFonts w:ascii="Times New Roman"/>
                <w:w w:val="95"/>
                <w:sz w:val="20"/>
              </w:rPr>
              <w:t>864,517,887.31</w:t>
            </w:r>
            <w:r>
              <w:rPr>
                <w:rFonts w:ascii="Times New Roman"/>
                <w:sz w:val="20"/>
              </w:rPr>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45"/>
              <w:jc w:val="right"/>
              <w:rPr>
                <w:rFonts w:ascii="Times New Roman" w:hAnsi="Times New Roman" w:cs="Times New Roman" w:eastAsia="Times New Roman" w:hint="default"/>
                <w:sz w:val="20"/>
                <w:szCs w:val="20"/>
              </w:rPr>
            </w:pPr>
            <w:r>
              <w:rPr>
                <w:rFonts w:ascii="Times New Roman"/>
                <w:w w:val="95"/>
                <w:sz w:val="20"/>
              </w:rPr>
              <w:t>552,535,284.16</w:t>
            </w:r>
            <w:r>
              <w:rPr>
                <w:rFonts w:ascii="Times New Roman"/>
                <w:sz w:val="20"/>
              </w:rPr>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66"/>
              <w:jc w:val="right"/>
              <w:rPr>
                <w:rFonts w:ascii="Times New Roman" w:hAnsi="Times New Roman" w:cs="Times New Roman" w:eastAsia="Times New Roman" w:hint="default"/>
                <w:sz w:val="20"/>
                <w:szCs w:val="20"/>
              </w:rPr>
            </w:pPr>
            <w:r>
              <w:rPr>
                <w:rFonts w:ascii="Times New Roman"/>
                <w:w w:val="95"/>
                <w:sz w:val="20"/>
              </w:rPr>
              <w:t>311,982,603.15</w:t>
            </w:r>
            <w:r>
              <w:rPr>
                <w:rFonts w:ascii="Times New Roman"/>
                <w:sz w:val="20"/>
              </w:rPr>
            </w:r>
          </w:p>
        </w:tc>
        <w:tc>
          <w:tcPr>
            <w:tcW w:w="86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20"/>
                <w:szCs w:val="20"/>
              </w:rPr>
            </w:pPr>
            <w:r>
              <w:rPr>
                <w:rFonts w:ascii="Times New Roman"/>
                <w:sz w:val="20"/>
              </w:rPr>
              <w:t>56.46%</w:t>
            </w:r>
          </w:p>
        </w:tc>
        <w:tc>
          <w:tcPr>
            <w:tcW w:w="1953" w:type="dxa"/>
            <w:tcBorders>
              <w:top w:val="single" w:sz="8" w:space="0" w:color="000000"/>
              <w:left w:val="nil" w:sz="6" w:space="0" w:color="auto"/>
              <w:bottom w:val="single" w:sz="8" w:space="0" w:color="000000"/>
              <w:right w:val="nil" w:sz="6" w:space="0" w:color="auto"/>
            </w:tcBorders>
          </w:tcPr>
          <w:p>
            <w:pPr>
              <w:pStyle w:val="TableParagraph"/>
              <w:spacing w:line="285" w:lineRule="auto"/>
              <w:ind w:left="8" w:right="145"/>
              <w:jc w:val="left"/>
              <w:rPr>
                <w:rFonts w:ascii="宋体" w:hAnsi="宋体" w:cs="宋体" w:eastAsia="宋体" w:hint="default"/>
                <w:sz w:val="20"/>
                <w:szCs w:val="20"/>
              </w:rPr>
            </w:pPr>
            <w:r>
              <w:rPr>
                <w:rFonts w:ascii="宋体" w:hAnsi="宋体" w:cs="宋体" w:eastAsia="宋体" w:hint="default"/>
                <w:w w:val="95"/>
                <w:sz w:val="20"/>
                <w:szCs w:val="20"/>
              </w:rPr>
              <w:t>本期分销业务增加所</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z w:val="20"/>
                <w:szCs w:val="20"/>
              </w:rPr>
              <w:t>致</w:t>
            </w:r>
          </w:p>
        </w:tc>
        <w:tc>
          <w:tcPr>
            <w:tcW w:w="400" w:type="dxa"/>
            <w:tcBorders>
              <w:top w:val="nil" w:sz="6" w:space="0" w:color="auto"/>
              <w:left w:val="nil" w:sz="6" w:space="0" w:color="auto"/>
              <w:bottom w:val="nil" w:sz="6" w:space="0" w:color="auto"/>
              <w:right w:val="nil" w:sz="6" w:space="0" w:color="auto"/>
            </w:tcBorders>
          </w:tcPr>
          <w:p>
            <w:pPr/>
          </w:p>
        </w:tc>
      </w:tr>
      <w:tr>
        <w:trPr>
          <w:trHeight w:val="343" w:hRule="exact"/>
        </w:trPr>
        <w:tc>
          <w:tcPr>
            <w:tcW w:w="1964"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20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687"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52"/>
              <w:jc w:val="right"/>
              <w:rPr>
                <w:rFonts w:ascii="Times New Roman" w:hAnsi="Times New Roman" w:cs="Times New Roman" w:eastAsia="Times New Roman" w:hint="default"/>
                <w:sz w:val="20"/>
                <w:szCs w:val="20"/>
              </w:rPr>
            </w:pPr>
            <w:r>
              <w:rPr>
                <w:rFonts w:ascii="Times New Roman"/>
                <w:w w:val="95"/>
                <w:sz w:val="20"/>
              </w:rPr>
              <w:t>601,504,596.59</w:t>
            </w:r>
            <w:r>
              <w:rPr>
                <w:rFonts w:ascii="Times New Roman"/>
                <w:sz w:val="20"/>
              </w:rPr>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44"/>
              <w:jc w:val="right"/>
              <w:rPr>
                <w:rFonts w:ascii="Times New Roman" w:hAnsi="Times New Roman" w:cs="Times New Roman" w:eastAsia="Times New Roman" w:hint="default"/>
                <w:sz w:val="20"/>
                <w:szCs w:val="20"/>
              </w:rPr>
            </w:pPr>
            <w:r>
              <w:rPr>
                <w:rFonts w:ascii="Times New Roman"/>
                <w:w w:val="95"/>
                <w:sz w:val="20"/>
              </w:rPr>
              <w:t>492,023,653.23</w:t>
            </w:r>
            <w:r>
              <w:rPr>
                <w:rFonts w:ascii="Times New Roman"/>
                <w:sz w:val="20"/>
              </w:rPr>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66"/>
              <w:jc w:val="right"/>
              <w:rPr>
                <w:rFonts w:ascii="Times New Roman" w:hAnsi="Times New Roman" w:cs="Times New Roman" w:eastAsia="Times New Roman" w:hint="default"/>
                <w:sz w:val="20"/>
                <w:szCs w:val="20"/>
              </w:rPr>
            </w:pPr>
            <w:r>
              <w:rPr>
                <w:rFonts w:ascii="Times New Roman"/>
                <w:w w:val="95"/>
                <w:sz w:val="20"/>
              </w:rPr>
              <w:t>109,480,943.36</w:t>
            </w:r>
            <w:r>
              <w:rPr>
                <w:rFonts w:ascii="Times New Roman"/>
                <w:sz w:val="20"/>
              </w:rPr>
            </w:r>
          </w:p>
        </w:tc>
        <w:tc>
          <w:tcPr>
            <w:tcW w:w="860"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6"/>
              <w:jc w:val="right"/>
              <w:rPr>
                <w:rFonts w:ascii="Times New Roman" w:hAnsi="Times New Roman" w:cs="Times New Roman" w:eastAsia="Times New Roman" w:hint="default"/>
                <w:sz w:val="20"/>
                <w:szCs w:val="20"/>
              </w:rPr>
            </w:pPr>
            <w:r>
              <w:rPr>
                <w:rFonts w:ascii="Times New Roman"/>
                <w:sz w:val="20"/>
              </w:rPr>
              <w:t>22.25%</w:t>
            </w:r>
          </w:p>
        </w:tc>
        <w:tc>
          <w:tcPr>
            <w:tcW w:w="1953"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8" w:right="0"/>
              <w:jc w:val="left"/>
              <w:rPr>
                <w:rFonts w:ascii="宋体" w:hAnsi="宋体" w:cs="宋体" w:eastAsia="宋体" w:hint="default"/>
                <w:sz w:val="20"/>
                <w:szCs w:val="20"/>
              </w:rPr>
            </w:pPr>
            <w:r>
              <w:rPr>
                <w:rFonts w:ascii="宋体" w:hAnsi="宋体" w:cs="宋体" w:eastAsia="宋体" w:hint="default"/>
                <w:sz w:val="20"/>
                <w:szCs w:val="20"/>
              </w:rPr>
              <w:t>同上</w:t>
            </w:r>
          </w:p>
        </w:tc>
        <w:tc>
          <w:tcPr>
            <w:tcW w:w="400" w:type="dxa"/>
            <w:tcBorders>
              <w:top w:val="nil" w:sz="6" w:space="0" w:color="auto"/>
              <w:left w:val="nil" w:sz="6" w:space="0" w:color="auto"/>
              <w:bottom w:val="nil" w:sz="6" w:space="0" w:color="auto"/>
              <w:right w:val="nil" w:sz="6" w:space="0" w:color="auto"/>
            </w:tcBorders>
          </w:tcPr>
          <w:p>
            <w:pPr/>
          </w:p>
        </w:tc>
      </w:tr>
      <w:tr>
        <w:trPr>
          <w:trHeight w:val="341" w:hRule="exact"/>
        </w:trPr>
        <w:tc>
          <w:tcPr>
            <w:tcW w:w="1964"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20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687"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54"/>
              <w:jc w:val="right"/>
              <w:rPr>
                <w:rFonts w:ascii="Times New Roman" w:hAnsi="Times New Roman" w:cs="Times New Roman" w:eastAsia="Times New Roman" w:hint="default"/>
                <w:sz w:val="20"/>
                <w:szCs w:val="20"/>
              </w:rPr>
            </w:pPr>
            <w:r>
              <w:rPr>
                <w:rFonts w:ascii="Times New Roman"/>
                <w:w w:val="95"/>
                <w:sz w:val="20"/>
              </w:rPr>
              <w:t>43,025,668.15</w:t>
            </w:r>
            <w:r>
              <w:rPr>
                <w:rFonts w:ascii="Times New Roman"/>
                <w:sz w:val="20"/>
              </w:rPr>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45"/>
              <w:jc w:val="right"/>
              <w:rPr>
                <w:rFonts w:ascii="Times New Roman" w:hAnsi="Times New Roman" w:cs="Times New Roman" w:eastAsia="Times New Roman" w:hint="default"/>
                <w:sz w:val="20"/>
                <w:szCs w:val="20"/>
              </w:rPr>
            </w:pPr>
            <w:r>
              <w:rPr>
                <w:rFonts w:ascii="Times New Roman"/>
                <w:w w:val="95"/>
                <w:sz w:val="20"/>
              </w:rPr>
              <w:t>6,192,408.60</w:t>
            </w:r>
            <w:r>
              <w:rPr>
                <w:rFonts w:ascii="Times New Roman"/>
                <w:sz w:val="20"/>
              </w:rPr>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67"/>
              <w:jc w:val="right"/>
              <w:rPr>
                <w:rFonts w:ascii="Times New Roman" w:hAnsi="Times New Roman" w:cs="Times New Roman" w:eastAsia="Times New Roman" w:hint="default"/>
                <w:sz w:val="20"/>
                <w:szCs w:val="20"/>
              </w:rPr>
            </w:pPr>
            <w:r>
              <w:rPr>
                <w:rFonts w:ascii="Times New Roman"/>
                <w:w w:val="95"/>
                <w:sz w:val="20"/>
              </w:rPr>
              <w:t>36,833,259.55</w:t>
            </w:r>
            <w:r>
              <w:rPr>
                <w:rFonts w:ascii="Times New Roman"/>
                <w:sz w:val="20"/>
              </w:rPr>
            </w:r>
          </w:p>
        </w:tc>
        <w:tc>
          <w:tcPr>
            <w:tcW w:w="86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9"/>
              <w:jc w:val="right"/>
              <w:rPr>
                <w:rFonts w:ascii="Times New Roman" w:hAnsi="Times New Roman" w:cs="Times New Roman" w:eastAsia="Times New Roman" w:hint="default"/>
                <w:sz w:val="20"/>
                <w:szCs w:val="20"/>
              </w:rPr>
            </w:pPr>
            <w:r>
              <w:rPr>
                <w:rFonts w:ascii="Times New Roman"/>
                <w:w w:val="95"/>
                <w:sz w:val="20"/>
              </w:rPr>
              <w:t>594.81%</w:t>
            </w:r>
            <w:r>
              <w:rPr>
                <w:rFonts w:ascii="Times New Roman"/>
                <w:sz w:val="20"/>
              </w:rPr>
            </w:r>
          </w:p>
        </w:tc>
        <w:tc>
          <w:tcPr>
            <w:tcW w:w="1953"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8" w:right="0"/>
              <w:jc w:val="left"/>
              <w:rPr>
                <w:rFonts w:ascii="宋体" w:hAnsi="宋体" w:cs="宋体" w:eastAsia="宋体" w:hint="default"/>
                <w:sz w:val="20"/>
                <w:szCs w:val="20"/>
              </w:rPr>
            </w:pPr>
            <w:r>
              <w:rPr>
                <w:rFonts w:ascii="宋体" w:hAnsi="宋体" w:cs="宋体" w:eastAsia="宋体" w:hint="default"/>
                <w:sz w:val="20"/>
                <w:szCs w:val="20"/>
              </w:rPr>
              <w:t>本期摊销所致</w:t>
            </w:r>
          </w:p>
        </w:tc>
        <w:tc>
          <w:tcPr>
            <w:tcW w:w="400" w:type="dxa"/>
            <w:tcBorders>
              <w:top w:val="nil" w:sz="6" w:space="0" w:color="auto"/>
              <w:left w:val="nil" w:sz="6" w:space="0" w:color="auto"/>
              <w:bottom w:val="nil" w:sz="6" w:space="0" w:color="auto"/>
              <w:right w:val="nil" w:sz="6" w:space="0" w:color="auto"/>
            </w:tcBorders>
          </w:tcPr>
          <w:p>
            <w:pPr/>
          </w:p>
        </w:tc>
      </w:tr>
      <w:tr>
        <w:trPr>
          <w:trHeight w:val="655" w:hRule="exact"/>
        </w:trPr>
        <w:tc>
          <w:tcPr>
            <w:tcW w:w="1964"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20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687"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54"/>
              <w:jc w:val="right"/>
              <w:rPr>
                <w:rFonts w:ascii="Times New Roman" w:hAnsi="Times New Roman" w:cs="Times New Roman" w:eastAsia="Times New Roman" w:hint="default"/>
                <w:sz w:val="20"/>
                <w:szCs w:val="20"/>
              </w:rPr>
            </w:pPr>
            <w:r>
              <w:rPr>
                <w:rFonts w:ascii="Times New Roman"/>
                <w:w w:val="95"/>
                <w:sz w:val="20"/>
              </w:rPr>
              <w:t>37,697,612.20</w:t>
            </w:r>
            <w:r>
              <w:rPr>
                <w:rFonts w:ascii="Times New Roman"/>
                <w:sz w:val="20"/>
              </w:rPr>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47"/>
              <w:jc w:val="right"/>
              <w:rPr>
                <w:rFonts w:ascii="Times New Roman" w:hAnsi="Times New Roman" w:cs="Times New Roman" w:eastAsia="Times New Roman" w:hint="default"/>
                <w:sz w:val="20"/>
                <w:szCs w:val="20"/>
              </w:rPr>
            </w:pPr>
            <w:r>
              <w:rPr>
                <w:rFonts w:ascii="Times New Roman"/>
                <w:w w:val="95"/>
                <w:sz w:val="20"/>
              </w:rPr>
              <w:t>19,037,648.70</w:t>
            </w:r>
            <w:r>
              <w:rPr>
                <w:rFonts w:ascii="Times New Roman"/>
                <w:sz w:val="20"/>
              </w:rPr>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67"/>
              <w:jc w:val="right"/>
              <w:rPr>
                <w:rFonts w:ascii="Times New Roman" w:hAnsi="Times New Roman" w:cs="Times New Roman" w:eastAsia="Times New Roman" w:hint="default"/>
                <w:sz w:val="20"/>
                <w:szCs w:val="20"/>
              </w:rPr>
            </w:pPr>
            <w:r>
              <w:rPr>
                <w:rFonts w:ascii="Times New Roman"/>
                <w:w w:val="95"/>
                <w:sz w:val="20"/>
              </w:rPr>
              <w:t>18,659,963.50</w:t>
            </w:r>
            <w:r>
              <w:rPr>
                <w:rFonts w:ascii="Times New Roman"/>
                <w:sz w:val="20"/>
              </w:rPr>
            </w:r>
          </w:p>
        </w:tc>
        <w:tc>
          <w:tcPr>
            <w:tcW w:w="860"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6"/>
              <w:jc w:val="right"/>
              <w:rPr>
                <w:rFonts w:ascii="Times New Roman" w:hAnsi="Times New Roman" w:cs="Times New Roman" w:eastAsia="Times New Roman" w:hint="default"/>
                <w:sz w:val="20"/>
                <w:szCs w:val="20"/>
              </w:rPr>
            </w:pPr>
            <w:r>
              <w:rPr>
                <w:rFonts w:ascii="Times New Roman"/>
                <w:sz w:val="20"/>
              </w:rPr>
              <w:t>98.02%</w:t>
            </w:r>
          </w:p>
        </w:tc>
        <w:tc>
          <w:tcPr>
            <w:tcW w:w="1953" w:type="dxa"/>
            <w:tcBorders>
              <w:top w:val="single" w:sz="8" w:space="0" w:color="000000"/>
              <w:left w:val="nil" w:sz="6" w:space="0" w:color="auto"/>
              <w:bottom w:val="single" w:sz="8" w:space="0" w:color="000000"/>
              <w:right w:val="nil" w:sz="6" w:space="0" w:color="auto"/>
            </w:tcBorders>
          </w:tcPr>
          <w:p>
            <w:pPr>
              <w:pStyle w:val="TableParagraph"/>
              <w:spacing w:line="285" w:lineRule="auto"/>
              <w:ind w:left="8" w:right="145"/>
              <w:jc w:val="left"/>
              <w:rPr>
                <w:rFonts w:ascii="宋体" w:hAnsi="宋体" w:cs="宋体" w:eastAsia="宋体" w:hint="default"/>
                <w:sz w:val="20"/>
                <w:szCs w:val="20"/>
              </w:rPr>
            </w:pPr>
            <w:r>
              <w:rPr>
                <w:rFonts w:ascii="宋体" w:hAnsi="宋体" w:cs="宋体" w:eastAsia="宋体" w:hint="default"/>
                <w:w w:val="95"/>
                <w:sz w:val="20"/>
                <w:szCs w:val="20"/>
              </w:rPr>
              <w:t>本期对原开发项目增</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z w:val="20"/>
                <w:szCs w:val="20"/>
              </w:rPr>
              <w:t>加投入所致</w:t>
            </w:r>
          </w:p>
        </w:tc>
        <w:tc>
          <w:tcPr>
            <w:tcW w:w="400" w:type="dxa"/>
            <w:tcBorders>
              <w:top w:val="nil" w:sz="6" w:space="0" w:color="auto"/>
              <w:left w:val="nil" w:sz="6" w:space="0" w:color="auto"/>
              <w:bottom w:val="nil" w:sz="6" w:space="0" w:color="auto"/>
              <w:right w:val="nil" w:sz="6" w:space="0" w:color="auto"/>
            </w:tcBorders>
          </w:tcPr>
          <w:p>
            <w:pPr/>
          </w:p>
        </w:tc>
      </w:tr>
      <w:tr>
        <w:trPr>
          <w:trHeight w:val="341" w:hRule="exact"/>
        </w:trPr>
        <w:tc>
          <w:tcPr>
            <w:tcW w:w="1964"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20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687"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51"/>
              <w:jc w:val="right"/>
              <w:rPr>
                <w:rFonts w:ascii="Times New Roman" w:hAnsi="Times New Roman" w:cs="Times New Roman" w:eastAsia="Times New Roman" w:hint="default"/>
                <w:sz w:val="20"/>
                <w:szCs w:val="20"/>
              </w:rPr>
            </w:pPr>
            <w:r>
              <w:rPr>
                <w:rFonts w:ascii="Times New Roman"/>
                <w:w w:val="95"/>
                <w:sz w:val="20"/>
              </w:rPr>
              <w:t>4,801,035.42</w:t>
            </w:r>
            <w:r>
              <w:rPr>
                <w:rFonts w:ascii="Times New Roman"/>
                <w:sz w:val="20"/>
              </w:rPr>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47"/>
              <w:jc w:val="right"/>
              <w:rPr>
                <w:rFonts w:ascii="Times New Roman" w:hAnsi="Times New Roman" w:cs="Times New Roman" w:eastAsia="Times New Roman" w:hint="default"/>
                <w:sz w:val="20"/>
                <w:szCs w:val="20"/>
              </w:rPr>
            </w:pPr>
            <w:r>
              <w:rPr>
                <w:rFonts w:ascii="Times New Roman"/>
                <w:w w:val="95"/>
                <w:sz w:val="20"/>
              </w:rPr>
              <w:t>10,589,983.83</w:t>
            </w:r>
            <w:r>
              <w:rPr>
                <w:rFonts w:ascii="Times New Roman"/>
                <w:sz w:val="20"/>
              </w:rPr>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67"/>
              <w:jc w:val="right"/>
              <w:rPr>
                <w:rFonts w:ascii="Times New Roman" w:hAnsi="Times New Roman" w:cs="Times New Roman" w:eastAsia="Times New Roman" w:hint="default"/>
                <w:sz w:val="20"/>
                <w:szCs w:val="20"/>
              </w:rPr>
            </w:pPr>
            <w:r>
              <w:rPr>
                <w:rFonts w:ascii="Times New Roman"/>
                <w:w w:val="95"/>
                <w:sz w:val="20"/>
              </w:rPr>
              <w:t>-5,788,948.41</w:t>
            </w:r>
            <w:r>
              <w:rPr>
                <w:rFonts w:ascii="Times New Roman"/>
                <w:sz w:val="20"/>
              </w:rPr>
            </w:r>
          </w:p>
        </w:tc>
        <w:tc>
          <w:tcPr>
            <w:tcW w:w="86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9"/>
              <w:jc w:val="right"/>
              <w:rPr>
                <w:rFonts w:ascii="Times New Roman" w:hAnsi="Times New Roman" w:cs="Times New Roman" w:eastAsia="Times New Roman" w:hint="default"/>
                <w:sz w:val="20"/>
                <w:szCs w:val="20"/>
              </w:rPr>
            </w:pPr>
            <w:r>
              <w:rPr>
                <w:rFonts w:ascii="Times New Roman"/>
                <w:w w:val="95"/>
                <w:sz w:val="20"/>
              </w:rPr>
              <w:t>-54.66%</w:t>
            </w:r>
            <w:r>
              <w:rPr>
                <w:rFonts w:ascii="Times New Roman"/>
                <w:sz w:val="20"/>
              </w:rPr>
            </w:r>
          </w:p>
        </w:tc>
        <w:tc>
          <w:tcPr>
            <w:tcW w:w="1953"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8" w:right="0"/>
              <w:jc w:val="left"/>
              <w:rPr>
                <w:rFonts w:ascii="宋体" w:hAnsi="宋体" w:cs="宋体" w:eastAsia="宋体" w:hint="default"/>
                <w:sz w:val="20"/>
                <w:szCs w:val="20"/>
              </w:rPr>
            </w:pPr>
            <w:r>
              <w:rPr>
                <w:rFonts w:ascii="宋体" w:hAnsi="宋体" w:cs="宋体" w:eastAsia="宋体" w:hint="default"/>
                <w:sz w:val="20"/>
                <w:szCs w:val="20"/>
              </w:rPr>
              <w:t>本期摊销</w:t>
            </w:r>
          </w:p>
        </w:tc>
        <w:tc>
          <w:tcPr>
            <w:tcW w:w="400" w:type="dxa"/>
            <w:tcBorders>
              <w:top w:val="nil" w:sz="6" w:space="0" w:color="auto"/>
              <w:left w:val="nil" w:sz="6" w:space="0" w:color="auto"/>
              <w:bottom w:val="nil" w:sz="6" w:space="0" w:color="auto"/>
              <w:right w:val="nil" w:sz="6" w:space="0" w:color="auto"/>
            </w:tcBorders>
          </w:tcPr>
          <w:p>
            <w:pPr/>
          </w:p>
        </w:tc>
      </w:tr>
      <w:tr>
        <w:trPr>
          <w:trHeight w:val="656" w:hRule="exact"/>
        </w:trPr>
        <w:tc>
          <w:tcPr>
            <w:tcW w:w="1964"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20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687"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51"/>
              <w:jc w:val="right"/>
              <w:rPr>
                <w:rFonts w:ascii="Times New Roman" w:hAnsi="Times New Roman" w:cs="Times New Roman" w:eastAsia="Times New Roman" w:hint="default"/>
                <w:sz w:val="20"/>
                <w:szCs w:val="20"/>
              </w:rPr>
            </w:pPr>
            <w:r>
              <w:rPr>
                <w:rFonts w:ascii="Times New Roman"/>
                <w:w w:val="95"/>
                <w:sz w:val="20"/>
              </w:rPr>
              <w:t>8,466,349.67</w:t>
            </w:r>
            <w:r>
              <w:rPr>
                <w:rFonts w:ascii="Times New Roman"/>
                <w:sz w:val="20"/>
              </w:rPr>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45"/>
              <w:jc w:val="right"/>
              <w:rPr>
                <w:rFonts w:ascii="Times New Roman" w:hAnsi="Times New Roman" w:cs="Times New Roman" w:eastAsia="Times New Roman" w:hint="default"/>
                <w:sz w:val="20"/>
                <w:szCs w:val="20"/>
              </w:rPr>
            </w:pPr>
            <w:r>
              <w:rPr>
                <w:rFonts w:ascii="Times New Roman"/>
                <w:w w:val="95"/>
                <w:sz w:val="20"/>
              </w:rPr>
              <w:t>4,682,114.90</w:t>
            </w:r>
            <w:r>
              <w:rPr>
                <w:rFonts w:ascii="Times New Roman"/>
                <w:sz w:val="20"/>
              </w:rPr>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65"/>
              <w:jc w:val="right"/>
              <w:rPr>
                <w:rFonts w:ascii="Times New Roman" w:hAnsi="Times New Roman" w:cs="Times New Roman" w:eastAsia="Times New Roman" w:hint="default"/>
                <w:sz w:val="20"/>
                <w:szCs w:val="20"/>
              </w:rPr>
            </w:pPr>
            <w:r>
              <w:rPr>
                <w:rFonts w:ascii="Times New Roman"/>
                <w:w w:val="95"/>
                <w:sz w:val="20"/>
              </w:rPr>
              <w:t>3,784,234.77</w:t>
            </w:r>
            <w:r>
              <w:rPr>
                <w:rFonts w:ascii="Times New Roman"/>
                <w:sz w:val="20"/>
              </w:rPr>
            </w:r>
          </w:p>
        </w:tc>
        <w:tc>
          <w:tcPr>
            <w:tcW w:w="860"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6"/>
              <w:jc w:val="right"/>
              <w:rPr>
                <w:rFonts w:ascii="Times New Roman" w:hAnsi="Times New Roman" w:cs="Times New Roman" w:eastAsia="Times New Roman" w:hint="default"/>
                <w:sz w:val="20"/>
                <w:szCs w:val="20"/>
              </w:rPr>
            </w:pPr>
            <w:r>
              <w:rPr>
                <w:rFonts w:ascii="Times New Roman"/>
                <w:sz w:val="20"/>
              </w:rPr>
              <w:t>80.82%</w:t>
            </w:r>
          </w:p>
        </w:tc>
        <w:tc>
          <w:tcPr>
            <w:tcW w:w="1953" w:type="dxa"/>
            <w:tcBorders>
              <w:top w:val="single" w:sz="8" w:space="0" w:color="000000"/>
              <w:left w:val="nil" w:sz="6" w:space="0" w:color="auto"/>
              <w:bottom w:val="single" w:sz="8" w:space="0" w:color="000000"/>
              <w:right w:val="nil" w:sz="6" w:space="0" w:color="auto"/>
            </w:tcBorders>
          </w:tcPr>
          <w:p>
            <w:pPr>
              <w:pStyle w:val="TableParagraph"/>
              <w:spacing w:line="285" w:lineRule="auto"/>
              <w:ind w:left="8" w:right="145"/>
              <w:jc w:val="left"/>
              <w:rPr>
                <w:rFonts w:ascii="宋体" w:hAnsi="宋体" w:cs="宋体" w:eastAsia="宋体" w:hint="default"/>
                <w:sz w:val="20"/>
                <w:szCs w:val="20"/>
              </w:rPr>
            </w:pPr>
            <w:r>
              <w:rPr>
                <w:rFonts w:ascii="宋体" w:hAnsi="宋体" w:cs="宋体" w:eastAsia="宋体" w:hint="default"/>
                <w:w w:val="95"/>
                <w:sz w:val="20"/>
                <w:szCs w:val="20"/>
              </w:rPr>
              <w:t>本期资产减值准备较</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z w:val="20"/>
                <w:szCs w:val="20"/>
              </w:rPr>
              <w:t>上年末增加所致</w:t>
            </w:r>
          </w:p>
        </w:tc>
        <w:tc>
          <w:tcPr>
            <w:tcW w:w="400" w:type="dxa"/>
            <w:tcBorders>
              <w:top w:val="nil" w:sz="6" w:space="0" w:color="auto"/>
              <w:left w:val="nil" w:sz="6" w:space="0" w:color="auto"/>
              <w:bottom w:val="nil" w:sz="6" w:space="0" w:color="auto"/>
              <w:right w:val="nil" w:sz="6" w:space="0" w:color="auto"/>
            </w:tcBorders>
          </w:tcPr>
          <w:p>
            <w:pPr/>
          </w:p>
        </w:tc>
      </w:tr>
      <w:tr>
        <w:trPr>
          <w:trHeight w:val="341" w:hRule="exact"/>
        </w:trPr>
        <w:tc>
          <w:tcPr>
            <w:tcW w:w="1964"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20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687"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52"/>
              <w:jc w:val="right"/>
              <w:rPr>
                <w:rFonts w:ascii="Times New Roman" w:hAnsi="Times New Roman" w:cs="Times New Roman" w:eastAsia="Times New Roman" w:hint="default"/>
                <w:sz w:val="20"/>
                <w:szCs w:val="20"/>
              </w:rPr>
            </w:pPr>
            <w:r>
              <w:rPr>
                <w:rFonts w:ascii="Times New Roman"/>
                <w:w w:val="95"/>
                <w:sz w:val="20"/>
              </w:rPr>
              <w:t>750,000,000.00</w:t>
            </w:r>
            <w:r>
              <w:rPr>
                <w:rFonts w:ascii="Times New Roman"/>
                <w:sz w:val="20"/>
              </w:rPr>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45"/>
              <w:jc w:val="right"/>
              <w:rPr>
                <w:rFonts w:ascii="Times New Roman" w:hAnsi="Times New Roman" w:cs="Times New Roman" w:eastAsia="Times New Roman" w:hint="default"/>
                <w:sz w:val="20"/>
                <w:szCs w:val="20"/>
              </w:rPr>
            </w:pPr>
            <w:r>
              <w:rPr>
                <w:rFonts w:ascii="Times New Roman"/>
                <w:w w:val="95"/>
                <w:sz w:val="20"/>
              </w:rPr>
              <w:t>250,000,000.00</w:t>
            </w:r>
            <w:r>
              <w:rPr>
                <w:rFonts w:ascii="Times New Roman"/>
                <w:sz w:val="20"/>
              </w:rPr>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66"/>
              <w:jc w:val="right"/>
              <w:rPr>
                <w:rFonts w:ascii="Times New Roman" w:hAnsi="Times New Roman" w:cs="Times New Roman" w:eastAsia="Times New Roman" w:hint="default"/>
                <w:sz w:val="20"/>
                <w:szCs w:val="20"/>
              </w:rPr>
            </w:pPr>
            <w:r>
              <w:rPr>
                <w:rFonts w:ascii="Times New Roman"/>
                <w:w w:val="95"/>
                <w:sz w:val="20"/>
              </w:rPr>
              <w:t>500,000,000.00</w:t>
            </w:r>
            <w:r>
              <w:rPr>
                <w:rFonts w:ascii="Times New Roman"/>
                <w:sz w:val="20"/>
              </w:rPr>
            </w:r>
          </w:p>
        </w:tc>
        <w:tc>
          <w:tcPr>
            <w:tcW w:w="86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9"/>
              <w:jc w:val="right"/>
              <w:rPr>
                <w:rFonts w:ascii="Times New Roman" w:hAnsi="Times New Roman" w:cs="Times New Roman" w:eastAsia="Times New Roman" w:hint="default"/>
                <w:sz w:val="20"/>
                <w:szCs w:val="20"/>
              </w:rPr>
            </w:pPr>
            <w:r>
              <w:rPr>
                <w:rFonts w:ascii="Times New Roman"/>
                <w:w w:val="95"/>
                <w:sz w:val="20"/>
              </w:rPr>
              <w:t>200.00%</w:t>
            </w:r>
            <w:r>
              <w:rPr>
                <w:rFonts w:ascii="Times New Roman"/>
                <w:sz w:val="20"/>
              </w:rPr>
            </w:r>
          </w:p>
        </w:tc>
        <w:tc>
          <w:tcPr>
            <w:tcW w:w="1953"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8" w:right="0"/>
              <w:jc w:val="left"/>
              <w:rPr>
                <w:rFonts w:ascii="宋体" w:hAnsi="宋体" w:cs="宋体" w:eastAsia="宋体" w:hint="default"/>
                <w:sz w:val="20"/>
                <w:szCs w:val="20"/>
              </w:rPr>
            </w:pPr>
            <w:r>
              <w:rPr>
                <w:rFonts w:ascii="宋体" w:hAnsi="宋体" w:cs="宋体" w:eastAsia="宋体" w:hint="default"/>
                <w:sz w:val="20"/>
                <w:szCs w:val="20"/>
              </w:rPr>
              <w:t>本期增加借款</w:t>
            </w:r>
          </w:p>
        </w:tc>
        <w:tc>
          <w:tcPr>
            <w:tcW w:w="400" w:type="dxa"/>
            <w:tcBorders>
              <w:top w:val="nil" w:sz="6" w:space="0" w:color="auto"/>
              <w:left w:val="nil" w:sz="6" w:space="0" w:color="auto"/>
              <w:bottom w:val="nil" w:sz="6" w:space="0" w:color="auto"/>
              <w:right w:val="nil" w:sz="6" w:space="0" w:color="auto"/>
            </w:tcBorders>
          </w:tcPr>
          <w:p>
            <w:pPr/>
          </w:p>
        </w:tc>
      </w:tr>
      <w:tr>
        <w:trPr>
          <w:trHeight w:val="655" w:hRule="exact"/>
        </w:trPr>
        <w:tc>
          <w:tcPr>
            <w:tcW w:w="1964"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204"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687" w:type="dxa"/>
            <w:tcBorders>
              <w:top w:val="single" w:sz="8" w:space="0" w:color="000000"/>
              <w:left w:val="nil" w:sz="6" w:space="0" w:color="auto"/>
              <w:bottom w:val="single" w:sz="8" w:space="0" w:color="000000"/>
              <w:right w:val="nil" w:sz="6" w:space="0" w:color="auto"/>
            </w:tcBorders>
          </w:tcPr>
          <w:p>
            <w:pP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47"/>
              <w:jc w:val="right"/>
              <w:rPr>
                <w:rFonts w:ascii="Times New Roman" w:hAnsi="Times New Roman" w:cs="Times New Roman" w:eastAsia="Times New Roman" w:hint="default"/>
                <w:sz w:val="20"/>
                <w:szCs w:val="20"/>
              </w:rPr>
            </w:pPr>
            <w:r>
              <w:rPr>
                <w:rFonts w:ascii="Times New Roman"/>
                <w:w w:val="95"/>
                <w:sz w:val="20"/>
              </w:rPr>
              <w:t>20,061,500.00</w:t>
            </w:r>
            <w:r>
              <w:rPr>
                <w:rFonts w:ascii="Times New Roman"/>
                <w:sz w:val="20"/>
              </w:rPr>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65"/>
              <w:jc w:val="right"/>
              <w:rPr>
                <w:rFonts w:ascii="Times New Roman" w:hAnsi="Times New Roman" w:cs="Times New Roman" w:eastAsia="Times New Roman" w:hint="default"/>
                <w:sz w:val="20"/>
                <w:szCs w:val="20"/>
              </w:rPr>
            </w:pPr>
            <w:r>
              <w:rPr>
                <w:rFonts w:ascii="Times New Roman"/>
                <w:w w:val="95"/>
                <w:sz w:val="20"/>
              </w:rPr>
              <w:t>-20,061,500.00</w:t>
            </w:r>
            <w:r>
              <w:rPr>
                <w:rFonts w:ascii="Times New Roman"/>
                <w:sz w:val="20"/>
              </w:rPr>
            </w:r>
          </w:p>
        </w:tc>
        <w:tc>
          <w:tcPr>
            <w:tcW w:w="860"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6"/>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953" w:type="dxa"/>
            <w:tcBorders>
              <w:top w:val="single" w:sz="8" w:space="0" w:color="000000"/>
              <w:left w:val="nil" w:sz="6" w:space="0" w:color="auto"/>
              <w:bottom w:val="single" w:sz="8" w:space="0" w:color="000000"/>
              <w:right w:val="nil" w:sz="6" w:space="0" w:color="auto"/>
            </w:tcBorders>
          </w:tcPr>
          <w:p>
            <w:pPr>
              <w:pStyle w:val="TableParagraph"/>
              <w:spacing w:line="285" w:lineRule="auto"/>
              <w:ind w:left="8" w:right="145"/>
              <w:jc w:val="left"/>
              <w:rPr>
                <w:rFonts w:ascii="宋体" w:hAnsi="宋体" w:cs="宋体" w:eastAsia="宋体" w:hint="default"/>
                <w:sz w:val="20"/>
                <w:szCs w:val="20"/>
              </w:rPr>
            </w:pPr>
            <w:r>
              <w:rPr>
                <w:rFonts w:ascii="宋体" w:hAnsi="宋体" w:cs="宋体" w:eastAsia="宋体" w:hint="default"/>
                <w:w w:val="95"/>
                <w:sz w:val="20"/>
                <w:szCs w:val="20"/>
              </w:rPr>
              <w:t>上期办理的承兑汇票</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z w:val="20"/>
                <w:szCs w:val="20"/>
              </w:rPr>
              <w:t>本期全部到期</w:t>
            </w:r>
          </w:p>
        </w:tc>
        <w:tc>
          <w:tcPr>
            <w:tcW w:w="400" w:type="dxa"/>
            <w:tcBorders>
              <w:top w:val="nil" w:sz="6" w:space="0" w:color="auto"/>
              <w:left w:val="nil" w:sz="6" w:space="0" w:color="auto"/>
              <w:bottom w:val="nil" w:sz="6" w:space="0" w:color="auto"/>
              <w:right w:val="nil" w:sz="6" w:space="0" w:color="auto"/>
            </w:tcBorders>
          </w:tcPr>
          <w:p>
            <w:pPr/>
          </w:p>
        </w:tc>
      </w:tr>
      <w:tr>
        <w:trPr>
          <w:trHeight w:val="341" w:hRule="exact"/>
        </w:trPr>
        <w:tc>
          <w:tcPr>
            <w:tcW w:w="1964"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20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687"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52"/>
              <w:jc w:val="right"/>
              <w:rPr>
                <w:rFonts w:ascii="Times New Roman" w:hAnsi="Times New Roman" w:cs="Times New Roman" w:eastAsia="Times New Roman" w:hint="default"/>
                <w:sz w:val="20"/>
                <w:szCs w:val="20"/>
              </w:rPr>
            </w:pPr>
            <w:r>
              <w:rPr>
                <w:rFonts w:ascii="Times New Roman"/>
                <w:w w:val="95"/>
                <w:sz w:val="20"/>
              </w:rPr>
              <w:t>197,594,747.50</w:t>
            </w:r>
            <w:r>
              <w:rPr>
                <w:rFonts w:ascii="Times New Roman"/>
                <w:sz w:val="20"/>
              </w:rPr>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45"/>
              <w:jc w:val="right"/>
              <w:rPr>
                <w:rFonts w:ascii="Times New Roman" w:hAnsi="Times New Roman" w:cs="Times New Roman" w:eastAsia="Times New Roman" w:hint="default"/>
                <w:sz w:val="20"/>
                <w:szCs w:val="20"/>
              </w:rPr>
            </w:pPr>
            <w:r>
              <w:rPr>
                <w:rFonts w:ascii="Times New Roman"/>
                <w:w w:val="95"/>
                <w:sz w:val="20"/>
              </w:rPr>
              <w:t>135,803,890.52</w:t>
            </w:r>
            <w:r>
              <w:rPr>
                <w:rFonts w:ascii="Times New Roman"/>
                <w:sz w:val="20"/>
              </w:rPr>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66"/>
              <w:jc w:val="right"/>
              <w:rPr>
                <w:rFonts w:ascii="Times New Roman" w:hAnsi="Times New Roman" w:cs="Times New Roman" w:eastAsia="Times New Roman" w:hint="default"/>
                <w:sz w:val="20"/>
                <w:szCs w:val="20"/>
              </w:rPr>
            </w:pPr>
            <w:r>
              <w:rPr>
                <w:rFonts w:ascii="Times New Roman"/>
                <w:w w:val="95"/>
                <w:sz w:val="20"/>
              </w:rPr>
              <w:t>61,790,856.98</w:t>
            </w:r>
            <w:r>
              <w:rPr>
                <w:rFonts w:ascii="Times New Roman"/>
                <w:sz w:val="20"/>
              </w:rPr>
            </w:r>
          </w:p>
        </w:tc>
        <w:tc>
          <w:tcPr>
            <w:tcW w:w="86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20"/>
                <w:szCs w:val="20"/>
              </w:rPr>
            </w:pPr>
            <w:r>
              <w:rPr>
                <w:rFonts w:ascii="Times New Roman"/>
                <w:sz w:val="20"/>
              </w:rPr>
              <w:t>45.50%</w:t>
            </w:r>
          </w:p>
        </w:tc>
        <w:tc>
          <w:tcPr>
            <w:tcW w:w="1953"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8" w:right="0"/>
              <w:jc w:val="left"/>
              <w:rPr>
                <w:rFonts w:ascii="宋体" w:hAnsi="宋体" w:cs="宋体" w:eastAsia="宋体" w:hint="default"/>
                <w:sz w:val="20"/>
                <w:szCs w:val="20"/>
              </w:rPr>
            </w:pPr>
            <w:r>
              <w:rPr>
                <w:rFonts w:ascii="宋体" w:hAnsi="宋体" w:cs="宋体" w:eastAsia="宋体" w:hint="default"/>
                <w:sz w:val="20"/>
                <w:szCs w:val="20"/>
              </w:rPr>
              <w:t>本期业务增加所致</w:t>
            </w:r>
          </w:p>
        </w:tc>
        <w:tc>
          <w:tcPr>
            <w:tcW w:w="400" w:type="dxa"/>
            <w:tcBorders>
              <w:top w:val="nil" w:sz="6" w:space="0" w:color="auto"/>
              <w:left w:val="nil" w:sz="6" w:space="0" w:color="auto"/>
              <w:bottom w:val="nil" w:sz="6" w:space="0" w:color="auto"/>
              <w:right w:val="nil" w:sz="6" w:space="0" w:color="auto"/>
            </w:tcBorders>
          </w:tcPr>
          <w:p>
            <w:pPr/>
          </w:p>
        </w:tc>
      </w:tr>
      <w:tr>
        <w:trPr>
          <w:trHeight w:val="655" w:hRule="exact"/>
        </w:trPr>
        <w:tc>
          <w:tcPr>
            <w:tcW w:w="1964"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204"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687"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52"/>
              <w:jc w:val="right"/>
              <w:rPr>
                <w:rFonts w:ascii="Times New Roman" w:hAnsi="Times New Roman" w:cs="Times New Roman" w:eastAsia="Times New Roman" w:hint="default"/>
                <w:sz w:val="20"/>
                <w:szCs w:val="20"/>
              </w:rPr>
            </w:pPr>
            <w:r>
              <w:rPr>
                <w:rFonts w:ascii="Times New Roman"/>
                <w:w w:val="95"/>
                <w:sz w:val="20"/>
              </w:rPr>
              <w:t>-12,051,626.62</w:t>
            </w:r>
            <w:r>
              <w:rPr>
                <w:rFonts w:ascii="Times New Roman"/>
                <w:sz w:val="20"/>
              </w:rPr>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45"/>
              <w:jc w:val="right"/>
              <w:rPr>
                <w:rFonts w:ascii="Times New Roman" w:hAnsi="Times New Roman" w:cs="Times New Roman" w:eastAsia="Times New Roman" w:hint="default"/>
                <w:sz w:val="20"/>
                <w:szCs w:val="20"/>
              </w:rPr>
            </w:pPr>
            <w:r>
              <w:rPr>
                <w:rFonts w:ascii="Times New Roman"/>
                <w:w w:val="95"/>
                <w:sz w:val="20"/>
              </w:rPr>
              <w:t>-20,674,728.20</w:t>
            </w:r>
            <w:r>
              <w:rPr>
                <w:rFonts w:ascii="Times New Roman"/>
                <w:sz w:val="20"/>
              </w:rPr>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65"/>
              <w:jc w:val="right"/>
              <w:rPr>
                <w:rFonts w:ascii="Times New Roman" w:hAnsi="Times New Roman" w:cs="Times New Roman" w:eastAsia="Times New Roman" w:hint="default"/>
                <w:sz w:val="20"/>
                <w:szCs w:val="20"/>
              </w:rPr>
            </w:pPr>
            <w:r>
              <w:rPr>
                <w:rFonts w:ascii="Times New Roman"/>
                <w:w w:val="95"/>
                <w:sz w:val="20"/>
              </w:rPr>
              <w:t>8,623,101.58</w:t>
            </w:r>
            <w:r>
              <w:rPr>
                <w:rFonts w:ascii="Times New Roman"/>
                <w:sz w:val="20"/>
              </w:rPr>
            </w:r>
          </w:p>
        </w:tc>
        <w:tc>
          <w:tcPr>
            <w:tcW w:w="860"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6"/>
              <w:jc w:val="right"/>
              <w:rPr>
                <w:rFonts w:ascii="Times New Roman" w:hAnsi="Times New Roman" w:cs="Times New Roman" w:eastAsia="Times New Roman" w:hint="default"/>
                <w:sz w:val="20"/>
                <w:szCs w:val="20"/>
              </w:rPr>
            </w:pPr>
            <w:r>
              <w:rPr>
                <w:rFonts w:ascii="Times New Roman"/>
                <w:sz w:val="20"/>
              </w:rPr>
              <w:t>41.71%</w:t>
            </w:r>
          </w:p>
        </w:tc>
        <w:tc>
          <w:tcPr>
            <w:tcW w:w="1953" w:type="dxa"/>
            <w:tcBorders>
              <w:top w:val="single" w:sz="8" w:space="0" w:color="000000"/>
              <w:left w:val="nil" w:sz="6" w:space="0" w:color="auto"/>
              <w:bottom w:val="single" w:sz="8" w:space="0" w:color="000000"/>
              <w:right w:val="nil" w:sz="6" w:space="0" w:color="auto"/>
            </w:tcBorders>
          </w:tcPr>
          <w:p>
            <w:pPr>
              <w:pStyle w:val="TableParagraph"/>
              <w:spacing w:line="285" w:lineRule="auto"/>
              <w:ind w:left="8" w:right="145"/>
              <w:jc w:val="left"/>
              <w:rPr>
                <w:rFonts w:ascii="宋体" w:hAnsi="宋体" w:cs="宋体" w:eastAsia="宋体" w:hint="default"/>
                <w:sz w:val="20"/>
                <w:szCs w:val="20"/>
              </w:rPr>
            </w:pPr>
            <w:r>
              <w:rPr>
                <w:rFonts w:ascii="宋体" w:hAnsi="宋体" w:cs="宋体" w:eastAsia="宋体" w:hint="default"/>
                <w:w w:val="95"/>
                <w:sz w:val="20"/>
                <w:szCs w:val="20"/>
              </w:rPr>
              <w:t>本期应交税款增加所</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z w:val="20"/>
                <w:szCs w:val="20"/>
              </w:rPr>
              <w:t>致</w:t>
            </w:r>
          </w:p>
        </w:tc>
        <w:tc>
          <w:tcPr>
            <w:tcW w:w="400" w:type="dxa"/>
            <w:tcBorders>
              <w:top w:val="nil" w:sz="6" w:space="0" w:color="auto"/>
              <w:left w:val="nil" w:sz="6" w:space="0" w:color="auto"/>
              <w:bottom w:val="nil" w:sz="6" w:space="0" w:color="auto"/>
              <w:right w:val="nil" w:sz="6" w:space="0" w:color="auto"/>
            </w:tcBorders>
          </w:tcPr>
          <w:p>
            <w:pPr/>
          </w:p>
        </w:tc>
      </w:tr>
      <w:tr>
        <w:trPr>
          <w:trHeight w:val="653" w:hRule="exact"/>
        </w:trPr>
        <w:tc>
          <w:tcPr>
            <w:tcW w:w="1964"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20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687"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52"/>
              <w:jc w:val="right"/>
              <w:rPr>
                <w:rFonts w:ascii="Times New Roman" w:hAnsi="Times New Roman" w:cs="Times New Roman" w:eastAsia="Times New Roman" w:hint="default"/>
                <w:sz w:val="20"/>
                <w:szCs w:val="20"/>
              </w:rPr>
            </w:pPr>
            <w:r>
              <w:rPr>
                <w:rFonts w:ascii="Times New Roman"/>
                <w:w w:val="95"/>
                <w:sz w:val="20"/>
              </w:rPr>
              <w:t>180,158,294.76</w:t>
            </w:r>
            <w:r>
              <w:rPr>
                <w:rFonts w:ascii="Times New Roman"/>
                <w:sz w:val="20"/>
              </w:rPr>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45"/>
              <w:jc w:val="right"/>
              <w:rPr>
                <w:rFonts w:ascii="Times New Roman" w:hAnsi="Times New Roman" w:cs="Times New Roman" w:eastAsia="Times New Roman" w:hint="default"/>
                <w:sz w:val="20"/>
                <w:szCs w:val="20"/>
              </w:rPr>
            </w:pPr>
            <w:r>
              <w:rPr>
                <w:rFonts w:ascii="Times New Roman"/>
                <w:w w:val="95"/>
                <w:sz w:val="20"/>
              </w:rPr>
              <w:t>473,572,175.15</w:t>
            </w:r>
            <w:r>
              <w:rPr>
                <w:rFonts w:ascii="Times New Roman"/>
                <w:sz w:val="20"/>
              </w:rPr>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66"/>
              <w:jc w:val="right"/>
              <w:rPr>
                <w:rFonts w:ascii="Times New Roman" w:hAnsi="Times New Roman" w:cs="Times New Roman" w:eastAsia="Times New Roman" w:hint="default"/>
                <w:sz w:val="20"/>
                <w:szCs w:val="20"/>
              </w:rPr>
            </w:pPr>
            <w:r>
              <w:rPr>
                <w:rFonts w:ascii="Times New Roman"/>
                <w:w w:val="95"/>
                <w:sz w:val="20"/>
              </w:rPr>
              <w:t>-293,413,880.39</w:t>
            </w:r>
            <w:r>
              <w:rPr>
                <w:rFonts w:ascii="Times New Roman"/>
                <w:sz w:val="20"/>
              </w:rPr>
            </w:r>
          </w:p>
        </w:tc>
        <w:tc>
          <w:tcPr>
            <w:tcW w:w="86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9"/>
              <w:jc w:val="right"/>
              <w:rPr>
                <w:rFonts w:ascii="Times New Roman" w:hAnsi="Times New Roman" w:cs="Times New Roman" w:eastAsia="Times New Roman" w:hint="default"/>
                <w:sz w:val="20"/>
                <w:szCs w:val="20"/>
              </w:rPr>
            </w:pPr>
            <w:r>
              <w:rPr>
                <w:rFonts w:ascii="Times New Roman"/>
                <w:w w:val="95"/>
                <w:sz w:val="20"/>
              </w:rPr>
              <w:t>-61.96%</w:t>
            </w:r>
            <w:r>
              <w:rPr>
                <w:rFonts w:ascii="Times New Roman"/>
                <w:sz w:val="20"/>
              </w:rPr>
            </w:r>
          </w:p>
        </w:tc>
        <w:tc>
          <w:tcPr>
            <w:tcW w:w="1953" w:type="dxa"/>
            <w:tcBorders>
              <w:top w:val="single" w:sz="8" w:space="0" w:color="000000"/>
              <w:left w:val="nil" w:sz="6" w:space="0" w:color="auto"/>
              <w:bottom w:val="single" w:sz="8" w:space="0" w:color="000000"/>
              <w:right w:val="nil" w:sz="6" w:space="0" w:color="auto"/>
            </w:tcBorders>
          </w:tcPr>
          <w:p>
            <w:pPr>
              <w:pStyle w:val="TableParagraph"/>
              <w:spacing w:line="285" w:lineRule="auto"/>
              <w:ind w:left="8" w:right="145"/>
              <w:jc w:val="left"/>
              <w:rPr>
                <w:rFonts w:ascii="宋体" w:hAnsi="宋体" w:cs="宋体" w:eastAsia="宋体" w:hint="default"/>
                <w:sz w:val="20"/>
                <w:szCs w:val="20"/>
              </w:rPr>
            </w:pPr>
            <w:r>
              <w:rPr>
                <w:rFonts w:ascii="宋体" w:hAnsi="宋体" w:cs="宋体" w:eastAsia="宋体" w:hint="default"/>
                <w:w w:val="95"/>
                <w:sz w:val="20"/>
                <w:szCs w:val="20"/>
              </w:rPr>
              <w:t>本期归还上年向关联</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z w:val="20"/>
                <w:szCs w:val="20"/>
              </w:rPr>
              <w:t>方借款</w:t>
            </w:r>
          </w:p>
        </w:tc>
        <w:tc>
          <w:tcPr>
            <w:tcW w:w="400" w:type="dxa"/>
            <w:tcBorders>
              <w:top w:val="nil" w:sz="6" w:space="0" w:color="auto"/>
              <w:left w:val="nil" w:sz="6" w:space="0" w:color="auto"/>
              <w:bottom w:val="nil" w:sz="6" w:space="0" w:color="auto"/>
              <w:right w:val="nil" w:sz="6" w:space="0" w:color="auto"/>
            </w:tcBorders>
          </w:tcPr>
          <w:p>
            <w:pPr/>
          </w:p>
        </w:tc>
      </w:tr>
      <w:tr>
        <w:trPr>
          <w:trHeight w:val="655" w:hRule="exact"/>
        </w:trPr>
        <w:tc>
          <w:tcPr>
            <w:tcW w:w="1964"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204"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687" w:type="dxa"/>
            <w:tcBorders>
              <w:top w:val="single" w:sz="8" w:space="0" w:color="000000"/>
              <w:left w:val="nil" w:sz="6" w:space="0" w:color="auto"/>
              <w:bottom w:val="single" w:sz="8" w:space="0" w:color="000000"/>
              <w:right w:val="nil" w:sz="6" w:space="0" w:color="auto"/>
            </w:tcBorders>
          </w:tcPr>
          <w:p>
            <w:pP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45"/>
              <w:jc w:val="right"/>
              <w:rPr>
                <w:rFonts w:ascii="Times New Roman" w:hAnsi="Times New Roman" w:cs="Times New Roman" w:eastAsia="Times New Roman" w:hint="default"/>
                <w:sz w:val="20"/>
                <w:szCs w:val="20"/>
              </w:rPr>
            </w:pPr>
            <w:r>
              <w:rPr>
                <w:rFonts w:ascii="Times New Roman"/>
                <w:w w:val="95"/>
                <w:sz w:val="20"/>
              </w:rPr>
              <w:t>155,300,819.68</w:t>
            </w:r>
            <w:r>
              <w:rPr>
                <w:rFonts w:ascii="Times New Roman"/>
                <w:sz w:val="20"/>
              </w:rPr>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66"/>
              <w:jc w:val="right"/>
              <w:rPr>
                <w:rFonts w:ascii="Times New Roman" w:hAnsi="Times New Roman" w:cs="Times New Roman" w:eastAsia="Times New Roman" w:hint="default"/>
                <w:sz w:val="20"/>
                <w:szCs w:val="20"/>
              </w:rPr>
            </w:pPr>
            <w:r>
              <w:rPr>
                <w:rFonts w:ascii="Times New Roman"/>
                <w:w w:val="95"/>
                <w:sz w:val="20"/>
              </w:rPr>
              <w:t>-155,300,819.68</w:t>
            </w:r>
            <w:r>
              <w:rPr>
                <w:rFonts w:ascii="Times New Roman"/>
                <w:sz w:val="20"/>
              </w:rPr>
            </w:r>
          </w:p>
        </w:tc>
        <w:tc>
          <w:tcPr>
            <w:tcW w:w="860"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6"/>
              <w:jc w:val="right"/>
              <w:rPr>
                <w:rFonts w:ascii="Times New Roman" w:hAnsi="Times New Roman" w:cs="Times New Roman" w:eastAsia="Times New Roman" w:hint="default"/>
                <w:sz w:val="20"/>
                <w:szCs w:val="20"/>
              </w:rPr>
            </w:pPr>
            <w:r>
              <w:rPr>
                <w:rFonts w:ascii="Times New Roman"/>
                <w:w w:val="95"/>
                <w:sz w:val="20"/>
              </w:rPr>
              <w:t>-100.00%</w:t>
            </w:r>
            <w:r>
              <w:rPr>
                <w:rFonts w:ascii="Times New Roman"/>
                <w:sz w:val="20"/>
              </w:rPr>
            </w:r>
          </w:p>
        </w:tc>
        <w:tc>
          <w:tcPr>
            <w:tcW w:w="1953" w:type="dxa"/>
            <w:tcBorders>
              <w:top w:val="single" w:sz="8" w:space="0" w:color="000000"/>
              <w:left w:val="nil" w:sz="6" w:space="0" w:color="auto"/>
              <w:bottom w:val="single" w:sz="8" w:space="0" w:color="000000"/>
              <w:right w:val="nil" w:sz="6" w:space="0" w:color="auto"/>
            </w:tcBorders>
          </w:tcPr>
          <w:p>
            <w:pPr>
              <w:pStyle w:val="TableParagraph"/>
              <w:spacing w:line="285" w:lineRule="auto"/>
              <w:ind w:left="8" w:right="145"/>
              <w:jc w:val="left"/>
              <w:rPr>
                <w:rFonts w:ascii="宋体" w:hAnsi="宋体" w:cs="宋体" w:eastAsia="宋体" w:hint="default"/>
                <w:sz w:val="20"/>
                <w:szCs w:val="20"/>
              </w:rPr>
            </w:pPr>
            <w:r>
              <w:rPr>
                <w:rFonts w:ascii="宋体" w:hAnsi="宋体" w:cs="宋体" w:eastAsia="宋体" w:hint="default"/>
                <w:w w:val="95"/>
                <w:sz w:val="20"/>
                <w:szCs w:val="20"/>
              </w:rPr>
              <w:t>本期偿还发行短期融</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z w:val="20"/>
                <w:szCs w:val="20"/>
              </w:rPr>
              <w:t>资券</w:t>
            </w:r>
          </w:p>
        </w:tc>
        <w:tc>
          <w:tcPr>
            <w:tcW w:w="400" w:type="dxa"/>
            <w:tcBorders>
              <w:top w:val="nil" w:sz="6" w:space="0" w:color="auto"/>
              <w:left w:val="nil" w:sz="6" w:space="0" w:color="auto"/>
              <w:bottom w:val="nil" w:sz="6" w:space="0" w:color="auto"/>
              <w:right w:val="nil" w:sz="6" w:space="0" w:color="auto"/>
            </w:tcBorders>
          </w:tcPr>
          <w:p>
            <w:pPr/>
          </w:p>
        </w:tc>
      </w:tr>
      <w:tr>
        <w:trPr>
          <w:trHeight w:val="341" w:hRule="exact"/>
        </w:trPr>
        <w:tc>
          <w:tcPr>
            <w:tcW w:w="1964"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204"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1687"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51"/>
              <w:jc w:val="right"/>
              <w:rPr>
                <w:rFonts w:ascii="Times New Roman" w:hAnsi="Times New Roman" w:cs="Times New Roman" w:eastAsia="Times New Roman" w:hint="default"/>
                <w:sz w:val="20"/>
                <w:szCs w:val="20"/>
              </w:rPr>
            </w:pPr>
            <w:r>
              <w:rPr>
                <w:rFonts w:ascii="Times New Roman"/>
                <w:w w:val="95"/>
                <w:sz w:val="20"/>
              </w:rPr>
              <w:t>23,900,000.00</w:t>
            </w:r>
            <w:r>
              <w:rPr>
                <w:rFonts w:ascii="Times New Roman"/>
                <w:sz w:val="20"/>
              </w:rPr>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47"/>
              <w:jc w:val="right"/>
              <w:rPr>
                <w:rFonts w:ascii="Times New Roman" w:hAnsi="Times New Roman" w:cs="Times New Roman" w:eastAsia="Times New Roman" w:hint="default"/>
                <w:sz w:val="20"/>
                <w:szCs w:val="20"/>
              </w:rPr>
            </w:pPr>
            <w:r>
              <w:rPr>
                <w:rFonts w:ascii="Times New Roman"/>
                <w:w w:val="95"/>
                <w:sz w:val="20"/>
              </w:rPr>
              <w:t>10,700,000.00</w:t>
            </w:r>
            <w:r>
              <w:rPr>
                <w:rFonts w:ascii="Times New Roman"/>
                <w:sz w:val="20"/>
              </w:rPr>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67"/>
              <w:jc w:val="right"/>
              <w:rPr>
                <w:rFonts w:ascii="Times New Roman" w:hAnsi="Times New Roman" w:cs="Times New Roman" w:eastAsia="Times New Roman" w:hint="default"/>
                <w:sz w:val="20"/>
                <w:szCs w:val="20"/>
              </w:rPr>
            </w:pPr>
            <w:r>
              <w:rPr>
                <w:rFonts w:ascii="Times New Roman"/>
                <w:w w:val="95"/>
                <w:sz w:val="20"/>
              </w:rPr>
              <w:t>13,200,000.00</w:t>
            </w:r>
            <w:r>
              <w:rPr>
                <w:rFonts w:ascii="Times New Roman"/>
                <w:sz w:val="20"/>
              </w:rPr>
            </w:r>
          </w:p>
        </w:tc>
        <w:tc>
          <w:tcPr>
            <w:tcW w:w="86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9"/>
              <w:jc w:val="right"/>
              <w:rPr>
                <w:rFonts w:ascii="Times New Roman" w:hAnsi="Times New Roman" w:cs="Times New Roman" w:eastAsia="Times New Roman" w:hint="default"/>
                <w:sz w:val="20"/>
                <w:szCs w:val="20"/>
              </w:rPr>
            </w:pPr>
            <w:r>
              <w:rPr>
                <w:rFonts w:ascii="Times New Roman"/>
                <w:w w:val="95"/>
                <w:sz w:val="20"/>
              </w:rPr>
              <w:t>123.36%</w:t>
            </w:r>
            <w:r>
              <w:rPr>
                <w:rFonts w:ascii="Times New Roman"/>
                <w:sz w:val="20"/>
              </w:rPr>
            </w:r>
          </w:p>
        </w:tc>
        <w:tc>
          <w:tcPr>
            <w:tcW w:w="1953"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8" w:right="0"/>
              <w:jc w:val="left"/>
              <w:rPr>
                <w:rFonts w:ascii="宋体" w:hAnsi="宋体" w:cs="宋体" w:eastAsia="宋体" w:hint="default"/>
                <w:sz w:val="20"/>
                <w:szCs w:val="20"/>
              </w:rPr>
            </w:pPr>
            <w:r>
              <w:rPr>
                <w:rFonts w:ascii="宋体" w:hAnsi="宋体" w:cs="宋体" w:eastAsia="宋体" w:hint="default"/>
                <w:sz w:val="20"/>
                <w:szCs w:val="20"/>
              </w:rPr>
              <w:t>本期收到国家拨款</w:t>
            </w:r>
          </w:p>
        </w:tc>
        <w:tc>
          <w:tcPr>
            <w:tcW w:w="400" w:type="dxa"/>
            <w:tcBorders>
              <w:top w:val="nil" w:sz="6" w:space="0" w:color="auto"/>
              <w:left w:val="nil" w:sz="6" w:space="0" w:color="auto"/>
              <w:bottom w:val="nil" w:sz="6" w:space="0" w:color="auto"/>
              <w:right w:val="nil" w:sz="6" w:space="0" w:color="auto"/>
            </w:tcBorders>
          </w:tcPr>
          <w:p>
            <w:pPr/>
          </w:p>
        </w:tc>
      </w:tr>
      <w:tr>
        <w:trPr>
          <w:trHeight w:val="655" w:hRule="exact"/>
        </w:trPr>
        <w:tc>
          <w:tcPr>
            <w:tcW w:w="1964" w:type="dxa"/>
            <w:tcBorders>
              <w:top w:val="single" w:sz="8" w:space="0" w:color="000000"/>
              <w:left w:val="nil" w:sz="6" w:space="0" w:color="auto"/>
              <w:bottom w:val="single" w:sz="8" w:space="0" w:color="000000"/>
              <w:right w:val="nil" w:sz="6" w:space="0" w:color="auto"/>
            </w:tcBorders>
          </w:tcPr>
          <w:p>
            <w:pPr>
              <w:pStyle w:val="TableParagraph"/>
              <w:spacing w:line="271" w:lineRule="exact"/>
              <w:ind w:left="20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实收资本</w:t>
            </w:r>
            <w:r>
              <w:rPr>
                <w:rFonts w:ascii="Times New Roman" w:hAnsi="Times New Roman" w:cs="Times New Roman" w:eastAsia="Times New Roman" w:hint="default"/>
                <w:sz w:val="20"/>
                <w:szCs w:val="20"/>
              </w:rPr>
              <w:t>(</w:t>
            </w:r>
            <w:r>
              <w:rPr>
                <w:rFonts w:ascii="宋体" w:hAnsi="宋体" w:cs="宋体" w:eastAsia="宋体" w:hint="default"/>
                <w:sz w:val="20"/>
                <w:szCs w:val="20"/>
              </w:rPr>
              <w:t>或股本</w:t>
            </w:r>
            <w:r>
              <w:rPr>
                <w:rFonts w:ascii="Times New Roman" w:hAnsi="Times New Roman" w:cs="Times New Roman" w:eastAsia="Times New Roman" w:hint="default"/>
                <w:sz w:val="20"/>
                <w:szCs w:val="20"/>
              </w:rPr>
              <w:t>)</w:t>
            </w:r>
          </w:p>
        </w:tc>
        <w:tc>
          <w:tcPr>
            <w:tcW w:w="1687"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52"/>
              <w:jc w:val="right"/>
              <w:rPr>
                <w:rFonts w:ascii="Times New Roman" w:hAnsi="Times New Roman" w:cs="Times New Roman" w:eastAsia="Times New Roman" w:hint="default"/>
                <w:sz w:val="20"/>
                <w:szCs w:val="20"/>
              </w:rPr>
            </w:pPr>
            <w:r>
              <w:rPr>
                <w:rFonts w:ascii="Times New Roman"/>
                <w:w w:val="95"/>
                <w:sz w:val="20"/>
              </w:rPr>
              <w:t>515,940,000.00</w:t>
            </w:r>
            <w:r>
              <w:rPr>
                <w:rFonts w:ascii="Times New Roman"/>
                <w:sz w:val="20"/>
              </w:rPr>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45"/>
              <w:jc w:val="right"/>
              <w:rPr>
                <w:rFonts w:ascii="Times New Roman" w:hAnsi="Times New Roman" w:cs="Times New Roman" w:eastAsia="Times New Roman" w:hint="default"/>
                <w:sz w:val="20"/>
                <w:szCs w:val="20"/>
              </w:rPr>
            </w:pPr>
            <w:r>
              <w:rPr>
                <w:rFonts w:ascii="Times New Roman"/>
                <w:w w:val="95"/>
                <w:sz w:val="20"/>
              </w:rPr>
              <w:t>332,900,000.00</w:t>
            </w:r>
            <w:r>
              <w:rPr>
                <w:rFonts w:ascii="Times New Roman"/>
                <w:sz w:val="20"/>
              </w:rPr>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66"/>
              <w:jc w:val="right"/>
              <w:rPr>
                <w:rFonts w:ascii="Times New Roman" w:hAnsi="Times New Roman" w:cs="Times New Roman" w:eastAsia="Times New Roman" w:hint="default"/>
                <w:sz w:val="20"/>
                <w:szCs w:val="20"/>
              </w:rPr>
            </w:pPr>
            <w:r>
              <w:rPr>
                <w:rFonts w:ascii="Times New Roman"/>
                <w:w w:val="95"/>
                <w:sz w:val="20"/>
              </w:rPr>
              <w:t>183,040,000.00</w:t>
            </w:r>
            <w:r>
              <w:rPr>
                <w:rFonts w:ascii="Times New Roman"/>
                <w:sz w:val="20"/>
              </w:rPr>
            </w:r>
          </w:p>
        </w:tc>
        <w:tc>
          <w:tcPr>
            <w:tcW w:w="860"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6"/>
              <w:jc w:val="right"/>
              <w:rPr>
                <w:rFonts w:ascii="Times New Roman" w:hAnsi="Times New Roman" w:cs="Times New Roman" w:eastAsia="Times New Roman" w:hint="default"/>
                <w:sz w:val="20"/>
                <w:szCs w:val="20"/>
              </w:rPr>
            </w:pPr>
            <w:r>
              <w:rPr>
                <w:rFonts w:ascii="Times New Roman"/>
                <w:sz w:val="20"/>
              </w:rPr>
              <w:t>54.98%</w:t>
            </w:r>
          </w:p>
        </w:tc>
        <w:tc>
          <w:tcPr>
            <w:tcW w:w="1953" w:type="dxa"/>
            <w:tcBorders>
              <w:top w:val="single" w:sz="8" w:space="0" w:color="000000"/>
              <w:left w:val="nil" w:sz="6" w:space="0" w:color="auto"/>
              <w:bottom w:val="single" w:sz="8" w:space="0" w:color="000000"/>
              <w:right w:val="nil" w:sz="6" w:space="0" w:color="auto"/>
            </w:tcBorders>
          </w:tcPr>
          <w:p>
            <w:pPr>
              <w:pStyle w:val="TableParagraph"/>
              <w:spacing w:line="285" w:lineRule="auto"/>
              <w:ind w:left="8" w:right="145"/>
              <w:jc w:val="left"/>
              <w:rPr>
                <w:rFonts w:ascii="宋体" w:hAnsi="宋体" w:cs="宋体" w:eastAsia="宋体" w:hint="default"/>
                <w:sz w:val="20"/>
                <w:szCs w:val="20"/>
              </w:rPr>
            </w:pPr>
            <w:r>
              <w:rPr>
                <w:rFonts w:ascii="宋体" w:hAnsi="宋体" w:cs="宋体" w:eastAsia="宋体" w:hint="default"/>
                <w:w w:val="95"/>
                <w:sz w:val="20"/>
                <w:szCs w:val="20"/>
              </w:rPr>
              <w:t>本期完成定向增发所</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z w:val="20"/>
                <w:szCs w:val="20"/>
              </w:rPr>
              <w:t>致</w:t>
            </w:r>
          </w:p>
        </w:tc>
        <w:tc>
          <w:tcPr>
            <w:tcW w:w="400" w:type="dxa"/>
            <w:tcBorders>
              <w:top w:val="nil" w:sz="6" w:space="0" w:color="auto"/>
              <w:left w:val="nil" w:sz="6" w:space="0" w:color="auto"/>
              <w:bottom w:val="nil" w:sz="6" w:space="0" w:color="auto"/>
              <w:right w:val="nil" w:sz="6" w:space="0" w:color="auto"/>
            </w:tcBorders>
          </w:tcPr>
          <w:p>
            <w:pPr/>
          </w:p>
        </w:tc>
      </w:tr>
      <w:tr>
        <w:trPr>
          <w:trHeight w:val="653" w:hRule="exact"/>
        </w:trPr>
        <w:tc>
          <w:tcPr>
            <w:tcW w:w="1964"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204"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687"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54"/>
              <w:jc w:val="right"/>
              <w:rPr>
                <w:rFonts w:ascii="Times New Roman" w:hAnsi="Times New Roman" w:cs="Times New Roman" w:eastAsia="Times New Roman" w:hint="default"/>
                <w:sz w:val="20"/>
                <w:szCs w:val="20"/>
              </w:rPr>
            </w:pPr>
            <w:r>
              <w:rPr>
                <w:rFonts w:ascii="Times New Roman"/>
                <w:spacing w:val="-1"/>
                <w:sz w:val="20"/>
              </w:rPr>
              <w:t>1,489,734,501.74</w:t>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45"/>
              <w:jc w:val="right"/>
              <w:rPr>
                <w:rFonts w:ascii="Times New Roman" w:hAnsi="Times New Roman" w:cs="Times New Roman" w:eastAsia="Times New Roman" w:hint="default"/>
                <w:sz w:val="20"/>
                <w:szCs w:val="20"/>
              </w:rPr>
            </w:pPr>
            <w:r>
              <w:rPr>
                <w:rFonts w:ascii="Times New Roman"/>
                <w:w w:val="95"/>
                <w:sz w:val="20"/>
              </w:rPr>
              <w:t>600,117,436.47</w:t>
            </w:r>
            <w:r>
              <w:rPr>
                <w:rFonts w:ascii="Times New Roman"/>
                <w:sz w:val="20"/>
              </w:rPr>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66"/>
              <w:jc w:val="right"/>
              <w:rPr>
                <w:rFonts w:ascii="Times New Roman" w:hAnsi="Times New Roman" w:cs="Times New Roman" w:eastAsia="Times New Roman" w:hint="default"/>
                <w:sz w:val="20"/>
                <w:szCs w:val="20"/>
              </w:rPr>
            </w:pPr>
            <w:r>
              <w:rPr>
                <w:rFonts w:ascii="Times New Roman"/>
                <w:w w:val="95"/>
                <w:sz w:val="20"/>
              </w:rPr>
              <w:t>889,617,065.27</w:t>
            </w:r>
            <w:r>
              <w:rPr>
                <w:rFonts w:ascii="Times New Roman"/>
                <w:sz w:val="20"/>
              </w:rPr>
            </w:r>
          </w:p>
        </w:tc>
        <w:tc>
          <w:tcPr>
            <w:tcW w:w="86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9"/>
              <w:jc w:val="right"/>
              <w:rPr>
                <w:rFonts w:ascii="Times New Roman" w:hAnsi="Times New Roman" w:cs="Times New Roman" w:eastAsia="Times New Roman" w:hint="default"/>
                <w:sz w:val="20"/>
                <w:szCs w:val="20"/>
              </w:rPr>
            </w:pPr>
            <w:r>
              <w:rPr>
                <w:rFonts w:ascii="Times New Roman"/>
                <w:w w:val="95"/>
                <w:sz w:val="20"/>
              </w:rPr>
              <w:t>148.24%</w:t>
            </w:r>
            <w:r>
              <w:rPr>
                <w:rFonts w:ascii="Times New Roman"/>
                <w:sz w:val="20"/>
              </w:rPr>
            </w:r>
          </w:p>
        </w:tc>
        <w:tc>
          <w:tcPr>
            <w:tcW w:w="1953" w:type="dxa"/>
            <w:tcBorders>
              <w:top w:val="single" w:sz="8" w:space="0" w:color="000000"/>
              <w:left w:val="nil" w:sz="6" w:space="0" w:color="auto"/>
              <w:bottom w:val="single" w:sz="8" w:space="0" w:color="000000"/>
              <w:right w:val="nil" w:sz="6" w:space="0" w:color="auto"/>
            </w:tcBorders>
          </w:tcPr>
          <w:p>
            <w:pPr>
              <w:pStyle w:val="TableParagraph"/>
              <w:spacing w:line="285" w:lineRule="auto"/>
              <w:ind w:left="8" w:right="145"/>
              <w:jc w:val="left"/>
              <w:rPr>
                <w:rFonts w:ascii="宋体" w:hAnsi="宋体" w:cs="宋体" w:eastAsia="宋体" w:hint="default"/>
                <w:sz w:val="20"/>
                <w:szCs w:val="20"/>
              </w:rPr>
            </w:pPr>
            <w:r>
              <w:rPr>
                <w:rFonts w:ascii="宋体" w:hAnsi="宋体" w:cs="宋体" w:eastAsia="宋体" w:hint="default"/>
                <w:w w:val="95"/>
                <w:sz w:val="20"/>
                <w:szCs w:val="20"/>
              </w:rPr>
              <w:t>本期完成定向增发所</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z w:val="20"/>
                <w:szCs w:val="20"/>
              </w:rPr>
              <w:t>致</w:t>
            </w:r>
          </w:p>
        </w:tc>
        <w:tc>
          <w:tcPr>
            <w:tcW w:w="400" w:type="dxa"/>
            <w:tcBorders>
              <w:top w:val="nil" w:sz="6" w:space="0" w:color="auto"/>
              <w:left w:val="nil" w:sz="6" w:space="0" w:color="auto"/>
              <w:bottom w:val="nil" w:sz="6" w:space="0" w:color="auto"/>
              <w:right w:val="nil" w:sz="6" w:space="0" w:color="auto"/>
            </w:tcBorders>
          </w:tcPr>
          <w:p>
            <w:pPr/>
          </w:p>
        </w:tc>
      </w:tr>
      <w:tr>
        <w:trPr>
          <w:trHeight w:val="655" w:hRule="exact"/>
        </w:trPr>
        <w:tc>
          <w:tcPr>
            <w:tcW w:w="1964"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20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687"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54"/>
              <w:jc w:val="right"/>
              <w:rPr>
                <w:rFonts w:ascii="Times New Roman" w:hAnsi="Times New Roman" w:cs="Times New Roman" w:eastAsia="Times New Roman" w:hint="default"/>
                <w:sz w:val="20"/>
                <w:szCs w:val="20"/>
              </w:rPr>
            </w:pPr>
            <w:r>
              <w:rPr>
                <w:rFonts w:ascii="Times New Roman"/>
                <w:w w:val="95"/>
                <w:sz w:val="20"/>
              </w:rPr>
              <w:t>99,510,284.99</w:t>
            </w:r>
            <w:r>
              <w:rPr>
                <w:rFonts w:ascii="Times New Roman"/>
                <w:sz w:val="20"/>
              </w:rPr>
            </w:r>
          </w:p>
        </w:tc>
        <w:tc>
          <w:tcPr>
            <w:tcW w:w="1350"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47"/>
              <w:jc w:val="right"/>
              <w:rPr>
                <w:rFonts w:ascii="Times New Roman" w:hAnsi="Times New Roman" w:cs="Times New Roman" w:eastAsia="Times New Roman" w:hint="default"/>
                <w:sz w:val="20"/>
                <w:szCs w:val="20"/>
              </w:rPr>
            </w:pPr>
            <w:r>
              <w:rPr>
                <w:rFonts w:ascii="Times New Roman"/>
                <w:w w:val="95"/>
                <w:sz w:val="20"/>
              </w:rPr>
              <w:t>74,504,571.35</w:t>
            </w:r>
            <w:r>
              <w:rPr>
                <w:rFonts w:ascii="Times New Roman"/>
                <w:sz w:val="20"/>
              </w:rPr>
            </w:r>
          </w:p>
        </w:tc>
        <w:tc>
          <w:tcPr>
            <w:tcW w:w="1432"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66"/>
              <w:jc w:val="right"/>
              <w:rPr>
                <w:rFonts w:ascii="Times New Roman" w:hAnsi="Times New Roman" w:cs="Times New Roman" w:eastAsia="Times New Roman" w:hint="default"/>
                <w:sz w:val="20"/>
                <w:szCs w:val="20"/>
              </w:rPr>
            </w:pPr>
            <w:r>
              <w:rPr>
                <w:rFonts w:ascii="Times New Roman"/>
                <w:w w:val="95"/>
                <w:sz w:val="20"/>
              </w:rPr>
              <w:t>25,005,713.64</w:t>
            </w:r>
            <w:r>
              <w:rPr>
                <w:rFonts w:ascii="Times New Roman"/>
                <w:sz w:val="20"/>
              </w:rPr>
            </w:r>
          </w:p>
        </w:tc>
        <w:tc>
          <w:tcPr>
            <w:tcW w:w="860"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6"/>
              <w:jc w:val="right"/>
              <w:rPr>
                <w:rFonts w:ascii="Times New Roman" w:hAnsi="Times New Roman" w:cs="Times New Roman" w:eastAsia="Times New Roman" w:hint="default"/>
                <w:sz w:val="20"/>
                <w:szCs w:val="20"/>
              </w:rPr>
            </w:pPr>
            <w:r>
              <w:rPr>
                <w:rFonts w:ascii="Times New Roman"/>
                <w:sz w:val="20"/>
              </w:rPr>
              <w:t>33.56%</w:t>
            </w:r>
          </w:p>
        </w:tc>
        <w:tc>
          <w:tcPr>
            <w:tcW w:w="1953" w:type="dxa"/>
            <w:tcBorders>
              <w:top w:val="single" w:sz="8" w:space="0" w:color="000000"/>
              <w:left w:val="nil" w:sz="6" w:space="0" w:color="auto"/>
              <w:bottom w:val="single" w:sz="8" w:space="0" w:color="000000"/>
              <w:right w:val="nil" w:sz="6" w:space="0" w:color="auto"/>
            </w:tcBorders>
          </w:tcPr>
          <w:p>
            <w:pPr>
              <w:pStyle w:val="TableParagraph"/>
              <w:spacing w:line="285" w:lineRule="auto"/>
              <w:ind w:left="8" w:right="145"/>
              <w:jc w:val="left"/>
              <w:rPr>
                <w:rFonts w:ascii="宋体" w:hAnsi="宋体" w:cs="宋体" w:eastAsia="宋体" w:hint="default"/>
                <w:sz w:val="20"/>
                <w:szCs w:val="20"/>
              </w:rPr>
            </w:pPr>
            <w:r>
              <w:rPr>
                <w:rFonts w:ascii="宋体" w:hAnsi="宋体" w:cs="宋体" w:eastAsia="宋体" w:hint="default"/>
                <w:w w:val="95"/>
                <w:sz w:val="20"/>
                <w:szCs w:val="20"/>
              </w:rPr>
              <w:t>本期利润较上年增加</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z w:val="20"/>
                <w:szCs w:val="20"/>
              </w:rPr>
              <w:t>所致</w:t>
            </w:r>
          </w:p>
        </w:tc>
        <w:tc>
          <w:tcPr>
            <w:tcW w:w="400" w:type="dxa"/>
            <w:tcBorders>
              <w:top w:val="nil" w:sz="6" w:space="0" w:color="auto"/>
              <w:left w:val="nil" w:sz="6" w:space="0" w:color="auto"/>
              <w:bottom w:val="nil" w:sz="6" w:space="0" w:color="auto"/>
              <w:right w:val="nil" w:sz="6" w:space="0" w:color="auto"/>
            </w:tcBorders>
          </w:tcPr>
          <w:p>
            <w:pPr/>
          </w:p>
        </w:tc>
      </w:tr>
    </w:tbl>
    <w:p>
      <w:pPr>
        <w:spacing w:before="8"/>
        <w:ind w:left="573" w:right="112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）、利润表项目：</w:t>
      </w:r>
    </w:p>
    <w:p>
      <w:pPr>
        <w:spacing w:line="240" w:lineRule="auto" w:before="1"/>
        <w:rPr>
          <w:rFonts w:ascii="宋体" w:hAnsi="宋体" w:cs="宋体" w:eastAsia="宋体" w:hint="default"/>
          <w:sz w:val="9"/>
          <w:szCs w:val="9"/>
        </w:rPr>
      </w:pPr>
    </w:p>
    <w:tbl>
      <w:tblPr>
        <w:tblW w:w="0" w:type="auto"/>
        <w:jc w:val="left"/>
        <w:tblInd w:w="152" w:type="dxa"/>
        <w:tblLayout w:type="fixed"/>
        <w:tblCellMar>
          <w:top w:w="0" w:type="dxa"/>
          <w:left w:w="0" w:type="dxa"/>
          <w:bottom w:w="0" w:type="dxa"/>
          <w:right w:w="0" w:type="dxa"/>
        </w:tblCellMar>
        <w:tblLook w:val="01E0"/>
      </w:tblPr>
      <w:tblGrid>
        <w:gridCol w:w="1974"/>
        <w:gridCol w:w="1669"/>
        <w:gridCol w:w="1358"/>
        <w:gridCol w:w="1310"/>
        <w:gridCol w:w="834"/>
        <w:gridCol w:w="2072"/>
      </w:tblGrid>
      <w:tr>
        <w:trPr>
          <w:trHeight w:val="277" w:hRule="exact"/>
        </w:trPr>
        <w:tc>
          <w:tcPr>
            <w:tcW w:w="1974" w:type="dxa"/>
            <w:tcBorders>
              <w:top w:val="nil" w:sz="6" w:space="0" w:color="auto"/>
              <w:left w:val="nil" w:sz="6" w:space="0" w:color="auto"/>
              <w:bottom w:val="single" w:sz="8" w:space="0" w:color="000000"/>
              <w:right w:val="nil" w:sz="6" w:space="0" w:color="auto"/>
            </w:tcBorders>
          </w:tcPr>
          <w:p>
            <w:pPr>
              <w:pStyle w:val="TableParagraph"/>
              <w:spacing w:line="199" w:lineRule="exact"/>
              <w:ind w:left="586" w:right="0"/>
              <w:jc w:val="left"/>
              <w:rPr>
                <w:rFonts w:ascii="宋体" w:hAnsi="宋体" w:cs="宋体" w:eastAsia="宋体" w:hint="default"/>
                <w:sz w:val="20"/>
                <w:szCs w:val="20"/>
              </w:rPr>
            </w:pPr>
            <w:r>
              <w:rPr>
                <w:rFonts w:ascii="宋体" w:hAnsi="宋体" w:cs="宋体" w:eastAsia="宋体" w:hint="default"/>
                <w:sz w:val="20"/>
                <w:szCs w:val="20"/>
              </w:rPr>
              <w:t>利润表项目</w:t>
            </w:r>
          </w:p>
        </w:tc>
        <w:tc>
          <w:tcPr>
            <w:tcW w:w="1669" w:type="dxa"/>
            <w:tcBorders>
              <w:top w:val="nil" w:sz="6" w:space="0" w:color="auto"/>
              <w:left w:val="nil" w:sz="6" w:space="0" w:color="auto"/>
              <w:bottom w:val="single" w:sz="8" w:space="0" w:color="000000"/>
              <w:right w:val="nil" w:sz="6" w:space="0" w:color="auto"/>
            </w:tcBorders>
          </w:tcPr>
          <w:p>
            <w:pPr>
              <w:pStyle w:val="TableParagraph"/>
              <w:spacing w:line="199" w:lineRule="exact"/>
              <w:ind w:left="514"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1358" w:type="dxa"/>
            <w:tcBorders>
              <w:top w:val="nil" w:sz="6" w:space="0" w:color="auto"/>
              <w:left w:val="nil" w:sz="6" w:space="0" w:color="auto"/>
              <w:bottom w:val="single" w:sz="8" w:space="0" w:color="000000"/>
              <w:right w:val="nil" w:sz="6" w:space="0" w:color="auto"/>
            </w:tcBorders>
          </w:tcPr>
          <w:p>
            <w:pPr>
              <w:pStyle w:val="TableParagraph"/>
              <w:spacing w:line="199" w:lineRule="exact"/>
              <w:ind w:left="228" w:right="0"/>
              <w:jc w:val="left"/>
              <w:rPr>
                <w:rFonts w:ascii="宋体" w:hAnsi="宋体" w:cs="宋体" w:eastAsia="宋体" w:hint="default"/>
                <w:sz w:val="20"/>
                <w:szCs w:val="20"/>
              </w:rPr>
            </w:pPr>
            <w:r>
              <w:rPr>
                <w:rFonts w:ascii="宋体" w:hAnsi="宋体" w:cs="宋体" w:eastAsia="宋体" w:hint="default"/>
                <w:sz w:val="20"/>
                <w:szCs w:val="20"/>
              </w:rPr>
              <w:t>上期金额</w:t>
            </w:r>
          </w:p>
        </w:tc>
        <w:tc>
          <w:tcPr>
            <w:tcW w:w="1310" w:type="dxa"/>
            <w:tcBorders>
              <w:top w:val="nil" w:sz="6" w:space="0" w:color="auto"/>
              <w:left w:val="nil" w:sz="6" w:space="0" w:color="auto"/>
              <w:bottom w:val="single" w:sz="8" w:space="0" w:color="000000"/>
              <w:right w:val="nil" w:sz="6" w:space="0" w:color="auto"/>
            </w:tcBorders>
          </w:tcPr>
          <w:p>
            <w:pPr>
              <w:pStyle w:val="TableParagraph"/>
              <w:spacing w:line="199" w:lineRule="exact"/>
              <w:ind w:right="54"/>
              <w:jc w:val="center"/>
              <w:rPr>
                <w:rFonts w:ascii="宋体" w:hAnsi="宋体" w:cs="宋体" w:eastAsia="宋体" w:hint="default"/>
                <w:sz w:val="20"/>
                <w:szCs w:val="20"/>
              </w:rPr>
            </w:pPr>
            <w:r>
              <w:rPr>
                <w:rFonts w:ascii="宋体" w:hAnsi="宋体" w:cs="宋体" w:eastAsia="宋体" w:hint="default"/>
                <w:sz w:val="20"/>
                <w:szCs w:val="20"/>
              </w:rPr>
              <w:t>变动额</w:t>
            </w:r>
          </w:p>
        </w:tc>
        <w:tc>
          <w:tcPr>
            <w:tcW w:w="834" w:type="dxa"/>
            <w:tcBorders>
              <w:top w:val="nil" w:sz="6" w:space="0" w:color="auto"/>
              <w:left w:val="nil" w:sz="6" w:space="0" w:color="auto"/>
              <w:bottom w:val="single" w:sz="8" w:space="0" w:color="000000"/>
              <w:right w:val="nil" w:sz="6" w:space="0" w:color="auto"/>
            </w:tcBorders>
          </w:tcPr>
          <w:p>
            <w:pPr>
              <w:pStyle w:val="TableParagraph"/>
              <w:spacing w:line="199" w:lineRule="exact"/>
              <w:ind w:left="80" w:right="0"/>
              <w:jc w:val="left"/>
              <w:rPr>
                <w:rFonts w:ascii="宋体" w:hAnsi="宋体" w:cs="宋体" w:eastAsia="宋体" w:hint="default"/>
                <w:sz w:val="20"/>
                <w:szCs w:val="20"/>
              </w:rPr>
            </w:pPr>
            <w:r>
              <w:rPr>
                <w:rFonts w:ascii="宋体" w:hAnsi="宋体" w:cs="宋体" w:eastAsia="宋体" w:hint="default"/>
                <w:sz w:val="20"/>
                <w:szCs w:val="20"/>
              </w:rPr>
              <w:t>变动率</w:t>
            </w:r>
          </w:p>
        </w:tc>
        <w:tc>
          <w:tcPr>
            <w:tcW w:w="2072" w:type="dxa"/>
            <w:tcBorders>
              <w:top w:val="nil" w:sz="6" w:space="0" w:color="auto"/>
              <w:left w:val="nil" w:sz="6" w:space="0" w:color="auto"/>
              <w:bottom w:val="single" w:sz="8" w:space="0" w:color="000000"/>
              <w:right w:val="nil" w:sz="6" w:space="0" w:color="auto"/>
            </w:tcBorders>
          </w:tcPr>
          <w:p>
            <w:pPr>
              <w:pStyle w:val="TableParagraph"/>
              <w:spacing w:line="199" w:lineRule="exact"/>
              <w:ind w:left="636" w:right="0"/>
              <w:jc w:val="left"/>
              <w:rPr>
                <w:rFonts w:ascii="宋体" w:hAnsi="宋体" w:cs="宋体" w:eastAsia="宋体" w:hint="default"/>
                <w:sz w:val="20"/>
                <w:szCs w:val="20"/>
              </w:rPr>
            </w:pPr>
            <w:r>
              <w:rPr>
                <w:rFonts w:ascii="宋体" w:hAnsi="宋体" w:cs="宋体" w:eastAsia="宋体" w:hint="default"/>
                <w:sz w:val="20"/>
                <w:szCs w:val="20"/>
              </w:rPr>
              <w:t>变动原因</w:t>
            </w:r>
          </w:p>
        </w:tc>
      </w:tr>
      <w:tr>
        <w:trPr>
          <w:trHeight w:val="968" w:hRule="exact"/>
        </w:trPr>
        <w:tc>
          <w:tcPr>
            <w:tcW w:w="1974"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12"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669"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128"/>
              <w:jc w:val="right"/>
              <w:rPr>
                <w:rFonts w:ascii="Times New Roman" w:hAnsi="Times New Roman" w:cs="Times New Roman" w:eastAsia="Times New Roman" w:hint="default"/>
                <w:sz w:val="20"/>
                <w:szCs w:val="20"/>
              </w:rPr>
            </w:pPr>
            <w:r>
              <w:rPr>
                <w:rFonts w:ascii="Times New Roman"/>
                <w:w w:val="95"/>
                <w:sz w:val="20"/>
              </w:rPr>
              <w:t>56,942,652.46</w:t>
            </w:r>
            <w:r>
              <w:rPr>
                <w:rFonts w:ascii="Times New Roman"/>
                <w:sz w:val="20"/>
              </w:rPr>
            </w:r>
          </w:p>
        </w:tc>
        <w:tc>
          <w:tcPr>
            <w:tcW w:w="1358"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79"/>
              <w:jc w:val="right"/>
              <w:rPr>
                <w:rFonts w:ascii="Times New Roman" w:hAnsi="Times New Roman" w:cs="Times New Roman" w:eastAsia="Times New Roman" w:hint="default"/>
                <w:sz w:val="20"/>
                <w:szCs w:val="20"/>
              </w:rPr>
            </w:pPr>
            <w:r>
              <w:rPr>
                <w:rFonts w:ascii="Times New Roman"/>
                <w:w w:val="95"/>
                <w:sz w:val="20"/>
              </w:rPr>
              <w:t>39,839,113.05</w:t>
            </w:r>
            <w:r>
              <w:rPr>
                <w:rFonts w:ascii="Times New Roman"/>
                <w:sz w:val="20"/>
              </w:rPr>
            </w:r>
          </w:p>
        </w:tc>
        <w:tc>
          <w:tcPr>
            <w:tcW w:w="1310"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3"/>
              <w:jc w:val="center"/>
              <w:rPr>
                <w:rFonts w:ascii="Times New Roman" w:hAnsi="Times New Roman" w:cs="Times New Roman" w:eastAsia="Times New Roman" w:hint="default"/>
                <w:sz w:val="20"/>
                <w:szCs w:val="20"/>
              </w:rPr>
            </w:pPr>
            <w:r>
              <w:rPr>
                <w:rFonts w:ascii="Times New Roman"/>
                <w:sz w:val="20"/>
              </w:rPr>
              <w:t>17,103,539.41</w:t>
            </w:r>
          </w:p>
        </w:tc>
        <w:tc>
          <w:tcPr>
            <w:tcW w:w="834"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7"/>
              <w:jc w:val="right"/>
              <w:rPr>
                <w:rFonts w:ascii="Times New Roman" w:hAnsi="Times New Roman" w:cs="Times New Roman" w:eastAsia="Times New Roman" w:hint="default"/>
                <w:sz w:val="20"/>
                <w:szCs w:val="20"/>
              </w:rPr>
            </w:pPr>
            <w:r>
              <w:rPr>
                <w:rFonts w:ascii="Times New Roman"/>
                <w:sz w:val="20"/>
              </w:rPr>
              <w:t>42.93%</w:t>
            </w:r>
          </w:p>
        </w:tc>
        <w:tc>
          <w:tcPr>
            <w:tcW w:w="2072" w:type="dxa"/>
            <w:tcBorders>
              <w:top w:val="single" w:sz="8" w:space="0" w:color="000000"/>
              <w:left w:val="nil" w:sz="6" w:space="0" w:color="auto"/>
              <w:bottom w:val="single" w:sz="8" w:space="0" w:color="000000"/>
              <w:right w:val="nil" w:sz="6" w:space="0" w:color="auto"/>
            </w:tcBorders>
          </w:tcPr>
          <w:p>
            <w:pPr>
              <w:pStyle w:val="TableParagraph"/>
              <w:spacing w:line="285" w:lineRule="auto"/>
              <w:ind w:left="9" w:right="63"/>
              <w:jc w:val="both"/>
              <w:rPr>
                <w:rFonts w:ascii="宋体" w:hAnsi="宋体" w:cs="宋体" w:eastAsia="宋体" w:hint="default"/>
                <w:sz w:val="20"/>
                <w:szCs w:val="20"/>
              </w:rPr>
            </w:pPr>
            <w:r>
              <w:rPr>
                <w:rFonts w:ascii="宋体" w:hAnsi="宋体" w:cs="宋体" w:eastAsia="宋体" w:hint="default"/>
                <w:w w:val="95"/>
                <w:sz w:val="20"/>
                <w:szCs w:val="20"/>
              </w:rPr>
              <w:t>公司借款规模扩大及借 款利息率上升，利息支 </w:t>
            </w:r>
            <w:r>
              <w:rPr>
                <w:rFonts w:ascii="宋体" w:hAnsi="宋体" w:cs="宋体" w:eastAsia="宋体" w:hint="default"/>
                <w:sz w:val="20"/>
                <w:szCs w:val="20"/>
              </w:rPr>
              <w:t>出增加所致。</w:t>
            </w:r>
          </w:p>
        </w:tc>
      </w:tr>
      <w:tr>
        <w:trPr>
          <w:trHeight w:val="653" w:hRule="exact"/>
        </w:trPr>
        <w:tc>
          <w:tcPr>
            <w:tcW w:w="1974"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12"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669"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128"/>
              <w:jc w:val="right"/>
              <w:rPr>
                <w:rFonts w:ascii="Times New Roman" w:hAnsi="Times New Roman" w:cs="Times New Roman" w:eastAsia="Times New Roman" w:hint="default"/>
                <w:sz w:val="20"/>
                <w:szCs w:val="20"/>
              </w:rPr>
            </w:pPr>
            <w:r>
              <w:rPr>
                <w:rFonts w:ascii="Times New Roman"/>
                <w:w w:val="95"/>
                <w:sz w:val="20"/>
              </w:rPr>
              <w:t>34,243,468.53</w:t>
            </w:r>
            <w:r>
              <w:rPr>
                <w:rFonts w:ascii="Times New Roman"/>
                <w:sz w:val="20"/>
              </w:rPr>
            </w:r>
          </w:p>
        </w:tc>
        <w:tc>
          <w:tcPr>
            <w:tcW w:w="1358"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79"/>
              <w:jc w:val="right"/>
              <w:rPr>
                <w:rFonts w:ascii="Times New Roman" w:hAnsi="Times New Roman" w:cs="Times New Roman" w:eastAsia="Times New Roman" w:hint="default"/>
                <w:sz w:val="20"/>
                <w:szCs w:val="20"/>
              </w:rPr>
            </w:pPr>
            <w:r>
              <w:rPr>
                <w:rFonts w:ascii="Times New Roman"/>
                <w:w w:val="95"/>
                <w:sz w:val="20"/>
              </w:rPr>
              <w:t>12,081,625.36</w:t>
            </w:r>
            <w:r>
              <w:rPr>
                <w:rFonts w:ascii="Times New Roman"/>
                <w:sz w:val="20"/>
              </w:rPr>
            </w:r>
          </w:p>
        </w:tc>
        <w:tc>
          <w:tcPr>
            <w:tcW w:w="131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3"/>
              <w:jc w:val="center"/>
              <w:rPr>
                <w:rFonts w:ascii="Times New Roman" w:hAnsi="Times New Roman" w:cs="Times New Roman" w:eastAsia="Times New Roman" w:hint="default"/>
                <w:sz w:val="20"/>
                <w:szCs w:val="20"/>
              </w:rPr>
            </w:pPr>
            <w:r>
              <w:rPr>
                <w:rFonts w:ascii="Times New Roman"/>
                <w:sz w:val="20"/>
              </w:rPr>
              <w:t>22,161,843.17</w:t>
            </w:r>
          </w:p>
        </w:tc>
        <w:tc>
          <w:tcPr>
            <w:tcW w:w="834"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10"/>
              <w:jc w:val="right"/>
              <w:rPr>
                <w:rFonts w:ascii="Times New Roman" w:hAnsi="Times New Roman" w:cs="Times New Roman" w:eastAsia="Times New Roman" w:hint="default"/>
                <w:sz w:val="20"/>
                <w:szCs w:val="20"/>
              </w:rPr>
            </w:pPr>
            <w:r>
              <w:rPr>
                <w:rFonts w:ascii="Times New Roman"/>
                <w:w w:val="95"/>
                <w:sz w:val="20"/>
              </w:rPr>
              <w:t>183.43%</w:t>
            </w:r>
            <w:r>
              <w:rPr>
                <w:rFonts w:ascii="Times New Roman"/>
                <w:sz w:val="20"/>
              </w:rPr>
            </w:r>
          </w:p>
        </w:tc>
        <w:tc>
          <w:tcPr>
            <w:tcW w:w="2072" w:type="dxa"/>
            <w:tcBorders>
              <w:top w:val="single" w:sz="8" w:space="0" w:color="000000"/>
              <w:left w:val="nil" w:sz="6" w:space="0" w:color="auto"/>
              <w:bottom w:val="single" w:sz="8" w:space="0" w:color="000000"/>
              <w:right w:val="nil" w:sz="6" w:space="0" w:color="auto"/>
            </w:tcBorders>
          </w:tcPr>
          <w:p>
            <w:pPr>
              <w:pStyle w:val="TableParagraph"/>
              <w:spacing w:line="285" w:lineRule="auto"/>
              <w:ind w:left="9" w:right="63"/>
              <w:jc w:val="left"/>
              <w:rPr>
                <w:rFonts w:ascii="宋体" w:hAnsi="宋体" w:cs="宋体" w:eastAsia="宋体" w:hint="default"/>
                <w:sz w:val="20"/>
                <w:szCs w:val="20"/>
              </w:rPr>
            </w:pPr>
            <w:r>
              <w:rPr>
                <w:rFonts w:ascii="宋体" w:hAnsi="宋体" w:cs="宋体" w:eastAsia="宋体" w:hint="default"/>
                <w:w w:val="95"/>
                <w:sz w:val="20"/>
                <w:szCs w:val="20"/>
              </w:rPr>
              <w:t>本期应收款项余额增加 </w:t>
            </w:r>
            <w:r>
              <w:rPr>
                <w:rFonts w:ascii="宋体" w:hAnsi="宋体" w:cs="宋体" w:eastAsia="宋体" w:hint="default"/>
                <w:sz w:val="20"/>
                <w:szCs w:val="20"/>
              </w:rPr>
              <w:t>及账龄增加所致</w:t>
            </w:r>
          </w:p>
        </w:tc>
      </w:tr>
      <w:tr>
        <w:trPr>
          <w:trHeight w:val="655" w:hRule="exact"/>
        </w:trPr>
        <w:tc>
          <w:tcPr>
            <w:tcW w:w="1974"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12"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1669"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125"/>
              <w:jc w:val="right"/>
              <w:rPr>
                <w:rFonts w:ascii="Times New Roman" w:hAnsi="Times New Roman" w:cs="Times New Roman" w:eastAsia="Times New Roman" w:hint="default"/>
                <w:sz w:val="20"/>
                <w:szCs w:val="20"/>
              </w:rPr>
            </w:pPr>
            <w:r>
              <w:rPr>
                <w:rFonts w:ascii="Times New Roman"/>
                <w:w w:val="95"/>
                <w:sz w:val="20"/>
              </w:rPr>
              <w:t>2,816,346.84</w:t>
            </w:r>
            <w:r>
              <w:rPr>
                <w:rFonts w:ascii="Times New Roman"/>
                <w:sz w:val="20"/>
              </w:rPr>
            </w:r>
          </w:p>
        </w:tc>
        <w:tc>
          <w:tcPr>
            <w:tcW w:w="1358"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76"/>
              <w:jc w:val="right"/>
              <w:rPr>
                <w:rFonts w:ascii="Times New Roman" w:hAnsi="Times New Roman" w:cs="Times New Roman" w:eastAsia="Times New Roman" w:hint="default"/>
                <w:sz w:val="20"/>
                <w:szCs w:val="20"/>
              </w:rPr>
            </w:pPr>
            <w:r>
              <w:rPr>
                <w:rFonts w:ascii="Times New Roman"/>
                <w:w w:val="95"/>
                <w:sz w:val="20"/>
              </w:rPr>
              <w:t>288,495.95</w:t>
            </w:r>
            <w:r>
              <w:rPr>
                <w:rFonts w:ascii="Times New Roman"/>
                <w:sz w:val="20"/>
              </w:rPr>
            </w:r>
          </w:p>
        </w:tc>
        <w:tc>
          <w:tcPr>
            <w:tcW w:w="1310"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left="98" w:right="0"/>
              <w:jc w:val="center"/>
              <w:rPr>
                <w:rFonts w:ascii="Times New Roman" w:hAnsi="Times New Roman" w:cs="Times New Roman" w:eastAsia="Times New Roman" w:hint="default"/>
                <w:sz w:val="20"/>
                <w:szCs w:val="20"/>
              </w:rPr>
            </w:pPr>
            <w:r>
              <w:rPr>
                <w:rFonts w:ascii="Times New Roman"/>
                <w:sz w:val="20"/>
              </w:rPr>
              <w:t>2,527,850.89</w:t>
            </w:r>
          </w:p>
        </w:tc>
        <w:tc>
          <w:tcPr>
            <w:tcW w:w="834"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10"/>
              <w:jc w:val="right"/>
              <w:rPr>
                <w:rFonts w:ascii="Times New Roman" w:hAnsi="Times New Roman" w:cs="Times New Roman" w:eastAsia="Times New Roman" w:hint="default"/>
                <w:sz w:val="20"/>
                <w:szCs w:val="20"/>
              </w:rPr>
            </w:pPr>
            <w:r>
              <w:rPr>
                <w:rFonts w:ascii="Times New Roman"/>
                <w:w w:val="95"/>
                <w:sz w:val="20"/>
              </w:rPr>
              <w:t>876.22%</w:t>
            </w:r>
            <w:r>
              <w:rPr>
                <w:rFonts w:ascii="Times New Roman"/>
                <w:sz w:val="20"/>
              </w:rPr>
            </w:r>
          </w:p>
        </w:tc>
        <w:tc>
          <w:tcPr>
            <w:tcW w:w="2072" w:type="dxa"/>
            <w:tcBorders>
              <w:top w:val="single" w:sz="8" w:space="0" w:color="000000"/>
              <w:left w:val="nil" w:sz="6" w:space="0" w:color="auto"/>
              <w:bottom w:val="single" w:sz="8" w:space="0" w:color="000000"/>
              <w:right w:val="nil" w:sz="6" w:space="0" w:color="auto"/>
            </w:tcBorders>
          </w:tcPr>
          <w:p>
            <w:pPr>
              <w:pStyle w:val="TableParagraph"/>
              <w:spacing w:line="285" w:lineRule="auto"/>
              <w:ind w:left="9" w:right="63"/>
              <w:jc w:val="left"/>
              <w:rPr>
                <w:rFonts w:ascii="宋体" w:hAnsi="宋体" w:cs="宋体" w:eastAsia="宋体" w:hint="default"/>
                <w:sz w:val="20"/>
                <w:szCs w:val="20"/>
              </w:rPr>
            </w:pPr>
            <w:r>
              <w:rPr>
                <w:rFonts w:ascii="宋体" w:hAnsi="宋体" w:cs="宋体" w:eastAsia="宋体" w:hint="default"/>
                <w:w w:val="95"/>
                <w:sz w:val="20"/>
                <w:szCs w:val="20"/>
              </w:rPr>
              <w:t>本期处置国泰君安投资 </w:t>
            </w:r>
            <w:r>
              <w:rPr>
                <w:rFonts w:ascii="宋体" w:hAnsi="宋体" w:cs="宋体" w:eastAsia="宋体" w:hint="default"/>
                <w:sz w:val="20"/>
                <w:szCs w:val="20"/>
              </w:rPr>
              <w:t>所致</w:t>
            </w:r>
          </w:p>
        </w:tc>
      </w:tr>
      <w:tr>
        <w:trPr>
          <w:trHeight w:val="967" w:hRule="exact"/>
        </w:trPr>
        <w:tc>
          <w:tcPr>
            <w:tcW w:w="1974"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12"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1669"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128"/>
              <w:jc w:val="right"/>
              <w:rPr>
                <w:rFonts w:ascii="Times New Roman" w:hAnsi="Times New Roman" w:cs="Times New Roman" w:eastAsia="Times New Roman" w:hint="default"/>
                <w:sz w:val="20"/>
                <w:szCs w:val="20"/>
              </w:rPr>
            </w:pPr>
            <w:r>
              <w:rPr>
                <w:rFonts w:ascii="Times New Roman"/>
                <w:w w:val="95"/>
                <w:sz w:val="20"/>
              </w:rPr>
              <w:t>17,958,147.38</w:t>
            </w:r>
            <w:r>
              <w:rPr>
                <w:rFonts w:ascii="Times New Roman"/>
                <w:sz w:val="20"/>
              </w:rPr>
            </w:r>
          </w:p>
        </w:tc>
        <w:tc>
          <w:tcPr>
            <w:tcW w:w="1358"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76"/>
              <w:jc w:val="right"/>
              <w:rPr>
                <w:rFonts w:ascii="Times New Roman" w:hAnsi="Times New Roman" w:cs="Times New Roman" w:eastAsia="Times New Roman" w:hint="default"/>
                <w:sz w:val="20"/>
                <w:szCs w:val="20"/>
              </w:rPr>
            </w:pPr>
            <w:r>
              <w:rPr>
                <w:rFonts w:ascii="Times New Roman"/>
                <w:w w:val="95"/>
                <w:sz w:val="20"/>
              </w:rPr>
              <w:t>7,602,428.11</w:t>
            </w:r>
            <w:r>
              <w:rPr>
                <w:rFonts w:ascii="Times New Roman"/>
                <w:sz w:val="20"/>
              </w:rPr>
            </w:r>
          </w:p>
        </w:tc>
        <w:tc>
          <w:tcPr>
            <w:tcW w:w="1310"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3"/>
              <w:jc w:val="center"/>
              <w:rPr>
                <w:rFonts w:ascii="Times New Roman" w:hAnsi="Times New Roman" w:cs="Times New Roman" w:eastAsia="Times New Roman" w:hint="default"/>
                <w:sz w:val="20"/>
                <w:szCs w:val="20"/>
              </w:rPr>
            </w:pPr>
            <w:r>
              <w:rPr>
                <w:rFonts w:ascii="Times New Roman"/>
                <w:sz w:val="20"/>
              </w:rPr>
              <w:t>10,355,719.27</w:t>
            </w:r>
          </w:p>
        </w:tc>
        <w:tc>
          <w:tcPr>
            <w:tcW w:w="834"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10"/>
              <w:jc w:val="right"/>
              <w:rPr>
                <w:rFonts w:ascii="Times New Roman" w:hAnsi="Times New Roman" w:cs="Times New Roman" w:eastAsia="Times New Roman" w:hint="default"/>
                <w:sz w:val="20"/>
                <w:szCs w:val="20"/>
              </w:rPr>
            </w:pPr>
            <w:r>
              <w:rPr>
                <w:rFonts w:ascii="Times New Roman"/>
                <w:w w:val="95"/>
                <w:sz w:val="20"/>
              </w:rPr>
              <w:t>136.22%</w:t>
            </w:r>
            <w:r>
              <w:rPr>
                <w:rFonts w:ascii="Times New Roman"/>
                <w:sz w:val="20"/>
              </w:rPr>
            </w:r>
          </w:p>
        </w:tc>
        <w:tc>
          <w:tcPr>
            <w:tcW w:w="2072" w:type="dxa"/>
            <w:tcBorders>
              <w:top w:val="single" w:sz="8" w:space="0" w:color="000000"/>
              <w:left w:val="nil" w:sz="6" w:space="0" w:color="auto"/>
              <w:bottom w:val="single" w:sz="8" w:space="0" w:color="000000"/>
              <w:right w:val="nil" w:sz="6" w:space="0" w:color="auto"/>
            </w:tcBorders>
          </w:tcPr>
          <w:p>
            <w:pPr>
              <w:pStyle w:val="TableParagraph"/>
              <w:spacing w:line="285" w:lineRule="auto"/>
              <w:ind w:left="9" w:right="63"/>
              <w:jc w:val="both"/>
              <w:rPr>
                <w:rFonts w:ascii="宋体" w:hAnsi="宋体" w:cs="宋体" w:eastAsia="宋体" w:hint="default"/>
                <w:sz w:val="20"/>
                <w:szCs w:val="20"/>
              </w:rPr>
            </w:pPr>
            <w:r>
              <w:rPr>
                <w:rFonts w:ascii="宋体" w:hAnsi="宋体" w:cs="宋体" w:eastAsia="宋体" w:hint="default"/>
                <w:w w:val="95"/>
                <w:sz w:val="20"/>
                <w:szCs w:val="20"/>
              </w:rPr>
              <w:t>本期利润增加以及子公 司高鸿软件税率恢复为 </w:t>
            </w:r>
            <w:r>
              <w:rPr>
                <w:rFonts w:ascii="Times New Roman" w:hAnsi="Times New Roman" w:cs="Times New Roman" w:eastAsia="Times New Roman" w:hint="default"/>
                <w:sz w:val="20"/>
                <w:szCs w:val="20"/>
              </w:rPr>
              <w:t>15%</w:t>
            </w:r>
            <w:r>
              <w:rPr>
                <w:rFonts w:ascii="宋体" w:hAnsi="宋体" w:cs="宋体" w:eastAsia="宋体" w:hint="default"/>
                <w:sz w:val="20"/>
                <w:szCs w:val="20"/>
              </w:rPr>
              <w:t>所致</w:t>
            </w:r>
          </w:p>
        </w:tc>
      </w:tr>
    </w:tbl>
    <w:p>
      <w:pPr>
        <w:spacing w:before="8"/>
        <w:ind w:left="633" w:right="112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）、现金流量表项目：</w:t>
      </w:r>
    </w:p>
    <w:p>
      <w:pPr>
        <w:spacing w:after="0"/>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119"/>
        <w:gridCol w:w="1536"/>
        <w:gridCol w:w="1357"/>
        <w:gridCol w:w="1373"/>
        <w:gridCol w:w="896"/>
        <w:gridCol w:w="1965"/>
        <w:gridCol w:w="400"/>
      </w:tblGrid>
      <w:tr>
        <w:trPr>
          <w:trHeight w:val="670" w:hRule="exact"/>
        </w:trPr>
        <w:tc>
          <w:tcPr>
            <w:tcW w:w="2119" w:type="dxa"/>
            <w:tcBorders>
              <w:top w:val="single" w:sz="6"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374" w:right="0"/>
              <w:jc w:val="left"/>
              <w:rPr>
                <w:rFonts w:ascii="宋体" w:hAnsi="宋体" w:cs="宋体" w:eastAsia="宋体" w:hint="default"/>
                <w:sz w:val="20"/>
                <w:szCs w:val="20"/>
              </w:rPr>
            </w:pPr>
            <w:r>
              <w:rPr>
                <w:rFonts w:ascii="宋体" w:hAnsi="宋体" w:cs="宋体" w:eastAsia="宋体" w:hint="default"/>
                <w:sz w:val="20"/>
                <w:szCs w:val="20"/>
              </w:rPr>
              <w:t>现金流量表项目</w:t>
            </w:r>
          </w:p>
        </w:tc>
        <w:tc>
          <w:tcPr>
            <w:tcW w:w="1536" w:type="dxa"/>
            <w:tcBorders>
              <w:top w:val="single" w:sz="6"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389"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1357" w:type="dxa"/>
            <w:tcBorders>
              <w:top w:val="single" w:sz="6"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276" w:right="0"/>
              <w:jc w:val="left"/>
              <w:rPr>
                <w:rFonts w:ascii="宋体" w:hAnsi="宋体" w:cs="宋体" w:eastAsia="宋体" w:hint="default"/>
                <w:sz w:val="20"/>
                <w:szCs w:val="20"/>
              </w:rPr>
            </w:pPr>
            <w:r>
              <w:rPr>
                <w:rFonts w:ascii="宋体" w:hAnsi="宋体" w:cs="宋体" w:eastAsia="宋体" w:hint="default"/>
                <w:sz w:val="20"/>
                <w:szCs w:val="20"/>
              </w:rPr>
              <w:t>上期金额</w:t>
            </w:r>
          </w:p>
        </w:tc>
        <w:tc>
          <w:tcPr>
            <w:tcW w:w="1373" w:type="dxa"/>
            <w:tcBorders>
              <w:top w:val="single" w:sz="6"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377" w:right="0"/>
              <w:jc w:val="left"/>
              <w:rPr>
                <w:rFonts w:ascii="宋体" w:hAnsi="宋体" w:cs="宋体" w:eastAsia="宋体" w:hint="default"/>
                <w:sz w:val="20"/>
                <w:szCs w:val="20"/>
              </w:rPr>
            </w:pPr>
            <w:r>
              <w:rPr>
                <w:rFonts w:ascii="宋体" w:hAnsi="宋体" w:cs="宋体" w:eastAsia="宋体" w:hint="default"/>
                <w:sz w:val="20"/>
                <w:szCs w:val="20"/>
              </w:rPr>
              <w:t>变动额</w:t>
            </w:r>
          </w:p>
        </w:tc>
        <w:tc>
          <w:tcPr>
            <w:tcW w:w="896" w:type="dxa"/>
            <w:tcBorders>
              <w:top w:val="single" w:sz="6"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117" w:right="0"/>
              <w:jc w:val="left"/>
              <w:rPr>
                <w:rFonts w:ascii="宋体" w:hAnsi="宋体" w:cs="宋体" w:eastAsia="宋体" w:hint="default"/>
                <w:sz w:val="20"/>
                <w:szCs w:val="20"/>
              </w:rPr>
            </w:pPr>
            <w:r>
              <w:rPr>
                <w:rFonts w:ascii="宋体" w:hAnsi="宋体" w:cs="宋体" w:eastAsia="宋体" w:hint="default"/>
                <w:sz w:val="20"/>
                <w:szCs w:val="20"/>
              </w:rPr>
              <w:t>变动率</w:t>
            </w:r>
          </w:p>
        </w:tc>
        <w:tc>
          <w:tcPr>
            <w:tcW w:w="1965" w:type="dxa"/>
            <w:tcBorders>
              <w:top w:val="single" w:sz="6"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582" w:right="0"/>
              <w:jc w:val="left"/>
              <w:rPr>
                <w:rFonts w:ascii="宋体" w:hAnsi="宋体" w:cs="宋体" w:eastAsia="宋体" w:hint="default"/>
                <w:sz w:val="20"/>
                <w:szCs w:val="20"/>
              </w:rPr>
            </w:pPr>
            <w:r>
              <w:rPr>
                <w:rFonts w:ascii="宋体" w:hAnsi="宋体" w:cs="宋体" w:eastAsia="宋体" w:hint="default"/>
                <w:sz w:val="20"/>
                <w:szCs w:val="20"/>
              </w:rPr>
              <w:t>变动原因</w:t>
            </w:r>
          </w:p>
        </w:tc>
        <w:tc>
          <w:tcPr>
            <w:tcW w:w="400" w:type="dxa"/>
            <w:tcBorders>
              <w:top w:val="single" w:sz="6" w:space="0" w:color="000000"/>
              <w:left w:val="nil" w:sz="6" w:space="0" w:color="auto"/>
              <w:bottom w:val="nil" w:sz="6" w:space="0" w:color="auto"/>
              <w:right w:val="nil" w:sz="6" w:space="0" w:color="auto"/>
            </w:tcBorders>
          </w:tcPr>
          <w:p>
            <w:pPr/>
          </w:p>
        </w:tc>
      </w:tr>
      <w:tr>
        <w:trPr>
          <w:trHeight w:val="655" w:hRule="exact"/>
        </w:trPr>
        <w:tc>
          <w:tcPr>
            <w:tcW w:w="2119"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40"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153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51"/>
              <w:jc w:val="right"/>
              <w:rPr>
                <w:rFonts w:ascii="Times New Roman" w:hAnsi="Times New Roman" w:cs="Times New Roman" w:eastAsia="Times New Roman" w:hint="default"/>
                <w:sz w:val="20"/>
                <w:szCs w:val="20"/>
              </w:rPr>
            </w:pPr>
            <w:r>
              <w:rPr>
                <w:rFonts w:ascii="Times New Roman"/>
                <w:w w:val="95"/>
                <w:sz w:val="20"/>
              </w:rPr>
              <w:t>3,826,504.65</w:t>
            </w:r>
            <w:r>
              <w:rPr>
                <w:rFonts w:ascii="Times New Roman"/>
                <w:sz w:val="20"/>
              </w:rPr>
            </w:r>
          </w:p>
        </w:tc>
        <w:tc>
          <w:tcPr>
            <w:tcW w:w="1357"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51"/>
              <w:jc w:val="right"/>
              <w:rPr>
                <w:rFonts w:ascii="Times New Roman" w:hAnsi="Times New Roman" w:cs="Times New Roman" w:eastAsia="Times New Roman" w:hint="default"/>
                <w:sz w:val="20"/>
                <w:szCs w:val="20"/>
              </w:rPr>
            </w:pPr>
            <w:r>
              <w:rPr>
                <w:rFonts w:ascii="Times New Roman"/>
                <w:w w:val="95"/>
                <w:sz w:val="20"/>
              </w:rPr>
              <w:t>1,886,053.48</w:t>
            </w:r>
            <w:r>
              <w:rPr>
                <w:rFonts w:ascii="Times New Roman"/>
                <w:sz w:val="20"/>
              </w:rPr>
            </w:r>
          </w:p>
        </w:tc>
        <w:tc>
          <w:tcPr>
            <w:tcW w:w="1373"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67"/>
              <w:jc w:val="right"/>
              <w:rPr>
                <w:rFonts w:ascii="Times New Roman" w:hAnsi="Times New Roman" w:cs="Times New Roman" w:eastAsia="Times New Roman" w:hint="default"/>
                <w:sz w:val="20"/>
                <w:szCs w:val="20"/>
              </w:rPr>
            </w:pPr>
            <w:r>
              <w:rPr>
                <w:rFonts w:ascii="Times New Roman"/>
                <w:w w:val="95"/>
                <w:sz w:val="20"/>
              </w:rPr>
              <w:t>1,940,451.17</w:t>
            </w:r>
            <w:r>
              <w:rPr>
                <w:rFonts w:ascii="Times New Roman"/>
                <w:sz w:val="20"/>
              </w:rPr>
            </w:r>
          </w:p>
        </w:tc>
        <w:tc>
          <w:tcPr>
            <w:tcW w:w="89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9"/>
              <w:jc w:val="right"/>
              <w:rPr>
                <w:rFonts w:ascii="Times New Roman" w:hAnsi="Times New Roman" w:cs="Times New Roman" w:eastAsia="Times New Roman" w:hint="default"/>
                <w:sz w:val="20"/>
                <w:szCs w:val="20"/>
              </w:rPr>
            </w:pPr>
            <w:r>
              <w:rPr>
                <w:rFonts w:ascii="Times New Roman"/>
                <w:w w:val="95"/>
                <w:sz w:val="20"/>
              </w:rPr>
              <w:t>102.88%</w:t>
            </w:r>
            <w:r>
              <w:rPr>
                <w:rFonts w:ascii="Times New Roman"/>
                <w:sz w:val="20"/>
              </w:rPr>
            </w:r>
          </w:p>
        </w:tc>
        <w:tc>
          <w:tcPr>
            <w:tcW w:w="1965" w:type="dxa"/>
            <w:tcBorders>
              <w:top w:val="single" w:sz="8" w:space="0" w:color="000000"/>
              <w:left w:val="nil" w:sz="6" w:space="0" w:color="auto"/>
              <w:bottom w:val="single" w:sz="8" w:space="0" w:color="000000"/>
              <w:right w:val="nil" w:sz="6" w:space="0" w:color="auto"/>
            </w:tcBorders>
          </w:tcPr>
          <w:p>
            <w:pPr>
              <w:pStyle w:val="TableParagraph"/>
              <w:spacing w:line="285" w:lineRule="auto"/>
              <w:ind w:left="8" w:right="157"/>
              <w:jc w:val="left"/>
              <w:rPr>
                <w:rFonts w:ascii="宋体" w:hAnsi="宋体" w:cs="宋体" w:eastAsia="宋体" w:hint="default"/>
                <w:sz w:val="20"/>
                <w:szCs w:val="20"/>
              </w:rPr>
            </w:pPr>
            <w:r>
              <w:rPr>
                <w:rFonts w:ascii="宋体" w:hAnsi="宋体" w:cs="宋体" w:eastAsia="宋体" w:hint="default"/>
                <w:w w:val="95"/>
                <w:sz w:val="20"/>
                <w:szCs w:val="20"/>
              </w:rPr>
              <w:t>本期软件行业退还增</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z w:val="20"/>
                <w:szCs w:val="20"/>
              </w:rPr>
              <w:t>值税所致</w:t>
            </w:r>
          </w:p>
        </w:tc>
        <w:tc>
          <w:tcPr>
            <w:tcW w:w="400" w:type="dxa"/>
            <w:tcBorders>
              <w:top w:val="nil" w:sz="6" w:space="0" w:color="auto"/>
              <w:left w:val="nil" w:sz="6" w:space="0" w:color="auto"/>
              <w:bottom w:val="nil" w:sz="6" w:space="0" w:color="auto"/>
              <w:right w:val="nil" w:sz="6" w:space="0" w:color="auto"/>
            </w:tcBorders>
          </w:tcPr>
          <w:p>
            <w:pPr/>
          </w:p>
        </w:tc>
      </w:tr>
      <w:tr>
        <w:trPr>
          <w:trHeight w:val="653" w:hRule="exact"/>
        </w:trPr>
        <w:tc>
          <w:tcPr>
            <w:tcW w:w="2119" w:type="dxa"/>
            <w:tcBorders>
              <w:top w:val="single" w:sz="8" w:space="0" w:color="000000"/>
              <w:left w:val="nil" w:sz="6" w:space="0" w:color="auto"/>
              <w:bottom w:val="single" w:sz="8" w:space="0" w:color="000000"/>
              <w:right w:val="nil" w:sz="6" w:space="0" w:color="auto"/>
            </w:tcBorders>
          </w:tcPr>
          <w:p>
            <w:pPr>
              <w:pStyle w:val="TableParagraph"/>
              <w:spacing w:line="285" w:lineRule="auto"/>
              <w:ind w:left="40" w:right="80"/>
              <w:jc w:val="left"/>
              <w:rPr>
                <w:rFonts w:ascii="宋体" w:hAnsi="宋体" w:cs="宋体" w:eastAsia="宋体" w:hint="default"/>
                <w:sz w:val="20"/>
                <w:szCs w:val="20"/>
              </w:rPr>
            </w:pPr>
            <w:r>
              <w:rPr>
                <w:rFonts w:ascii="宋体" w:hAnsi="宋体" w:cs="宋体" w:eastAsia="宋体" w:hint="default"/>
                <w:w w:val="95"/>
                <w:sz w:val="20"/>
                <w:szCs w:val="20"/>
              </w:rPr>
              <w:t>收到其他与经营活动有 </w:t>
            </w:r>
            <w:r>
              <w:rPr>
                <w:rFonts w:ascii="宋体" w:hAnsi="宋体" w:cs="宋体" w:eastAsia="宋体" w:hint="default"/>
                <w:sz w:val="20"/>
                <w:szCs w:val="20"/>
              </w:rPr>
              <w:t>关的现金</w:t>
            </w:r>
          </w:p>
        </w:tc>
        <w:tc>
          <w:tcPr>
            <w:tcW w:w="153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51"/>
              <w:jc w:val="right"/>
              <w:rPr>
                <w:rFonts w:ascii="Times New Roman" w:hAnsi="Times New Roman" w:cs="Times New Roman" w:eastAsia="Times New Roman" w:hint="default"/>
                <w:sz w:val="20"/>
                <w:szCs w:val="20"/>
              </w:rPr>
            </w:pPr>
            <w:r>
              <w:rPr>
                <w:rFonts w:ascii="Times New Roman"/>
                <w:w w:val="95"/>
                <w:sz w:val="20"/>
              </w:rPr>
              <w:t>121,664,382.82</w:t>
            </w:r>
            <w:r>
              <w:rPr>
                <w:rFonts w:ascii="Times New Roman"/>
                <w:sz w:val="20"/>
              </w:rPr>
            </w:r>
          </w:p>
        </w:tc>
        <w:tc>
          <w:tcPr>
            <w:tcW w:w="1357"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53"/>
              <w:jc w:val="right"/>
              <w:rPr>
                <w:rFonts w:ascii="Times New Roman" w:hAnsi="Times New Roman" w:cs="Times New Roman" w:eastAsia="Times New Roman" w:hint="default"/>
                <w:sz w:val="20"/>
                <w:szCs w:val="20"/>
              </w:rPr>
            </w:pPr>
            <w:r>
              <w:rPr>
                <w:rFonts w:ascii="Times New Roman"/>
                <w:w w:val="95"/>
                <w:sz w:val="20"/>
              </w:rPr>
              <w:t>90,958,327.62</w:t>
            </w:r>
            <w:r>
              <w:rPr>
                <w:rFonts w:ascii="Times New Roman"/>
                <w:sz w:val="20"/>
              </w:rPr>
            </w:r>
          </w:p>
        </w:tc>
        <w:tc>
          <w:tcPr>
            <w:tcW w:w="1373"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70"/>
              <w:jc w:val="right"/>
              <w:rPr>
                <w:rFonts w:ascii="Times New Roman" w:hAnsi="Times New Roman" w:cs="Times New Roman" w:eastAsia="Times New Roman" w:hint="default"/>
                <w:sz w:val="20"/>
                <w:szCs w:val="20"/>
              </w:rPr>
            </w:pPr>
            <w:r>
              <w:rPr>
                <w:rFonts w:ascii="Times New Roman"/>
                <w:w w:val="95"/>
                <w:sz w:val="20"/>
              </w:rPr>
              <w:t>30,706,055.20</w:t>
            </w:r>
            <w:r>
              <w:rPr>
                <w:rFonts w:ascii="Times New Roman"/>
                <w:sz w:val="20"/>
              </w:rPr>
            </w:r>
          </w:p>
        </w:tc>
        <w:tc>
          <w:tcPr>
            <w:tcW w:w="89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20"/>
                <w:szCs w:val="20"/>
              </w:rPr>
            </w:pPr>
            <w:r>
              <w:rPr>
                <w:rFonts w:ascii="Times New Roman"/>
                <w:sz w:val="20"/>
              </w:rPr>
              <w:t>33.76%</w:t>
            </w:r>
          </w:p>
        </w:tc>
        <w:tc>
          <w:tcPr>
            <w:tcW w:w="1965" w:type="dxa"/>
            <w:tcBorders>
              <w:top w:val="single" w:sz="8" w:space="0" w:color="000000"/>
              <w:left w:val="nil" w:sz="6" w:space="0" w:color="auto"/>
              <w:bottom w:val="single" w:sz="8" w:space="0" w:color="000000"/>
              <w:right w:val="nil" w:sz="6" w:space="0" w:color="auto"/>
            </w:tcBorders>
          </w:tcPr>
          <w:p>
            <w:pPr>
              <w:pStyle w:val="TableParagraph"/>
              <w:spacing w:line="285" w:lineRule="auto"/>
              <w:ind w:left="8" w:right="157"/>
              <w:jc w:val="left"/>
              <w:rPr>
                <w:rFonts w:ascii="宋体" w:hAnsi="宋体" w:cs="宋体" w:eastAsia="宋体" w:hint="default"/>
                <w:sz w:val="20"/>
                <w:szCs w:val="20"/>
              </w:rPr>
            </w:pPr>
            <w:r>
              <w:rPr>
                <w:rFonts w:ascii="宋体" w:hAnsi="宋体" w:cs="宋体" w:eastAsia="宋体" w:hint="default"/>
                <w:w w:val="95"/>
                <w:sz w:val="20"/>
                <w:szCs w:val="20"/>
              </w:rPr>
              <w:t>本期收到大唐控股产</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z w:val="20"/>
                <w:szCs w:val="20"/>
              </w:rPr>
              <w:t>业往来款所致</w:t>
            </w:r>
          </w:p>
        </w:tc>
        <w:tc>
          <w:tcPr>
            <w:tcW w:w="400" w:type="dxa"/>
            <w:tcBorders>
              <w:top w:val="nil" w:sz="6" w:space="0" w:color="auto"/>
              <w:left w:val="nil" w:sz="6" w:space="0" w:color="auto"/>
              <w:bottom w:val="nil" w:sz="6" w:space="0" w:color="auto"/>
              <w:right w:val="nil" w:sz="6" w:space="0" w:color="auto"/>
            </w:tcBorders>
          </w:tcPr>
          <w:p>
            <w:pPr/>
          </w:p>
        </w:tc>
      </w:tr>
      <w:tr>
        <w:trPr>
          <w:trHeight w:val="967" w:hRule="exact"/>
        </w:trPr>
        <w:tc>
          <w:tcPr>
            <w:tcW w:w="2119"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40"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153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53"/>
              <w:jc w:val="right"/>
              <w:rPr>
                <w:rFonts w:ascii="Times New Roman" w:hAnsi="Times New Roman" w:cs="Times New Roman" w:eastAsia="Times New Roman" w:hint="default"/>
                <w:sz w:val="20"/>
                <w:szCs w:val="20"/>
              </w:rPr>
            </w:pPr>
            <w:r>
              <w:rPr>
                <w:rFonts w:ascii="Times New Roman"/>
                <w:w w:val="95"/>
                <w:sz w:val="20"/>
              </w:rPr>
              <w:t>45,500,000.00</w:t>
            </w:r>
            <w:r>
              <w:rPr>
                <w:rFonts w:ascii="Times New Roman"/>
                <w:sz w:val="20"/>
              </w:rPr>
            </w:r>
          </w:p>
        </w:tc>
        <w:tc>
          <w:tcPr>
            <w:tcW w:w="1357"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51"/>
              <w:jc w:val="right"/>
              <w:rPr>
                <w:rFonts w:ascii="Times New Roman" w:hAnsi="Times New Roman" w:cs="Times New Roman" w:eastAsia="Times New Roman" w:hint="default"/>
                <w:sz w:val="20"/>
                <w:szCs w:val="20"/>
              </w:rPr>
            </w:pPr>
            <w:r>
              <w:rPr>
                <w:rFonts w:ascii="Times New Roman"/>
                <w:w w:val="95"/>
                <w:sz w:val="20"/>
              </w:rPr>
              <w:t>1,369,595.46</w:t>
            </w:r>
            <w:r>
              <w:rPr>
                <w:rFonts w:ascii="Times New Roman"/>
                <w:sz w:val="20"/>
              </w:rPr>
            </w:r>
          </w:p>
        </w:tc>
        <w:tc>
          <w:tcPr>
            <w:tcW w:w="1373"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70"/>
              <w:jc w:val="right"/>
              <w:rPr>
                <w:rFonts w:ascii="Times New Roman" w:hAnsi="Times New Roman" w:cs="Times New Roman" w:eastAsia="Times New Roman" w:hint="default"/>
                <w:sz w:val="20"/>
                <w:szCs w:val="20"/>
              </w:rPr>
            </w:pPr>
            <w:r>
              <w:rPr>
                <w:rFonts w:ascii="Times New Roman"/>
                <w:w w:val="95"/>
                <w:sz w:val="20"/>
              </w:rPr>
              <w:t>44,130,404.54</w:t>
            </w:r>
            <w:r>
              <w:rPr>
                <w:rFonts w:ascii="Times New Roman"/>
                <w:sz w:val="20"/>
              </w:rPr>
            </w:r>
          </w:p>
        </w:tc>
        <w:tc>
          <w:tcPr>
            <w:tcW w:w="89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6"/>
              <w:jc w:val="right"/>
              <w:rPr>
                <w:rFonts w:ascii="Times New Roman" w:hAnsi="Times New Roman" w:cs="Times New Roman" w:eastAsia="Times New Roman" w:hint="default"/>
                <w:sz w:val="20"/>
                <w:szCs w:val="20"/>
              </w:rPr>
            </w:pPr>
            <w:r>
              <w:rPr>
                <w:rFonts w:ascii="Times New Roman"/>
                <w:sz w:val="20"/>
              </w:rPr>
              <w:t>3222.15%</w:t>
            </w:r>
          </w:p>
        </w:tc>
        <w:tc>
          <w:tcPr>
            <w:tcW w:w="1965" w:type="dxa"/>
            <w:tcBorders>
              <w:top w:val="single" w:sz="8" w:space="0" w:color="000000"/>
              <w:left w:val="nil" w:sz="6" w:space="0" w:color="auto"/>
              <w:bottom w:val="single" w:sz="8" w:space="0" w:color="000000"/>
              <w:right w:val="nil" w:sz="6" w:space="0" w:color="auto"/>
            </w:tcBorders>
          </w:tcPr>
          <w:p>
            <w:pPr>
              <w:pStyle w:val="TableParagraph"/>
              <w:spacing w:line="285" w:lineRule="auto"/>
              <w:ind w:left="8" w:right="157"/>
              <w:jc w:val="both"/>
              <w:rPr>
                <w:rFonts w:ascii="宋体" w:hAnsi="宋体" w:cs="宋体" w:eastAsia="宋体" w:hint="default"/>
                <w:sz w:val="20"/>
                <w:szCs w:val="20"/>
              </w:rPr>
            </w:pPr>
            <w:r>
              <w:rPr>
                <w:rFonts w:ascii="宋体" w:hAnsi="宋体" w:cs="宋体" w:eastAsia="宋体" w:hint="default"/>
                <w:w w:val="95"/>
                <w:sz w:val="20"/>
                <w:szCs w:val="20"/>
              </w:rPr>
              <w:t>本期向子公司高鸿有</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w w:val="95"/>
                <w:sz w:val="20"/>
                <w:szCs w:val="20"/>
              </w:rPr>
              <w:t>限的少数股东购买股</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z w:val="20"/>
                <w:szCs w:val="20"/>
              </w:rPr>
              <w:t>权所致</w:t>
            </w:r>
          </w:p>
        </w:tc>
        <w:tc>
          <w:tcPr>
            <w:tcW w:w="400" w:type="dxa"/>
            <w:tcBorders>
              <w:top w:val="nil" w:sz="6" w:space="0" w:color="auto"/>
              <w:left w:val="nil" w:sz="6" w:space="0" w:color="auto"/>
              <w:bottom w:val="nil" w:sz="6" w:space="0" w:color="auto"/>
              <w:right w:val="nil" w:sz="6" w:space="0" w:color="auto"/>
            </w:tcBorders>
          </w:tcPr>
          <w:p>
            <w:pPr/>
          </w:p>
        </w:tc>
      </w:tr>
      <w:tr>
        <w:trPr>
          <w:trHeight w:val="341" w:hRule="exact"/>
        </w:trPr>
        <w:tc>
          <w:tcPr>
            <w:tcW w:w="2119"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40"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153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54"/>
              <w:jc w:val="right"/>
              <w:rPr>
                <w:rFonts w:ascii="Times New Roman" w:hAnsi="Times New Roman" w:cs="Times New Roman" w:eastAsia="Times New Roman" w:hint="default"/>
                <w:sz w:val="20"/>
                <w:szCs w:val="20"/>
              </w:rPr>
            </w:pPr>
            <w:r>
              <w:rPr>
                <w:rFonts w:ascii="Times New Roman"/>
                <w:spacing w:val="-1"/>
                <w:sz w:val="20"/>
              </w:rPr>
              <w:t>1,370,000,000.00</w:t>
            </w:r>
          </w:p>
        </w:tc>
        <w:tc>
          <w:tcPr>
            <w:tcW w:w="1357"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51"/>
              <w:jc w:val="right"/>
              <w:rPr>
                <w:rFonts w:ascii="Times New Roman" w:hAnsi="Times New Roman" w:cs="Times New Roman" w:eastAsia="Times New Roman" w:hint="default"/>
                <w:sz w:val="20"/>
                <w:szCs w:val="20"/>
              </w:rPr>
            </w:pPr>
            <w:r>
              <w:rPr>
                <w:rFonts w:ascii="Times New Roman"/>
                <w:w w:val="95"/>
                <w:sz w:val="20"/>
              </w:rPr>
              <w:t>768,000,000.00</w:t>
            </w:r>
            <w:r>
              <w:rPr>
                <w:rFonts w:ascii="Times New Roman"/>
                <w:sz w:val="20"/>
              </w:rPr>
            </w:r>
          </w:p>
        </w:tc>
        <w:tc>
          <w:tcPr>
            <w:tcW w:w="1373"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68"/>
              <w:jc w:val="right"/>
              <w:rPr>
                <w:rFonts w:ascii="Times New Roman" w:hAnsi="Times New Roman" w:cs="Times New Roman" w:eastAsia="Times New Roman" w:hint="default"/>
                <w:sz w:val="20"/>
                <w:szCs w:val="20"/>
              </w:rPr>
            </w:pPr>
            <w:r>
              <w:rPr>
                <w:rFonts w:ascii="Times New Roman"/>
                <w:w w:val="95"/>
                <w:sz w:val="20"/>
              </w:rPr>
              <w:t>602,000,000.00</w:t>
            </w:r>
            <w:r>
              <w:rPr>
                <w:rFonts w:ascii="Times New Roman"/>
                <w:sz w:val="20"/>
              </w:rPr>
            </w:r>
          </w:p>
        </w:tc>
        <w:tc>
          <w:tcPr>
            <w:tcW w:w="89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20"/>
                <w:szCs w:val="20"/>
              </w:rPr>
            </w:pPr>
            <w:r>
              <w:rPr>
                <w:rFonts w:ascii="Times New Roman"/>
                <w:sz w:val="20"/>
              </w:rPr>
              <w:t>78.39%</w:t>
            </w:r>
          </w:p>
        </w:tc>
        <w:tc>
          <w:tcPr>
            <w:tcW w:w="1965" w:type="dxa"/>
            <w:tcBorders>
              <w:top w:val="single" w:sz="8" w:space="0" w:color="000000"/>
              <w:left w:val="nil" w:sz="6" w:space="0" w:color="auto"/>
              <w:bottom w:val="single" w:sz="8" w:space="0" w:color="000000"/>
              <w:right w:val="nil" w:sz="6" w:space="0" w:color="auto"/>
            </w:tcBorders>
          </w:tcPr>
          <w:p>
            <w:pPr>
              <w:pStyle w:val="TableParagraph"/>
              <w:spacing w:line="254" w:lineRule="exact"/>
              <w:ind w:left="8" w:right="0"/>
              <w:jc w:val="left"/>
              <w:rPr>
                <w:rFonts w:ascii="宋体" w:hAnsi="宋体" w:cs="宋体" w:eastAsia="宋体" w:hint="default"/>
                <w:sz w:val="20"/>
                <w:szCs w:val="20"/>
              </w:rPr>
            </w:pPr>
            <w:r>
              <w:rPr>
                <w:rFonts w:ascii="宋体" w:hAnsi="宋体" w:cs="宋体" w:eastAsia="宋体" w:hint="default"/>
                <w:sz w:val="20"/>
                <w:szCs w:val="20"/>
              </w:rPr>
              <w:t>本期借款增加所致</w:t>
            </w:r>
          </w:p>
        </w:tc>
        <w:tc>
          <w:tcPr>
            <w:tcW w:w="400" w:type="dxa"/>
            <w:tcBorders>
              <w:top w:val="nil" w:sz="6" w:space="0" w:color="auto"/>
              <w:left w:val="nil" w:sz="6" w:space="0" w:color="auto"/>
              <w:bottom w:val="nil" w:sz="6" w:space="0" w:color="auto"/>
              <w:right w:val="nil" w:sz="6" w:space="0" w:color="auto"/>
            </w:tcBorders>
          </w:tcPr>
          <w:p>
            <w:pPr/>
          </w:p>
        </w:tc>
      </w:tr>
      <w:tr>
        <w:trPr>
          <w:trHeight w:val="343" w:hRule="exact"/>
        </w:trPr>
        <w:tc>
          <w:tcPr>
            <w:tcW w:w="2119"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40"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153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54"/>
              <w:jc w:val="right"/>
              <w:rPr>
                <w:rFonts w:ascii="Times New Roman" w:hAnsi="Times New Roman" w:cs="Times New Roman" w:eastAsia="Times New Roman" w:hint="default"/>
                <w:sz w:val="20"/>
                <w:szCs w:val="20"/>
              </w:rPr>
            </w:pPr>
            <w:r>
              <w:rPr>
                <w:rFonts w:ascii="Times New Roman"/>
                <w:spacing w:val="-1"/>
                <w:sz w:val="20"/>
              </w:rPr>
              <w:t>1,350,000,000.00</w:t>
            </w:r>
          </w:p>
        </w:tc>
        <w:tc>
          <w:tcPr>
            <w:tcW w:w="1357"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51"/>
              <w:jc w:val="right"/>
              <w:rPr>
                <w:rFonts w:ascii="Times New Roman" w:hAnsi="Times New Roman" w:cs="Times New Roman" w:eastAsia="Times New Roman" w:hint="default"/>
                <w:sz w:val="20"/>
                <w:szCs w:val="20"/>
              </w:rPr>
            </w:pPr>
            <w:r>
              <w:rPr>
                <w:rFonts w:ascii="Times New Roman"/>
                <w:w w:val="95"/>
                <w:sz w:val="20"/>
              </w:rPr>
              <w:t>591,186,000.00</w:t>
            </w:r>
            <w:r>
              <w:rPr>
                <w:rFonts w:ascii="Times New Roman"/>
                <w:sz w:val="20"/>
              </w:rPr>
            </w:r>
          </w:p>
        </w:tc>
        <w:tc>
          <w:tcPr>
            <w:tcW w:w="1373"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68"/>
              <w:jc w:val="right"/>
              <w:rPr>
                <w:rFonts w:ascii="Times New Roman" w:hAnsi="Times New Roman" w:cs="Times New Roman" w:eastAsia="Times New Roman" w:hint="default"/>
                <w:sz w:val="20"/>
                <w:szCs w:val="20"/>
              </w:rPr>
            </w:pPr>
            <w:r>
              <w:rPr>
                <w:rFonts w:ascii="Times New Roman"/>
                <w:w w:val="95"/>
                <w:sz w:val="20"/>
              </w:rPr>
              <w:t>758,814,000.00</w:t>
            </w:r>
            <w:r>
              <w:rPr>
                <w:rFonts w:ascii="Times New Roman"/>
                <w:sz w:val="20"/>
              </w:rPr>
            </w:r>
          </w:p>
        </w:tc>
        <w:tc>
          <w:tcPr>
            <w:tcW w:w="89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9"/>
              <w:jc w:val="right"/>
              <w:rPr>
                <w:rFonts w:ascii="Times New Roman" w:hAnsi="Times New Roman" w:cs="Times New Roman" w:eastAsia="Times New Roman" w:hint="default"/>
                <w:sz w:val="20"/>
                <w:szCs w:val="20"/>
              </w:rPr>
            </w:pPr>
            <w:r>
              <w:rPr>
                <w:rFonts w:ascii="Times New Roman"/>
                <w:w w:val="95"/>
                <w:sz w:val="20"/>
              </w:rPr>
              <w:t>128.35%</w:t>
            </w:r>
            <w:r>
              <w:rPr>
                <w:rFonts w:ascii="Times New Roman"/>
                <w:sz w:val="20"/>
              </w:rPr>
            </w:r>
          </w:p>
        </w:tc>
        <w:tc>
          <w:tcPr>
            <w:tcW w:w="1965" w:type="dxa"/>
            <w:tcBorders>
              <w:top w:val="single" w:sz="8" w:space="0" w:color="000000"/>
              <w:left w:val="nil" w:sz="6" w:space="0" w:color="auto"/>
              <w:bottom w:val="single" w:sz="8" w:space="0" w:color="000000"/>
              <w:right w:val="nil" w:sz="6" w:space="0" w:color="auto"/>
            </w:tcBorders>
          </w:tcPr>
          <w:p>
            <w:pPr>
              <w:pStyle w:val="TableParagraph"/>
              <w:spacing w:line="256" w:lineRule="exact"/>
              <w:ind w:left="8" w:right="0"/>
              <w:jc w:val="left"/>
              <w:rPr>
                <w:rFonts w:ascii="宋体" w:hAnsi="宋体" w:cs="宋体" w:eastAsia="宋体" w:hint="default"/>
                <w:sz w:val="20"/>
                <w:szCs w:val="20"/>
              </w:rPr>
            </w:pPr>
            <w:r>
              <w:rPr>
                <w:rFonts w:ascii="宋体" w:hAnsi="宋体" w:cs="宋体" w:eastAsia="宋体" w:hint="default"/>
                <w:sz w:val="20"/>
                <w:szCs w:val="20"/>
              </w:rPr>
              <w:t>本期偿还借款所致</w:t>
            </w:r>
          </w:p>
        </w:tc>
        <w:tc>
          <w:tcPr>
            <w:tcW w:w="400" w:type="dxa"/>
            <w:tcBorders>
              <w:top w:val="nil" w:sz="6" w:space="0" w:color="auto"/>
              <w:left w:val="nil" w:sz="6" w:space="0" w:color="auto"/>
              <w:bottom w:val="nil" w:sz="6" w:space="0" w:color="auto"/>
              <w:right w:val="nil" w:sz="6" w:space="0" w:color="auto"/>
            </w:tcBorders>
          </w:tcPr>
          <w:p>
            <w:pPr/>
          </w:p>
        </w:tc>
      </w:tr>
      <w:tr>
        <w:trPr>
          <w:trHeight w:val="653" w:hRule="exact"/>
        </w:trPr>
        <w:tc>
          <w:tcPr>
            <w:tcW w:w="2119" w:type="dxa"/>
            <w:tcBorders>
              <w:top w:val="single" w:sz="8" w:space="0" w:color="000000"/>
              <w:left w:val="nil" w:sz="6" w:space="0" w:color="auto"/>
              <w:bottom w:val="single" w:sz="8" w:space="0" w:color="000000"/>
              <w:right w:val="nil" w:sz="6" w:space="0" w:color="auto"/>
            </w:tcBorders>
          </w:tcPr>
          <w:p>
            <w:pPr>
              <w:pStyle w:val="TableParagraph"/>
              <w:spacing w:line="285" w:lineRule="auto"/>
              <w:ind w:left="40" w:right="80"/>
              <w:jc w:val="left"/>
              <w:rPr>
                <w:rFonts w:ascii="宋体" w:hAnsi="宋体" w:cs="宋体" w:eastAsia="宋体" w:hint="default"/>
                <w:sz w:val="20"/>
                <w:szCs w:val="20"/>
              </w:rPr>
            </w:pPr>
            <w:r>
              <w:rPr>
                <w:rFonts w:ascii="宋体" w:hAnsi="宋体" w:cs="宋体" w:eastAsia="宋体" w:hint="default"/>
                <w:w w:val="95"/>
                <w:sz w:val="20"/>
                <w:szCs w:val="20"/>
              </w:rPr>
              <w:t>分配股利、利润或偿付 </w:t>
            </w:r>
            <w:r>
              <w:rPr>
                <w:rFonts w:ascii="宋体" w:hAnsi="宋体" w:cs="宋体" w:eastAsia="宋体" w:hint="default"/>
                <w:sz w:val="20"/>
                <w:szCs w:val="20"/>
              </w:rPr>
              <w:t>利息支付的现金</w:t>
            </w:r>
          </w:p>
        </w:tc>
        <w:tc>
          <w:tcPr>
            <w:tcW w:w="153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53"/>
              <w:jc w:val="right"/>
              <w:rPr>
                <w:rFonts w:ascii="Times New Roman" w:hAnsi="Times New Roman" w:cs="Times New Roman" w:eastAsia="Times New Roman" w:hint="default"/>
                <w:sz w:val="20"/>
                <w:szCs w:val="20"/>
              </w:rPr>
            </w:pPr>
            <w:r>
              <w:rPr>
                <w:rFonts w:ascii="Times New Roman"/>
                <w:w w:val="95"/>
                <w:sz w:val="20"/>
              </w:rPr>
              <w:t>64,239,683.64</w:t>
            </w:r>
            <w:r>
              <w:rPr>
                <w:rFonts w:ascii="Times New Roman"/>
                <w:sz w:val="20"/>
              </w:rPr>
            </w:r>
          </w:p>
        </w:tc>
        <w:tc>
          <w:tcPr>
            <w:tcW w:w="1357"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53"/>
              <w:jc w:val="right"/>
              <w:rPr>
                <w:rFonts w:ascii="Times New Roman" w:hAnsi="Times New Roman" w:cs="Times New Roman" w:eastAsia="Times New Roman" w:hint="default"/>
                <w:sz w:val="20"/>
                <w:szCs w:val="20"/>
              </w:rPr>
            </w:pPr>
            <w:r>
              <w:rPr>
                <w:rFonts w:ascii="Times New Roman"/>
                <w:w w:val="95"/>
                <w:sz w:val="20"/>
              </w:rPr>
              <w:t>34,302,617.41</w:t>
            </w:r>
            <w:r>
              <w:rPr>
                <w:rFonts w:ascii="Times New Roman"/>
                <w:sz w:val="20"/>
              </w:rPr>
            </w:r>
          </w:p>
        </w:tc>
        <w:tc>
          <w:tcPr>
            <w:tcW w:w="1373"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70"/>
              <w:jc w:val="right"/>
              <w:rPr>
                <w:rFonts w:ascii="Times New Roman" w:hAnsi="Times New Roman" w:cs="Times New Roman" w:eastAsia="Times New Roman" w:hint="default"/>
                <w:sz w:val="20"/>
                <w:szCs w:val="20"/>
              </w:rPr>
            </w:pPr>
            <w:r>
              <w:rPr>
                <w:rFonts w:ascii="Times New Roman"/>
                <w:w w:val="95"/>
                <w:sz w:val="20"/>
              </w:rPr>
              <w:t>29,937,066.23</w:t>
            </w:r>
            <w:r>
              <w:rPr>
                <w:rFonts w:ascii="Times New Roman"/>
                <w:sz w:val="20"/>
              </w:rPr>
            </w:r>
          </w:p>
        </w:tc>
        <w:tc>
          <w:tcPr>
            <w:tcW w:w="896" w:type="dxa"/>
            <w:tcBorders>
              <w:top w:val="single" w:sz="8" w:space="0" w:color="000000"/>
              <w:left w:val="nil" w:sz="6" w:space="0" w:color="auto"/>
              <w:bottom w:val="single" w:sz="8"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20"/>
                <w:szCs w:val="20"/>
              </w:rPr>
            </w:pPr>
            <w:r>
              <w:rPr>
                <w:rFonts w:ascii="Times New Roman"/>
                <w:sz w:val="20"/>
              </w:rPr>
              <w:t>87.27%</w:t>
            </w:r>
          </w:p>
        </w:tc>
        <w:tc>
          <w:tcPr>
            <w:tcW w:w="1965" w:type="dxa"/>
            <w:tcBorders>
              <w:top w:val="single" w:sz="8" w:space="0" w:color="000000"/>
              <w:left w:val="nil" w:sz="6" w:space="0" w:color="auto"/>
              <w:bottom w:val="single" w:sz="8" w:space="0" w:color="000000"/>
              <w:right w:val="nil" w:sz="6" w:space="0" w:color="auto"/>
            </w:tcBorders>
          </w:tcPr>
          <w:p>
            <w:pPr>
              <w:pStyle w:val="TableParagraph"/>
              <w:spacing w:line="285" w:lineRule="auto"/>
              <w:ind w:left="8" w:right="157"/>
              <w:jc w:val="left"/>
              <w:rPr>
                <w:rFonts w:ascii="宋体" w:hAnsi="宋体" w:cs="宋体" w:eastAsia="宋体" w:hint="default"/>
                <w:sz w:val="20"/>
                <w:szCs w:val="20"/>
              </w:rPr>
            </w:pPr>
            <w:r>
              <w:rPr>
                <w:rFonts w:ascii="宋体" w:hAnsi="宋体" w:cs="宋体" w:eastAsia="宋体" w:hint="default"/>
                <w:w w:val="95"/>
                <w:sz w:val="20"/>
                <w:szCs w:val="20"/>
              </w:rPr>
              <w:t>本期借款增加导致利</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z w:val="20"/>
                <w:szCs w:val="20"/>
              </w:rPr>
              <w:t>息增加</w:t>
            </w:r>
          </w:p>
        </w:tc>
        <w:tc>
          <w:tcPr>
            <w:tcW w:w="400" w:type="dxa"/>
            <w:tcBorders>
              <w:top w:val="nil" w:sz="6" w:space="0" w:color="auto"/>
              <w:left w:val="nil" w:sz="6" w:space="0" w:color="auto"/>
              <w:bottom w:val="nil" w:sz="6" w:space="0" w:color="auto"/>
              <w:right w:val="nil" w:sz="6" w:space="0" w:color="auto"/>
            </w:tcBorders>
          </w:tcPr>
          <w:p>
            <w:pPr/>
          </w:p>
        </w:tc>
      </w:tr>
      <w:tr>
        <w:trPr>
          <w:trHeight w:val="655" w:hRule="exact"/>
        </w:trPr>
        <w:tc>
          <w:tcPr>
            <w:tcW w:w="2119" w:type="dxa"/>
            <w:tcBorders>
              <w:top w:val="single" w:sz="8" w:space="0" w:color="000000"/>
              <w:left w:val="nil" w:sz="6" w:space="0" w:color="auto"/>
              <w:bottom w:val="single" w:sz="8" w:space="0" w:color="000000"/>
              <w:right w:val="nil" w:sz="6" w:space="0" w:color="auto"/>
            </w:tcBorders>
          </w:tcPr>
          <w:p>
            <w:pPr>
              <w:pStyle w:val="TableParagraph"/>
              <w:spacing w:line="285" w:lineRule="auto"/>
              <w:ind w:left="40" w:right="80"/>
              <w:jc w:val="left"/>
              <w:rPr>
                <w:rFonts w:ascii="宋体" w:hAnsi="宋体" w:cs="宋体" w:eastAsia="宋体" w:hint="default"/>
                <w:sz w:val="20"/>
                <w:szCs w:val="20"/>
              </w:rPr>
            </w:pPr>
            <w:r>
              <w:rPr>
                <w:rFonts w:ascii="宋体" w:hAnsi="宋体" w:cs="宋体" w:eastAsia="宋体" w:hint="default"/>
                <w:w w:val="95"/>
                <w:sz w:val="20"/>
                <w:szCs w:val="20"/>
              </w:rPr>
              <w:t>支付其他与筹资活动有 </w:t>
            </w:r>
            <w:r>
              <w:rPr>
                <w:rFonts w:ascii="宋体" w:hAnsi="宋体" w:cs="宋体" w:eastAsia="宋体" w:hint="default"/>
                <w:sz w:val="20"/>
                <w:szCs w:val="20"/>
              </w:rPr>
              <w:t>关的现金</w:t>
            </w:r>
          </w:p>
        </w:tc>
        <w:tc>
          <w:tcPr>
            <w:tcW w:w="153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51"/>
              <w:jc w:val="right"/>
              <w:rPr>
                <w:rFonts w:ascii="Times New Roman" w:hAnsi="Times New Roman" w:cs="Times New Roman" w:eastAsia="Times New Roman" w:hint="default"/>
                <w:sz w:val="20"/>
                <w:szCs w:val="20"/>
              </w:rPr>
            </w:pPr>
            <w:r>
              <w:rPr>
                <w:rFonts w:ascii="Times New Roman"/>
                <w:w w:val="95"/>
                <w:sz w:val="20"/>
              </w:rPr>
              <w:t>8,579,775.00</w:t>
            </w:r>
            <w:r>
              <w:rPr>
                <w:rFonts w:ascii="Times New Roman"/>
                <w:sz w:val="20"/>
              </w:rPr>
            </w:r>
          </w:p>
        </w:tc>
        <w:tc>
          <w:tcPr>
            <w:tcW w:w="1357"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50"/>
              <w:jc w:val="right"/>
              <w:rPr>
                <w:rFonts w:ascii="Times New Roman" w:hAnsi="Times New Roman" w:cs="Times New Roman" w:eastAsia="Times New Roman" w:hint="default"/>
                <w:sz w:val="20"/>
                <w:szCs w:val="20"/>
              </w:rPr>
            </w:pPr>
            <w:r>
              <w:rPr>
                <w:rFonts w:ascii="Times New Roman"/>
                <w:w w:val="95"/>
                <w:sz w:val="20"/>
              </w:rPr>
              <w:t>613,817.36</w:t>
            </w:r>
            <w:r>
              <w:rPr>
                <w:rFonts w:ascii="Times New Roman"/>
                <w:sz w:val="20"/>
              </w:rPr>
            </w:r>
          </w:p>
        </w:tc>
        <w:tc>
          <w:tcPr>
            <w:tcW w:w="1373"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67"/>
              <w:jc w:val="right"/>
              <w:rPr>
                <w:rFonts w:ascii="Times New Roman" w:hAnsi="Times New Roman" w:cs="Times New Roman" w:eastAsia="Times New Roman" w:hint="default"/>
                <w:sz w:val="20"/>
                <w:szCs w:val="20"/>
              </w:rPr>
            </w:pPr>
            <w:r>
              <w:rPr>
                <w:rFonts w:ascii="Times New Roman"/>
                <w:w w:val="95"/>
                <w:sz w:val="20"/>
              </w:rPr>
              <w:t>7,965,957.64</w:t>
            </w:r>
            <w:r>
              <w:rPr>
                <w:rFonts w:ascii="Times New Roman"/>
                <w:sz w:val="20"/>
              </w:rPr>
            </w:r>
          </w:p>
        </w:tc>
        <w:tc>
          <w:tcPr>
            <w:tcW w:w="896" w:type="dxa"/>
            <w:tcBorders>
              <w:top w:val="single" w:sz="8" w:space="0" w:color="000000"/>
              <w:left w:val="nil" w:sz="6" w:space="0" w:color="auto"/>
              <w:bottom w:val="single" w:sz="8" w:space="0" w:color="000000"/>
              <w:right w:val="nil" w:sz="6" w:space="0" w:color="auto"/>
            </w:tcBorders>
          </w:tcPr>
          <w:p>
            <w:pPr>
              <w:pStyle w:val="TableParagraph"/>
              <w:spacing w:line="240" w:lineRule="auto" w:before="41"/>
              <w:ind w:right="6"/>
              <w:jc w:val="right"/>
              <w:rPr>
                <w:rFonts w:ascii="Times New Roman" w:hAnsi="Times New Roman" w:cs="Times New Roman" w:eastAsia="Times New Roman" w:hint="default"/>
                <w:sz w:val="20"/>
                <w:szCs w:val="20"/>
              </w:rPr>
            </w:pPr>
            <w:r>
              <w:rPr>
                <w:rFonts w:ascii="Times New Roman"/>
                <w:sz w:val="20"/>
              </w:rPr>
              <w:t>1297.77%</w:t>
            </w:r>
          </w:p>
        </w:tc>
        <w:tc>
          <w:tcPr>
            <w:tcW w:w="1965" w:type="dxa"/>
            <w:tcBorders>
              <w:top w:val="single" w:sz="8" w:space="0" w:color="000000"/>
              <w:left w:val="nil" w:sz="6" w:space="0" w:color="auto"/>
              <w:bottom w:val="single" w:sz="8" w:space="0" w:color="000000"/>
              <w:right w:val="nil" w:sz="6" w:space="0" w:color="auto"/>
            </w:tcBorders>
          </w:tcPr>
          <w:p>
            <w:pPr>
              <w:pStyle w:val="TableParagraph"/>
              <w:spacing w:line="285" w:lineRule="auto"/>
              <w:ind w:left="8" w:right="157"/>
              <w:jc w:val="left"/>
              <w:rPr>
                <w:rFonts w:ascii="宋体" w:hAnsi="宋体" w:cs="宋体" w:eastAsia="宋体" w:hint="default"/>
                <w:sz w:val="20"/>
                <w:szCs w:val="20"/>
              </w:rPr>
            </w:pPr>
            <w:r>
              <w:rPr>
                <w:rFonts w:ascii="宋体" w:hAnsi="宋体" w:cs="宋体" w:eastAsia="宋体" w:hint="default"/>
                <w:w w:val="95"/>
                <w:sz w:val="20"/>
                <w:szCs w:val="20"/>
              </w:rPr>
              <w:t>本期定向增发股票费</w:t>
            </w:r>
            <w:r>
              <w:rPr>
                <w:rFonts w:ascii="宋体" w:hAnsi="宋体" w:cs="宋体" w:eastAsia="宋体" w:hint="default"/>
                <w:spacing w:val="-9"/>
                <w:w w:val="95"/>
                <w:sz w:val="20"/>
                <w:szCs w:val="20"/>
              </w:rPr>
              <w:t> </w:t>
            </w:r>
            <w:r>
              <w:rPr>
                <w:rFonts w:ascii="宋体" w:hAnsi="宋体" w:cs="宋体" w:eastAsia="宋体" w:hint="default"/>
                <w:spacing w:val="-9"/>
                <w:w w:val="95"/>
                <w:sz w:val="20"/>
                <w:szCs w:val="20"/>
              </w:rPr>
            </w:r>
            <w:r>
              <w:rPr>
                <w:rFonts w:ascii="宋体" w:hAnsi="宋体" w:cs="宋体" w:eastAsia="宋体" w:hint="default"/>
                <w:sz w:val="20"/>
                <w:szCs w:val="20"/>
              </w:rPr>
              <w:t>用增加所致</w:t>
            </w:r>
          </w:p>
        </w:tc>
        <w:tc>
          <w:tcPr>
            <w:tcW w:w="400"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1340" w:top="1060" w:bottom="1540" w:left="1000" w:right="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6"/>
          <w:szCs w:val="26"/>
        </w:rPr>
      </w:pPr>
    </w:p>
    <w:p>
      <w:pPr>
        <w:pStyle w:val="Heading1"/>
        <w:spacing w:line="240" w:lineRule="auto"/>
        <w:ind w:right="3041"/>
        <w:jc w:val="center"/>
        <w:rPr>
          <w:b w:val="0"/>
          <w:bCs w:val="0"/>
        </w:rPr>
      </w:pPr>
      <w:bookmarkStart w:name="_TOC_250000" w:id="11"/>
      <w:r>
        <w:rPr/>
        <w:t>第十一节</w:t>
      </w:r>
      <w:r>
        <w:rPr>
          <w:spacing w:val="-6"/>
        </w:rPr>
        <w:t> </w:t>
      </w:r>
      <w:r>
        <w:rPr/>
        <w:t>备查文件目录</w:t>
      </w:r>
      <w:bookmarkEnd w:id="11"/>
      <w:r>
        <w:rPr>
          <w:b w:val="0"/>
          <w:bCs w:val="0"/>
        </w:rPr>
      </w:r>
    </w:p>
    <w:p>
      <w:pPr>
        <w:spacing w:line="240" w:lineRule="auto" w:before="10"/>
        <w:rPr>
          <w:rFonts w:ascii="宋体" w:hAnsi="宋体" w:cs="宋体" w:eastAsia="宋体" w:hint="default"/>
          <w:b/>
          <w:bCs/>
          <w:sz w:val="38"/>
          <w:szCs w:val="38"/>
        </w:rPr>
      </w:pPr>
    </w:p>
    <w:p>
      <w:pPr>
        <w:pStyle w:val="BodyText"/>
        <w:spacing w:line="240" w:lineRule="auto"/>
        <w:ind w:right="1125"/>
        <w:jc w:val="left"/>
      </w:pPr>
      <w:r>
        <w:rPr>
          <w:rFonts w:ascii="Times New Roman" w:hAnsi="Times New Roman" w:cs="Times New Roman" w:eastAsia="Times New Roman" w:hint="default"/>
        </w:rPr>
        <w:t>1</w:t>
      </w:r>
      <w:r>
        <w:rPr/>
        <w:t>、载有董事长签名的年度报告文本；</w:t>
      </w:r>
    </w:p>
    <w:p>
      <w:pPr>
        <w:pStyle w:val="BodyText"/>
        <w:spacing w:line="240" w:lineRule="auto" w:before="20"/>
        <w:ind w:right="0"/>
        <w:jc w:val="left"/>
      </w:pPr>
      <w:r>
        <w:rPr>
          <w:rFonts w:ascii="Times New Roman" w:hAnsi="Times New Roman" w:cs="Times New Roman" w:eastAsia="Times New Roman" w:hint="default"/>
        </w:rPr>
        <w:t>2</w:t>
      </w:r>
      <w:r>
        <w:rPr/>
        <w:t>、载有单位负责人、主管会计工作的负责人、会计机构负责人签名并盖章的财务报告文本；</w:t>
      </w:r>
    </w:p>
    <w:p>
      <w:pPr>
        <w:pStyle w:val="BodyText"/>
        <w:spacing w:line="240" w:lineRule="auto" w:before="20"/>
        <w:ind w:right="1125"/>
        <w:jc w:val="left"/>
      </w:pPr>
      <w:r>
        <w:rPr>
          <w:rFonts w:ascii="Times New Roman" w:hAnsi="Times New Roman" w:cs="Times New Roman" w:eastAsia="Times New Roman" w:hint="default"/>
        </w:rPr>
        <w:t>3</w:t>
      </w:r>
      <w:r>
        <w:rPr/>
        <w:t>、报告期内在《公司章程》指定披露报刊及网站上公开披露过的所有文件文本；</w:t>
      </w:r>
    </w:p>
    <w:p>
      <w:pPr>
        <w:pStyle w:val="BodyText"/>
        <w:spacing w:line="240" w:lineRule="auto" w:before="18"/>
        <w:ind w:right="1125"/>
        <w:jc w:val="left"/>
      </w:pPr>
      <w:r>
        <w:rPr>
          <w:rFonts w:ascii="Times New Roman" w:hAnsi="Times New Roman" w:cs="Times New Roman" w:eastAsia="Times New Roman" w:hint="default"/>
        </w:rPr>
        <w:t>4</w:t>
      </w:r>
      <w:r>
        <w:rPr/>
        <w:t>、《公司章程》文本；</w:t>
      </w:r>
    </w:p>
    <w:p>
      <w:pPr>
        <w:pStyle w:val="BodyText"/>
        <w:spacing w:line="240" w:lineRule="auto" w:before="20"/>
        <w:ind w:right="1125"/>
        <w:jc w:val="left"/>
      </w:pPr>
      <w:r>
        <w:rPr>
          <w:rFonts w:ascii="Times New Roman" w:hAnsi="Times New Roman" w:cs="Times New Roman" w:eastAsia="Times New Roman" w:hint="default"/>
        </w:rPr>
        <w:t>5</w:t>
      </w:r>
      <w:r>
        <w:rPr/>
        <w:t>、其他有关资料。</w:t>
      </w:r>
    </w:p>
    <w:sectPr>
      <w:pgSz w:w="11910" w:h="16840"/>
      <w:pgMar w:header="877" w:footer="1340" w:top="1060" w:bottom="154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262704" type="#_x0000_t75" stroked="false">
          <v:imagedata r:id="rId1" o:title=""/>
        </v:shape>
      </w:pict>
    </w:r>
    <w:r>
      <w:rPr/>
      <w:pict>
        <v:shape style="position:absolute;margin-left:533.099976pt;margin-top:795.637939pt;width:6.5pt;height:11pt;mso-position-horizontal-relative:page;mso-position-vertical-relative:page;z-index:-12626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262272" type="#_x0000_t75" stroked="false">
          <v:imagedata r:id="rId1" o:title=""/>
        </v:shape>
      </w:pict>
    </w:r>
    <w:r>
      <w:rPr/>
      <w:pict>
        <v:shape style="position:absolute;margin-left:527.659973pt;margin-top:781.933899pt;width:13.15pt;height:11pt;mso-position-horizontal-relative:page;mso-position-vertical-relative:page;z-index:-1262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262176" type="#_x0000_t75" stroked="false">
          <v:imagedata r:id="rId1" o:title=""/>
        </v:shape>
      </w:pict>
    </w:r>
    <w:r>
      <w:rPr/>
      <w:pict>
        <v:shape style="position:absolute;margin-left:527.659973pt;margin-top:781.933899pt;width:13.15pt;height:11pt;mso-position-horizontal-relative:page;mso-position-vertical-relative:page;z-index:-1262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47</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262080" type="#_x0000_t75" stroked="false">
          <v:imagedata r:id="rId1" o:title=""/>
        </v:shape>
      </w:pict>
    </w:r>
    <w:r>
      <w:rPr/>
      <w:pict>
        <v:shape style="position:absolute;margin-left:527.659973pt;margin-top:781.933899pt;width:13.15pt;height:11pt;mso-position-horizontal-relative:page;mso-position-vertical-relative:page;z-index:-1262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261984" type="#_x0000_t75" stroked="false">
          <v:imagedata r:id="rId1" o:title=""/>
        </v:shape>
      </w:pict>
    </w:r>
    <w:r>
      <w:rPr/>
      <w:pict>
        <v:shape style="position:absolute;margin-left:527.659973pt;margin-top:781.933899pt;width:13.15pt;height:11pt;mso-position-horizontal-relative:page;mso-position-vertical-relative:page;z-index:-1261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65</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262656" type="#_x0000_t75" stroked="false">
          <v:imagedata r:id="rId1" o:title=""/>
        </v:shape>
      </w:pict>
    </w:r>
    <w:r>
      <w:rPr/>
      <w:pict>
        <v:shape style="position:absolute;margin-left:527.659973pt;margin-top:781.933899pt;width:13.15pt;height:11pt;mso-position-horizontal-relative:page;mso-position-vertical-relative:page;z-index:-1262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261744" type="#_x0000_t75" stroked="false">
          <v:imagedata r:id="rId1" o:title=""/>
        </v:shape>
      </w:pict>
    </w:r>
    <w:r>
      <w:rPr/>
      <w:pict>
        <v:shape style="position:absolute;margin-left:527.659973pt;margin-top:781.933899pt;width:13.15pt;height:11pt;mso-position-horizontal-relative:page;mso-position-vertical-relative:page;z-index:-1261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79</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261648" type="#_x0000_t75" stroked="false">
          <v:imagedata r:id="rId1" o:title=""/>
        </v:shape>
      </w:pict>
    </w:r>
    <w:r>
      <w:rPr/>
      <w:pict>
        <v:shape style="position:absolute;margin-left:527.659973pt;margin-top:781.933899pt;width:13.15pt;height:11pt;mso-position-horizontal-relative:page;mso-position-vertical-relative:page;z-index:-1261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96</w:t>
                </w:r>
                <w:r>
                  <w:rPr/>
                  <w:fldChar w:fldCharType="end"/>
                </w:r>
                <w:r>
                  <w:rPr>
                    <w:rFonts w:ascii="Times New Roman"/>
                    <w:spacing w:val="1"/>
                    <w:sz w:val="18"/>
                  </w:rPr>
                </w:r>
                <w:r>
                  <w:rPr>
                    <w:rFonts w:ascii="Times New Roman"/>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261600" type="#_x0000_t75" stroked="false">
          <v:imagedata r:id="rId1" o:title=""/>
        </v:shape>
      </w:pict>
    </w:r>
    <w:r>
      <w:rPr/>
      <w:pict>
        <v:shape style="position:absolute;margin-left:527.659973pt;margin-top:781.933899pt;width:13.15pt;height:11pt;mso-position-horizontal-relative:page;mso-position-vertical-relative:page;z-index:-1261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97</w:t>
                </w:r>
                <w:r>
                  <w:rPr/>
                  <w:fldChar w:fldCharType="end"/>
                </w:r>
                <w:r>
                  <w:rPr>
                    <w:rFonts w:ascii="Times New Roman"/>
                    <w:spacing w:val="1"/>
                    <w:sz w:val="18"/>
                  </w:rPr>
                </w:r>
                <w:r>
                  <w:rPr>
                    <w:rFonts w:ascii="Times New Roman"/>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261552" type="#_x0000_t75" stroked="false">
          <v:imagedata r:id="rId1" o:title=""/>
        </v:shape>
      </w:pict>
    </w:r>
    <w:r>
      <w:rPr/>
      <w:pict>
        <v:shape style="position:absolute;margin-left:524.099976pt;margin-top:781.933899pt;width:15.7pt;height:11pt;mso-position-horizontal-relative:page;mso-position-vertical-relative:page;z-index:-12615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261504" type="#_x0000_t75" stroked="false">
          <v:imagedata r:id="rId1" o:title=""/>
        </v:shape>
      </w:pict>
    </w:r>
    <w:r>
      <w:rPr/>
      <w:pict>
        <v:shape style="position:absolute;margin-left:523.099976pt;margin-top:781.933899pt;width:17.7pt;height:11pt;mso-position-horizontal-relative:page;mso-position-vertical-relative:page;z-index:-1261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102</w:t>
                </w:r>
                <w:r>
                  <w:rPr/>
                  <w:fldChar w:fldCharType="end"/>
                </w:r>
                <w:r>
                  <w:rPr>
                    <w:rFonts w:ascii="Times New Roman"/>
                    <w:spacing w:val="1"/>
                    <w:sz w:val="18"/>
                  </w:rPr>
                </w:r>
                <w:r>
                  <w:rPr>
                    <w:rFonts w:ascii="Times New Roman"/>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261456" type="#_x0000_t75" stroked="false">
          <v:imagedata r:id="rId1" o:title=""/>
        </v:shape>
      </w:pict>
    </w:r>
    <w:r>
      <w:rPr/>
      <w:pict>
        <v:shape style="position:absolute;margin-left:523.460022pt;margin-top:781.933899pt;width:17.3pt;height:11pt;mso-position-horizontal-relative:page;mso-position-vertical-relative:page;z-index:-1261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261408" type="#_x0000_t75" stroked="false">
          <v:imagedata r:id="rId1" o:title=""/>
        </v:shape>
      </w:pict>
    </w:r>
    <w:r>
      <w:rPr/>
      <w:pict>
        <v:shape style="position:absolute;margin-left:523.099976pt;margin-top:781.933899pt;width:17.7pt;height:11pt;mso-position-horizontal-relative:page;mso-position-vertical-relative:page;z-index:-1261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261360" type="#_x0000_t75" stroked="false">
          <v:imagedata r:id="rId1" o:title=""/>
        </v:shape>
      </w:pict>
    </w:r>
    <w:r>
      <w:rPr/>
      <w:pict>
        <v:shape style="position:absolute;margin-left:523.099976pt;margin-top:781.933899pt;width:17.7pt;height:11pt;mso-position-horizontal-relative:page;mso-position-vertical-relative:page;z-index:-1261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122</w:t>
                </w:r>
                <w:r>
                  <w:rPr/>
                  <w:fldChar w:fldCharType="end"/>
                </w:r>
                <w:r>
                  <w:rPr>
                    <w:rFonts w:ascii="Times New Roman"/>
                    <w:spacing w:val="1"/>
                    <w:sz w:val="18"/>
                  </w:rPr>
                </w:r>
                <w:r>
                  <w:rPr>
                    <w:rFonts w:ascii="Times New Roman"/>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261264" type="#_x0000_t75" stroked="false">
          <v:imagedata r:id="rId1" o:title=""/>
        </v:shape>
      </w:pict>
    </w:r>
    <w:r>
      <w:rPr/>
      <w:pict>
        <v:shape style="position:absolute;margin-left:523.099976pt;margin-top:781.933899pt;width:17.7pt;height:11pt;mso-position-horizontal-relative:page;mso-position-vertical-relative:page;z-index:-1261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128</w:t>
                </w:r>
                <w:r>
                  <w:rPr/>
                  <w:fldChar w:fldCharType="end"/>
                </w:r>
                <w:r>
                  <w:rPr>
                    <w:rFonts w:ascii="Times New Roman"/>
                    <w:spacing w:val="1"/>
                    <w:sz w:val="18"/>
                  </w:rPr>
                </w:r>
                <w:r>
                  <w:rPr>
                    <w:rFonts w:ascii="Times New Roman"/>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261168" type="#_x0000_t75" stroked="false">
          <v:imagedata r:id="rId1" o:title=""/>
        </v:shape>
      </w:pict>
    </w:r>
    <w:r>
      <w:rPr/>
      <w:pict>
        <v:shape style="position:absolute;margin-left:523.099976pt;margin-top:781.933899pt;width:17.7pt;height:11pt;mso-position-horizontal-relative:page;mso-position-vertical-relative:page;z-index:-1261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134</w:t>
                </w:r>
                <w:r>
                  <w:rPr/>
                  <w:fldChar w:fldCharType="end"/>
                </w:r>
                <w:r>
                  <w:rPr>
                    <w:rFonts w:ascii="Times New Roman"/>
                    <w:spacing w:val="1"/>
                    <w:sz w:val="18"/>
                  </w:rPr>
                </w:r>
                <w:r>
                  <w:rPr>
                    <w:rFonts w:ascii="Times New Roman"/>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261072" type="#_x0000_t75" stroked="false">
          <v:imagedata r:id="rId1" o:title=""/>
        </v:shape>
      </w:pict>
    </w:r>
    <w:r>
      <w:rPr/>
      <w:pict>
        <v:shape style="position:absolute;margin-left:523.099976pt;margin-top:781.933899pt;width:17.7pt;height:11pt;mso-position-horizontal-relative:page;mso-position-vertical-relative:page;z-index:-1261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144</w:t>
                </w:r>
                <w:r>
                  <w:rPr/>
                  <w:fldChar w:fldCharType="end"/>
                </w:r>
                <w:r>
                  <w:rPr>
                    <w:rFonts w:ascii="Times New Roman"/>
                    <w:spacing w:val="1"/>
                    <w:sz w:val="18"/>
                  </w:rPr>
                </w:r>
                <w:r>
                  <w:rPr>
                    <w:rFonts w:ascii="Times New Roman"/>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262560" type="#_x0000_t75" stroked="false">
          <v:imagedata r:id="rId1" o:title=""/>
        </v:shape>
      </w:pict>
    </w:r>
    <w:r>
      <w:rPr/>
      <w:pict>
        <v:shape style="position:absolute;margin-left:527.659973pt;margin-top:781.933899pt;width:13.15pt;height:11pt;mso-position-horizontal-relative:page;mso-position-vertical-relative:page;z-index:-1262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w:t>
                </w:r>
                <w:r>
                  <w:rPr/>
                  <w:fldChar w:fldCharType="end"/>
                </w:r>
                <w:r>
                  <w:rPr>
                    <w:rFonts w:ascii="Times New Roman"/>
                    <w:spacing w:val="1"/>
                    <w:sz w:val="18"/>
                  </w:rPr>
                </w:r>
                <w:r>
                  <w:rPr>
                    <w:rFonts w:ascii="Times New Roman"/>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260784" type="#_x0000_t75" stroked="false">
          <v:imagedata r:id="rId1" o:title=""/>
        </v:shape>
      </w:pict>
    </w:r>
    <w:r>
      <w:rPr/>
      <w:pict>
        <v:shape style="position:absolute;margin-left:523.099976pt;margin-top:781.933899pt;width:17.7pt;height:11pt;mso-position-horizontal-relative:page;mso-position-vertical-relative:page;z-index:-1260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162</w:t>
                </w:r>
                <w:r>
                  <w:rPr/>
                  <w:fldChar w:fldCharType="end"/>
                </w:r>
                <w:r>
                  <w:rPr>
                    <w:rFonts w:ascii="Times New Roman"/>
                    <w:spacing w:val="1"/>
                    <w:sz w:val="18"/>
                  </w:rPr>
                </w:r>
                <w:r>
                  <w:rPr>
                    <w:rFonts w:ascii="Times New Roman"/>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260640" type="#_x0000_t75" stroked="false">
          <v:imagedata r:id="rId1" o:title=""/>
        </v:shape>
      </w:pict>
    </w:r>
    <w:r>
      <w:rPr/>
      <w:pict>
        <v:shape style="position:absolute;margin-left:523.099976pt;margin-top:781.933899pt;width:17.7pt;height:11pt;mso-position-horizontal-relative:page;mso-position-vertical-relative:page;z-index:-1260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169</w:t>
                </w:r>
                <w:r>
                  <w:rPr/>
                  <w:fldChar w:fldCharType="end"/>
                </w:r>
                <w:r>
                  <w:rPr>
                    <w:rFonts w:ascii="Times New Roman"/>
                    <w:spacing w:val="1"/>
                    <w:sz w:val="18"/>
                  </w:rPr>
                </w:r>
                <w:r>
                  <w:rPr>
                    <w:rFonts w:ascii="Times New Roman"/>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260544" type="#_x0000_t75" stroked="false">
          <v:imagedata r:id="rId1" o:title=""/>
        </v:shape>
      </w:pict>
    </w:r>
    <w:r>
      <w:rPr/>
      <w:pict>
        <v:shape style="position:absolute;margin-left:523.099976pt;margin-top:781.933899pt;width:17.7pt;height:11pt;mso-position-horizontal-relative:page;mso-position-vertical-relative:page;z-index:-1260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177</w:t>
                </w:r>
                <w:r>
                  <w:rPr/>
                  <w:fldChar w:fldCharType="end"/>
                </w:r>
                <w:r>
                  <w:rPr>
                    <w:rFonts w:ascii="Times New Roman"/>
                    <w:spacing w:val="1"/>
                    <w:sz w:val="18"/>
                  </w:rPr>
                </w:r>
                <w:r>
                  <w:rPr>
                    <w:rFonts w:ascii="Times New Roman"/>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260448" type="#_x0000_t75" stroked="false">
          <v:imagedata r:id="rId1" o:title=""/>
        </v:shape>
      </w:pict>
    </w:r>
    <w:r>
      <w:rPr/>
      <w:pict>
        <v:shape style="position:absolute;margin-left:523.099976pt;margin-top:781.933899pt;width:17.7pt;height:11pt;mso-position-horizontal-relative:page;mso-position-vertical-relative:page;z-index:-1260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179</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260352" type="#_x0000_t75" stroked="false">
          <v:imagedata r:id="rId1" o:title=""/>
        </v:shape>
      </w:pict>
    </w:r>
    <w:r>
      <w:rPr/>
      <w:pict>
        <v:shape style="position:absolute;margin-left:523.099976pt;margin-top:781.933899pt;width:17.7pt;height:11pt;mso-position-horizontal-relative:page;mso-position-vertical-relative:page;z-index:-1260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184</w:t>
                </w:r>
                <w:r>
                  <w:rPr/>
                  <w:fldChar w:fldCharType="end"/>
                </w:r>
                <w:r>
                  <w:rPr>
                    <w:rFonts w:ascii="Times New Roman"/>
                    <w:spacing w:val="1"/>
                    <w:sz w:val="18"/>
                  </w:rPr>
                </w:r>
                <w:r>
                  <w:rPr>
                    <w:rFonts w:ascii="Times New Roman"/>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260112" type="#_x0000_t75" stroked="false">
          <v:imagedata r:id="rId1" o:title=""/>
        </v:shape>
      </w:pict>
    </w:r>
    <w:r>
      <w:rPr/>
      <w:pict>
        <v:shape style="position:absolute;margin-left:523.099976pt;margin-top:781.933899pt;width:17.7pt;height:11pt;mso-position-horizontal-relative:page;mso-position-vertical-relative:page;z-index:-1260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198</w:t>
                </w:r>
                <w:r>
                  <w:rPr/>
                  <w:fldChar w:fldCharType="end"/>
                </w:r>
                <w:r>
                  <w:rPr>
                    <w:rFonts w:ascii="Times New Roman"/>
                    <w:spacing w:val="1"/>
                    <w:sz w:val="18"/>
                  </w:rPr>
                </w:r>
                <w:r>
                  <w:rPr>
                    <w:rFonts w:ascii="Times New Roman"/>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260064" type="#_x0000_t75" stroked="false">
          <v:imagedata r:id="rId1" o:title=""/>
        </v:shape>
      </w:pict>
    </w:r>
    <w:r>
      <w:rPr/>
      <w:pict>
        <v:shape style="position:absolute;margin-left:524.099976pt;margin-top:781.933899pt;width:15.7pt;height:11pt;mso-position-horizontal-relative:page;mso-position-vertical-relative:page;z-index:-12600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260016" type="#_x0000_t75" stroked="false">
          <v:imagedata r:id="rId1" o:title=""/>
        </v:shape>
      </w:pict>
    </w:r>
    <w:r>
      <w:rPr/>
      <w:pict>
        <v:shape style="position:absolute;margin-left:523.099976pt;margin-top:781.933899pt;width:17.7pt;height:11pt;mso-position-horizontal-relative:page;mso-position-vertical-relative:page;z-index:-1259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262464" type="#_x0000_t75" stroked="false">
          <v:imagedata r:id="rId1" o:title=""/>
        </v:shape>
      </w:pict>
    </w:r>
    <w:r>
      <w:rPr/>
      <w:pict>
        <v:shape style="position:absolute;margin-left:527.659973pt;margin-top:781.933899pt;width:13.15pt;height:11pt;mso-position-horizontal-relative:page;mso-position-vertical-relative:page;z-index:-1262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r>
                  <w:rPr>
                    <w:rFonts w:ascii="Times New Roman"/>
                    <w:spacing w:val="1"/>
                    <w:sz w:val="18"/>
                  </w:rPr>
                </w:r>
                <w:r>
                  <w:rPr>
                    <w:rFonts w:ascii="Times New Roman"/>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1259920" type="#_x0000_t75" stroked="false">
          <v:imagedata r:id="rId1" o:title=""/>
        </v:shape>
      </w:pict>
    </w:r>
    <w:r>
      <w:rPr/>
      <w:pict>
        <v:shape style="position:absolute;margin-left:523.099976pt;margin-top:781.933899pt;width:17.7pt;height:11pt;mso-position-horizontal-relative:page;mso-position-vertical-relative:page;z-index:-1259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204</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070007pt;margin-top:36.265610pt;width:222.75pt;height:11.5pt;mso-position-horizontal-relative:page;mso-position-vertical-relative:page;z-index:-12627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6193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619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6188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618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6184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618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6179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617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6169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616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6131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612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6121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611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6112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610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6102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610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6097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609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6260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625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6092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609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6088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608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608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608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6073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607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6068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606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6059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605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6049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604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6040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603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6030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602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6025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602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6251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624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6020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601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6016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601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5996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599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6241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623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6236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623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6232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622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6222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622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6212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621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12620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12620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8"/>
      <w:ind w:left="152"/>
    </w:pPr>
    <w:rPr>
      <w:rFonts w:ascii="宋体" w:hAnsi="宋体" w:eastAsia="宋体"/>
      <w:sz w:val="28"/>
      <w:szCs w:val="28"/>
    </w:rPr>
  </w:style>
  <w:style w:styleId="BodyText" w:type="paragraph">
    <w:name w:val="Body Text"/>
    <w:basedOn w:val="Normal"/>
    <w:uiPriority w:val="1"/>
    <w:qFormat/>
    <w:pPr>
      <w:ind w:left="152"/>
    </w:pPr>
    <w:rPr>
      <w:rFonts w:ascii="宋体" w:hAnsi="宋体" w:eastAsia="宋体"/>
      <w:sz w:val="24"/>
      <w:szCs w:val="24"/>
    </w:rPr>
  </w:style>
  <w:style w:styleId="Heading1" w:type="paragraph">
    <w:name w:val="Heading 1"/>
    <w:basedOn w:val="Normal"/>
    <w:uiPriority w:val="1"/>
    <w:qFormat/>
    <w:pPr>
      <w:ind w:left="2060"/>
      <w:outlineLvl w:val="1"/>
    </w:pPr>
    <w:rPr>
      <w:rFonts w:ascii="宋体" w:hAnsi="宋体" w:eastAsia="宋体"/>
      <w:b/>
      <w:bCs/>
      <w:sz w:val="32"/>
      <w:szCs w:val="32"/>
    </w:rPr>
  </w:style>
  <w:style w:styleId="Heading2" w:type="paragraph">
    <w:name w:val="Heading 2"/>
    <w:basedOn w:val="Normal"/>
    <w:uiPriority w:val="1"/>
    <w:qFormat/>
    <w:pPr>
      <w:spacing w:before="26"/>
      <w:ind w:left="152"/>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gohigh.com.cn/" TargetMode="External"/><Relationship Id="rId10" Type="http://schemas.openxmlformats.org/officeDocument/2006/relationships/hyperlink" Target="mailto:gohigh@gohigh.com.cn" TargetMode="External"/><Relationship Id="rId11" Type="http://schemas.openxmlformats.org/officeDocument/2006/relationships/hyperlink" Target="mailto:wangqian@gohigh.com.cn" TargetMode="External"/><Relationship Id="rId12" Type="http://schemas.openxmlformats.org/officeDocument/2006/relationships/hyperlink" Target="mailto:sunyinghui@gohigh.com.cn" TargetMode="External"/><Relationship Id="rId13" Type="http://schemas.openxmlformats.org/officeDocument/2006/relationships/hyperlink" Target="http://www.cninfo.com.cn/" TargetMode="External"/><Relationship Id="rId14" Type="http://schemas.openxmlformats.org/officeDocument/2006/relationships/hyperlink" Target="http://www.tao3c.com/" TargetMode="External"/><Relationship Id="rId15" Type="http://schemas.openxmlformats.org/officeDocument/2006/relationships/image" Target="media/image3.png"/><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image" Target="media/image1.png"/><Relationship Id="rId19" Type="http://schemas.openxmlformats.org/officeDocument/2006/relationships/footer" Target="footer4.xml"/><Relationship Id="rId20" Type="http://schemas.openxmlformats.org/officeDocument/2006/relationships/header" Target="header3.xm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header" Target="header4.xml"/><Relationship Id="rId24" Type="http://schemas.openxmlformats.org/officeDocument/2006/relationships/footer" Target="footer7.xml"/><Relationship Id="rId25" Type="http://schemas.openxmlformats.org/officeDocument/2006/relationships/header" Target="header5.xml"/><Relationship Id="rId26" Type="http://schemas.openxmlformats.org/officeDocument/2006/relationships/footer" Target="footer8.xml"/><Relationship Id="rId27" Type="http://schemas.openxmlformats.org/officeDocument/2006/relationships/header" Target="header6.xml"/><Relationship Id="rId28" Type="http://schemas.openxmlformats.org/officeDocument/2006/relationships/footer" Target="footer9.xml"/><Relationship Id="rId29" Type="http://schemas.openxmlformats.org/officeDocument/2006/relationships/footer" Target="footer10.xml"/><Relationship Id="rId30" Type="http://schemas.openxmlformats.org/officeDocument/2006/relationships/header" Target="header7.xml"/><Relationship Id="rId31" Type="http://schemas.openxmlformats.org/officeDocument/2006/relationships/footer" Target="footer11.xml"/><Relationship Id="rId32" Type="http://schemas.openxmlformats.org/officeDocument/2006/relationships/footer" Target="footer12.xml"/><Relationship Id="rId33" Type="http://schemas.openxmlformats.org/officeDocument/2006/relationships/image" Target="media/image4.png"/><Relationship Id="rId34" Type="http://schemas.openxmlformats.org/officeDocument/2006/relationships/header" Target="header8.xml"/><Relationship Id="rId35" Type="http://schemas.openxmlformats.org/officeDocument/2006/relationships/footer" Target="footer13.xml"/><Relationship Id="rId36" Type="http://schemas.openxmlformats.org/officeDocument/2006/relationships/footer" Target="footer14.xml"/><Relationship Id="rId37" Type="http://schemas.openxmlformats.org/officeDocument/2006/relationships/image" Target="media/image5.jpeg"/><Relationship Id="rId38" Type="http://schemas.openxmlformats.org/officeDocument/2006/relationships/image" Target="media/image6.jpeg"/><Relationship Id="rId39" Type="http://schemas.openxmlformats.org/officeDocument/2006/relationships/header" Target="header9.xml"/><Relationship Id="rId40" Type="http://schemas.openxmlformats.org/officeDocument/2006/relationships/footer" Target="footer15.xml"/><Relationship Id="rId41" Type="http://schemas.openxmlformats.org/officeDocument/2006/relationships/footer" Target="footer16.xml"/><Relationship Id="rId42" Type="http://schemas.openxmlformats.org/officeDocument/2006/relationships/header" Target="header10.xml"/><Relationship Id="rId43" Type="http://schemas.openxmlformats.org/officeDocument/2006/relationships/footer" Target="footer17.xml"/><Relationship Id="rId44" Type="http://schemas.openxmlformats.org/officeDocument/2006/relationships/header" Target="header11.xml"/><Relationship Id="rId45" Type="http://schemas.openxmlformats.org/officeDocument/2006/relationships/footer" Target="footer18.xml"/><Relationship Id="rId46" Type="http://schemas.openxmlformats.org/officeDocument/2006/relationships/header" Target="header12.xml"/><Relationship Id="rId47" Type="http://schemas.openxmlformats.org/officeDocument/2006/relationships/footer" Target="footer19.xml"/><Relationship Id="rId48" Type="http://schemas.openxmlformats.org/officeDocument/2006/relationships/header" Target="header13.xml"/><Relationship Id="rId49" Type="http://schemas.openxmlformats.org/officeDocument/2006/relationships/footer" Target="footer20.xml"/><Relationship Id="rId50" Type="http://schemas.openxmlformats.org/officeDocument/2006/relationships/footer" Target="footer21.xml"/><Relationship Id="rId51" Type="http://schemas.openxmlformats.org/officeDocument/2006/relationships/header" Target="header14.xml"/><Relationship Id="rId52" Type="http://schemas.openxmlformats.org/officeDocument/2006/relationships/footer" Target="footer22.xml"/><Relationship Id="rId53" Type="http://schemas.openxmlformats.org/officeDocument/2006/relationships/footer" Target="footer23.xml"/><Relationship Id="rId54" Type="http://schemas.openxmlformats.org/officeDocument/2006/relationships/footer" Target="footer24.xml"/><Relationship Id="rId55" Type="http://schemas.openxmlformats.org/officeDocument/2006/relationships/footer" Target="footer25.xml"/><Relationship Id="rId56" Type="http://schemas.openxmlformats.org/officeDocument/2006/relationships/footer" Target="footer26.xml"/><Relationship Id="rId57" Type="http://schemas.openxmlformats.org/officeDocument/2006/relationships/footer" Target="footer27.xml"/><Relationship Id="rId58" Type="http://schemas.openxmlformats.org/officeDocument/2006/relationships/footer" Target="footer28.xml"/><Relationship Id="rId59" Type="http://schemas.openxmlformats.org/officeDocument/2006/relationships/footer" Target="footer29.xml"/><Relationship Id="rId60" Type="http://schemas.openxmlformats.org/officeDocument/2006/relationships/footer" Target="footer30.xml"/><Relationship Id="rId61" Type="http://schemas.openxmlformats.org/officeDocument/2006/relationships/header" Target="header15.xml"/><Relationship Id="rId62" Type="http://schemas.openxmlformats.org/officeDocument/2006/relationships/footer" Target="footer31.xml"/><Relationship Id="rId63" Type="http://schemas.openxmlformats.org/officeDocument/2006/relationships/footer" Target="footer32.xml"/><Relationship Id="rId64" Type="http://schemas.openxmlformats.org/officeDocument/2006/relationships/header" Target="header16.xml"/><Relationship Id="rId65" Type="http://schemas.openxmlformats.org/officeDocument/2006/relationships/footer" Target="footer33.xml"/><Relationship Id="rId66" Type="http://schemas.openxmlformats.org/officeDocument/2006/relationships/footer" Target="footer34.xml"/><Relationship Id="rId67" Type="http://schemas.openxmlformats.org/officeDocument/2006/relationships/header" Target="header17.xml"/><Relationship Id="rId68" Type="http://schemas.openxmlformats.org/officeDocument/2006/relationships/footer" Target="footer35.xml"/><Relationship Id="rId69" Type="http://schemas.openxmlformats.org/officeDocument/2006/relationships/footer" Target="footer36.xml"/><Relationship Id="rId70" Type="http://schemas.openxmlformats.org/officeDocument/2006/relationships/header" Target="header18.xml"/><Relationship Id="rId71" Type="http://schemas.openxmlformats.org/officeDocument/2006/relationships/footer" Target="footer37.xml"/><Relationship Id="rId72" Type="http://schemas.openxmlformats.org/officeDocument/2006/relationships/header" Target="header19.xml"/><Relationship Id="rId73" Type="http://schemas.openxmlformats.org/officeDocument/2006/relationships/footer" Target="footer38.xml"/><Relationship Id="rId74" Type="http://schemas.openxmlformats.org/officeDocument/2006/relationships/header" Target="header20.xml"/><Relationship Id="rId75" Type="http://schemas.openxmlformats.org/officeDocument/2006/relationships/footer" Target="footer39.xml"/><Relationship Id="rId76" Type="http://schemas.openxmlformats.org/officeDocument/2006/relationships/header" Target="header21.xml"/><Relationship Id="rId77" Type="http://schemas.openxmlformats.org/officeDocument/2006/relationships/footer" Target="footer40.xml"/><Relationship Id="rId78" Type="http://schemas.openxmlformats.org/officeDocument/2006/relationships/header" Target="header22.xml"/><Relationship Id="rId79" Type="http://schemas.openxmlformats.org/officeDocument/2006/relationships/footer" Target="footer41.xml"/><Relationship Id="rId80" Type="http://schemas.openxmlformats.org/officeDocument/2006/relationships/footer" Target="footer42.xml"/><Relationship Id="rId81" Type="http://schemas.openxmlformats.org/officeDocument/2006/relationships/header" Target="header23.xml"/><Relationship Id="rId82" Type="http://schemas.openxmlformats.org/officeDocument/2006/relationships/footer" Target="footer43.xml"/><Relationship Id="rId83" Type="http://schemas.openxmlformats.org/officeDocument/2006/relationships/header" Target="header24.xml"/><Relationship Id="rId84" Type="http://schemas.openxmlformats.org/officeDocument/2006/relationships/footer" Target="footer44.xml"/><Relationship Id="rId85" Type="http://schemas.openxmlformats.org/officeDocument/2006/relationships/footer" Target="footer45.xml"/><Relationship Id="rId86" Type="http://schemas.openxmlformats.org/officeDocument/2006/relationships/header" Target="header25.xml"/><Relationship Id="rId87" Type="http://schemas.openxmlformats.org/officeDocument/2006/relationships/footer" Target="footer46.xml"/><Relationship Id="rId88" Type="http://schemas.openxmlformats.org/officeDocument/2006/relationships/footer" Target="footer47.xml"/><Relationship Id="rId89" Type="http://schemas.openxmlformats.org/officeDocument/2006/relationships/header" Target="header26.xml"/><Relationship Id="rId90" Type="http://schemas.openxmlformats.org/officeDocument/2006/relationships/footer" Target="footer48.xml"/><Relationship Id="rId91" Type="http://schemas.openxmlformats.org/officeDocument/2006/relationships/footer" Target="footer49.xml"/><Relationship Id="rId92" Type="http://schemas.openxmlformats.org/officeDocument/2006/relationships/header" Target="header27.xml"/><Relationship Id="rId93" Type="http://schemas.openxmlformats.org/officeDocument/2006/relationships/footer" Target="footer50.xml"/><Relationship Id="rId94" Type="http://schemas.openxmlformats.org/officeDocument/2006/relationships/footer" Target="footer51.xml"/><Relationship Id="rId95" Type="http://schemas.openxmlformats.org/officeDocument/2006/relationships/header" Target="header28.xml"/><Relationship Id="rId96" Type="http://schemas.openxmlformats.org/officeDocument/2006/relationships/footer" Target="footer52.xml"/><Relationship Id="rId97" Type="http://schemas.openxmlformats.org/officeDocument/2006/relationships/header" Target="header29.xml"/><Relationship Id="rId98" Type="http://schemas.openxmlformats.org/officeDocument/2006/relationships/footer" Target="footer53.xml"/><Relationship Id="rId99" Type="http://schemas.openxmlformats.org/officeDocument/2006/relationships/header" Target="header30.xml"/><Relationship Id="rId100" Type="http://schemas.openxmlformats.org/officeDocument/2006/relationships/footer" Target="footer54.xml"/><Relationship Id="rId101" Type="http://schemas.openxmlformats.org/officeDocument/2006/relationships/header" Target="header31.xml"/><Relationship Id="rId102" Type="http://schemas.openxmlformats.org/officeDocument/2006/relationships/footer" Target="footer55.xml"/><Relationship Id="rId103" Type="http://schemas.openxmlformats.org/officeDocument/2006/relationships/footer" Target="footer56.xml"/><Relationship Id="rId104" Type="http://schemas.openxmlformats.org/officeDocument/2006/relationships/footer" Target="footer57.xml"/><Relationship Id="rId105" Type="http://schemas.openxmlformats.org/officeDocument/2006/relationships/footer" Target="footer58.xml"/><Relationship Id="rId106" Type="http://schemas.openxmlformats.org/officeDocument/2006/relationships/header" Target="header32.xml"/><Relationship Id="rId107" Type="http://schemas.openxmlformats.org/officeDocument/2006/relationships/footer" Target="footer59.xml"/><Relationship Id="rId108" Type="http://schemas.openxmlformats.org/officeDocument/2006/relationships/footer" Target="footer60.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28.xml.rels><?xml version="1.0" encoding="UTF-8" standalone="yes"?>
<Relationships xmlns="http://schemas.openxmlformats.org/package/2006/relationships"><Relationship Id="rId1" Type="http://schemas.openxmlformats.org/officeDocument/2006/relationships/image" Target="media/image1.png"/></Relationships>

</file>

<file path=word/_rels/footer30.xml.rels><?xml version="1.0" encoding="UTF-8" standalone="yes"?>
<Relationships xmlns="http://schemas.openxmlformats.org/package/2006/relationships"><Relationship Id="rId1" Type="http://schemas.openxmlformats.org/officeDocument/2006/relationships/image" Target="media/image1.png"/></Relationships>

</file>

<file path=word/_rels/footer32.xml.rels><?xml version="1.0" encoding="UTF-8" standalone="yes"?>
<Relationships xmlns="http://schemas.openxmlformats.org/package/2006/relationships"><Relationship Id="rId1" Type="http://schemas.openxmlformats.org/officeDocument/2006/relationships/image" Target="media/image1.png"/></Relationships>

</file>

<file path=word/_rels/footer34.xml.rels><?xml version="1.0" encoding="UTF-8" standalone="yes"?>
<Relationships xmlns="http://schemas.openxmlformats.org/package/2006/relationships"><Relationship Id="rId1" Type="http://schemas.openxmlformats.org/officeDocument/2006/relationships/image" Target="media/image1.png"/></Relationships>

</file>

<file path=word/_rels/footer36.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42.xml.rels><?xml version="1.0" encoding="UTF-8" standalone="yes"?>
<Relationships xmlns="http://schemas.openxmlformats.org/package/2006/relationships"><Relationship Id="rId1" Type="http://schemas.openxmlformats.org/officeDocument/2006/relationships/image" Target="media/image1.png"/></Relationships>

</file>

<file path=word/_rels/footer45.xml.rels><?xml version="1.0" encoding="UTF-8" standalone="yes"?>
<Relationships xmlns="http://schemas.openxmlformats.org/package/2006/relationships"><Relationship Id="rId1" Type="http://schemas.openxmlformats.org/officeDocument/2006/relationships/image" Target="media/image1.png"/></Relationships>

</file>

<file path=word/_rels/footer47.xml.rels><?xml version="1.0" encoding="UTF-8" standalone="yes"?>
<Relationships xmlns="http://schemas.openxmlformats.org/package/2006/relationships"><Relationship Id="rId1" Type="http://schemas.openxmlformats.org/officeDocument/2006/relationships/image" Target="media/image1.png"/></Relationships>

</file>

<file path=word/_rels/footer49.xml.rels><?xml version="1.0" encoding="UTF-8" standalone="yes"?>
<Relationships xmlns="http://schemas.openxmlformats.org/package/2006/relationships"><Relationship Id="rId1" Type="http://schemas.openxmlformats.org/officeDocument/2006/relationships/image" Target="media/image1.png"/></Relationships>

</file>

<file path=word/_rels/footer51.xml.rels><?xml version="1.0" encoding="UTF-8" standalone="yes"?>
<Relationships xmlns="http://schemas.openxmlformats.org/package/2006/relationships"><Relationship Id="rId1" Type="http://schemas.openxmlformats.org/officeDocument/2006/relationships/image" Target="media/image1.png"/></Relationships>

</file>

<file path=word/_rels/footer56.xml.rels><?xml version="1.0" encoding="UTF-8" standalone="yes"?>
<Relationships xmlns="http://schemas.openxmlformats.org/package/2006/relationships"><Relationship Id="rId1" Type="http://schemas.openxmlformats.org/officeDocument/2006/relationships/image" Target="media/image1.png"/></Relationships>

</file>

<file path=word/_rels/footer57.xml.rels><?xml version="1.0" encoding="UTF-8" standalone="yes"?>
<Relationships xmlns="http://schemas.openxmlformats.org/package/2006/relationships"><Relationship Id="rId1" Type="http://schemas.openxmlformats.org/officeDocument/2006/relationships/image" Target="media/image1.png"/></Relationships>

</file>

<file path=word/_rels/footer58.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60.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2020-05-03T23:37:52Z</dcterms:created>
  <dcterms:modified xsi:type="dcterms:W3CDTF">2020-05-03T23:37:52Z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2013-05-07T00:00:00Z</vt:filetime>
  </property>
  <property fmtid="{D5CDD505-2E9C-101B-9397-08002B2CF9AE}" pid="3" name="Creator">
    <vt:lpwstr>Microsoft® Office Word 2007</vt:lpwstr>
  </property>
  <property fmtid="{D5CDD505-2E9C-101B-9397-08002B2CF9AE}" pid="4" name="LastSaved">
    <vt:filetime>2020-05-03T00:00:00Z</vt:filetime>
  </property>
</Properties>
</file>