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2061" w:right="2061" w:firstLine="0"/>
        <w:jc w:val="center"/>
        <w:rPr>
          <w:rFonts w:ascii="宋体" w:hAnsi="宋体" w:cs="宋体" w:eastAsia="宋体" w:hint="default"/>
          <w:sz w:val="36"/>
          <w:szCs w:val="36"/>
        </w:rPr>
      </w:pPr>
      <w:r>
        <w:rPr/>
        <w:pict>
          <v:group style="position:absolute;margin-left:55.200001pt;margin-top:-90.431252pt;width:484.95pt;height:.1pt;mso-position-horizontal-relative:page;mso-position-vertical-relative:paragraph;z-index:0" coordorigin="1104,-1809" coordsize="9699,2">
            <v:shape style="position:absolute;left:1104;top:-1809;width:9699;height:2" coordorigin="1104,-1809" coordsize="9699,0" path="m1104,-1809l10802,-1809e" filled="false" stroked="true" strokeweight=".72pt" strokecolor="#000000">
              <v:path arrowok="t"/>
            </v:shape>
            <w10:wrap type="none"/>
          </v:group>
        </w:pict>
      </w:r>
      <w:r>
        <w:rPr>
          <w:rFonts w:ascii="宋体" w:hAnsi="宋体" w:cs="宋体" w:eastAsia="宋体" w:hint="default"/>
          <w:b/>
          <w:bCs/>
          <w:sz w:val="36"/>
          <w:szCs w:val="36"/>
        </w:rPr>
        <w:t>大唐高鸿数据网络技术股份有限公司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061" w:right="20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061" w:right="2061" w:firstLine="0"/>
        <w:jc w:val="center"/>
        <w:rPr>
          <w:rFonts w:ascii="Times New Roman" w:hAnsi="Times New Roman" w:cs="Times New Roman" w:eastAsia="Times New Roman" w:hint="default"/>
          <w:sz w:val="22"/>
          <w:szCs w:val="22"/>
        </w:rPr>
      </w:pPr>
      <w:r>
        <w:rPr>
          <w:rFonts w:ascii="Times New Roman"/>
          <w:b/>
          <w:sz w:val="22"/>
        </w:rPr>
        <w:t>2014-026</w:t>
      </w:r>
      <w:r>
        <w:rPr>
          <w:rFonts w:ascii="Times New Roman"/>
          <w:sz w:val="22"/>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15"/>
          <w:szCs w:val="15"/>
        </w:rPr>
      </w:pPr>
    </w:p>
    <w:p>
      <w:pPr>
        <w:spacing w:line="983" w:lineRule="exact"/>
        <w:ind w:left="251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3155633" cy="62445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155633" cy="624459"/>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7"/>
        <w:rPr>
          <w:rFonts w:ascii="Times New Roman" w:hAnsi="Times New Roman" w:cs="Times New Roman" w:eastAsia="Times New Roman" w:hint="default"/>
          <w:b/>
          <w:bCs/>
          <w:sz w:val="16"/>
          <w:szCs w:val="16"/>
        </w:rPr>
      </w:pPr>
    </w:p>
    <w:p>
      <w:pPr>
        <w:spacing w:before="0"/>
        <w:ind w:left="2061" w:right="206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186" w:top="1060" w:bottom="13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0"/>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56" w:firstLine="562"/>
        <w:jc w:val="both"/>
        <w:rPr>
          <w:b w:val="0"/>
          <w:bCs w:val="0"/>
        </w:rPr>
      </w:pPr>
      <w:r>
        <w:rPr>
          <w:spacing w:val="2"/>
        </w:rPr>
        <w:t>本公司董事会、监事会及董事、监事、高级管理人员保证年度报告内容的</w:t>
      </w:r>
      <w:r>
        <w:rPr>
          <w:w w:val="99"/>
        </w:rPr>
        <w:t> </w:t>
      </w:r>
      <w:r>
        <w:rPr>
          <w:spacing w:val="2"/>
        </w:rPr>
        <w:t>真实、准确、完整，不存在虚假记载、误导性陈述或重大遗漏，并承担个别和</w:t>
      </w:r>
      <w:r>
        <w:rPr>
          <w:w w:val="99"/>
        </w:rPr>
        <w:t> </w:t>
      </w:r>
      <w:r>
        <w:rPr/>
        <w:t>连带的法律责任。</w:t>
      </w:r>
      <w:r>
        <w:rPr>
          <w:b w:val="0"/>
          <w:bCs w:val="0"/>
        </w:rPr>
      </w:r>
    </w:p>
    <w:p>
      <w:pPr>
        <w:pStyle w:val="Heading2"/>
        <w:spacing w:line="475" w:lineRule="auto" w:before="162"/>
        <w:ind w:left="714" w:right="0"/>
        <w:jc w:val="left"/>
        <w:rPr>
          <w:b w:val="0"/>
          <w:bCs w:val="0"/>
        </w:rPr>
      </w:pPr>
      <w:r>
        <w:rPr/>
        <w:t>所有董事均已出席了审议本报告的董事会会议。</w:t>
      </w:r>
      <w:r>
        <w:rPr>
          <w:w w:val="99"/>
        </w:rPr>
        <w:t> </w:t>
      </w:r>
      <w:r>
        <w:rPr/>
        <w:t>公司计划不派发现金红利，不送红股，不以公积金转增股本。</w:t>
      </w:r>
      <w:r>
        <w:rPr>
          <w:w w:val="99"/>
        </w:rPr>
        <w:t> </w:t>
      </w:r>
      <w:r>
        <w:rPr>
          <w:w w:val="95"/>
        </w:rPr>
        <w:t>公司负责人付景林、主管会计工作负责人丁明锋及会计机构负责人</w:t>
      </w:r>
      <w:r>
        <w:rPr>
          <w:rFonts w:ascii="Times New Roman" w:hAnsi="Times New Roman" w:cs="Times New Roman" w:eastAsia="Times New Roman" w:hint="default"/>
          <w:w w:val="95"/>
        </w:rPr>
        <w:t>(</w:t>
      </w:r>
      <w:r>
        <w:rPr>
          <w:w w:val="95"/>
        </w:rPr>
        <w:t>会计主</w:t>
      </w:r>
      <w:r>
        <w:rPr>
          <w:b w:val="0"/>
          <w:bCs w:val="0"/>
        </w:rPr>
      </w:r>
    </w:p>
    <w:p>
      <w:pPr>
        <w:pStyle w:val="Heading2"/>
        <w:spacing w:line="320" w:lineRule="exact"/>
        <w:ind w:right="0"/>
        <w:jc w:val="left"/>
        <w:rPr>
          <w:b w:val="0"/>
          <w:bCs w:val="0"/>
        </w:rPr>
      </w:pPr>
      <w:r>
        <w:rPr/>
        <w:t>管人员</w:t>
      </w:r>
      <w:r>
        <w:rPr>
          <w:rFonts w:ascii="Times New Roman" w:hAnsi="Times New Roman" w:cs="Times New Roman" w:eastAsia="Times New Roman" w:hint="default"/>
        </w:rPr>
        <w:t>)</w:t>
      </w:r>
      <w:r>
        <w:rPr/>
        <w:t>张锐声明：保证年度报告中财务报告的真实、准确、完整。</w:t>
      </w:r>
      <w:r>
        <w:rPr>
          <w:b w:val="0"/>
          <w:bCs w:val="0"/>
        </w:rPr>
      </w:r>
    </w:p>
    <w:p>
      <w:pPr>
        <w:spacing w:after="0" w:line="320" w:lineRule="exact"/>
        <w:jc w:val="left"/>
        <w:sectPr>
          <w:footerReference w:type="default" r:id="rId8"/>
          <w:pgSz w:w="11910" w:h="16840"/>
          <w:pgMar w:footer="1186" w:header="745" w:top="1060" w:bottom="138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061" w:right="206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hyperlink>
        </w:p>
        <w:p>
          <w:pPr>
            <w:pStyle w:val="TOC1"/>
            <w:tabs>
              <w:tab w:pos="9785" w:val="right" w:leader="dot"/>
            </w:tabs>
            <w:spacing w:line="240" w:lineRule="auto" w:before="299"/>
            <w:ind w:right="0"/>
            <w:jc w:val="left"/>
            <w:rPr>
              <w:rFonts w:ascii="宋体" w:hAnsi="宋体" w:cs="宋体" w:eastAsia="宋体" w:hint="default"/>
            </w:rPr>
          </w:pPr>
          <w:hyperlink w:history="true" w:anchor="_bookmark1">
            <w:r>
              <w:rPr/>
              <w:t>第二节</w:t>
            </w:r>
            <w:r>
              <w:rPr>
                <w:spacing w:val="-1"/>
              </w:rPr>
              <w:t> </w:t>
            </w:r>
            <w:r>
              <w:rPr/>
              <w:t>公司简介</w:t>
            </w:r>
            <w:r>
              <w:rPr>
                <w:rFonts w:ascii="宋体" w:hAnsi="宋体" w:cs="宋体" w:eastAsia="宋体" w:hint="default"/>
              </w:rPr>
              <w:tab/>
              <w:t>6</w:t>
            </w:r>
          </w:hyperlink>
        </w:p>
        <w:p>
          <w:pPr>
            <w:pStyle w:val="TOC1"/>
            <w:tabs>
              <w:tab w:pos="9785" w:val="right" w:leader="dot"/>
            </w:tabs>
            <w:spacing w:line="240" w:lineRule="auto" w:before="296"/>
            <w:ind w:right="0"/>
            <w:jc w:val="left"/>
            <w:rPr>
              <w:rFonts w:ascii="宋体" w:hAnsi="宋体" w:cs="宋体" w:eastAsia="宋体" w:hint="default"/>
            </w:rPr>
          </w:pPr>
          <w:hyperlink w:history="true" w:anchor="_bookmark2">
            <w:r>
              <w:rPr/>
              <w:t>第三节</w:t>
            </w:r>
            <w:r>
              <w:rPr>
                <w:spacing w:val="-1"/>
              </w:rPr>
              <w:t> </w:t>
            </w:r>
            <w:r>
              <w:rPr/>
              <w:t>会计数据和财务指标摘要</w:t>
            </w:r>
            <w:r>
              <w:rPr>
                <w:rFonts w:ascii="宋体" w:hAnsi="宋体" w:cs="宋体" w:eastAsia="宋体" w:hint="default"/>
              </w:rPr>
              <w:tab/>
              <w:t>8</w:t>
            </w:r>
          </w:hyperlink>
        </w:p>
        <w:p>
          <w:pPr>
            <w:pStyle w:val="TOC1"/>
            <w:tabs>
              <w:tab w:pos="9786" w:val="right" w:leader="dot"/>
            </w:tabs>
            <w:spacing w:line="240" w:lineRule="auto"/>
            <w:ind w:right="0"/>
            <w:jc w:val="left"/>
            <w:rPr>
              <w:rFonts w:ascii="宋体" w:hAnsi="宋体" w:cs="宋体" w:eastAsia="宋体" w:hint="default"/>
            </w:rPr>
          </w:pPr>
          <w:hyperlink w:history="true" w:anchor="_bookmark3">
            <w:r>
              <w:rPr/>
              <w:t>第四节</w:t>
            </w:r>
            <w:r>
              <w:rPr>
                <w:spacing w:val="-1"/>
              </w:rPr>
              <w:t> </w:t>
            </w:r>
            <w:r>
              <w:rPr/>
              <w:t>董事会报告</w:t>
            </w:r>
            <w:r>
              <w:rPr>
                <w:rFonts w:ascii="宋体" w:hAnsi="宋体" w:cs="宋体" w:eastAsia="宋体" w:hint="default"/>
              </w:rPr>
              <w:tab/>
              <w:t>10</w:t>
            </w:r>
          </w:hyperlink>
        </w:p>
        <w:p>
          <w:pPr>
            <w:pStyle w:val="TOC1"/>
            <w:tabs>
              <w:tab w:pos="9786" w:val="right" w:leader="dot"/>
            </w:tabs>
            <w:spacing w:line="240" w:lineRule="auto"/>
            <w:ind w:right="0"/>
            <w:jc w:val="left"/>
            <w:rPr>
              <w:rFonts w:ascii="宋体" w:hAnsi="宋体" w:cs="宋体" w:eastAsia="宋体" w:hint="default"/>
            </w:rPr>
          </w:pPr>
          <w:hyperlink w:history="true" w:anchor="_bookmark4">
            <w:r>
              <w:rPr/>
              <w:t>第五节</w:t>
            </w:r>
            <w:r>
              <w:rPr>
                <w:spacing w:val="-1"/>
              </w:rPr>
              <w:t> </w:t>
            </w:r>
            <w:r>
              <w:rPr/>
              <w:t>重要事项</w:t>
            </w:r>
            <w:r>
              <w:rPr>
                <w:rFonts w:ascii="宋体" w:hAnsi="宋体" w:cs="宋体" w:eastAsia="宋体" w:hint="default"/>
              </w:rPr>
              <w:tab/>
              <w:t>37</w:t>
            </w:r>
          </w:hyperlink>
        </w:p>
        <w:p>
          <w:pPr>
            <w:pStyle w:val="TOC1"/>
            <w:tabs>
              <w:tab w:pos="9786" w:val="right" w:leader="dot"/>
            </w:tabs>
            <w:spacing w:line="240" w:lineRule="auto" w:before="296"/>
            <w:ind w:right="0"/>
            <w:jc w:val="left"/>
            <w:rPr>
              <w:rFonts w:ascii="宋体" w:hAnsi="宋体" w:cs="宋体" w:eastAsia="宋体" w:hint="default"/>
            </w:rPr>
          </w:pPr>
          <w:hyperlink w:history="true" w:anchor="_bookmark5">
            <w:r>
              <w:rPr/>
              <w:t>第六节</w:t>
            </w:r>
            <w:r>
              <w:rPr>
                <w:spacing w:val="-1"/>
              </w:rPr>
              <w:t> </w:t>
            </w:r>
            <w:r>
              <w:rPr/>
              <w:t>股份变动及股东情况</w:t>
            </w:r>
            <w:r>
              <w:rPr>
                <w:rFonts w:ascii="宋体" w:hAnsi="宋体" w:cs="宋体" w:eastAsia="宋体" w:hint="default"/>
              </w:rPr>
              <w:tab/>
              <w:t>60</w:t>
            </w:r>
          </w:hyperlink>
        </w:p>
        <w:p>
          <w:pPr>
            <w:pStyle w:val="TOC1"/>
            <w:tabs>
              <w:tab w:pos="9786" w:val="right" w:leader="dot"/>
            </w:tabs>
            <w:spacing w:line="240" w:lineRule="auto"/>
            <w:ind w:right="0"/>
            <w:jc w:val="left"/>
            <w:rPr>
              <w:rFonts w:ascii="宋体" w:hAnsi="宋体" w:cs="宋体" w:eastAsia="宋体" w:hint="default"/>
            </w:rPr>
          </w:pPr>
          <w:hyperlink w:history="true" w:anchor="_bookmark6">
            <w:r>
              <w:rPr/>
              <w:t>第七节</w:t>
            </w:r>
            <w:r>
              <w:rPr>
                <w:spacing w:val="-1"/>
              </w:rPr>
              <w:t> </w:t>
            </w:r>
            <w:r>
              <w:rPr/>
              <w:t>董事、监事、高级管理人员和员工情况</w:t>
            </w:r>
            <w:r>
              <w:rPr>
                <w:rFonts w:ascii="宋体" w:hAnsi="宋体" w:cs="宋体" w:eastAsia="宋体" w:hint="default"/>
              </w:rPr>
              <w:tab/>
              <w:t>67</w:t>
            </w:r>
          </w:hyperlink>
        </w:p>
        <w:p>
          <w:pPr>
            <w:pStyle w:val="TOC1"/>
            <w:tabs>
              <w:tab w:pos="9786" w:val="right" w:leader="dot"/>
            </w:tabs>
            <w:spacing w:line="240" w:lineRule="auto"/>
            <w:ind w:right="0"/>
            <w:jc w:val="left"/>
            <w:rPr>
              <w:rFonts w:ascii="宋体" w:hAnsi="宋体" w:cs="宋体" w:eastAsia="宋体" w:hint="default"/>
            </w:rPr>
          </w:pPr>
          <w:hyperlink w:history="true" w:anchor="_bookmark7">
            <w:r>
              <w:rPr/>
              <w:t>第八节</w:t>
            </w:r>
            <w:r>
              <w:rPr>
                <w:spacing w:val="-1"/>
              </w:rPr>
              <w:t> </w:t>
            </w:r>
            <w:r>
              <w:rPr/>
              <w:t>公司治理</w:t>
            </w:r>
            <w:r>
              <w:rPr>
                <w:rFonts w:ascii="宋体" w:hAnsi="宋体" w:cs="宋体" w:eastAsia="宋体" w:hint="default"/>
              </w:rPr>
              <w:tab/>
              <w:t>73</w:t>
            </w:r>
          </w:hyperlink>
        </w:p>
        <w:p>
          <w:pPr>
            <w:pStyle w:val="TOC1"/>
            <w:tabs>
              <w:tab w:pos="9786" w:val="right" w:leader="dot"/>
            </w:tabs>
            <w:spacing w:line="240" w:lineRule="auto" w:before="296"/>
            <w:ind w:right="0"/>
            <w:jc w:val="left"/>
            <w:rPr>
              <w:rFonts w:ascii="宋体" w:hAnsi="宋体" w:cs="宋体" w:eastAsia="宋体" w:hint="default"/>
            </w:rPr>
          </w:pPr>
          <w:hyperlink w:history="true" w:anchor="_bookmark8">
            <w:r>
              <w:rPr/>
              <w:t>第九节</w:t>
            </w:r>
            <w:r>
              <w:rPr>
                <w:spacing w:val="-1"/>
              </w:rPr>
              <w:t> </w:t>
            </w:r>
            <w:r>
              <w:rPr/>
              <w:t>内部控制</w:t>
            </w:r>
            <w:r>
              <w:rPr>
                <w:rFonts w:ascii="宋体" w:hAnsi="宋体" w:cs="宋体" w:eastAsia="宋体" w:hint="default"/>
              </w:rPr>
              <w:tab/>
              <w:t>80</w:t>
            </w:r>
          </w:hyperlink>
        </w:p>
        <w:p>
          <w:pPr>
            <w:pStyle w:val="TOC1"/>
            <w:tabs>
              <w:tab w:pos="9786" w:val="right" w:leader="dot"/>
            </w:tabs>
            <w:spacing w:line="240" w:lineRule="auto"/>
            <w:ind w:right="0"/>
            <w:jc w:val="left"/>
            <w:rPr>
              <w:rFonts w:ascii="宋体" w:hAnsi="宋体" w:cs="宋体" w:eastAsia="宋体" w:hint="default"/>
            </w:rPr>
          </w:pPr>
          <w:hyperlink w:history="true" w:anchor="_bookmark9">
            <w:r>
              <w:rPr/>
              <w:t>第十节</w:t>
            </w:r>
            <w:r>
              <w:rPr>
                <w:spacing w:val="-1"/>
              </w:rPr>
              <w:t> </w:t>
            </w:r>
            <w:r>
              <w:rPr/>
              <w:t>财务报告</w:t>
            </w:r>
            <w:r>
              <w:rPr>
                <w:rFonts w:ascii="宋体" w:hAnsi="宋体" w:cs="宋体" w:eastAsia="宋体" w:hint="default"/>
              </w:rPr>
              <w:tab/>
              <w:t>82</w:t>
            </w:r>
          </w:hyperlink>
        </w:p>
        <w:p>
          <w:pPr>
            <w:pStyle w:val="TOC1"/>
            <w:tabs>
              <w:tab w:pos="9784" w:val="right" w:leader="dot"/>
            </w:tabs>
            <w:spacing w:line="240" w:lineRule="auto"/>
            <w:ind w:right="0"/>
            <w:jc w:val="left"/>
            <w:rPr>
              <w:rFonts w:ascii="宋体" w:hAnsi="宋体" w:cs="宋体" w:eastAsia="宋体" w:hint="default"/>
            </w:rPr>
          </w:pPr>
          <w:hyperlink w:history="true" w:anchor="_bookmark10">
            <w:r>
              <w:rPr/>
              <w:t>第十一节</w:t>
            </w:r>
            <w:r>
              <w:rPr>
                <w:spacing w:val="-1"/>
              </w:rPr>
              <w:t> </w:t>
            </w:r>
            <w:r>
              <w:rPr/>
              <w:t>备查文件目录</w:t>
            </w:r>
            <w:r>
              <w:rPr>
                <w:rFonts w:ascii="宋体" w:hAnsi="宋体" w:cs="宋体" w:eastAsia="宋体" w:hint="default"/>
              </w:rPr>
              <w:tab/>
              <w:t>229</w:t>
            </w:r>
          </w:hyperlink>
        </w:p>
        <w:p>
          <w:pPr/>
          <w:r>
            <w:fldChar w:fldCharType="end"/>
          </w:r>
        </w:p>
      </w:sdtContent>
    </w:sdt>
    <w:p>
      <w:pPr>
        <w:spacing w:after="0"/>
        <w:sectPr>
          <w:pgSz w:w="11910" w:h="16840"/>
          <w:pgMar w:header="745" w:footer="1186" w:top="1060" w:bottom="1380" w:left="980" w:right="980"/>
        </w:sectPr>
      </w:pPr>
    </w:p>
    <w:p>
      <w:pPr>
        <w:spacing w:before="945"/>
        <w:ind w:left="2061" w:right="206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高鸿股份或公司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高鸿数据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北京大唐高鸿软件技术有限公司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高鸿通信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大唐高鸿通信技术有限公司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大唐融合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北京大唐融合通信技术有限公司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北京大唐高鸿科技发展有限公司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济宁高鸿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高鸿商贸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北京大唐高鸿电子商贸有限公司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烟台高鸿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烟台高鸿电子信息技术有限公司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高鸿恒昌</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高鸿恒昌科技有限公司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高阳捷迅</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高鸿鼎恒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贵州高鸿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贵州大唐高鸿电子信息技术有限公司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无锡融合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大唐融合通信技术无锡有限公司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浙江高鸿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浙江高鸿电子技术有限公司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海岸淘金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北京海岸淘金创业投资有限公司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雷石雨花</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昆山雷石雨花股权投资合伙企业（有限合伙）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国资委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2061" w:right="2061"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2"/>
        <w:rPr>
          <w:rFonts w:ascii="宋体" w:hAnsi="宋体" w:cs="宋体" w:eastAsia="宋体" w:hint="default"/>
          <w:b/>
          <w:bCs/>
          <w:sz w:val="24"/>
          <w:szCs w:val="24"/>
        </w:rPr>
      </w:pPr>
    </w:p>
    <w:p>
      <w:pPr>
        <w:pStyle w:val="Heading2"/>
        <w:spacing w:line="240" w:lineRule="auto" w:before="14"/>
        <w:ind w:left="714" w:right="0"/>
        <w:jc w:val="left"/>
        <w:rPr>
          <w:b w:val="0"/>
          <w:bCs w:val="0"/>
        </w:rPr>
      </w:pPr>
      <w:r>
        <w:rPr>
          <w:w w:val="99"/>
        </w:rPr>
        <w:t>无</w:t>
      </w:r>
      <w:r>
        <w:rPr>
          <w:b w:val="0"/>
          <w:bCs w:val="0"/>
        </w:rPr>
      </w:r>
    </w:p>
    <w:p>
      <w:pPr>
        <w:spacing w:after="0" w:line="240" w:lineRule="auto"/>
        <w:jc w:val="left"/>
        <w:sectPr>
          <w:pgSz w:w="11910" w:h="16840"/>
          <w:pgMar w:header="745" w:footer="1186" w:top="1060" w:bottom="1380" w:left="980" w:right="980"/>
        </w:sectPr>
      </w:pPr>
    </w:p>
    <w:p>
      <w:pPr>
        <w:spacing w:line="240" w:lineRule="auto" w:before="0"/>
        <w:rPr>
          <w:rFonts w:ascii="宋体" w:hAnsi="宋体" w:cs="宋体" w:eastAsia="宋体" w:hint="default"/>
          <w:b/>
          <w:bCs/>
          <w:sz w:val="20"/>
          <w:szCs w:val="20"/>
        </w:rPr>
      </w:pPr>
      <w:r>
        <w:rPr/>
        <w:pict>
          <v:group style="position:absolute;margin-left:171.020004pt;margin-top:269.185974pt;width:362.9pt;height:20.8pt;mso-position-horizontal-relative:page;mso-position-vertical-relative:page;z-index:-1331800" coordorigin="3420,5384" coordsize="7258,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4;height:392" coordorigin="3444,5396" coordsize="7234,392">
              <v:shape style="position:absolute;left:3444;top:5396;width:7234;height:392" coordorigin="3444,5396" coordsize="7234,392" path="m3444,5787l10678,5787,10678,5396,3444,5396,3444,5787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2059"/>
        <w:jc w:val="center"/>
        <w:rPr>
          <w:b w:val="0"/>
          <w:bCs w:val="0"/>
        </w:rPr>
      </w:pPr>
      <w:bookmarkStart w:name="_bookmark1" w:id="2"/>
      <w:bookmarkEnd w:id="2"/>
      <w:r>
        <w:rPr>
          <w:b w:val="0"/>
          <w:bCs w:val="0"/>
        </w:rPr>
      </w:r>
      <w:r>
        <w:rPr/>
        <w:t>第二节</w:t>
      </w:r>
      <w:r>
        <w:rPr>
          <w:spacing w:val="-1"/>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高鸿股份</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000851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高鸿股份</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GOHIGH </w:t>
            </w:r>
            <w:r>
              <w:rPr>
                <w:rFonts w:ascii="Times New Roman" w:hAnsi="Times New Roman" w:cs="Times New Roman" w:eastAsia="Times New Roman" w:hint="default"/>
                <w:spacing w:val="-9"/>
                <w:sz w:val="18"/>
                <w:szCs w:val="18"/>
              </w:rPr>
              <w:t>DATA </w:t>
            </w:r>
            <w:r>
              <w:rPr>
                <w:rFonts w:ascii="Times New Roman" w:hAnsi="Times New Roman" w:cs="Times New Roman" w:eastAsia="Times New Roman" w:hint="default"/>
                <w:sz w:val="18"/>
                <w:szCs w:val="18"/>
              </w:rPr>
              <w:t>NETWORKS TECHNOLOGY</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3"/>
                <w:sz w:val="18"/>
                <w:szCs w:val="18"/>
              </w:rPr>
              <w:t>CO.</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45"/>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GOHIGH</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付景林</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贵州省贵阳市花溪区磊花路口</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550025</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号大唐电信集团主楼</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层</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http://www.gohigh.com.cn</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gohigh@gohigh.com.cn</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1"/>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张锐、孙迎辉</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号大唐电信集团</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主楼</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号大唐电信集团</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主楼</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394"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010-62301907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010-62301907</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010-62301900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010-62301900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wangqian@gohigh.com.cn</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sunyinghui@gohigh.com.cn</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4"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http/</w:t>
            </w:r>
            <w:hyperlink r:id="rId13">
              <w:r>
                <w:rPr>
                  <w:rFonts w:ascii="Times New Roman"/>
                  <w:sz w:val="18"/>
                </w:rPr>
                <w:t>/www</w:t>
              </w:r>
            </w:hyperlink>
            <w:r>
              <w:rPr>
                <w:rFonts w:ascii="Times New Roman"/>
                <w:sz w:val="18"/>
              </w:rPr>
              <w:t>.</w:t>
            </w:r>
            <w:hyperlink r:id="rId13">
              <w:r>
                <w:rPr>
                  <w:rFonts w:ascii="Times New Roman"/>
                  <w:sz w:val="18"/>
                </w:rPr>
                <w:t>cninfo.com.cn</w:t>
              </w:r>
            </w:hyperlink>
          </w:p>
        </w:tc>
      </w:tr>
      <w:tr>
        <w:trPr>
          <w:trHeight w:val="715"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贵州省贵阳市花溪区磊花路口大唐高鸿数据网络技术股份有限公司和北京 市海淀区学院路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号大唐电信集团主楼</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层</w:t>
            </w:r>
          </w:p>
        </w:tc>
      </w:tr>
    </w:tbl>
    <w:p>
      <w:pPr>
        <w:spacing w:after="0" w:line="316"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8"/>
        <w:rPr>
          <w:rFonts w:ascii="宋体" w:hAnsi="宋体" w:cs="宋体" w:eastAsia="宋体" w:hint="default"/>
          <w:b/>
          <w:bCs/>
          <w:sz w:val="23"/>
          <w:szCs w:val="23"/>
        </w:rPr>
      </w:pPr>
    </w:p>
    <w:p>
      <w:pPr>
        <w:pStyle w:val="Heading3"/>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923"/>
        <w:gridCol w:w="1594"/>
        <w:gridCol w:w="1594"/>
        <w:gridCol w:w="1596"/>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贵州省工商行政管理局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21443062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520181214426154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214426154</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520000000027507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097" w:hRule="exact"/>
        </w:trPr>
        <w:tc>
          <w:tcPr>
            <w:tcW w:w="31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707" w:type="dxa"/>
            <w:gridSpan w:val="4"/>
            <w:vMerge w:val="restart"/>
            <w:tcBorders>
              <w:top w:val="single" w:sz="4" w:space="0" w:color="000000"/>
              <w:left w:val="single" w:sz="10" w:space="0" w:color="D2D2D2"/>
              <w:right w:val="single" w:sz="4" w:space="0" w:color="000000"/>
            </w:tcBorders>
          </w:tcPr>
          <w:p>
            <w:pPr>
              <w:pStyle w:val="TableParagraph"/>
              <w:spacing w:line="309" w:lineRule="auto" w:before="49"/>
              <w:ind w:left="16" w:right="12"/>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年上市，经营范围为：自产自销，批零兼营：磨料磨具，耐火材料，磨 </w:t>
            </w:r>
            <w:r>
              <w:rPr>
                <w:rFonts w:ascii="宋体" w:hAnsi="宋体" w:cs="宋体" w:eastAsia="宋体" w:hint="default"/>
                <w:spacing w:val="-2"/>
                <w:sz w:val="18"/>
                <w:szCs w:val="18"/>
              </w:rPr>
              <w:t>料磨具标准检验筛，磨料磨具专用设备制造，二、三类机电产品，日用百货。</w:t>
            </w:r>
            <w:r>
              <w:rPr>
                <w:rFonts w:ascii="Times New Roman" w:hAnsi="Times New Roman" w:cs="Times New Roman" w:eastAsia="Times New Roman" w:hint="default"/>
                <w:spacing w:val="-2"/>
                <w:sz w:val="18"/>
                <w:szCs w:val="18"/>
              </w:rPr>
              <w:t>2003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月资产重组完成，公司经营范围变更为：多业务宽带电信网络产品、通信器材、通 信终端设备、仪器仪表、电子多业务宽带电信网络产品、通信器材、通信终端设备、 仪器仪表、电子计算机软硬件及外部设备、系统集成的技术开发、转让、咨询、服务 及制造、销售；通信及信息系统工程设计；信息服务；自营和代理各类商品和技术的 进出口；但国家限定公司经营或禁止进出口的商品和技术除外，安全技术防范系统设 计、施工、维修。截至本报告期末主营业务为：企业信息化业务、信息服务业务、</w:t>
            </w:r>
            <w:r>
              <w:rPr>
                <w:rFonts w:ascii="Times New Roman" w:hAnsi="Times New Roman" w:cs="Times New Roman" w:eastAsia="Times New Roman" w:hint="default"/>
                <w:sz w:val="18"/>
                <w:szCs w:val="18"/>
              </w:rPr>
              <w:t>IT </w:t>
            </w:r>
            <w:r>
              <w:rPr>
                <w:rFonts w:ascii="宋体" w:hAnsi="宋体" w:cs="宋体" w:eastAsia="宋体" w:hint="default"/>
                <w:sz w:val="18"/>
                <w:szCs w:val="18"/>
              </w:rPr>
              <w:t>销售业务</w:t>
            </w:r>
          </w:p>
        </w:tc>
      </w:tr>
      <w:tr>
        <w:trPr>
          <w:trHeight w:val="706" w:hRule="exact"/>
        </w:trPr>
        <w:tc>
          <w:tcPr>
            <w:tcW w:w="317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707" w:type="dxa"/>
            <w:gridSpan w:val="4"/>
            <w:vMerge/>
            <w:tcBorders>
              <w:left w:val="single" w:sz="10" w:space="0" w:color="D2D2D2"/>
              <w:right w:val="single" w:sz="4" w:space="0" w:color="000000"/>
            </w:tcBorders>
          </w:tcPr>
          <w:p>
            <w:pPr/>
          </w:p>
        </w:tc>
      </w:tr>
      <w:tr>
        <w:trPr>
          <w:trHeight w:val="1097" w:hRule="exact"/>
        </w:trPr>
        <w:tc>
          <w:tcPr>
            <w:tcW w:w="31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707" w:type="dxa"/>
            <w:gridSpan w:val="4"/>
            <w:vMerge/>
            <w:tcBorders>
              <w:left w:val="single" w:sz="10" w:space="0" w:color="D2D2D2"/>
              <w:bottom w:val="single" w:sz="4" w:space="0" w:color="000000"/>
              <w:right w:val="single" w:sz="4" w:space="0" w:color="000000"/>
            </w:tcBorders>
          </w:tcPr>
          <w:p>
            <w:pPr/>
          </w:p>
        </w:tc>
      </w:tr>
      <w:tr>
        <w:trPr>
          <w:trHeight w:val="317" w:hRule="exact"/>
        </w:trPr>
        <w:tc>
          <w:tcPr>
            <w:tcW w:w="31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707" w:type="dxa"/>
            <w:gridSpan w:val="4"/>
            <w:vMerge w:val="restart"/>
            <w:tcBorders>
              <w:top w:val="single" w:sz="4" w:space="0" w:color="000000"/>
              <w:left w:val="single" w:sz="10" w:space="0" w:color="D2D2D2"/>
              <w:right w:val="single" w:sz="4" w:space="0" w:color="000000"/>
            </w:tcBorders>
          </w:tcPr>
          <w:p>
            <w:pPr>
              <w:pStyle w:val="TableParagraph"/>
              <w:spacing w:line="307" w:lineRule="auto" w:before="49"/>
              <w:ind w:left="16" w:right="22"/>
              <w:jc w:val="both"/>
              <w:rPr>
                <w:rFonts w:ascii="宋体" w:hAnsi="宋体" w:cs="宋体" w:eastAsia="宋体" w:hint="default"/>
                <w:sz w:val="18"/>
                <w:szCs w:val="18"/>
              </w:rPr>
            </w:pPr>
            <w:r>
              <w:rPr>
                <w:rFonts w:ascii="宋体" w:hAnsi="宋体" w:cs="宋体" w:eastAsia="宋体" w:hint="default"/>
                <w:sz w:val="18"/>
                <w:szCs w:val="18"/>
              </w:rPr>
              <w:t>大唐高鸿数据网络技术股份有限公司原名贵州中国第七砂轮股份有限公司，原控股股 </w:t>
            </w:r>
            <w:r>
              <w:rPr>
                <w:rFonts w:ascii="宋体" w:hAnsi="宋体" w:cs="宋体" w:eastAsia="宋体" w:hint="default"/>
                <w:spacing w:val="-2"/>
                <w:sz w:val="18"/>
                <w:szCs w:val="18"/>
              </w:rPr>
              <w:t>东为中国七砂集团有限责任公司，</w:t>
            </w:r>
            <w:r>
              <w:rPr>
                <w:rFonts w:ascii="Times New Roman" w:hAnsi="Times New Roman" w:cs="Times New Roman" w:eastAsia="Times New Roman" w:hint="default"/>
                <w:spacing w:val="-2"/>
                <w:sz w:val="18"/>
                <w:szCs w:val="18"/>
              </w:rPr>
              <w:t>2003</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年重组完成后，公司控股股东变更为电信科学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技术研究院。资产重组完成后至本报告期末公司控股股东无变更。</w:t>
            </w:r>
          </w:p>
        </w:tc>
      </w:tr>
      <w:tr>
        <w:trPr>
          <w:trHeight w:val="391" w:hRule="exact"/>
        </w:trPr>
        <w:tc>
          <w:tcPr>
            <w:tcW w:w="317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707" w:type="dxa"/>
            <w:gridSpan w:val="4"/>
            <w:vMerge/>
            <w:tcBorders>
              <w:left w:val="single" w:sz="10" w:space="0" w:color="D2D2D2"/>
              <w:right w:val="single" w:sz="4" w:space="0" w:color="000000"/>
            </w:tcBorders>
          </w:tcPr>
          <w:p>
            <w:pPr/>
          </w:p>
        </w:tc>
      </w:tr>
      <w:tr>
        <w:trPr>
          <w:trHeight w:val="317" w:hRule="exact"/>
        </w:trPr>
        <w:tc>
          <w:tcPr>
            <w:tcW w:w="31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707" w:type="dxa"/>
            <w:gridSpan w:val="4"/>
            <w:vMerge/>
            <w:tcBorders>
              <w:left w:val="single" w:sz="10" w:space="0" w:color="D2D2D2"/>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1"/>
        <w:gridCol w:w="6919"/>
      </w:tblGrid>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号楼茅台大厦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层</w:t>
            </w: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范鹏飞 </w:t>
            </w:r>
            <w:r>
              <w:rPr>
                <w:rFonts w:ascii="宋体" w:hAnsi="宋体" w:cs="宋体" w:eastAsia="宋体" w:hint="default"/>
                <w:spacing w:val="2"/>
                <w:sz w:val="18"/>
                <w:szCs w:val="18"/>
              </w:rPr>
              <w:t> </w:t>
            </w:r>
            <w:r>
              <w:rPr>
                <w:rFonts w:ascii="宋体" w:hAnsi="宋体" w:cs="宋体" w:eastAsia="宋体" w:hint="default"/>
                <w:sz w:val="18"/>
                <w:szCs w:val="18"/>
              </w:rPr>
              <w:t>郭健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4"/>
        <w:gridCol w:w="2391"/>
        <w:gridCol w:w="2393"/>
        <w:gridCol w:w="2393"/>
      </w:tblGrid>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上海市浦东民生路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弄证</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大五道口广场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张群伟、陈伟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日起至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186" w:top="1060" w:bottom="1380" w:left="98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_bookmark2" w:id="3"/>
      <w:bookmarkEnd w:id="3"/>
      <w:r>
        <w:rPr>
          <w:b w:val="0"/>
          <w:bCs w:val="0"/>
        </w:rPr>
      </w:r>
      <w:r>
        <w:rPr/>
        <w:t>第三节</w:t>
      </w:r>
      <w:r>
        <w:rPr>
          <w:spacing w:val="-6"/>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8"/>
        <w:gridCol w:w="1740"/>
        <w:gridCol w:w="1738"/>
        <w:gridCol w:w="1736"/>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6,198,358,597.83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4,616,859,715.76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4,082,323,118.43</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52,176,395.94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25,005,713.64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23,473,158.66</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8,705,734.52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20,169,145.84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17,639,200.43</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150,421,427.04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-36,572,231.89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w w:val="95"/>
                <w:sz w:val="18"/>
              </w:rPr>
              <w:t>511.3%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-359,580,706.15</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0.1011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0.0718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0.0705</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0.1011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0.0718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0.0705</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5,507,345,220.01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3,590,483,941.93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2,389,020,124.11</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2,143,771,841.64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2,116,820,334.13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1,019,157,555.22</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2"/>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6" w:right="0"/>
              <w:jc w:val="left"/>
              <w:rPr>
                <w:rFonts w:ascii="Times New Roman" w:hAnsi="Times New Roman" w:cs="Times New Roman" w:eastAsia="Times New Roman" w:hint="default"/>
                <w:sz w:val="18"/>
                <w:szCs w:val="18"/>
              </w:rPr>
            </w:pPr>
            <w:r>
              <w:rPr>
                <w:rFonts w:ascii="Times New Roman"/>
                <w:sz w:val="18"/>
              </w:rPr>
              <w:t>52,176,395.94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25,005,713.64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2,143,771,841.64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2,116,820,334.13</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2"/>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0"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6" w:right="0"/>
              <w:jc w:val="left"/>
              <w:rPr>
                <w:rFonts w:ascii="Times New Roman" w:hAnsi="Times New Roman" w:cs="Times New Roman" w:eastAsia="Times New Roman" w:hint="default"/>
                <w:sz w:val="18"/>
                <w:szCs w:val="18"/>
              </w:rPr>
            </w:pPr>
            <w:r>
              <w:rPr>
                <w:rFonts w:ascii="Times New Roman"/>
                <w:sz w:val="18"/>
              </w:rPr>
              <w:t>52,176,395.94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25,005,713.64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2,143,771,841.64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2,116,820,334.13</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Heading3"/>
        <w:spacing w:line="240" w:lineRule="auto"/>
        <w:ind w:right="0"/>
        <w:jc w:val="left"/>
        <w:rPr>
          <w:b w:val="0"/>
          <w:bCs w:val="0"/>
        </w:rPr>
      </w:pPr>
      <w:r>
        <w:rPr/>
        <w:t>三、非经常性损益项目及金额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38" w:type="dxa"/>
        <w:tblLayout w:type="fixed"/>
        <w:tblCellMar>
          <w:top w:w="0" w:type="dxa"/>
          <w:left w:w="0" w:type="dxa"/>
          <w:bottom w:w="0" w:type="dxa"/>
          <w:right w:w="0" w:type="dxa"/>
        </w:tblCellMar>
        <w:tblLook w:val="01E0"/>
      </w:tblPr>
      <w:tblGrid>
        <w:gridCol w:w="3285"/>
        <w:gridCol w:w="1533"/>
        <w:gridCol w:w="1520"/>
        <w:gridCol w:w="1522"/>
      </w:tblGrid>
      <w:tr>
        <w:trPr>
          <w:trHeight w:val="401"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r>
      <w:tr>
        <w:trPr>
          <w:trHeight w:val="715"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-1,532,704.78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-581,375.93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-115,408.01</w:t>
            </w:r>
          </w:p>
        </w:tc>
      </w:tr>
      <w:tr>
        <w:trPr>
          <w:trHeight w:val="1025"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48,700,146.92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4,982,780.22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2,488,012.62</w:t>
            </w:r>
          </w:p>
        </w:tc>
      </w:tr>
      <w:tr>
        <w:trPr>
          <w:trHeight w:val="715"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3"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14,162.86</w:t>
            </w:r>
          </w:p>
        </w:tc>
      </w:tr>
      <w:tr>
        <w:trPr>
          <w:trHeight w:val="401"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1,133,224.35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-1,268,084.48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5,587,166.73</w:t>
            </w: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5,788,712.33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2,213,492.42</w:t>
            </w: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7,543,769.65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294,484.08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1,650,412.34</w:t>
            </w: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3,074,947.75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215,760.35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489,563.63</w:t>
            </w:r>
          </w:p>
        </w:tc>
      </w:tr>
      <w:tr>
        <w:trPr>
          <w:trHeight w:val="401"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43,470,661.42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4,836,567.80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5,833,958.23</w:t>
            </w:r>
          </w:p>
        </w:tc>
      </w:tr>
    </w:tbl>
    <w:p>
      <w:pPr>
        <w:spacing w:before="49"/>
        <w:ind w:left="604" w:right="0"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w:t>
      </w:r>
    </w:p>
    <w:p>
      <w:pPr>
        <w:spacing w:line="300" w:lineRule="auto" w:before="63"/>
        <w:ind w:left="152" w:right="138" w:firstLine="0"/>
        <w:jc w:val="left"/>
        <w:rPr>
          <w:rFonts w:ascii="宋体" w:hAnsi="宋体" w:cs="宋体" w:eastAsia="宋体" w:hint="default"/>
          <w:sz w:val="18"/>
          <w:szCs w:val="18"/>
        </w:rPr>
      </w:pPr>
      <w:r>
        <w:rPr>
          <w:rFonts w:ascii="宋体" w:hAnsi="宋体" w:cs="宋体" w:eastAsia="宋体" w:hint="default"/>
          <w:spacing w:val="-2"/>
          <w:sz w:val="18"/>
          <w:szCs w:val="18"/>
        </w:rPr>
        <w:t>及把《公开发行证券的公司信息披露解释性公告第</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非经常性损益》中列举的非经常性损益项目界定为经常性损益的</w:t>
      </w:r>
      <w:r>
        <w:rPr>
          <w:rFonts w:ascii="宋体" w:hAnsi="宋体" w:cs="宋体" w:eastAsia="宋体" w:hint="default"/>
          <w:sz w:val="18"/>
          <w:szCs w:val="18"/>
        </w:rPr>
        <w:t> 项目，应说明原因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1"/>
      </w:tblGrid>
      <w:tr>
        <w:trPr>
          <w:trHeight w:val="403"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软件企业增值税即征即退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0" w:right="0"/>
              <w:jc w:val="left"/>
              <w:rPr>
                <w:rFonts w:ascii="Times New Roman" w:hAnsi="Times New Roman" w:cs="Times New Roman" w:eastAsia="Times New Roman" w:hint="default"/>
                <w:sz w:val="18"/>
                <w:szCs w:val="18"/>
              </w:rPr>
            </w:pPr>
            <w:r>
              <w:rPr>
                <w:rFonts w:ascii="Times New Roman"/>
                <w:sz w:val="18"/>
              </w:rPr>
              <w:t>5,765,122.46</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与公司主营业务密切相关，符合国家政策规定，按照一定标准定 额持续享受的政府补助</w:t>
            </w:r>
          </w:p>
        </w:tc>
      </w:tr>
    </w:tbl>
    <w:p>
      <w:pPr>
        <w:spacing w:after="0" w:line="316"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70" w:right="3851"/>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left="332" w:right="0"/>
        <w:jc w:val="left"/>
        <w:rPr>
          <w:b w:val="0"/>
          <w:bCs w:val="0"/>
        </w:rPr>
      </w:pPr>
      <w:r>
        <w:rPr/>
        <w:t>一、概述</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left="332" w:right="413" w:firstLine="425"/>
        <w:jc w:val="both"/>
      </w:pPr>
      <w:r>
        <w:rPr>
          <w:spacing w:val="2"/>
        </w:rPr>
        <w:t>报告期内，公司始终坚持既定的“十二五”发展战略（即打造为具有较高投资价值和社</w:t>
      </w:r>
      <w:r>
        <w:rPr/>
        <w:t> 会价值的企业），积极推进产融结合，充分与国家宏观与区域政策对接</w:t>
      </w:r>
      <w:r>
        <w:rPr>
          <w:rFonts w:ascii="宋体" w:hAnsi="宋体" w:cs="宋体" w:eastAsia="宋体" w:hint="default"/>
        </w:rPr>
        <w:t>,</w:t>
      </w:r>
      <w:r>
        <w:rPr/>
        <w:t>整合资源</w:t>
      </w:r>
      <w:r>
        <w:rPr>
          <w:rFonts w:ascii="宋体" w:hAnsi="宋体" w:cs="宋体" w:eastAsia="宋体" w:hint="default"/>
        </w:rPr>
        <w:t>,</w:t>
      </w:r>
      <w:r>
        <w:rPr/>
        <w:t>商业模式</w:t>
      </w:r>
      <w:r>
        <w:rPr>
          <w:spacing w:val="-87"/>
        </w:rPr>
        <w:t> </w:t>
      </w:r>
      <w:r>
        <w:rPr>
          <w:spacing w:val="-87"/>
        </w:rPr>
      </w:r>
      <w:r>
        <w:rPr/>
        <w:t>优化，深入优化业务和资产结构，逐步提高盈利水平，实现公司价值增值，整合产业链价值</w:t>
      </w:r>
      <w:r>
        <w:rPr>
          <w:spacing w:val="-91"/>
        </w:rPr>
        <w:t> </w:t>
      </w:r>
      <w:r>
        <w:rPr>
          <w:spacing w:val="-91"/>
        </w:rPr>
      </w:r>
      <w:r>
        <w:rPr/>
        <w:t>资源，加强公司内部控制风险管理，逐步提升综合管理水平，强化运营把控，提升运营支撑</w:t>
      </w:r>
      <w:r>
        <w:rPr>
          <w:spacing w:val="-91"/>
        </w:rPr>
        <w:t> </w:t>
      </w:r>
      <w:r>
        <w:rPr>
          <w:spacing w:val="-91"/>
        </w:rPr>
      </w:r>
      <w:r>
        <w:rPr/>
        <w:t>能力，全力推进“十二五”发展战略目标的阶段性落地。</w:t>
      </w:r>
    </w:p>
    <w:p>
      <w:pPr>
        <w:spacing w:line="240" w:lineRule="auto" w:before="12"/>
        <w:rPr>
          <w:rFonts w:ascii="宋体" w:hAnsi="宋体" w:cs="宋体" w:eastAsia="宋体" w:hint="default"/>
          <w:sz w:val="19"/>
          <w:szCs w:val="19"/>
        </w:rPr>
      </w:pPr>
    </w:p>
    <w:p>
      <w:pPr>
        <w:pStyle w:val="Heading3"/>
        <w:spacing w:line="240" w:lineRule="auto"/>
        <w:ind w:left="332"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before="0"/>
        <w:ind w:left="3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left="332" w:right="329" w:firstLine="545"/>
        <w:jc w:val="both"/>
      </w:pPr>
      <w:r>
        <w:rPr/>
        <w:t>报告期内，公司营业收入为</w:t>
      </w:r>
      <w:r>
        <w:rPr>
          <w:rFonts w:ascii="宋体" w:hAnsi="宋体" w:cs="宋体" w:eastAsia="宋体" w:hint="default"/>
        </w:rPr>
        <w:t>6,198,358,597.83</w:t>
      </w:r>
      <w:r>
        <w:rPr/>
        <w:t>元，营业总成本为</w:t>
      </w:r>
      <w:r>
        <w:rPr>
          <w:rFonts w:ascii="宋体" w:hAnsi="宋体" w:cs="宋体" w:eastAsia="宋体" w:hint="default"/>
        </w:rPr>
        <w:t>6,189,497,456.70</w:t>
      </w:r>
      <w:r>
        <w:rPr/>
        <w:t>元， 经营活动产生现金流量净额为</w:t>
      </w:r>
      <w:r>
        <w:rPr>
          <w:rFonts w:ascii="宋体" w:hAnsi="宋体" w:cs="宋体" w:eastAsia="宋体" w:hint="default"/>
        </w:rPr>
        <w:t>150,421,427.04</w:t>
      </w:r>
      <w:r>
        <w:rPr/>
        <w:t>元</w:t>
      </w:r>
      <w:r>
        <w:rPr>
          <w:rFonts w:ascii="宋体" w:hAnsi="宋体" w:cs="宋体" w:eastAsia="宋体" w:hint="default"/>
        </w:rPr>
        <w:t>,</w:t>
      </w:r>
      <w:r>
        <w:rPr/>
        <w:t>较去年同期同比例变动为</w:t>
      </w:r>
      <w:r>
        <w:rPr>
          <w:rFonts w:ascii="宋体" w:hAnsi="宋体" w:cs="宋体" w:eastAsia="宋体" w:hint="default"/>
        </w:rPr>
        <w:t>34.25%</w:t>
      </w:r>
      <w:r>
        <w:rPr/>
        <w:t>、</w:t>
      </w:r>
      <w:r>
        <w:rPr>
          <w:rFonts w:ascii="宋体" w:hAnsi="宋体" w:cs="宋体" w:eastAsia="宋体" w:hint="default"/>
        </w:rPr>
        <w:t>34.97%</w:t>
      </w:r>
      <w:r>
        <w:rPr/>
        <w:t>、 </w:t>
      </w:r>
      <w:r>
        <w:rPr>
          <w:rFonts w:ascii="宋体" w:hAnsi="宋体" w:cs="宋体" w:eastAsia="宋体" w:hint="default"/>
        </w:rPr>
        <w:t>511.30%</w:t>
      </w:r>
      <w:r>
        <w:rPr/>
        <w:t>。公司报告期内不存在利润构成或者利润来源发生重大变动。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before="36"/>
        <w:ind w:left="0" w:right="99" w:firstLine="0"/>
        <w:jc w:val="right"/>
        <w:rPr>
          <w:rFonts w:ascii="宋体" w:hAnsi="宋体" w:cs="宋体" w:eastAsia="宋体" w:hint="default"/>
          <w:sz w:val="21"/>
          <w:szCs w:val="21"/>
        </w:rPr>
      </w:pPr>
      <w:r>
        <w:rPr/>
        <w:pict>
          <v:shape style="position:absolute;margin-left:45.720001pt;margin-top:-98.276299pt;width:504.15pt;height:314.9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0"/>
                    <w:gridCol w:w="1923"/>
                    <w:gridCol w:w="1985"/>
                    <w:gridCol w:w="1075"/>
                    <w:gridCol w:w="2965"/>
                  </w:tblGrid>
                  <w:tr>
                    <w:trPr>
                      <w:trHeight w:val="655"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74" w:val="left" w:leader="none"/>
                          </w:tabs>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本报告期</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上年同期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33"/>
                            <w:sz w:val="21"/>
                            <w:szCs w:val="21"/>
                          </w:rPr>
                          <w:t> </w:t>
                        </w:r>
                        <w:r>
                          <w:rPr>
                            <w:rFonts w:ascii="宋体" w:hAnsi="宋体" w:cs="宋体" w:eastAsia="宋体" w:hint="default"/>
                            <w:sz w:val="21"/>
                            <w:szCs w:val="21"/>
                          </w:rPr>
                          <w:t>比</w:t>
                        </w:r>
                        <w:r>
                          <w:rPr>
                            <w:rFonts w:ascii="宋体" w:hAnsi="宋体" w:cs="宋体" w:eastAsia="宋体" w:hint="default"/>
                            <w:spacing w:val="-33"/>
                            <w:sz w:val="21"/>
                            <w:szCs w:val="21"/>
                          </w:rPr>
                          <w:t> </w:t>
                        </w:r>
                        <w:r>
                          <w:rPr>
                            <w:rFonts w:ascii="宋体" w:hAnsi="宋体" w:cs="宋体" w:eastAsia="宋体" w:hint="default"/>
                            <w:sz w:val="21"/>
                            <w:szCs w:val="21"/>
                          </w:rPr>
                          <w:t>增</w:t>
                        </w:r>
                        <w:r>
                          <w:rPr>
                            <w:rFonts w:ascii="宋体" w:hAnsi="宋体" w:cs="宋体" w:eastAsia="宋体" w:hint="default"/>
                            <w:spacing w:val="-35"/>
                            <w:sz w:val="21"/>
                            <w:szCs w:val="21"/>
                          </w:rPr>
                          <w:t> </w:t>
                        </w:r>
                        <w:r>
                          <w:rPr>
                            <w:rFonts w:ascii="宋体" w:hAnsi="宋体" w:cs="宋体" w:eastAsia="宋体" w:hint="default"/>
                            <w:sz w:val="21"/>
                            <w:szCs w:val="21"/>
                          </w:rPr>
                          <w:t>减</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4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6,198,358,597.83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4,616,859,715.76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34.25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本期业务规模扩大所致</w:t>
                        </w:r>
                      </w:p>
                    </w:tc>
                  </w:tr>
                  <w:tr>
                    <w:trPr>
                      <w:trHeight w:val="34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5,885,282,681.14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4,331,854,396.10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35.86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本期业务规模扩大所致</w:t>
                        </w:r>
                      </w:p>
                    </w:tc>
                  </w:tr>
                  <w:tr>
                    <w:trPr>
                      <w:trHeight w:val="34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81,276,959.63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67,686,796.80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20.08</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118,674,864.97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84,739,194.35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40.05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0"/>
                          <w:jc w:val="left"/>
                          <w:rPr>
                            <w:rFonts w:ascii="宋体" w:hAnsi="宋体" w:cs="宋体" w:eastAsia="宋体" w:hint="default"/>
                            <w:sz w:val="21"/>
                            <w:szCs w:val="21"/>
                          </w:rPr>
                        </w:pPr>
                        <w:r>
                          <w:rPr>
                            <w:rFonts w:ascii="宋体" w:hAnsi="宋体" w:cs="宋体" w:eastAsia="宋体" w:hint="default"/>
                            <w:spacing w:val="-1"/>
                            <w:sz w:val="21"/>
                            <w:szCs w:val="21"/>
                          </w:rPr>
                          <w:t>本期业务规模扩大，收购高阳捷</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9"/>
                            <w:w w:val="100"/>
                            <w:sz w:val="21"/>
                            <w:szCs w:val="21"/>
                          </w:rPr>
                          <w:t>迅，人工费用和研究开发费增加</w:t>
                        </w:r>
                      </w:p>
                    </w:tc>
                  </w:tr>
                  <w:tr>
                    <w:trPr>
                      <w:trHeight w:val="34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64,702,019.49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56,942,652.46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13.63</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30,943,778.31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17,958,147.38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72.31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本期利润增加。</w:t>
                        </w:r>
                      </w:p>
                    </w:tc>
                  </w:tr>
                  <w:tr>
                    <w:trPr>
                      <w:trHeight w:val="65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研发投入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51,742,627.81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23,937,434.17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116.16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left"/>
                          <w:rPr>
                            <w:rFonts w:ascii="宋体" w:hAnsi="宋体" w:cs="宋体" w:eastAsia="宋体" w:hint="default"/>
                            <w:sz w:val="21"/>
                            <w:szCs w:val="21"/>
                          </w:rPr>
                        </w:pPr>
                        <w:r>
                          <w:rPr>
                            <w:rFonts w:ascii="宋体" w:hAnsi="宋体" w:cs="宋体" w:eastAsia="宋体" w:hint="default"/>
                            <w:spacing w:val="-2"/>
                            <w:sz w:val="21"/>
                            <w:szCs w:val="21"/>
                          </w:rPr>
                          <w:t>对新旧开发项目增加投入，收购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高阳捷迅所致。</w:t>
                        </w:r>
                      </w:p>
                    </w:tc>
                  </w:tr>
                  <w:tr>
                    <w:trPr>
                      <w:trHeight w:val="655"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 w:right="-1" w:firstLine="420"/>
                          <w:jc w:val="left"/>
                          <w:rPr>
                            <w:rFonts w:ascii="宋体" w:hAnsi="宋体" w:cs="宋体" w:eastAsia="宋体" w:hint="default"/>
                            <w:sz w:val="21"/>
                            <w:szCs w:val="21"/>
                          </w:rPr>
                        </w:pPr>
                        <w:r>
                          <w:rPr>
                            <w:rFonts w:ascii="宋体" w:hAnsi="宋体" w:cs="宋体" w:eastAsia="宋体" w:hint="default"/>
                            <w:spacing w:val="-2"/>
                            <w:sz w:val="21"/>
                            <w:szCs w:val="21"/>
                          </w:rPr>
                          <w:t>经营活动产生的现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150,421,427.04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-36,572,231.89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-511.3</w:t>
                        </w:r>
                      </w:p>
                      <w:p>
                        <w:pPr>
                          <w:pStyle w:val="TableParagraph"/>
                          <w:spacing w:line="240" w:lineRule="auto" w:before="70"/>
                          <w:ind w:right="2"/>
                          <w:jc w:val="right"/>
                          <w:rPr>
                            <w:rFonts w:ascii="Times New Roman" w:hAnsi="Times New Roman" w:cs="Times New Roman" w:eastAsia="Times New Roman" w:hint="default"/>
                            <w:sz w:val="21"/>
                            <w:szCs w:val="21"/>
                          </w:rPr>
                        </w:pPr>
                        <w:r>
                          <w:rPr>
                            <w:rFonts w:ascii="Times New Roman"/>
                            <w:w w:val="100"/>
                            <w:sz w:val="21"/>
                          </w:rPr>
                          <w:t>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left"/>
                          <w:rPr>
                            <w:rFonts w:ascii="宋体" w:hAnsi="宋体" w:cs="宋体" w:eastAsia="宋体" w:hint="default"/>
                            <w:sz w:val="21"/>
                            <w:szCs w:val="21"/>
                          </w:rPr>
                        </w:pPr>
                        <w:r>
                          <w:rPr>
                            <w:rFonts w:ascii="宋体" w:hAnsi="宋体" w:cs="宋体" w:eastAsia="宋体" w:hint="default"/>
                            <w:spacing w:val="-2"/>
                            <w:sz w:val="21"/>
                            <w:szCs w:val="21"/>
                          </w:rPr>
                          <w:t>本期业务规模扩大，收到的货款</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增加。</w:t>
                        </w:r>
                      </w:p>
                    </w:tc>
                  </w:tr>
                  <w:tr>
                    <w:trPr>
                      <w:trHeight w:val="65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 w:right="-1" w:firstLine="420"/>
                          <w:jc w:val="left"/>
                          <w:rPr>
                            <w:rFonts w:ascii="宋体" w:hAnsi="宋体" w:cs="宋体" w:eastAsia="宋体" w:hint="default"/>
                            <w:sz w:val="21"/>
                            <w:szCs w:val="21"/>
                          </w:rPr>
                        </w:pPr>
                        <w:r>
                          <w:rPr>
                            <w:rFonts w:ascii="宋体" w:hAnsi="宋体" w:cs="宋体" w:eastAsia="宋体" w:hint="default"/>
                            <w:spacing w:val="-2"/>
                            <w:sz w:val="21"/>
                            <w:szCs w:val="21"/>
                          </w:rPr>
                          <w:t>投资活动产生的现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-517,202,936.32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-119,710,140.64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-332.0</w:t>
                        </w:r>
                      </w:p>
                      <w:p>
                        <w:pPr>
                          <w:pStyle w:val="TableParagraph"/>
                          <w:spacing w:line="240" w:lineRule="auto" w:before="70"/>
                          <w:ind w:right="2"/>
                          <w:jc w:val="right"/>
                          <w:rPr>
                            <w:rFonts w:ascii="Times New Roman" w:hAnsi="Times New Roman" w:cs="Times New Roman" w:eastAsia="Times New Roman" w:hint="default"/>
                            <w:sz w:val="21"/>
                            <w:szCs w:val="21"/>
                          </w:rPr>
                        </w:pPr>
                        <w:r>
                          <w:rPr>
                            <w:rFonts w:ascii="Times New Roman"/>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left"/>
                          <w:rPr>
                            <w:rFonts w:ascii="宋体" w:hAnsi="宋体" w:cs="宋体" w:eastAsia="宋体" w:hint="default"/>
                            <w:sz w:val="21"/>
                            <w:szCs w:val="21"/>
                          </w:rPr>
                        </w:pPr>
                        <w:r>
                          <w:rPr>
                            <w:rFonts w:ascii="宋体" w:hAnsi="宋体" w:cs="宋体" w:eastAsia="宋体" w:hint="default"/>
                            <w:spacing w:val="-2"/>
                            <w:sz w:val="21"/>
                            <w:szCs w:val="21"/>
                          </w:rPr>
                          <w:t>购买了土地使用权及理财产品，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新增股权投资。</w:t>
                        </w:r>
                      </w:p>
                    </w:tc>
                  </w:tr>
                  <w:tr>
                    <w:trPr>
                      <w:trHeight w:val="655"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 w:right="-1" w:firstLine="420"/>
                          <w:jc w:val="left"/>
                          <w:rPr>
                            <w:rFonts w:ascii="宋体" w:hAnsi="宋体" w:cs="宋体" w:eastAsia="宋体" w:hint="default"/>
                            <w:sz w:val="21"/>
                            <w:szCs w:val="21"/>
                          </w:rPr>
                        </w:pPr>
                        <w:r>
                          <w:rPr>
                            <w:rFonts w:ascii="宋体" w:hAnsi="宋体" w:cs="宋体" w:eastAsia="宋体" w:hint="default"/>
                            <w:spacing w:val="-2"/>
                            <w:sz w:val="21"/>
                            <w:szCs w:val="21"/>
                          </w:rPr>
                          <w:t>筹资活动产生的现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322,033,528.28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1,031,385,341.36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-68.78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left"/>
                          <w:rPr>
                            <w:rFonts w:ascii="宋体" w:hAnsi="宋体" w:cs="宋体" w:eastAsia="宋体" w:hint="default"/>
                            <w:sz w:val="21"/>
                            <w:szCs w:val="21"/>
                          </w:rPr>
                        </w:pPr>
                        <w:r>
                          <w:rPr>
                            <w:rFonts w:ascii="宋体" w:hAnsi="宋体" w:cs="宋体" w:eastAsia="宋体" w:hint="default"/>
                            <w:spacing w:val="-2"/>
                            <w:sz w:val="21"/>
                            <w:szCs w:val="21"/>
                          </w:rPr>
                          <w:t>上期有定向增发收到的现金，本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期未进行股本融资。</w:t>
                        </w:r>
                      </w:p>
                    </w:tc>
                  </w:tr>
                  <w:tr>
                    <w:trPr>
                      <w:trHeight w:val="65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 w:right="-1" w:firstLine="420"/>
                          <w:jc w:val="left"/>
                          <w:rPr>
                            <w:rFonts w:ascii="宋体" w:hAnsi="宋体" w:cs="宋体" w:eastAsia="宋体" w:hint="default"/>
                            <w:sz w:val="21"/>
                            <w:szCs w:val="21"/>
                          </w:rPr>
                        </w:pPr>
                        <w:r>
                          <w:rPr>
                            <w:rFonts w:ascii="宋体" w:hAnsi="宋体" w:cs="宋体" w:eastAsia="宋体" w:hint="default"/>
                            <w:spacing w:val="-2"/>
                            <w:sz w:val="21"/>
                            <w:szCs w:val="21"/>
                          </w:rPr>
                          <w:t>现金及现金等价物</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-44,747,981.00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875,102,968.83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-105.1</w:t>
                        </w:r>
                      </w:p>
                      <w:p>
                        <w:pPr>
                          <w:pStyle w:val="TableParagraph"/>
                          <w:spacing w:line="240" w:lineRule="auto" w:before="70"/>
                          <w:ind w:right="2"/>
                          <w:jc w:val="right"/>
                          <w:rPr>
                            <w:rFonts w:ascii="Times New Roman" w:hAnsi="Times New Roman" w:cs="Times New Roman" w:eastAsia="Times New Roman" w:hint="default"/>
                            <w:sz w:val="21"/>
                            <w:szCs w:val="21"/>
                          </w:rPr>
                        </w:pPr>
                        <w:r>
                          <w:rPr>
                            <w:rFonts w:ascii="Times New Roman"/>
                            <w:w w:val="100"/>
                            <w:sz w:val="21"/>
                          </w:rPr>
                          <w:t>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主要是投资活动增加所致。</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45" w:footer="1186" w:top="1060" w:bottom="1380" w:left="800" w:right="720"/>
        </w:sectPr>
      </w:pPr>
    </w:p>
    <w:p>
      <w:pPr>
        <w:spacing w:line="240" w:lineRule="auto" w:before="6"/>
        <w:rPr>
          <w:rFonts w:ascii="宋体" w:hAnsi="宋体" w:cs="宋体" w:eastAsia="宋体" w:hint="default"/>
          <w:sz w:val="29"/>
          <w:szCs w:val="29"/>
        </w:rPr>
      </w:pPr>
    </w:p>
    <w:p>
      <w:pPr>
        <w:spacing w:line="357" w:lineRule="auto" w:before="26"/>
        <w:ind w:left="578" w:right="96" w:hanging="426"/>
        <w:jc w:val="left"/>
        <w:rPr>
          <w:rFonts w:ascii="宋体" w:hAnsi="宋体" w:cs="宋体" w:eastAsia="宋体" w:hint="default"/>
          <w:sz w:val="24"/>
          <w:szCs w:val="24"/>
        </w:rPr>
      </w:pPr>
      <w:r>
        <w:rPr>
          <w:rFonts w:ascii="宋体" w:hAnsi="宋体" w:cs="宋体" w:eastAsia="宋体" w:hint="default"/>
          <w:b/>
          <w:bCs/>
          <w:sz w:val="24"/>
          <w:szCs w:val="24"/>
        </w:rPr>
        <w:t>公司回顾总结前期披露的发展战略和经营计划在报告期内的进展情况</w:t>
      </w:r>
      <w:r>
        <w:rPr>
          <w:rFonts w:ascii="宋体" w:hAnsi="宋体" w:cs="宋体" w:eastAsia="宋体" w:hint="default"/>
          <w:b/>
          <w:bCs/>
          <w:w w:val="99"/>
          <w:sz w:val="24"/>
          <w:szCs w:val="24"/>
        </w:rPr>
        <w:t> </w:t>
      </w:r>
      <w:r>
        <w:rPr>
          <w:rFonts w:ascii="宋体" w:hAnsi="宋体" w:cs="宋体" w:eastAsia="宋体" w:hint="default"/>
          <w:spacing w:val="2"/>
          <w:sz w:val="24"/>
          <w:szCs w:val="24"/>
        </w:rPr>
        <w:t>按照大唐高鸿公司“十二五”发展规划的战略目标，公司以“建立面向广大独立决策的</w:t>
      </w:r>
    </w:p>
    <w:p>
      <w:pPr>
        <w:pStyle w:val="BodyText"/>
        <w:spacing w:line="357" w:lineRule="auto"/>
        <w:ind w:right="96"/>
        <w:jc w:val="left"/>
      </w:pPr>
      <w:r>
        <w:rPr/>
        <w:t>投资和消费主体的服务体系”为发展战略目标，通过建设对客户广泛覆盖的渠道平台，横向</w:t>
      </w:r>
      <w:r>
        <w:rPr>
          <w:spacing w:val="-90"/>
        </w:rPr>
        <w:t> </w:t>
      </w:r>
      <w:r>
        <w:rPr>
          <w:spacing w:val="-90"/>
        </w:rPr>
      </w:r>
      <w:r>
        <w:rPr>
          <w:spacing w:val="-2"/>
        </w:rPr>
        <w:t>整合外部资源和产品线，纵向整合业务及在传统渠道上整合新型业务，推进企业信息化业务、</w:t>
      </w:r>
      <w:r>
        <w:rPr/>
        <w:t> </w:t>
      </w:r>
      <w:r>
        <w:rPr>
          <w:rFonts w:ascii="宋体" w:hAnsi="宋体" w:cs="宋体" w:eastAsia="宋体" w:hint="default"/>
        </w:rPr>
        <w:t>IT</w:t>
      </w:r>
      <w:r>
        <w:rPr/>
        <w:t>销售业务及信息服务业务全面、协调、可持续发展，竭力提升公司的可持续发展能力、核</w:t>
      </w:r>
      <w:r>
        <w:rPr>
          <w:spacing w:val="-91"/>
        </w:rPr>
        <w:t> </w:t>
      </w:r>
      <w:r>
        <w:rPr>
          <w:spacing w:val="-91"/>
        </w:rPr>
      </w:r>
      <w:r>
        <w:rPr/>
        <w:t>心竞争力及盈利能力，逐步将公司打造为具有较高社会价值与投资价值的企业。</w:t>
      </w:r>
    </w:p>
    <w:p>
      <w:pPr>
        <w:pStyle w:val="BodyText"/>
        <w:spacing w:line="357" w:lineRule="auto"/>
        <w:ind w:right="231" w:firstLine="425"/>
        <w:jc w:val="both"/>
      </w:pPr>
      <w:r>
        <w:rPr>
          <w:rFonts w:ascii="宋体" w:hAnsi="宋体" w:cs="宋体" w:eastAsia="宋体" w:hint="default"/>
        </w:rPr>
        <w:t>2013</w:t>
      </w:r>
      <w:r>
        <w:rPr/>
        <w:t>年公司重点推进三个业务板块的业务拓展和盈利能力的提升，增强业务可持续发展</w:t>
      </w:r>
      <w:r>
        <w:rPr>
          <w:spacing w:val="2"/>
        </w:rPr>
        <w:t> </w:t>
      </w:r>
      <w:r>
        <w:rPr/>
        <w:t>能力，大力推进优化产业结构调整工作，把提高效益放在首位，经营工作顺利开展。</w:t>
      </w:r>
    </w:p>
    <w:p>
      <w:pPr>
        <w:pStyle w:val="BodyText"/>
        <w:spacing w:line="357" w:lineRule="auto"/>
        <w:ind w:right="228" w:firstLine="425"/>
        <w:jc w:val="both"/>
      </w:pPr>
      <w:r>
        <w:rPr>
          <w:spacing w:val="2"/>
        </w:rPr>
        <w:t>通过调整资产结构，优化资产质量，提升和整合达到战略目标所需的关键能力和资源； </w:t>
      </w:r>
      <w:r>
        <w:rPr/>
        <w:t>通过建设自有物业，实现商业模式的全面转型，挖掘产业链价值，整合内外部资源；组织开</w:t>
      </w:r>
      <w:r>
        <w:rPr>
          <w:spacing w:val="-91"/>
        </w:rPr>
        <w:t> </w:t>
      </w:r>
      <w:r>
        <w:rPr>
          <w:spacing w:val="-91"/>
        </w:rPr>
      </w:r>
      <w:r>
        <w:rPr/>
        <w:t>展管理提升工作，提高公司风险控制能力；转变经营模式，实现经营效率的提高，全面提升</w:t>
      </w:r>
      <w:r>
        <w:rPr>
          <w:spacing w:val="-91"/>
        </w:rPr>
        <w:t> </w:t>
      </w:r>
      <w:r>
        <w:rPr>
          <w:spacing w:val="-91"/>
        </w:rPr>
      </w:r>
      <w:r>
        <w:rPr/>
        <w:t>了公司的经营能力。</w:t>
      </w:r>
    </w:p>
    <w:p>
      <w:pPr>
        <w:pStyle w:val="BodyText"/>
        <w:spacing w:line="357" w:lineRule="auto"/>
        <w:ind w:left="578" w:right="96"/>
        <w:jc w:val="left"/>
      </w:pPr>
      <w:r>
        <w:rPr/>
        <w:t>报告期内，公司各业务板块发展情况： </w:t>
      </w:r>
      <w:r>
        <w:rPr>
          <w:spacing w:val="2"/>
        </w:rPr>
        <w:t>企业信息化业务方面，公司逐步向“企业信息化服务与集成商”转型，面向行业和企业</w:t>
      </w:r>
    </w:p>
    <w:p>
      <w:pPr>
        <w:pStyle w:val="BodyText"/>
        <w:spacing w:line="357" w:lineRule="auto"/>
        <w:ind w:right="96"/>
        <w:jc w:val="left"/>
      </w:pPr>
      <w:r>
        <w:rPr>
          <w:spacing w:val="-2"/>
        </w:rPr>
        <w:t>通信信息化服务需求，把握行业特点，拓展细分市场，提升产品覆盖率，强化产品整合能力。</w:t>
      </w:r>
      <w:r>
        <w:rPr/>
        <w:t> 报告期内，面向行业和企业通信信息化服务需求，公司已经形成了通信平台和业务终端全套</w:t>
      </w:r>
      <w:r>
        <w:rPr>
          <w:spacing w:val="-88"/>
        </w:rPr>
        <w:t> </w:t>
      </w:r>
      <w:r>
        <w:rPr>
          <w:spacing w:val="-88"/>
        </w:rPr>
      </w:r>
      <w:r>
        <w:rPr/>
        <w:t>企业级</w:t>
      </w:r>
      <w:r>
        <w:rPr>
          <w:rFonts w:ascii="宋体" w:hAnsi="宋体" w:cs="宋体" w:eastAsia="宋体" w:hint="default"/>
        </w:rPr>
        <w:t>IP</w:t>
      </w:r>
      <w:r>
        <w:rPr/>
        <w:t>通信信息化产品，细分领域拓展至呼叫中心、生产调度、应急广播等专业领域，通</w:t>
      </w:r>
      <w:r>
        <w:rPr>
          <w:spacing w:val="-92"/>
        </w:rPr>
        <w:t> </w:t>
      </w:r>
      <w:r>
        <w:rPr>
          <w:spacing w:val="-92"/>
        </w:rPr>
      </w:r>
      <w:r>
        <w:rPr/>
        <w:t>过以自研</w:t>
      </w:r>
      <w:r>
        <w:rPr>
          <w:rFonts w:ascii="宋体" w:hAnsi="宋体" w:cs="宋体" w:eastAsia="宋体" w:hint="default"/>
        </w:rPr>
        <w:t>IP</w:t>
      </w:r>
      <w:r>
        <w:rPr/>
        <w:t>语音产品为重点，以系统集成业务为补充，深入行业形成独立解决方案，整体解</w:t>
      </w:r>
      <w:r>
        <w:rPr>
          <w:spacing w:val="-91"/>
        </w:rPr>
        <w:t> </w:t>
      </w:r>
      <w:r>
        <w:rPr>
          <w:spacing w:val="-91"/>
        </w:rPr>
      </w:r>
      <w:r>
        <w:rPr>
          <w:spacing w:val="-2"/>
        </w:rPr>
        <w:t>决方案营销和信息终端渠道营销模式取得稳步推进；在广电行业呼叫中心市场传统业务方面，</w:t>
      </w:r>
      <w:r>
        <w:rPr/>
        <w:t> 继续巩固行业优势扩充产品线，并借助产业影响，将原有的设备服务提供能力向垂直领域延</w:t>
      </w:r>
      <w:r>
        <w:rPr>
          <w:spacing w:val="-91"/>
        </w:rPr>
        <w:t> </w:t>
      </w:r>
      <w:r>
        <w:rPr>
          <w:spacing w:val="-91"/>
        </w:rPr>
      </w:r>
      <w:r>
        <w:rPr/>
        <w:t>伸；大力拓展了物联网传感层技术力量，形成了公司在感知层技术和产业的重大突破，主要</w:t>
      </w:r>
      <w:r>
        <w:rPr>
          <w:spacing w:val="-91"/>
        </w:rPr>
        <w:t> </w:t>
      </w:r>
      <w:r>
        <w:rPr>
          <w:spacing w:val="-91"/>
        </w:rPr>
      </w:r>
      <w:r>
        <w:rPr/>
        <w:t>体现在智能楼宇的物联网智能平台研究和智慧农业的示范应用工程建设方面；报告期内，公</w:t>
      </w:r>
      <w:r>
        <w:rPr>
          <w:spacing w:val="-86"/>
        </w:rPr>
        <w:t> </w:t>
      </w:r>
      <w:r>
        <w:rPr>
          <w:spacing w:val="-86"/>
        </w:rPr>
      </w:r>
      <w:r>
        <w:rPr/>
        <w:t>司持续拓展教育、金融领域等信息化业务，强化内部业务的优化，提高业务活力；通过收购</w:t>
      </w:r>
      <w:r>
        <w:rPr>
          <w:spacing w:val="-91"/>
        </w:rPr>
        <w:t> </w:t>
      </w:r>
      <w:r>
        <w:rPr>
          <w:spacing w:val="-91"/>
        </w:rPr>
      </w:r>
      <w:r>
        <w:rPr/>
        <w:t>高阳捷迅，进入运营商支付软件市场，面向电信运营商</w:t>
      </w:r>
      <w:r>
        <w:rPr>
          <w:rFonts w:ascii="宋体" w:hAnsi="宋体" w:cs="宋体" w:eastAsia="宋体" w:hint="default"/>
        </w:rPr>
        <w:t>4G</w:t>
      </w:r>
      <w:r>
        <w:rPr/>
        <w:t>数据流量运营提供支付软件及运营</w:t>
      </w:r>
      <w:r>
        <w:rPr>
          <w:spacing w:val="-88"/>
        </w:rPr>
        <w:t> </w:t>
      </w:r>
      <w:r>
        <w:rPr>
          <w:spacing w:val="-88"/>
        </w:rPr>
      </w:r>
      <w:r>
        <w:rPr/>
        <w:t>方案。</w:t>
      </w:r>
    </w:p>
    <w:p>
      <w:pPr>
        <w:pStyle w:val="BodyText"/>
        <w:spacing w:line="357" w:lineRule="auto" w:before="37"/>
        <w:ind w:right="226" w:firstLine="425"/>
        <w:jc w:val="right"/>
      </w:pPr>
      <w:r>
        <w:rPr>
          <w:rFonts w:ascii="宋体" w:hAnsi="宋体" w:cs="宋体" w:eastAsia="宋体" w:hint="default"/>
          <w:spacing w:val="2"/>
        </w:rPr>
        <w:t>IT</w:t>
      </w:r>
      <w:r>
        <w:rPr>
          <w:spacing w:val="2"/>
        </w:rPr>
        <w:t>销售方面，围绕“建立面向广大独立决策的投资和消费主体的服务体系”的定位，构 </w:t>
      </w:r>
      <w:r>
        <w:rPr/>
        <w:t>建了面向全国的</w:t>
      </w:r>
      <w:r>
        <w:rPr>
          <w:rFonts w:ascii="宋体" w:hAnsi="宋体" w:cs="宋体" w:eastAsia="宋体" w:hint="default"/>
        </w:rPr>
        <w:t>IT</w:t>
      </w:r>
      <w:r>
        <w:rPr/>
        <w:t>销售网络，高鸿鼎恒和高鸿商城构筑的线下、线上立体化的</w:t>
      </w:r>
      <w:r>
        <w:rPr>
          <w:rFonts w:ascii="宋体" w:hAnsi="宋体" w:cs="宋体" w:eastAsia="宋体" w:hint="default"/>
        </w:rPr>
        <w:t>IT</w:t>
      </w:r>
      <w:r>
        <w:rPr/>
        <w:t>销售平台。 </w:t>
      </w:r>
      <w:r>
        <w:rPr>
          <w:spacing w:val="2"/>
        </w:rPr>
        <w:t>实体销售方面，公司优化原有店面，保持烟台高鸿品牌店面的统一经营，开拓天津、济</w:t>
      </w:r>
      <w:r>
        <w:rPr>
          <w:spacing w:val="2"/>
        </w:rPr>
        <w:t> </w:t>
      </w:r>
      <w:r>
        <w:rPr/>
        <w:t>宁、贵阳、义乌自有物业项目，同时在江苏设立新公司拓展</w:t>
      </w:r>
      <w:r>
        <w:rPr>
          <w:rFonts w:ascii="宋体" w:hAnsi="宋体" w:cs="宋体" w:eastAsia="宋体" w:hint="default"/>
        </w:rPr>
        <w:t>IT</w:t>
      </w:r>
      <w:r>
        <w:rPr/>
        <w:t>销售业务，在开展</w:t>
      </w:r>
      <w:r>
        <w:rPr>
          <w:rFonts w:ascii="宋体" w:hAnsi="宋体" w:cs="宋体" w:eastAsia="宋体" w:hint="default"/>
        </w:rPr>
        <w:t>IT</w:t>
      </w:r>
      <w:r>
        <w:rPr/>
        <w:t>供应链服</w:t>
      </w:r>
    </w:p>
    <w:p>
      <w:pPr>
        <w:spacing w:after="0" w:line="357" w:lineRule="auto"/>
        <w:jc w:val="righ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0"/>
        <w:jc w:val="left"/>
      </w:pPr>
      <w:r>
        <w:rPr/>
        <w:t>务的同时发掘了</w:t>
      </w:r>
      <w:r>
        <w:rPr>
          <w:rFonts w:ascii="宋体" w:hAnsi="宋体" w:cs="宋体" w:eastAsia="宋体" w:hint="default"/>
        </w:rPr>
        <w:t>IT</w:t>
      </w:r>
      <w:r>
        <w:rPr/>
        <w:t>销售业务的多元增值业务，加强与上下游合作，完善信控体系，保持大客</w:t>
      </w:r>
      <w:r>
        <w:rPr>
          <w:spacing w:val="-91"/>
        </w:rPr>
        <w:t> </w:t>
      </w:r>
      <w:r>
        <w:rPr>
          <w:spacing w:val="-91"/>
        </w:rPr>
      </w:r>
      <w:r>
        <w:rPr/>
        <w:t>户批发业务平稳有序快速持续发展。</w:t>
      </w:r>
    </w:p>
    <w:p>
      <w:pPr>
        <w:pStyle w:val="BodyText"/>
        <w:spacing w:line="357" w:lineRule="auto"/>
        <w:ind w:right="153" w:firstLine="425"/>
        <w:jc w:val="both"/>
      </w:pPr>
      <w:r>
        <w:rPr/>
        <w:t>电子商务方面，以多元化的经营发展为思路，在目前</w:t>
      </w:r>
      <w:r>
        <w:rPr>
          <w:rFonts w:ascii="宋体" w:hAnsi="宋体" w:cs="宋体" w:eastAsia="宋体" w:hint="default"/>
        </w:rPr>
        <w:t>B2B</w:t>
      </w:r>
      <w:r>
        <w:rPr/>
        <w:t>和</w:t>
      </w:r>
      <w:r>
        <w:rPr>
          <w:rFonts w:ascii="宋体" w:hAnsi="宋体" w:cs="宋体" w:eastAsia="宋体" w:hint="default"/>
        </w:rPr>
        <w:t>B2C</w:t>
      </w:r>
      <w:r>
        <w:rPr/>
        <w:t>模式基础上，尝试新业务 的业务延伸整合线上和线下资源；开展深度销售，针对企业客户和集团客户推出“特色售后</w:t>
      </w:r>
      <w:r>
        <w:rPr>
          <w:spacing w:val="-86"/>
        </w:rPr>
        <w:t> </w:t>
      </w:r>
      <w:r>
        <w:rPr>
          <w:spacing w:val="-86"/>
        </w:rPr>
      </w:r>
      <w:r>
        <w:rPr/>
        <w:t>服务”。完善后台建设，降本增效</w:t>
      </w:r>
      <w:r>
        <w:rPr>
          <w:rFonts w:ascii="宋体" w:hAnsi="宋体" w:cs="宋体" w:eastAsia="宋体" w:hint="default"/>
        </w:rPr>
        <w:t>,</w:t>
      </w:r>
      <w:r>
        <w:rPr>
          <w:rFonts w:ascii="宋体" w:hAnsi="宋体" w:cs="宋体" w:eastAsia="宋体" w:hint="default"/>
          <w:spacing w:val="27"/>
        </w:rPr>
        <w:t> </w:t>
      </w:r>
      <w:r>
        <w:rPr/>
        <w:t>从传统电商向服务类电商的业务转型，针对物流优化和</w:t>
      </w:r>
      <w:r>
        <w:rPr>
          <w:spacing w:val="-117"/>
        </w:rPr>
        <w:t> </w:t>
      </w:r>
      <w:r>
        <w:rPr>
          <w:spacing w:val="-117"/>
        </w:rPr>
      </w:r>
      <w:r>
        <w:rPr/>
        <w:t>产品调整，大力提高电子商务的成本控制能力；在此基础上，积极探索互联网彩票等服务类</w:t>
      </w:r>
      <w:r>
        <w:rPr>
          <w:spacing w:val="-91"/>
        </w:rPr>
        <w:t> </w:t>
      </w:r>
      <w:r>
        <w:rPr>
          <w:spacing w:val="-91"/>
        </w:rPr>
      </w:r>
      <w:r>
        <w:rPr/>
        <w:t>轻物流虚拟商品业务，为电子商务业务的下一步发展探索出一条新路。</w:t>
      </w:r>
    </w:p>
    <w:p>
      <w:pPr>
        <w:pStyle w:val="BodyText"/>
        <w:spacing w:line="357" w:lineRule="auto"/>
        <w:ind w:right="147" w:firstLine="425"/>
        <w:jc w:val="both"/>
      </w:pPr>
      <w:r>
        <w:rPr>
          <w:spacing w:val="2"/>
        </w:rPr>
        <w:t>信息服务业务方面，报告期内，信息服务业务规模提升显著，营业收入较上年同期增长 </w:t>
      </w:r>
      <w:r>
        <w:rPr>
          <w:rFonts w:ascii="宋体" w:hAnsi="宋体" w:cs="宋体" w:eastAsia="宋体" w:hint="default"/>
        </w:rPr>
        <w:t>115%</w:t>
      </w:r>
      <w:r>
        <w:rPr/>
        <w:t>，公司加大数字新媒体业务投入并通过和基础运营商的深入合作扩充通道实现规模化运</w:t>
      </w:r>
      <w:r>
        <w:rPr>
          <w:spacing w:val="-91"/>
        </w:rPr>
        <w:t> </w:t>
      </w:r>
      <w:r>
        <w:rPr>
          <w:spacing w:val="-91"/>
        </w:rPr>
      </w:r>
      <w:r>
        <w:rPr/>
        <w:t>营，逐步建立常态化的内容资源征集体系，大力培养创新业务，推进运营商基地模式业务，</w:t>
      </w:r>
      <w:r>
        <w:rPr>
          <w:spacing w:val="-91"/>
        </w:rPr>
        <w:t> </w:t>
      </w:r>
      <w:r>
        <w:rPr>
          <w:spacing w:val="-91"/>
        </w:rPr>
      </w:r>
      <w:r>
        <w:rPr/>
        <w:t>实施相关业务基地接入；逐步开展手机游戏运营，大力拓展应用分发业务，不断通过平台建</w:t>
      </w:r>
      <w:r>
        <w:rPr>
          <w:spacing w:val="-91"/>
        </w:rPr>
        <w:t> </w:t>
      </w:r>
      <w:r>
        <w:rPr>
          <w:spacing w:val="-91"/>
        </w:rPr>
      </w:r>
      <w:r>
        <w:rPr/>
        <w:t>设和渠道建设挖掘优质业务增长点，服务通道覆盖了三大电信运营商，应用分发渠道向全国</w:t>
      </w:r>
      <w:r>
        <w:rPr>
          <w:spacing w:val="-91"/>
        </w:rPr>
        <w:t> </w:t>
      </w:r>
      <w:r>
        <w:rPr>
          <w:spacing w:val="-91"/>
        </w:rPr>
      </w:r>
      <w:r>
        <w:rPr/>
        <w:t>范围拓展，通过收购高阳捷迅，提供小额数字化商品交易信息服务业务，为用户提供多元化</w:t>
      </w:r>
      <w:r>
        <w:rPr>
          <w:spacing w:val="-91"/>
        </w:rPr>
        <w:t> </w:t>
      </w:r>
      <w:r>
        <w:rPr>
          <w:spacing w:val="-91"/>
        </w:rPr>
      </w:r>
      <w:r>
        <w:rPr/>
        <w:t>增值服务，细化商业模式保障规模扩张实现收入多元化。</w:t>
      </w: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5" w:firstLine="425"/>
        <w:jc w:val="both"/>
      </w:pPr>
      <w:r>
        <w:rPr>
          <w:rFonts w:ascii="宋体" w:hAnsi="宋体" w:cs="宋体" w:eastAsia="宋体" w:hint="default"/>
        </w:rPr>
        <w:t>2013</w:t>
      </w:r>
      <w:r>
        <w:rPr/>
        <w:t>年公司主营业务收入</w:t>
      </w:r>
      <w:r>
        <w:rPr>
          <w:rFonts w:ascii="宋体" w:hAnsi="宋体" w:cs="宋体" w:eastAsia="宋体" w:hint="default"/>
        </w:rPr>
        <w:t>6,193,685,383.87</w:t>
      </w:r>
      <w:r>
        <w:rPr/>
        <w:t>元，较去年同期增长</w:t>
      </w:r>
      <w:r>
        <w:rPr>
          <w:rFonts w:ascii="宋体" w:hAnsi="宋体" w:cs="宋体" w:eastAsia="宋体" w:hint="default"/>
        </w:rPr>
        <w:t>34.33%</w:t>
      </w:r>
      <w:r>
        <w:rPr/>
        <w:t>。三个业务板块 稳步推进，收入均略有增长，</w:t>
      </w:r>
      <w:r>
        <w:rPr>
          <w:rFonts w:ascii="宋体" w:hAnsi="宋体" w:cs="宋体" w:eastAsia="宋体" w:hint="default"/>
        </w:rPr>
        <w:t>IT</w:t>
      </w:r>
      <w:r>
        <w:rPr/>
        <w:t>销售业务收入较去年同期有明显增长，主要为通过设立高鸿</w:t>
      </w:r>
      <w:r>
        <w:rPr>
          <w:spacing w:val="-90"/>
        </w:rPr>
        <w:t> </w:t>
      </w:r>
      <w:r>
        <w:rPr>
          <w:spacing w:val="-90"/>
        </w:rPr>
      </w:r>
      <w:r>
        <w:rPr/>
        <w:t>鼎恒公司，分销业务推进顺利，收入成本同比均有所增加。高鸿鼎恒为公司</w:t>
      </w:r>
      <w:r>
        <w:rPr>
          <w:rFonts w:ascii="宋体" w:hAnsi="宋体" w:cs="宋体" w:eastAsia="宋体" w:hint="default"/>
        </w:rPr>
        <w:t>2013</w:t>
      </w:r>
      <w:r>
        <w:rPr/>
        <w:t>年度新设立</w:t>
      </w:r>
      <w:r>
        <w:rPr>
          <w:spacing w:val="-89"/>
        </w:rPr>
        <w:t> </w:t>
      </w:r>
      <w:r>
        <w:rPr>
          <w:spacing w:val="-89"/>
        </w:rPr>
      </w:r>
      <w:r>
        <w:rPr/>
        <w:t>公司，故无法提供上年度数据。</w:t>
      </w: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企业信息化服务业务</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948,495,094.81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730,471,455.89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29.85%</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835,721,587.36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568,016,795.09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47.13%</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241,802,398.55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93,232,429.39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159.35%</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5,029,957,125.85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3,780,048,055.77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33.07%</w:t>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4,911,332,011.08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3,679,730,334.19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33.47%</w:t>
            </w:r>
          </w:p>
        </w:tc>
      </w:tr>
      <w:tr>
        <w:trPr>
          <w:trHeight w:val="401"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440,369,457.11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182,325,291.16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4"/>
        <w:ind w:left="578" w:right="0"/>
        <w:jc w:val="left"/>
      </w:pPr>
      <w:r>
        <w:rPr>
          <w:rFonts w:ascii="宋体" w:hAnsi="宋体" w:cs="宋体" w:eastAsia="宋体" w:hint="default"/>
        </w:rPr>
        <w:t>2013</w:t>
      </w:r>
      <w:r>
        <w:rPr/>
        <w:t>年企业信息化服务业务库存量同比增长</w:t>
      </w:r>
      <w:r>
        <w:rPr>
          <w:rFonts w:ascii="宋体" w:hAnsi="宋体" w:cs="宋体" w:eastAsia="宋体" w:hint="default"/>
        </w:rPr>
        <w:t>159.35%</w:t>
      </w:r>
      <w:r>
        <w:rPr/>
        <w:t>，是为已签订的销售合同备货所致。</w:t>
      </w:r>
    </w:p>
    <w:p>
      <w:pPr>
        <w:pStyle w:val="BodyText"/>
        <w:spacing w:line="357" w:lineRule="auto" w:before="154"/>
        <w:ind w:right="0"/>
        <w:jc w:val="left"/>
      </w:pPr>
      <w:r>
        <w:rPr>
          <w:rFonts w:ascii="宋体" w:hAnsi="宋体" w:cs="宋体" w:eastAsia="宋体" w:hint="default"/>
        </w:rPr>
        <w:t>2013</w:t>
      </w:r>
      <w:r>
        <w:rPr/>
        <w:t>年公司设立江苏高鸿鼎恒信息技术有限公司，该公司主营</w:t>
      </w:r>
      <w:r>
        <w:rPr>
          <w:rFonts w:ascii="宋体" w:hAnsi="宋体" w:cs="宋体" w:eastAsia="宋体" w:hint="default"/>
        </w:rPr>
        <w:t>IT</w:t>
      </w:r>
      <w:r>
        <w:rPr/>
        <w:t>销售业务，所以</w:t>
      </w:r>
      <w:r>
        <w:rPr>
          <w:rFonts w:ascii="宋体" w:hAnsi="宋体" w:cs="宋体" w:eastAsia="宋体" w:hint="default"/>
        </w:rPr>
        <w:t>IT</w:t>
      </w:r>
      <w:r>
        <w:rPr/>
        <w:t>销售业务</w:t>
      </w:r>
      <w:r>
        <w:rPr>
          <w:spacing w:val="-88"/>
        </w:rPr>
        <w:t> </w:t>
      </w:r>
      <w:r>
        <w:rPr>
          <w:spacing w:val="-88"/>
        </w:rPr>
      </w:r>
      <w:r>
        <w:rPr/>
        <w:t>板块各指标均同比增长。</w:t>
      </w: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公司重大的在手订单情况</w:t>
      </w:r>
    </w:p>
    <w:p>
      <w:pPr>
        <w:spacing w:line="340" w:lineRule="auto" w:before="115"/>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line="340" w:lineRule="auto" w:before="39"/>
        <w:ind w:left="152" w:right="7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公司主要销售客户情况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7"/>
        <w:gridCol w:w="5323"/>
      </w:tblGrid>
      <w:tr>
        <w:trPr>
          <w:trHeight w:val="401"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3,094,863,056.40</w:t>
            </w:r>
          </w:p>
        </w:tc>
      </w:tr>
      <w:tr>
        <w:trPr>
          <w:trHeight w:val="404"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49.93%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南京庆亚贸易有限公司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751,468,509.44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苏宁云商集团股份有限公司苏宁采购中心</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717,810,413.68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江苏好家居网络科技有限公司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609,484,316.33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565,750,854.90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南京东州科技有限公司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450,348,962.05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3,094,863,056.40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企业信息化服务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835,721,587.36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568,016,795.09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133,891,186.28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78,389,702.31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2"/>
                <w:sz w:val="18"/>
              </w:rPr>
              <w:t>4,911,332,011.08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3,679,730,334.19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512" w:right="8514"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5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50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通信设备产品及 制造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150,631,899.74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42,385,437.72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计算机涉密、系 统集成业务及外 围设备销售业务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685,089,687.62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525,631,357.37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133,891,186.28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78,389,702.31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2"/>
                <w:sz w:val="18"/>
              </w:rPr>
              <w:t>4,911,332,011.08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3,679,730,334.19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-1.55%</w:t>
            </w:r>
          </w:p>
        </w:tc>
      </w:tr>
    </w:tbl>
    <w:p>
      <w:pPr>
        <w:spacing w:line="717" w:lineRule="auto" w:before="49"/>
        <w:ind w:left="512" w:right="8514" w:firstLine="0"/>
        <w:jc w:val="left"/>
        <w:rPr>
          <w:rFonts w:ascii="宋体" w:hAnsi="宋体" w:cs="宋体" w:eastAsia="宋体" w:hint="default"/>
          <w:sz w:val="18"/>
          <w:szCs w:val="18"/>
        </w:rPr>
      </w:pPr>
      <w:r>
        <w:rPr/>
        <w:pict>
          <v:shape style="position:absolute;margin-left:56.459999pt;margin-top:54.841743pt;width:479.25pt;height:40.7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47"/>
                    <w:gridCol w:w="5323"/>
                  </w:tblGrid>
                  <w:tr>
                    <w:trPr>
                      <w:trHeight w:val="401"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3,502,745,389.59</w:t>
                        </w:r>
                      </w:p>
                    </w:tc>
                  </w:tr>
                  <w:tr>
                    <w:trPr>
                      <w:trHeight w:val="403" w:hRule="exact"/>
                    </w:trPr>
                    <w:tc>
                      <w:tcPr>
                        <w:tcW w:w="424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23" w:type="dxa"/>
                        <w:tcBorders>
                          <w:top w:val="single" w:sz="4" w:space="0" w:color="000000"/>
                          <w:left w:val="single" w:sz="22" w:space="0" w:color="FFFFFF"/>
                          <w:bottom w:val="single" w:sz="4" w:space="0" w:color="000000"/>
                          <w:right w:val="single" w:sz="4" w:space="0" w:color="000000"/>
                        </w:tcBorders>
                      </w:tcPr>
                      <w:p>
                        <w:pPr>
                          <w:pStyle w:val="TableParagraph"/>
                          <w:tabs>
                            <w:tab w:pos="4714" w:val="left" w:leader="none"/>
                          </w:tabs>
                          <w:spacing w:line="240" w:lineRule="auto" w:before="49"/>
                          <w:ind w:left="-137" w:right="16"/>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59.42%</w:t>
                        </w:r>
                      </w:p>
                    </w:tc>
                  </w:tr>
                </w:tbl>
                <w:p>
                  <w:pPr/>
                </w:p>
              </w:txbxContent>
            </v:textbox>
            <w10:wrap type="none"/>
          </v:shape>
        </w:pict>
      </w:r>
      <w:r>
        <w:rPr>
          <w:rFonts w:ascii="宋体" w:hAnsi="宋体" w:cs="宋体" w:eastAsia="宋体" w:hint="default"/>
          <w:sz w:val="18"/>
          <w:szCs w:val="18"/>
        </w:rPr>
        <w:t>说明：无 公司主要供应商情况</w:t>
      </w:r>
    </w:p>
    <w:p>
      <w:pPr>
        <w:spacing w:line="240" w:lineRule="auto" w:before="4"/>
        <w:rPr>
          <w:rFonts w:ascii="宋体" w:hAnsi="宋体" w:cs="宋体" w:eastAsia="宋体" w:hint="default"/>
          <w:sz w:val="12"/>
          <w:szCs w:val="12"/>
        </w:rPr>
      </w:pPr>
    </w:p>
    <w:p>
      <w:pPr>
        <w:spacing w:line="393" w:lineRule="exact"/>
        <w:ind w:left="480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262.75pt;height:19.7pt;mso-position-horizontal-relative:char;mso-position-vertical-relative:line" coordorigin="0,0" coordsize="5255,394">
            <v:group style="position:absolute;left:0;top:0;width:5255;height:394" coordorigin="0,0" coordsize="5255,394">
              <v:shape style="position:absolute;left:0;top:0;width:5255;height:394" coordorigin="0,0" coordsize="5255,394" path="m0,394l5255,394,5255,0,0,0,0,394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27"/>
          <w:szCs w:val="27"/>
        </w:rPr>
      </w:pPr>
    </w:p>
    <w:p>
      <w:pPr>
        <w:spacing w:before="44"/>
        <w:ind w:left="5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512" w:right="8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52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神华天泓贸易有限公司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1,025,252,373.01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华硕电脑（上海）有限公司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922,563,521.37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南京驰飞电子科技有限公司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552,657,239.33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南京庆百电子科技有限公司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538,142,382.15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南京柏晁电子科技有限公司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464,129,873.72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3,502,745,389.59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59.42%</w:t>
            </w:r>
          </w:p>
        </w:tc>
      </w:tr>
    </w:tbl>
    <w:p>
      <w:pPr>
        <w:spacing w:line="240" w:lineRule="auto" w:before="3"/>
        <w:rPr>
          <w:rFonts w:ascii="宋体" w:hAnsi="宋体" w:cs="宋体" w:eastAsia="宋体" w:hint="default"/>
          <w:sz w:val="19"/>
          <w:szCs w:val="19"/>
        </w:rPr>
      </w:pPr>
    </w:p>
    <w:p>
      <w:pPr>
        <w:spacing w:before="36"/>
        <w:ind w:left="512" w:right="85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4" w:type="dxa"/>
        <w:tblLayout w:type="fixed"/>
        <w:tblCellMar>
          <w:top w:w="0" w:type="dxa"/>
          <w:left w:w="0" w:type="dxa"/>
          <w:bottom w:w="0" w:type="dxa"/>
          <w:right w:w="0" w:type="dxa"/>
        </w:tblCellMar>
        <w:tblLook w:val="01E0"/>
      </w:tblPr>
      <w:tblGrid>
        <w:gridCol w:w="2120"/>
        <w:gridCol w:w="1741"/>
        <w:gridCol w:w="1740"/>
        <w:gridCol w:w="1505"/>
        <w:gridCol w:w="3342"/>
      </w:tblGrid>
      <w:tr>
        <w:trPr>
          <w:trHeight w:val="649"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74" w:val="left" w:leader="none"/>
              </w:tabs>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本报告期</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上年同期</w:t>
            </w: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30"/>
                <w:sz w:val="21"/>
                <w:szCs w:val="21"/>
              </w:rPr>
              <w:t> </w:t>
            </w:r>
            <w:r>
              <w:rPr>
                <w:rFonts w:ascii="宋体" w:hAnsi="宋体" w:cs="宋体" w:eastAsia="宋体" w:hint="default"/>
                <w:sz w:val="21"/>
                <w:szCs w:val="21"/>
              </w:rPr>
              <w:t>比</w:t>
            </w:r>
            <w:r>
              <w:rPr>
                <w:rFonts w:ascii="宋体" w:hAnsi="宋体" w:cs="宋体" w:eastAsia="宋体" w:hint="default"/>
                <w:spacing w:val="-33"/>
                <w:sz w:val="21"/>
                <w:szCs w:val="21"/>
              </w:rPr>
              <w:t> </w:t>
            </w:r>
            <w:r>
              <w:rPr>
                <w:rFonts w:ascii="宋体" w:hAnsi="宋体" w:cs="宋体" w:eastAsia="宋体" w:hint="default"/>
                <w:sz w:val="21"/>
                <w:szCs w:val="21"/>
              </w:rPr>
              <w:t>增</w:t>
            </w:r>
            <w:r>
              <w:rPr>
                <w:rFonts w:ascii="宋体" w:hAnsi="宋体" w:cs="宋体" w:eastAsia="宋体" w:hint="default"/>
                <w:spacing w:val="-30"/>
                <w:sz w:val="21"/>
                <w:szCs w:val="21"/>
              </w:rPr>
              <w:t> </w:t>
            </w:r>
            <w:r>
              <w:rPr>
                <w:rFonts w:ascii="宋体" w:hAnsi="宋体" w:cs="宋体" w:eastAsia="宋体" w:hint="default"/>
                <w:sz w:val="21"/>
                <w:szCs w:val="21"/>
              </w:rPr>
              <w:t>减</w:t>
            </w:r>
          </w:p>
          <w:p>
            <w:pPr>
              <w:pStyle w:val="TableParagraph"/>
              <w:spacing w:line="240" w:lineRule="auto" w:before="37"/>
              <w:ind w:left="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425"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48"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42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1"/>
                <w:szCs w:val="21"/>
              </w:rPr>
            </w:pPr>
            <w:r>
              <w:rPr>
                <w:rFonts w:ascii="Times New Roman"/>
                <w:spacing w:val="-1"/>
                <w:sz w:val="21"/>
              </w:rPr>
              <w:t>81,276,959.63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1"/>
                <w:szCs w:val="21"/>
              </w:rPr>
            </w:pPr>
            <w:r>
              <w:rPr>
                <w:rFonts w:ascii="Times New Roman"/>
                <w:spacing w:val="-1"/>
                <w:sz w:val="21"/>
              </w:rPr>
              <w:t>67,686,796.80</w:t>
            </w:r>
          </w:p>
        </w:tc>
        <w:tc>
          <w:tcPr>
            <w:tcW w:w="150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20.08</w:t>
            </w:r>
          </w:p>
        </w:tc>
        <w:tc>
          <w:tcPr>
            <w:tcW w:w="3342" w:type="dxa"/>
            <w:tcBorders>
              <w:top w:val="single" w:sz="8" w:space="0" w:color="000000"/>
              <w:left w:val="single" w:sz="4" w:space="0" w:color="000000"/>
              <w:bottom w:val="single" w:sz="4" w:space="0" w:color="000000"/>
              <w:right w:val="single" w:sz="4" w:space="0" w:color="000000"/>
            </w:tcBorders>
          </w:tcPr>
          <w:p>
            <w:pPr/>
          </w:p>
        </w:tc>
      </w:tr>
      <w:tr>
        <w:trPr>
          <w:trHeight w:val="65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118,674,864.9</w:t>
            </w:r>
          </w:p>
          <w:p>
            <w:pPr>
              <w:pStyle w:val="TableParagraph"/>
              <w:spacing w:line="240" w:lineRule="auto" w:before="70"/>
              <w:ind w:right="0"/>
              <w:jc w:val="right"/>
              <w:rPr>
                <w:rFonts w:ascii="Times New Roman" w:hAnsi="Times New Roman" w:cs="Times New Roman" w:eastAsia="Times New Roman" w:hint="default"/>
                <w:sz w:val="21"/>
                <w:szCs w:val="21"/>
              </w:rPr>
            </w:pPr>
            <w:r>
              <w:rPr>
                <w:rFonts w:ascii="Times New Roman"/>
                <w:w w:val="100"/>
                <w:sz w:val="21"/>
              </w:rPr>
              <w:t>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84,739,194.35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40.05</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36"/>
              <w:jc w:val="left"/>
              <w:rPr>
                <w:rFonts w:ascii="宋体" w:hAnsi="宋体" w:cs="宋体" w:eastAsia="宋体" w:hint="default"/>
                <w:sz w:val="21"/>
                <w:szCs w:val="21"/>
              </w:rPr>
            </w:pPr>
            <w:r>
              <w:rPr>
                <w:rFonts w:ascii="宋体" w:hAnsi="宋体" w:cs="宋体" w:eastAsia="宋体" w:hint="default"/>
                <w:spacing w:val="-2"/>
                <w:sz w:val="21"/>
                <w:szCs w:val="21"/>
              </w:rPr>
              <w:t>本期业务规模扩大，收购高阳捷迅，</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人工费用和研究开发费增加。</w:t>
            </w:r>
          </w:p>
        </w:tc>
      </w:tr>
      <w:tr>
        <w:trPr>
          <w:trHeight w:val="34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64,702,019.49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56,942,652.46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13.63</w:t>
            </w:r>
          </w:p>
        </w:tc>
        <w:tc>
          <w:tcPr>
            <w:tcW w:w="334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30,943,778.31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17,958,147.38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72.31</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本期利润增加。</w:t>
            </w:r>
          </w:p>
        </w:tc>
      </w:tr>
    </w:tbl>
    <w:p>
      <w:pPr>
        <w:spacing w:after="0" w:line="272" w:lineRule="exact"/>
        <w:jc w:val="left"/>
        <w:rPr>
          <w:rFonts w:ascii="宋体" w:hAnsi="宋体" w:cs="宋体" w:eastAsia="宋体" w:hint="default"/>
          <w:sz w:val="21"/>
          <w:szCs w:val="21"/>
        </w:rPr>
        <w:sectPr>
          <w:pgSz w:w="11910" w:h="16840"/>
          <w:pgMar w:header="745" w:footer="1186" w:top="1060" w:bottom="1380" w:left="620" w:right="620"/>
        </w:sectPr>
      </w:pPr>
    </w:p>
    <w:p>
      <w:pPr>
        <w:spacing w:line="240" w:lineRule="auto" w:before="10"/>
        <w:rPr>
          <w:rFonts w:ascii="宋体" w:hAnsi="宋体" w:cs="宋体" w:eastAsia="宋体" w:hint="default"/>
          <w:b/>
          <w:bCs/>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2" w:firstLine="425"/>
        <w:jc w:val="both"/>
      </w:pPr>
      <w:r>
        <w:rPr>
          <w:spacing w:val="2"/>
        </w:rPr>
        <w:t>报告期内，公司增加了通信平台和业务终端全套企业级</w:t>
      </w:r>
      <w:r>
        <w:rPr>
          <w:rFonts w:ascii="宋体" w:hAnsi="宋体" w:cs="宋体" w:eastAsia="宋体" w:hint="default"/>
          <w:spacing w:val="2"/>
        </w:rPr>
        <w:t>IP</w:t>
      </w:r>
      <w:r>
        <w:rPr>
          <w:spacing w:val="2"/>
        </w:rPr>
        <w:t>通信信息化产品的升级研发，</w:t>
      </w:r>
      <w:r>
        <w:rPr/>
        <w:t> 加大自研</w:t>
      </w:r>
      <w:r>
        <w:rPr>
          <w:rFonts w:ascii="宋体" w:hAnsi="宋体" w:cs="宋体" w:eastAsia="宋体" w:hint="default"/>
        </w:rPr>
        <w:t>IP</w:t>
      </w:r>
      <w:r>
        <w:rPr/>
        <w:t>语音产品投入，逐步深入行业形成独立解决方案，推进整体解决方案营销和信息</w:t>
      </w:r>
      <w:r>
        <w:rPr>
          <w:spacing w:val="-91"/>
        </w:rPr>
        <w:t> </w:t>
      </w:r>
      <w:r>
        <w:rPr>
          <w:spacing w:val="-91"/>
        </w:rPr>
      </w:r>
      <w:r>
        <w:rPr/>
        <w:t>终端渠道营销模式；加大物联网传感层技术投入，报告期内，公司收购高阳捷迅，进入运营</w:t>
      </w:r>
      <w:r>
        <w:rPr>
          <w:spacing w:val="-91"/>
        </w:rPr>
        <w:t> </w:t>
      </w:r>
      <w:r>
        <w:rPr>
          <w:spacing w:val="-91"/>
        </w:rPr>
      </w:r>
      <w:r>
        <w:rPr/>
        <w:t>商支付软件市场，加强提供支付软件升级维护。加大以上投入有利于公司提高公司核心竞争</w:t>
      </w:r>
      <w:r>
        <w:rPr>
          <w:spacing w:val="-91"/>
        </w:rPr>
        <w:t> </w:t>
      </w:r>
      <w:r>
        <w:rPr>
          <w:spacing w:val="-91"/>
        </w:rPr>
      </w:r>
      <w:r>
        <w:rPr/>
        <w:t>力，提升整体盈利能力。</w:t>
      </w:r>
    </w:p>
    <w:tbl>
      <w:tblPr>
        <w:tblW w:w="0" w:type="auto"/>
        <w:jc w:val="left"/>
        <w:tblInd w:w="148" w:type="dxa"/>
        <w:tblLayout w:type="fixed"/>
        <w:tblCellMar>
          <w:top w:w="0" w:type="dxa"/>
          <w:left w:w="0" w:type="dxa"/>
          <w:bottom w:w="0" w:type="dxa"/>
          <w:right w:w="0" w:type="dxa"/>
        </w:tblCellMar>
        <w:tblLook w:val="01E0"/>
      </w:tblPr>
      <w:tblGrid>
        <w:gridCol w:w="4662"/>
        <w:gridCol w:w="1274"/>
        <w:gridCol w:w="1277"/>
        <w:gridCol w:w="1277"/>
      </w:tblGrid>
      <w:tr>
        <w:trPr>
          <w:trHeight w:val="341" w:hRule="exact"/>
        </w:trPr>
        <w:tc>
          <w:tcPr>
            <w:tcW w:w="466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2" w:right="0"/>
              <w:jc w:val="left"/>
              <w:rPr>
                <w:rFonts w:ascii="宋体" w:hAnsi="宋体" w:cs="宋体" w:eastAsia="宋体" w:hint="default"/>
                <w:sz w:val="22"/>
                <w:szCs w:val="22"/>
              </w:rPr>
            </w:pPr>
            <w:r>
              <w:rPr>
                <w:rFonts w:ascii="宋体" w:hAnsi="宋体" w:cs="宋体" w:eastAsia="宋体" w:hint="default"/>
                <w:sz w:val="22"/>
                <w:szCs w:val="22"/>
              </w:rPr>
              <w:t>本报告期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2"/>
                <w:szCs w:val="22"/>
              </w:rPr>
            </w:pPr>
            <w:r>
              <w:rPr>
                <w:rFonts w:ascii="宋体" w:hAnsi="宋体" w:cs="宋体" w:eastAsia="宋体" w:hint="default"/>
                <w:sz w:val="22"/>
                <w:szCs w:val="22"/>
              </w:rPr>
              <w:t>上年同期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2"/>
                <w:szCs w:val="22"/>
              </w:rPr>
            </w:pPr>
            <w:r>
              <w:rPr>
                <w:rFonts w:ascii="宋体" w:hAnsi="宋体" w:cs="宋体" w:eastAsia="宋体" w:hint="default"/>
                <w:sz w:val="22"/>
                <w:szCs w:val="22"/>
              </w:rPr>
              <w:t>变动比例</w:t>
            </w:r>
          </w:p>
        </w:tc>
      </w:tr>
      <w:tr>
        <w:trPr>
          <w:trHeight w:val="343"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 w:right="0"/>
              <w:jc w:val="left"/>
              <w:rPr>
                <w:rFonts w:ascii="宋体" w:hAnsi="宋体" w:cs="宋体" w:eastAsia="宋体" w:hint="default"/>
                <w:sz w:val="22"/>
                <w:szCs w:val="22"/>
              </w:rPr>
            </w:pPr>
            <w:r>
              <w:rPr>
                <w:rFonts w:ascii="宋体" w:hAnsi="宋体" w:cs="宋体" w:eastAsia="宋体" w:hint="default"/>
                <w:sz w:val="22"/>
                <w:szCs w:val="22"/>
              </w:rPr>
              <w:t>研发投入占营业收入比例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z w:val="22"/>
              </w:rPr>
              <w:t>0.83%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z w:val="22"/>
              </w:rPr>
              <w:t>0.52%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z w:val="22"/>
              </w:rPr>
              <w:t>0.32%</w:t>
            </w:r>
          </w:p>
        </w:tc>
      </w:tr>
      <w:tr>
        <w:trPr>
          <w:trHeight w:val="341"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 w:right="0"/>
              <w:jc w:val="left"/>
              <w:rPr>
                <w:rFonts w:ascii="宋体" w:hAnsi="宋体" w:cs="宋体" w:eastAsia="宋体" w:hint="default"/>
                <w:sz w:val="22"/>
                <w:szCs w:val="22"/>
              </w:rPr>
            </w:pPr>
            <w:r>
              <w:rPr>
                <w:rFonts w:ascii="宋体" w:hAnsi="宋体" w:cs="宋体" w:eastAsia="宋体" w:hint="default"/>
                <w:sz w:val="22"/>
                <w:szCs w:val="22"/>
              </w:rPr>
              <w:t>研发投入占归属于上市公司股东的净资产比例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z w:val="22"/>
              </w:rPr>
              <w:t>2.41%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z w:val="22"/>
              </w:rPr>
              <w:t>1.13%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z w:val="22"/>
              </w:rPr>
              <w:t>1.28%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1"/>
        <w:gridCol w:w="2403"/>
        <w:gridCol w:w="2393"/>
        <w:gridCol w:w="2393"/>
      </w:tblGrid>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17,398,459,995.65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5,293,651,085.78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228.67%</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17,248,038,568.61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5,330,223,317.67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223.59%</w:t>
            </w:r>
          </w:p>
        </w:tc>
      </w:tr>
      <w:tr>
        <w:trPr>
          <w:trHeight w:val="71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150,421,427.04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-36,572,231.89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511.3%</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1,516,067,218.03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5,889,785.00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25,640.62%</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2,033,270,154.35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125,599,925.64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1,518.85%</w:t>
            </w:r>
          </w:p>
        </w:tc>
      </w:tr>
      <w:tr>
        <w:trPr>
          <w:trHeight w:val="715"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-517,202,936.32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-119,710,140.64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-332.05%</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2,045,320,000.00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2,454,204,800.00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1,723,286,471.72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1,422,819,458.64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21.12%</w:t>
            </w:r>
          </w:p>
        </w:tc>
      </w:tr>
      <w:tr>
        <w:trPr>
          <w:trHeight w:val="71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322,033,528.28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1,031,385,341.36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-68.78%</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-44,747,981.00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875,102,968.83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-105.11%</w:t>
            </w:r>
            <w:r>
              <w:rPr>
                <w:rFonts w:ascii="Times New Roman"/>
                <w:spacing w:val="-1"/>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68" w:lineRule="exact" w:before="41"/>
        <w:ind w:right="151" w:firstLine="425"/>
        <w:jc w:val="both"/>
      </w:pPr>
      <w:r>
        <w:rPr>
          <w:spacing w:val="-1"/>
        </w:rPr>
        <w:t>经营活动现金流入小计比去年同期增长</w:t>
      </w:r>
      <w:r>
        <w:rPr>
          <w:rFonts w:ascii="宋体" w:hAnsi="宋体" w:cs="宋体" w:eastAsia="宋体" w:hint="default"/>
          <w:spacing w:val="-1"/>
        </w:rPr>
        <w:t>228.67%</w:t>
      </w:r>
      <w:r>
        <w:rPr>
          <w:spacing w:val="-1"/>
        </w:rPr>
        <w:t>，是本期企业信息化业务规模扩大收到订</w:t>
      </w:r>
      <w:r>
        <w:rPr/>
        <w:t> 货款增加及新收购高阳捷迅卡结算业务款增加所致；</w:t>
      </w:r>
      <w:r>
        <w:rPr>
          <w:spacing w:val="-81"/>
        </w:rPr>
        <w:t> </w:t>
      </w:r>
      <w:r>
        <w:rPr/>
        <w:t>经营活动现金流出小计比去年同期增加</w:t>
      </w:r>
      <w:r>
        <w:rPr/>
        <w:t> </w:t>
      </w:r>
      <w:r>
        <w:rPr>
          <w:rFonts w:ascii="宋体" w:hAnsi="宋体" w:cs="宋体" w:eastAsia="宋体" w:hint="default"/>
          <w:spacing w:val="-2"/>
        </w:rPr>
        <w:t>223.59%</w:t>
      </w:r>
      <w:r>
        <w:rPr>
          <w:spacing w:val="-2"/>
        </w:rPr>
        <w:t>，是本期</w:t>
      </w:r>
      <w:r>
        <w:rPr>
          <w:rFonts w:ascii="宋体" w:hAnsi="宋体" w:cs="宋体" w:eastAsia="宋体" w:hint="default"/>
          <w:spacing w:val="-2"/>
        </w:rPr>
        <w:t>IT</w:t>
      </w:r>
      <w:r>
        <w:rPr>
          <w:spacing w:val="-2"/>
        </w:rPr>
        <w:t>销售业务规模扩大及新收购高阳捷迅卡结算款增加所致；投资活动现金流</w:t>
      </w:r>
      <w:r>
        <w:rPr>
          <w:spacing w:val="-112"/>
        </w:rPr>
        <w:t> </w:t>
      </w:r>
      <w:r>
        <w:rPr>
          <w:spacing w:val="-112"/>
        </w:rPr>
      </w:r>
      <w:r>
        <w:rPr/>
        <w:t>入小计比去年同期增加</w:t>
      </w:r>
      <w:r>
        <w:rPr>
          <w:rFonts w:ascii="宋体" w:hAnsi="宋体" w:cs="宋体" w:eastAsia="宋体" w:hint="default"/>
        </w:rPr>
        <w:t>25,640.62%</w:t>
      </w:r>
      <w:r>
        <w:rPr/>
        <w:t>，是本期理财产品到期收回投资及本期收到联营企业现金</w:t>
      </w:r>
      <w:r>
        <w:rPr>
          <w:spacing w:val="-86"/>
        </w:rPr>
        <w:t> </w:t>
      </w:r>
      <w:r>
        <w:rPr>
          <w:spacing w:val="-86"/>
        </w:rPr>
      </w:r>
      <w:r>
        <w:rPr>
          <w:spacing w:val="-2"/>
        </w:rPr>
        <w:t>分红所致；投资活动现金流出小计比去年同期增加</w:t>
      </w:r>
      <w:r>
        <w:rPr>
          <w:rFonts w:ascii="宋体" w:hAnsi="宋体" w:cs="宋体" w:eastAsia="宋体" w:hint="default"/>
          <w:spacing w:val="-2"/>
        </w:rPr>
        <w:t>1,518.85%</w:t>
      </w:r>
      <w:r>
        <w:rPr>
          <w:spacing w:val="-2"/>
        </w:rPr>
        <w:t>，主要是本期投资理财产品及新</w:t>
      </w:r>
    </w:p>
    <w:p>
      <w:pPr>
        <w:spacing w:after="0" w:line="468" w:lineRule="exact"/>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94"/>
        <w:jc w:val="left"/>
      </w:pPr>
      <w:r>
        <w:rPr/>
        <w:t>增股权投资支出所致；筹资活动产生的现金流量净额小计比去年同期减少</w:t>
      </w:r>
      <w:r>
        <w:rPr>
          <w:rFonts w:ascii="宋体" w:hAnsi="宋体" w:cs="宋体" w:eastAsia="宋体" w:hint="default"/>
        </w:rPr>
        <w:t>68.78%</w:t>
      </w:r>
      <w:r>
        <w:rPr/>
        <w:t>，主要是上</w:t>
      </w:r>
      <w:r>
        <w:rPr>
          <w:spacing w:val="-89"/>
        </w:rPr>
        <w:t> </w:t>
      </w:r>
      <w:r>
        <w:rPr>
          <w:spacing w:val="-89"/>
        </w:rPr>
      </w:r>
      <w:r>
        <w:rPr/>
        <w:t>期有定向增发收到的现金，本期没有。现金及现金等价物净增加额比去年同期减少</w:t>
      </w:r>
      <w:r>
        <w:rPr>
          <w:rFonts w:ascii="宋体" w:hAnsi="宋体" w:cs="宋体" w:eastAsia="宋体" w:hint="default"/>
        </w:rPr>
        <w:t>105.11%</w:t>
      </w:r>
      <w:r>
        <w:rPr/>
        <w:t>， 主要是投资活动支出增加所致。</w:t>
      </w:r>
    </w:p>
    <w:p>
      <w:pPr>
        <w:spacing w:before="46"/>
        <w:ind w:left="152" w:right="94"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5"/>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4"/>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8"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957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企业信息化服务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948,495,094.81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835,721,587.36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47.13%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215,233,163.21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133,891,186.28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5,029,957,125.85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4,911,332,011.08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w:t>
            </w:r>
          </w:p>
        </w:tc>
      </w:tr>
      <w:tr>
        <w:trPr>
          <w:trHeight w:val="403" w:hRule="exact"/>
        </w:trPr>
        <w:tc>
          <w:tcPr>
            <w:tcW w:w="957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通信设备产品及 制造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242,317,608.98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150,631,899.74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255.39%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-40.25%</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计算机涉密、系 统集成业务及外 围设备销售业务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706,177,485.83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685,089,687.62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30.34%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215,233,163.21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133,891,186.28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5,029,957,125.85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4,911,332,011.08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w:t>
            </w:r>
          </w:p>
        </w:tc>
      </w:tr>
      <w:tr>
        <w:trPr>
          <w:trHeight w:val="401" w:hRule="exact"/>
        </w:trPr>
        <w:tc>
          <w:tcPr>
            <w:tcW w:w="957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53,867,428.22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41,643,563.25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-28.54%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1,757,383,867.59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1,559,010,253.49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4,222,986,597.89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4,142,580,569.11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55.51%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159,447,490.17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137,710,398.87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r>
    </w:tbl>
    <w:p>
      <w:pPr>
        <w:spacing w:before="49"/>
        <w:ind w:left="152" w:right="94"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186" w:top="1060" w:bottom="13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2"/>
        <w:ind w:right="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338" w:type="dxa"/>
        <w:tblLayout w:type="fixed"/>
        <w:tblCellMar>
          <w:top w:w="0" w:type="dxa"/>
          <w:left w:w="0" w:type="dxa"/>
          <w:bottom w:w="0" w:type="dxa"/>
          <w:right w:w="0" w:type="dxa"/>
        </w:tblCellMar>
        <w:tblLook w:val="01E0"/>
      </w:tblPr>
      <w:tblGrid>
        <w:gridCol w:w="1346"/>
        <w:gridCol w:w="1508"/>
        <w:gridCol w:w="1064"/>
        <w:gridCol w:w="1488"/>
        <w:gridCol w:w="1064"/>
        <w:gridCol w:w="799"/>
      </w:tblGrid>
      <w:tr>
        <w:trPr>
          <w:trHeight w:val="206"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572"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66"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5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508"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488"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1,145,784,103.83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1,189,015,013.11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-12.32%</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1,107,457,975.83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864,517,887.31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682,171,855.66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275,557,720.55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134,995,504.78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138,432,233.22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94,451,391.69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58,982,892.50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150,266,287.61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160,100,294.45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10,993,609.34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68"/>
        <w:gridCol w:w="1484"/>
        <w:gridCol w:w="1828"/>
        <w:gridCol w:w="1194"/>
        <w:gridCol w:w="1816"/>
        <w:gridCol w:w="810"/>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4"/>
              <w:ind w:left="13"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13"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3312" w:type="dxa"/>
            <w:gridSpan w:val="2"/>
            <w:vMerge/>
            <w:tcBorders>
              <w:left w:val="single" w:sz="4" w:space="0" w:color="000000"/>
              <w:bottom w:val="single" w:sz="4" w:space="0" w:color="000000"/>
              <w:right w:val="single" w:sz="4" w:space="0" w:color="000000"/>
            </w:tcBorders>
            <w:shd w:val="clear" w:color="auto" w:fill="D2D2D2"/>
          </w:tcPr>
          <w:p>
            <w:pPr/>
          </w:p>
        </w:tc>
        <w:tc>
          <w:tcPr>
            <w:tcW w:w="3010" w:type="dxa"/>
            <w:gridSpan w:val="2"/>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4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8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2" w:right="0"/>
              <w:jc w:val="left"/>
              <w:rPr>
                <w:rFonts w:ascii="宋体" w:hAnsi="宋体" w:cs="宋体" w:eastAsia="宋体"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2" w:right="0"/>
              <w:jc w:val="left"/>
              <w:rPr>
                <w:rFonts w:ascii="宋体" w:hAnsi="宋体" w:cs="宋体" w:eastAsia="宋体"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10" w:type="dxa"/>
            <w:vMerge/>
            <w:tcBorders>
              <w:left w:val="single" w:sz="4" w:space="0" w:color="000000"/>
              <w:right w:val="single" w:sz="4" w:space="0" w:color="000000"/>
            </w:tcBorders>
            <w:shd w:val="clear" w:color="auto" w:fill="D2D2D2"/>
          </w:tcPr>
          <w:p>
            <w:pPr/>
          </w:p>
        </w:tc>
      </w:tr>
      <w:tr>
        <w:trPr>
          <w:trHeight w:val="20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4" w:type="dxa"/>
            <w:vMerge/>
            <w:tcBorders>
              <w:left w:val="single" w:sz="4" w:space="0" w:color="000000"/>
              <w:bottom w:val="single" w:sz="4" w:space="0" w:color="000000"/>
              <w:right w:val="single" w:sz="4" w:space="0" w:color="000000"/>
            </w:tcBorders>
            <w:shd w:val="clear" w:color="auto" w:fill="D2D2D2"/>
          </w:tcPr>
          <w:p>
            <w:pPr/>
          </w:p>
        </w:tc>
        <w:tc>
          <w:tcPr>
            <w:tcW w:w="182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816"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81" w:right="0"/>
              <w:jc w:val="left"/>
              <w:rPr>
                <w:rFonts w:ascii="Times New Roman" w:hAnsi="Times New Roman" w:cs="Times New Roman" w:eastAsia="Times New Roman" w:hint="default"/>
                <w:sz w:val="18"/>
                <w:szCs w:val="18"/>
              </w:rPr>
            </w:pPr>
            <w:r>
              <w:rPr>
                <w:rFonts w:ascii="Times New Roman"/>
                <w:sz w:val="18"/>
              </w:rPr>
              <w:t>1,290,400,000.00</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750,000,000.00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20.89%</w:t>
            </w:r>
          </w:p>
        </w:tc>
        <w:tc>
          <w:tcPr>
            <w:tcW w:w="810"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left="313" w:right="0"/>
              <w:jc w:val="left"/>
              <w:rPr>
                <w:rFonts w:ascii="Times New Roman" w:hAnsi="Times New Roman" w:cs="Times New Roman" w:eastAsia="Times New Roman" w:hint="default"/>
                <w:sz w:val="18"/>
                <w:szCs w:val="18"/>
              </w:rPr>
            </w:pPr>
            <w:r>
              <w:rPr>
                <w:rFonts w:ascii="Times New Roman"/>
                <w:sz w:val="18"/>
              </w:rPr>
              <w:t>2.54%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87"/>
        <w:gridCol w:w="1215"/>
        <w:gridCol w:w="1190"/>
        <w:gridCol w:w="1196"/>
        <w:gridCol w:w="1191"/>
        <w:gridCol w:w="1202"/>
        <w:gridCol w:w="1195"/>
        <w:gridCol w:w="1196"/>
      </w:tblGrid>
      <w:tr>
        <w:trPr>
          <w:trHeight w:val="163"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215"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2"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26"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6"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03" w:right="47"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2"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8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96"/>
        <w:jc w:val="left"/>
        <w:rPr>
          <w:b w:val="0"/>
          <w:bCs w:val="0"/>
        </w:rPr>
      </w:pPr>
      <w:r>
        <w:rPr/>
        <w:t>五、核心竞争力分析</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before="0"/>
        <w:ind w:left="578" w:right="96"/>
        <w:jc w:val="left"/>
      </w:pPr>
      <w:r>
        <w:rPr>
          <w:rFonts w:ascii="宋体" w:hAnsi="宋体" w:cs="宋体" w:eastAsia="宋体" w:hint="default"/>
        </w:rPr>
        <w:t>1.</w:t>
      </w:r>
      <w:r>
        <w:rPr/>
        <w:t>企业信息化业务</w:t>
      </w:r>
    </w:p>
    <w:p>
      <w:pPr>
        <w:pStyle w:val="BodyText"/>
        <w:spacing w:line="357" w:lineRule="auto" w:before="154"/>
        <w:ind w:right="234" w:firstLine="425"/>
        <w:jc w:val="both"/>
      </w:pPr>
      <w:r>
        <w:rPr>
          <w:spacing w:val="-1"/>
        </w:rPr>
        <w:t>（</w:t>
      </w:r>
      <w:r>
        <w:rPr>
          <w:rFonts w:ascii="宋体" w:hAnsi="宋体" w:cs="宋体" w:eastAsia="宋体" w:hint="default"/>
          <w:spacing w:val="-1"/>
        </w:rPr>
        <w:t>1</w:t>
      </w:r>
      <w:r>
        <w:rPr>
          <w:spacing w:val="-1"/>
        </w:rPr>
        <w:t>）技术优势：公司在</w:t>
      </w:r>
      <w:r>
        <w:rPr>
          <w:rFonts w:ascii="宋体" w:hAnsi="宋体" w:cs="宋体" w:eastAsia="宋体" w:hint="default"/>
          <w:spacing w:val="-1"/>
        </w:rPr>
        <w:t>IP</w:t>
      </w:r>
      <w:r>
        <w:rPr>
          <w:spacing w:val="-1"/>
        </w:rPr>
        <w:t>和宽带数据通信、</w:t>
      </w:r>
      <w:r>
        <w:rPr>
          <w:rFonts w:ascii="宋体" w:hAnsi="宋体" w:cs="宋体" w:eastAsia="宋体" w:hint="default"/>
          <w:spacing w:val="-1"/>
        </w:rPr>
        <w:t>IP</w:t>
      </w:r>
      <w:r>
        <w:rPr>
          <w:spacing w:val="-1"/>
        </w:rPr>
        <w:t>语音、视频等领域具有深厚的技术积累和</w:t>
      </w:r>
      <w:r>
        <w:rPr/>
        <w:t> 研究基础。公司的企业信息化解决方案是将语音、数据、视频、监控、互联网服务和丰富的</w:t>
      </w:r>
      <w:r>
        <w:rPr>
          <w:spacing w:val="-91"/>
        </w:rPr>
        <w:t> </w:t>
      </w:r>
      <w:r>
        <w:rPr>
          <w:spacing w:val="-91"/>
        </w:rPr>
      </w:r>
      <w:r>
        <w:rPr/>
        <w:t>增值业务应用整合到一个系统中，具有开放、可靠、易于扩展和升级等特点。同时，作为国</w:t>
      </w:r>
      <w:r>
        <w:rPr>
          <w:spacing w:val="-90"/>
        </w:rPr>
        <w:t> </w:t>
      </w:r>
      <w:r>
        <w:rPr>
          <w:spacing w:val="-90"/>
        </w:rPr>
      </w:r>
      <w:r>
        <w:rPr/>
        <w:t>内主要电信运营商的首选网络解决方案和服务提供商之一，公司目前已拥有软交换平台、中</w:t>
      </w:r>
      <w:r>
        <w:rPr>
          <w:spacing w:val="-91"/>
        </w:rPr>
        <w:t> </w:t>
      </w:r>
      <w:r>
        <w:rPr>
          <w:spacing w:val="-91"/>
        </w:rPr>
      </w:r>
      <w:r>
        <w:rPr/>
        <w:t>继网关、接入网关、</w:t>
      </w:r>
      <w:r>
        <w:rPr>
          <w:rFonts w:ascii="宋体" w:hAnsi="宋体" w:cs="宋体" w:eastAsia="宋体" w:hint="default"/>
        </w:rPr>
        <w:t>IP</w:t>
      </w:r>
      <w:r>
        <w:rPr/>
        <w:t>电话等全系列软交换</w:t>
      </w:r>
      <w:r>
        <w:rPr>
          <w:rFonts w:ascii="宋体" w:hAnsi="宋体" w:cs="宋体" w:eastAsia="宋体" w:hint="default"/>
        </w:rPr>
        <w:t>/VoIP</w:t>
      </w:r>
      <w:r>
        <w:rPr/>
        <w:t>产品。</w:t>
      </w:r>
    </w:p>
    <w:p>
      <w:pPr>
        <w:pStyle w:val="BodyText"/>
        <w:spacing w:line="357" w:lineRule="auto"/>
        <w:ind w:right="206" w:firstLine="425"/>
        <w:jc w:val="both"/>
      </w:pPr>
      <w:r>
        <w:rPr/>
        <w:t>（</w:t>
      </w:r>
      <w:r>
        <w:rPr>
          <w:rFonts w:ascii="宋体" w:hAnsi="宋体" w:cs="宋体" w:eastAsia="宋体" w:hint="default"/>
        </w:rPr>
        <w:t>2</w:t>
      </w:r>
      <w:r>
        <w:rPr/>
        <w:t>）资质优势：公司已取得多项资质，包括计算机系统集成一级资质、涉密甲级资质、 建筑智能化设计甲级资质、安防资质等，在建筑智能化弱电集成、计算机集成、</w:t>
      </w:r>
      <w:r>
        <w:rPr>
          <w:rFonts w:ascii="宋体" w:hAnsi="宋体" w:cs="宋体" w:eastAsia="宋体" w:hint="default"/>
        </w:rPr>
        <w:t>RFID</w:t>
      </w:r>
      <w:r>
        <w:rPr/>
        <w:t>集成项</w:t>
      </w:r>
      <w:r>
        <w:rPr>
          <w:spacing w:val="-88"/>
        </w:rPr>
        <w:t> </w:t>
      </w:r>
      <w:r>
        <w:rPr/>
        <w:t>目中有较强的资质优势。</w:t>
      </w:r>
    </w:p>
    <w:p>
      <w:pPr>
        <w:pStyle w:val="BodyText"/>
        <w:spacing w:line="357" w:lineRule="auto"/>
        <w:ind w:right="232" w:firstLine="425"/>
        <w:jc w:val="both"/>
      </w:pPr>
      <w:r>
        <w:rPr>
          <w:spacing w:val="-1"/>
        </w:rPr>
        <w:t>（</w:t>
      </w:r>
      <w:r>
        <w:rPr>
          <w:rFonts w:ascii="宋体" w:hAnsi="宋体" w:cs="宋体" w:eastAsia="宋体" w:hint="default"/>
          <w:spacing w:val="-1"/>
        </w:rPr>
        <w:t>3</w:t>
      </w:r>
      <w:r>
        <w:rPr>
          <w:spacing w:val="-1"/>
        </w:rPr>
        <w:t>）营销网络优势：公司在全国大部分省市都设立有办理处和分支机构，并建立了完善</w:t>
      </w:r>
      <w:r>
        <w:rPr/>
        <w:t> 的地区总代、一级代理商、二级代理商、增值业务代理商的渠道体系，在销售体系建设方面</w:t>
      </w:r>
      <w:r>
        <w:rPr>
          <w:spacing w:val="-88"/>
        </w:rPr>
        <w:t> </w:t>
      </w:r>
      <w:r>
        <w:rPr>
          <w:spacing w:val="-88"/>
        </w:rPr>
      </w:r>
      <w:r>
        <w:rPr/>
        <w:t>具有较强的竞争优势。</w:t>
      </w:r>
    </w:p>
    <w:p>
      <w:pPr>
        <w:pStyle w:val="BodyText"/>
        <w:spacing w:line="357" w:lineRule="auto"/>
        <w:ind w:right="96" w:firstLine="425"/>
        <w:jc w:val="left"/>
      </w:pPr>
      <w:r>
        <w:rPr>
          <w:spacing w:val="-4"/>
        </w:rPr>
        <w:t>（</w:t>
      </w:r>
      <w:r>
        <w:rPr>
          <w:rFonts w:ascii="宋体" w:hAnsi="宋体" w:cs="宋体" w:eastAsia="宋体" w:hint="default"/>
          <w:spacing w:val="-4"/>
        </w:rPr>
        <w:t>4</w:t>
      </w:r>
      <w:r>
        <w:rPr>
          <w:spacing w:val="-4"/>
        </w:rPr>
        <w:t>）细分市场占有率：运营商电子支付方案市场占有率较高，产品覆盖中国联通</w:t>
      </w:r>
      <w:r>
        <w:rPr>
          <w:rFonts w:ascii="宋体" w:hAnsi="宋体" w:cs="宋体" w:eastAsia="宋体" w:hint="default"/>
          <w:spacing w:val="-4"/>
        </w:rPr>
        <w:t>23</w:t>
      </w:r>
      <w:r>
        <w:rPr>
          <w:spacing w:val="-4"/>
        </w:rPr>
        <w:t>个省，</w:t>
      </w:r>
      <w:r>
        <w:rPr/>
        <w:t> 中国电信</w:t>
      </w:r>
      <w:r>
        <w:rPr>
          <w:rFonts w:ascii="宋体" w:hAnsi="宋体" w:cs="宋体" w:eastAsia="宋体" w:hint="default"/>
        </w:rPr>
        <w:t>5</w:t>
      </w:r>
      <w:r>
        <w:rPr/>
        <w:t>个省。</w:t>
      </w:r>
    </w:p>
    <w:p>
      <w:pPr>
        <w:pStyle w:val="BodyText"/>
        <w:spacing w:line="240" w:lineRule="auto"/>
        <w:ind w:left="578" w:right="96"/>
        <w:jc w:val="left"/>
      </w:pPr>
      <w:r>
        <w:rPr>
          <w:rFonts w:ascii="宋体" w:hAnsi="宋体" w:cs="宋体" w:eastAsia="宋体" w:hint="default"/>
        </w:rPr>
        <w:t>2.IT</w:t>
      </w:r>
      <w:r>
        <w:rPr/>
        <w:t>销售业务</w:t>
      </w:r>
    </w:p>
    <w:p>
      <w:pPr>
        <w:pStyle w:val="BodyText"/>
        <w:spacing w:line="357" w:lineRule="auto" w:before="151"/>
        <w:ind w:right="96" w:firstLine="425"/>
        <w:jc w:val="left"/>
      </w:pPr>
      <w:r>
        <w:rPr>
          <w:spacing w:val="-1"/>
        </w:rPr>
        <w:t>（</w:t>
      </w:r>
      <w:r>
        <w:rPr>
          <w:rFonts w:ascii="宋体" w:hAnsi="宋体" w:cs="宋体" w:eastAsia="宋体" w:hint="default"/>
          <w:spacing w:val="-1"/>
        </w:rPr>
        <w:t>1</w:t>
      </w:r>
      <w:r>
        <w:rPr>
          <w:spacing w:val="-1"/>
        </w:rPr>
        <w:t>）品牌优势：高鸿商城（</w:t>
      </w:r>
      <w:hyperlink r:id="rId14">
        <w:r>
          <w:rPr>
            <w:rFonts w:ascii="宋体" w:hAnsi="宋体" w:cs="宋体" w:eastAsia="宋体" w:hint="default"/>
            <w:spacing w:val="-1"/>
          </w:rPr>
          <w:t>http://www.tao3c.com</w:t>
        </w:r>
      </w:hyperlink>
      <w:r>
        <w:rPr>
          <w:spacing w:val="-1"/>
        </w:rPr>
        <w:t>）被商务部确定为“电子商务示范企</w:t>
      </w:r>
      <w:r>
        <w:rPr/>
        <w:t> 业”。</w:t>
      </w:r>
    </w:p>
    <w:p>
      <w:pPr>
        <w:pStyle w:val="BodyText"/>
        <w:spacing w:line="357" w:lineRule="auto"/>
        <w:ind w:right="96" w:firstLine="425"/>
        <w:jc w:val="left"/>
      </w:pPr>
      <w:r>
        <w:rPr>
          <w:spacing w:val="-4"/>
        </w:rPr>
        <w:t>（</w:t>
      </w:r>
      <w:r>
        <w:rPr>
          <w:rFonts w:ascii="宋体" w:hAnsi="宋体" w:cs="宋体" w:eastAsia="宋体" w:hint="default"/>
          <w:spacing w:val="-4"/>
        </w:rPr>
        <w:t>2</w:t>
      </w:r>
      <w:r>
        <w:rPr>
          <w:spacing w:val="-4"/>
        </w:rPr>
        <w:t>）经营模式优势：公司制定了以“注重体验消费、专业诚信服务”为理念的运营模式，</w:t>
      </w:r>
      <w:r>
        <w:rPr/>
        <w:t> 以品牌店和品类店相结合、网上营销平台和网下实体店面相结合的新型模式进行</w:t>
      </w:r>
      <w:r>
        <w:rPr>
          <w:rFonts w:ascii="宋体" w:hAnsi="宋体" w:cs="宋体" w:eastAsia="宋体" w:hint="default"/>
        </w:rPr>
        <w:t>IT</w:t>
      </w:r>
      <w:r>
        <w:rPr/>
        <w:t>产品的销</w:t>
      </w:r>
      <w:r>
        <w:rPr>
          <w:spacing w:val="-86"/>
        </w:rPr>
        <w:t> </w:t>
      </w:r>
      <w:r>
        <w:rPr>
          <w:spacing w:val="-86"/>
        </w:rPr>
      </w:r>
      <w:r>
        <w:rPr/>
        <w:t>售与服务。该新型模式拉近了消费者与</w:t>
      </w:r>
      <w:r>
        <w:rPr>
          <w:rFonts w:ascii="宋体" w:hAnsi="宋体" w:cs="宋体" w:eastAsia="宋体" w:hint="default"/>
        </w:rPr>
        <w:t>IT</w:t>
      </w:r>
      <w:r>
        <w:rPr/>
        <w:t>品牌、产品之间的距离，推动了公司</w:t>
      </w:r>
      <w:r>
        <w:rPr>
          <w:rFonts w:ascii="宋体" w:hAnsi="宋体" w:cs="宋体" w:eastAsia="宋体" w:hint="default"/>
        </w:rPr>
        <w:t>IT</w:t>
      </w:r>
      <w:r>
        <w:rPr/>
        <w:t>销售和电子</w:t>
      </w:r>
      <w:r>
        <w:rPr>
          <w:spacing w:val="-87"/>
        </w:rPr>
        <w:t> </w:t>
      </w:r>
      <w:r>
        <w:rPr>
          <w:spacing w:val="-87"/>
        </w:rPr>
      </w:r>
      <w:r>
        <w:rPr/>
        <w:t>商务系统业务的发展。</w:t>
      </w:r>
    </w:p>
    <w:p>
      <w:pPr>
        <w:pStyle w:val="BodyText"/>
        <w:spacing w:line="240" w:lineRule="auto"/>
        <w:ind w:left="578" w:right="96"/>
        <w:jc w:val="left"/>
      </w:pPr>
      <w:r>
        <w:rPr>
          <w:rFonts w:ascii="宋体" w:hAnsi="宋体" w:cs="宋体" w:eastAsia="宋体" w:hint="default"/>
        </w:rPr>
        <w:t>3.</w:t>
      </w:r>
      <w:r>
        <w:rPr/>
        <w:t>信息服务业务</w:t>
      </w:r>
    </w:p>
    <w:p>
      <w:pPr>
        <w:pStyle w:val="BodyText"/>
        <w:spacing w:line="357" w:lineRule="auto" w:before="154"/>
        <w:ind w:right="228" w:firstLine="425"/>
        <w:jc w:val="left"/>
      </w:pPr>
      <w:r>
        <w:rPr>
          <w:spacing w:val="-1"/>
        </w:rPr>
        <w:t>（</w:t>
      </w:r>
      <w:r>
        <w:rPr>
          <w:rFonts w:ascii="宋体" w:hAnsi="宋体" w:cs="宋体" w:eastAsia="宋体" w:hint="default"/>
          <w:spacing w:val="-1"/>
        </w:rPr>
        <w:t>1</w:t>
      </w:r>
      <w:r>
        <w:rPr>
          <w:spacing w:val="-1"/>
        </w:rPr>
        <w:t>）资源优势：公司凭借良好的品牌以及公信力已经聚合了优秀的内容、产品和渠道资</w:t>
      </w:r>
      <w:r>
        <w:rPr/>
        <w:t> 源，打造了强强合作联盟，形成自身的资源整合优势。</w:t>
      </w:r>
    </w:p>
    <w:p>
      <w:pPr>
        <w:pStyle w:val="BodyText"/>
        <w:spacing w:line="357" w:lineRule="auto" w:before="37"/>
        <w:ind w:right="109" w:firstLine="425"/>
        <w:jc w:val="left"/>
      </w:pPr>
      <w:r>
        <w:rPr>
          <w:spacing w:val="-4"/>
        </w:rPr>
        <w:t>（</w:t>
      </w:r>
      <w:r>
        <w:rPr>
          <w:rFonts w:ascii="宋体" w:hAnsi="宋体" w:cs="宋体" w:eastAsia="宋体" w:hint="default"/>
          <w:spacing w:val="-4"/>
        </w:rPr>
        <w:t>2</w:t>
      </w:r>
      <w:r>
        <w:rPr>
          <w:spacing w:val="-4"/>
        </w:rPr>
        <w:t>）技术优势：公司作为一家通信领域高科技上市企业，在技术创新、系统运行稳定性、</w:t>
      </w:r>
      <w:r>
        <w:rPr/>
        <w:t> 产品服务完整性等方面与传统增值业务企业相比具有明显优势。公司拥有强大的技术团队以</w:t>
      </w:r>
      <w:r>
        <w:rPr>
          <w:spacing w:val="-91"/>
        </w:rPr>
        <w:t> </w:t>
      </w:r>
      <w:r>
        <w:rPr>
          <w:spacing w:val="-91"/>
        </w:rPr>
      </w:r>
      <w:r>
        <w:rPr/>
        <w:t>及开发经验，可为用户提供各种优质的产品和服务；同时还可完成基础运营商在各项业务平</w:t>
      </w:r>
      <w:r>
        <w:rPr>
          <w:spacing w:val="-91"/>
        </w:rPr>
        <w:t> </w:t>
      </w:r>
      <w:r>
        <w:rPr>
          <w:spacing w:val="-91"/>
        </w:rPr>
      </w:r>
      <w:r>
        <w:rPr/>
        <w:t>台的委托开发、运行维护乃至合作运营领域展开更高层面、更深程度的合作。</w:t>
      </w:r>
    </w:p>
    <w:p>
      <w:pPr>
        <w:spacing w:after="0" w:line="357"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148" w:firstLine="425"/>
        <w:jc w:val="left"/>
      </w:pPr>
      <w:r>
        <w:rPr>
          <w:spacing w:val="-1"/>
        </w:rPr>
        <w:t>（</w:t>
      </w:r>
      <w:r>
        <w:rPr>
          <w:rFonts w:ascii="宋体" w:hAnsi="宋体" w:cs="宋体" w:eastAsia="宋体" w:hint="default"/>
          <w:spacing w:val="-1"/>
        </w:rPr>
        <w:t>3</w:t>
      </w:r>
      <w:r>
        <w:rPr>
          <w:spacing w:val="-1"/>
        </w:rPr>
        <w:t>）渠道优势：公司旗下拥有电子产品销售平台，在与包括笔记本电脑、智能终端等多</w:t>
      </w:r>
      <w:r>
        <w:rPr/>
        <w:t> 种终端类产品的增值业务内嵌合作领域具有广泛前景。</w:t>
      </w:r>
    </w:p>
    <w:p>
      <w:pPr>
        <w:pStyle w:val="BodyText"/>
        <w:spacing w:line="357" w:lineRule="auto"/>
        <w:ind w:right="148" w:firstLine="425"/>
        <w:jc w:val="left"/>
      </w:pPr>
      <w:r>
        <w:rPr>
          <w:spacing w:val="-1"/>
        </w:rPr>
        <w:t>（</w:t>
      </w:r>
      <w:r>
        <w:rPr>
          <w:rFonts w:ascii="宋体" w:hAnsi="宋体" w:cs="宋体" w:eastAsia="宋体" w:hint="default"/>
          <w:spacing w:val="-1"/>
        </w:rPr>
        <w:t>4</w:t>
      </w:r>
      <w:r>
        <w:rPr>
          <w:spacing w:val="-1"/>
        </w:rPr>
        <w:t>）在互联网小额数字化服务交易业务方面，互联网话费充值的差错管理有别人无法具</w:t>
      </w:r>
      <w:r>
        <w:rPr/>
        <w:t> 备的经验优势，客户粘性大。</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4" w:right="0"/>
              <w:jc w:val="left"/>
              <w:rPr>
                <w:rFonts w:ascii="宋体" w:hAnsi="宋体" w:cs="宋体" w:eastAsia="宋体" w:hint="default"/>
                <w:sz w:val="18"/>
                <w:szCs w:val="18"/>
              </w:rPr>
            </w:pPr>
            <w:r>
              <w:rPr>
                <w:rFonts w:ascii="宋体" w:hAnsi="宋体" w:cs="宋体" w:eastAsia="宋体" w:hint="default"/>
                <w:sz w:val="18"/>
                <w:szCs w:val="18"/>
              </w:rPr>
              <w:t>变动幅度（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943,909,800.00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849.61%</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销售业务和企业信息化业务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贵州大唐高鸿电子信息技术有限公司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销售业务和企业信息化业务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销售业务和企业信息化业务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北京大唐融合通信技术有限公司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北京金吾创业投资中心（有限合伙）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创业投资业务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大唐融合通信技术无锡有限公司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昆山雷石雨花股权投资合伙企业（有限 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创业投资业务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宁波高鸿恒昌电子科技有限公司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浙江高鸿电子技术有限公司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销售业务和企业信息化业务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北京大唐高鸿电子商贸有限公司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深圳大唐高鸿互动科技有限公司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大唐融合（哈尔滨）云数科技有限公司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企业信息化业务和信息服务业务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9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81"/>
        <w:gridCol w:w="886"/>
        <w:gridCol w:w="872"/>
        <w:gridCol w:w="869"/>
        <w:gridCol w:w="869"/>
        <w:gridCol w:w="869"/>
        <w:gridCol w:w="866"/>
        <w:gridCol w:w="869"/>
        <w:gridCol w:w="869"/>
        <w:gridCol w:w="866"/>
        <w:gridCol w:w="850"/>
      </w:tblGrid>
      <w:tr>
        <w:trPr>
          <w:trHeight w:val="715"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公司类别</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7"/>
                <w:sz w:val="18"/>
                <w:szCs w:val="18"/>
              </w:rPr>
              <w:t>数量（股）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7"/>
                <w:sz w:val="18"/>
                <w:szCs w:val="18"/>
              </w:rPr>
              <w:t>数量（股）</w:t>
            </w:r>
            <w:r>
              <w:rPr>
                <w:rFonts w:ascii="宋体" w:hAnsi="宋体" w:cs="宋体" w:eastAsia="宋体" w:hint="default"/>
                <w:sz w:val="18"/>
                <w:szCs w:val="18"/>
              </w:rPr>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7"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1025"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国泰君安 证券股份 有限公司</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7"/>
              <w:jc w:val="center"/>
              <w:rPr>
                <w:rFonts w:ascii="宋体" w:hAnsi="宋体" w:cs="宋体" w:eastAsia="宋体" w:hint="default"/>
                <w:sz w:val="18"/>
                <w:szCs w:val="18"/>
              </w:rPr>
            </w:pPr>
            <w:r>
              <w:rPr>
                <w:rFonts w:ascii="宋体" w:hAnsi="宋体" w:cs="宋体" w:eastAsia="宋体" w:hint="default"/>
                <w:sz w:val="18"/>
                <w:szCs w:val="18"/>
              </w:rPr>
              <w:t>证券公司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635,958.00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588,850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588,850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635,958.00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110"/>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17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635,958.00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588,850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588,850</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635,958.00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spacing w:before="36"/>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2"/>
        <w:gridCol w:w="799"/>
        <w:gridCol w:w="812"/>
        <w:gridCol w:w="800"/>
        <w:gridCol w:w="797"/>
        <w:gridCol w:w="800"/>
        <w:gridCol w:w="797"/>
        <w:gridCol w:w="799"/>
        <w:gridCol w:w="797"/>
        <w:gridCol w:w="799"/>
        <w:gridCol w:w="797"/>
        <w:gridCol w:w="784"/>
      </w:tblGrid>
      <w:tr>
        <w:trPr>
          <w:trHeight w:val="161" w:hRule="exact"/>
        </w:trPr>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33" w:firstLine="12"/>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21"/>
                <w:sz w:val="18"/>
                <w:szCs w:val="18"/>
              </w:rPr>
              <w:t>成本（元）</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28" w:firstLine="9"/>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21"/>
                <w:sz w:val="18"/>
                <w:szCs w:val="18"/>
              </w:rPr>
              <w:t>数量（股）</w:t>
            </w:r>
            <w:r>
              <w:rPr>
                <w:rFonts w:ascii="宋体" w:hAnsi="宋体" w:cs="宋体" w:eastAsia="宋体" w:hint="default"/>
                <w:sz w:val="18"/>
                <w:szCs w:val="18"/>
              </w:rPr>
            </w:r>
          </w:p>
        </w:tc>
        <w:tc>
          <w:tcPr>
            <w:tcW w:w="800"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28" w:firstLine="12"/>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15"/>
                <w:sz w:val="18"/>
                <w:szCs w:val="18"/>
              </w:rPr>
              <w:t>比例（</w:t>
            </w:r>
            <w:r>
              <w:rPr>
                <w:rFonts w:ascii="Times New Roman" w:hAnsi="Times New Roman" w:cs="Times New Roman" w:eastAsia="Times New Roman" w:hint="default"/>
                <w:spacing w:val="-15"/>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49"/>
              <w:ind w:left="22" w:right="-28" w:firstLine="9"/>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21"/>
                <w:sz w:val="18"/>
                <w:szCs w:val="18"/>
              </w:rPr>
              <w:t>数量（股）</w:t>
            </w:r>
            <w:r>
              <w:rPr>
                <w:rFonts w:ascii="宋体" w:hAnsi="宋体" w:cs="宋体" w:eastAsia="宋体" w:hint="default"/>
                <w:sz w:val="18"/>
                <w:szCs w:val="18"/>
              </w:rPr>
            </w:r>
          </w:p>
        </w:tc>
        <w:tc>
          <w:tcPr>
            <w:tcW w:w="799"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37" w:firstLine="12"/>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9"/>
                <w:sz w:val="18"/>
                <w:szCs w:val="18"/>
              </w:rPr>
              <w:t>比例（</w:t>
            </w:r>
            <w:r>
              <w:rPr>
                <w:rFonts w:ascii="Times New Roman" w:hAnsi="Times New Roman" w:cs="Times New Roman" w:eastAsia="Times New Roman" w:hint="default"/>
                <w:spacing w:val="-9"/>
                <w:sz w:val="18"/>
                <w:szCs w:val="18"/>
              </w:rPr>
              <w:t>%</w:t>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49"/>
              <w:ind w:left="32" w:right="3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 w:right="32"/>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2" w:right="32"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nil" w:sz="6" w:space="0" w:color="auto"/>
            </w:tcBorders>
            <w:shd w:val="clear" w:color="auto" w:fill="D2D2D2"/>
          </w:tcPr>
          <w:p>
            <w:pPr/>
          </w:p>
        </w:tc>
        <w:tc>
          <w:tcPr>
            <w:tcW w:w="800" w:type="dxa"/>
            <w:vMerge/>
            <w:tcBorders>
              <w:left w:val="single" w:sz="4" w:space="0" w:color="000000"/>
              <w:bottom w:val="nil" w:sz="6" w:space="0" w:color="auto"/>
              <w:right w:val="nil" w:sz="6" w:space="0" w:color="auto"/>
            </w:tcBorders>
            <w:shd w:val="clear" w:color="auto" w:fill="D2D2D2"/>
          </w:tcPr>
          <w:p>
            <w:pPr/>
          </w:p>
        </w:tc>
        <w:tc>
          <w:tcPr>
            <w:tcW w:w="797" w:type="dxa"/>
            <w:vMerge/>
            <w:tcBorders>
              <w:left w:val="single" w:sz="4" w:space="0" w:color="000000"/>
              <w:right w:val="nil" w:sz="6" w:space="0" w:color="auto"/>
            </w:tcBorders>
            <w:shd w:val="clear" w:color="auto" w:fill="D2D2D2"/>
          </w:tcPr>
          <w:p>
            <w:pPr/>
          </w:p>
        </w:tc>
        <w:tc>
          <w:tcPr>
            <w:tcW w:w="799" w:type="dxa"/>
            <w:vMerge/>
            <w:tcBorders>
              <w:left w:val="single" w:sz="4" w:space="0" w:color="000000"/>
              <w:bottom w:val="nil" w:sz="6" w:space="0" w:color="auto"/>
              <w:right w:val="nil" w:sz="6" w:space="0" w:color="auto"/>
            </w:tcBorders>
            <w:shd w:val="clear" w:color="auto" w:fill="D2D2D2"/>
          </w:tcPr>
          <w:p>
            <w:pPr/>
          </w:p>
        </w:tc>
        <w:tc>
          <w:tcPr>
            <w:tcW w:w="797" w:type="dxa"/>
            <w:vMerge/>
            <w:tcBorders>
              <w:left w:val="single" w:sz="4" w:space="0" w:color="000000"/>
              <w:right w:val="nil" w:sz="6" w:space="0" w:color="auto"/>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1" w:hRule="exact"/>
        </w:trPr>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nil" w:sz="6" w:space="0" w:color="auto"/>
            </w:tcBorders>
            <w:shd w:val="clear" w:color="auto" w:fill="D2D2D2"/>
          </w:tcPr>
          <w:p>
            <w:pPr/>
          </w:p>
        </w:tc>
        <w:tc>
          <w:tcPr>
            <w:tcW w:w="800" w:type="dxa"/>
            <w:tcBorders>
              <w:top w:val="nil" w:sz="6" w:space="0" w:color="auto"/>
              <w:left w:val="single" w:sz="4" w:space="0" w:color="000000"/>
              <w:bottom w:val="single" w:sz="4" w:space="0" w:color="000000"/>
              <w:right w:val="nil" w:sz="6" w:space="0" w:color="auto"/>
            </w:tcBorders>
            <w:shd w:val="clear" w:color="auto" w:fill="D2D2D2"/>
          </w:tcPr>
          <w:p>
            <w:pPr/>
          </w:p>
        </w:tc>
        <w:tc>
          <w:tcPr>
            <w:tcW w:w="797" w:type="dxa"/>
            <w:vMerge/>
            <w:tcBorders>
              <w:left w:val="single" w:sz="4" w:space="0" w:color="000000"/>
              <w:bottom w:val="single" w:sz="4" w:space="0" w:color="000000"/>
              <w:right w:val="nil" w:sz="6" w:space="0" w:color="auto"/>
            </w:tcBorders>
            <w:shd w:val="clear" w:color="auto" w:fill="D2D2D2"/>
          </w:tcPr>
          <w:p>
            <w:pPr/>
          </w:p>
        </w:tc>
        <w:tc>
          <w:tcPr>
            <w:tcW w:w="799" w:type="dxa"/>
            <w:tcBorders>
              <w:top w:val="nil" w:sz="6" w:space="0" w:color="auto"/>
              <w:left w:val="single" w:sz="4" w:space="0" w:color="000000"/>
              <w:bottom w:val="single" w:sz="4" w:space="0" w:color="000000"/>
              <w:right w:val="nil" w:sz="6" w:space="0" w:color="auto"/>
            </w:tcBorders>
            <w:shd w:val="clear" w:color="auto" w:fill="D2D2D2"/>
          </w:tcPr>
          <w:p>
            <w:pPr/>
          </w:p>
        </w:tc>
        <w:tc>
          <w:tcPr>
            <w:tcW w:w="797" w:type="dxa"/>
            <w:vMerge/>
            <w:tcBorders>
              <w:left w:val="single" w:sz="4" w:space="0" w:color="000000"/>
              <w:bottom w:val="single" w:sz="4" w:space="0" w:color="000000"/>
              <w:right w:val="nil" w:sz="6" w:space="0" w:color="auto"/>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4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47"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40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证券投资审批董事会公告披露 日期</w:t>
            </w:r>
          </w:p>
        </w:tc>
        <w:tc>
          <w:tcPr>
            <w:tcW w:w="7170" w:type="dxa"/>
            <w:gridSpan w:val="9"/>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0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证券投资审批股东会公告披露 日期（如有</w:t>
            </w:r>
            <w:r>
              <w:rPr>
                <w:rFonts w:ascii="Times New Roman" w:hAnsi="Times New Roman" w:cs="Times New Roman" w:eastAsia="Times New Roman" w:hint="default"/>
                <w:sz w:val="18"/>
                <w:szCs w:val="18"/>
              </w:rPr>
              <w:t>)</w:t>
            </w:r>
          </w:p>
        </w:tc>
        <w:tc>
          <w:tcPr>
            <w:tcW w:w="7170" w:type="dxa"/>
            <w:gridSpan w:val="9"/>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持有其他上市公司股权情况的说明</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357" w:lineRule="auto" w:before="132"/>
        <w:ind w:right="94" w:firstLine="480"/>
        <w:jc w:val="left"/>
      </w:pPr>
      <w:r>
        <w:rPr>
          <w:spacing w:val="-4"/>
        </w:rPr>
        <w:t>公司董事会第五届第二十九次会议审议通过《关于参与设立创业企业投资公司的议案》，</w:t>
      </w:r>
      <w:r>
        <w:rPr/>
        <w:t> 同意合资成立投资公司。</w:t>
      </w:r>
      <w:r>
        <w:rPr>
          <w:rFonts w:ascii="宋体" w:hAnsi="宋体" w:cs="宋体" w:eastAsia="宋体" w:hint="default"/>
        </w:rPr>
        <w:t>2008</w:t>
      </w:r>
      <w:r>
        <w:rPr>
          <w:rFonts w:ascii="宋体" w:hAnsi="宋体" w:cs="宋体" w:eastAsia="宋体" w:hint="default"/>
          <w:spacing w:val="-65"/>
        </w:rPr>
        <w:t> </w:t>
      </w:r>
      <w:r>
        <w:rPr/>
        <w:t>年，公司参股设立北京海岸淘金创业投资有限公司。</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9 </w:t>
      </w:r>
      <w:r>
        <w:rPr/>
        <w:t>月 </w:t>
      </w:r>
      <w:r>
        <w:rPr>
          <w:rFonts w:ascii="宋体" w:hAnsi="宋体" w:cs="宋体" w:eastAsia="宋体" w:hint="default"/>
        </w:rPr>
        <w:t>10</w:t>
      </w:r>
      <w:r>
        <w:rPr>
          <w:rFonts w:ascii="宋体" w:hAnsi="宋体" w:cs="宋体" w:eastAsia="宋体" w:hint="default"/>
          <w:spacing w:val="-90"/>
        </w:rPr>
        <w:t> </w:t>
      </w:r>
      <w:r>
        <w:rPr>
          <w:spacing w:val="-9"/>
        </w:rPr>
        <w:t>日，海岸淘金与北京雪迪龙科技股份有限公司（以下简称：“雪迪龙公司”）签署增资协</w:t>
      </w:r>
    </w:p>
    <w:p>
      <w:pPr>
        <w:pStyle w:val="BodyText"/>
        <w:spacing w:line="240" w:lineRule="auto"/>
        <w:ind w:right="0"/>
        <w:jc w:val="both"/>
        <w:rPr>
          <w:rFonts w:ascii="宋体" w:hAnsi="宋体" w:cs="宋体" w:eastAsia="宋体" w:hint="default"/>
        </w:rPr>
      </w:pPr>
      <w:r>
        <w:rPr/>
        <w:t>议，以货币形式出资</w:t>
      </w:r>
      <w:r>
        <w:rPr>
          <w:spacing w:val="-41"/>
        </w:rPr>
        <w:t> </w:t>
      </w:r>
      <w:r>
        <w:rPr>
          <w:rFonts w:ascii="宋体" w:hAnsi="宋体" w:cs="宋体" w:eastAsia="宋体" w:hint="default"/>
        </w:rPr>
        <w:t>2,100</w:t>
      </w:r>
      <w:r>
        <w:rPr>
          <w:rFonts w:ascii="宋体" w:hAnsi="宋体" w:cs="宋体" w:eastAsia="宋体" w:hint="default"/>
          <w:spacing w:val="-41"/>
        </w:rPr>
        <w:t> </w:t>
      </w:r>
      <w:r>
        <w:rPr/>
        <w:t>万元认购雪迪龙公司新增</w:t>
      </w:r>
      <w:r>
        <w:rPr>
          <w:spacing w:val="-41"/>
        </w:rPr>
        <w:t> </w:t>
      </w:r>
      <w:r>
        <w:rPr>
          <w:rFonts w:ascii="宋体" w:hAnsi="宋体" w:cs="宋体" w:eastAsia="宋体" w:hint="default"/>
        </w:rPr>
        <w:t>309.28</w:t>
      </w:r>
      <w:r>
        <w:rPr>
          <w:rFonts w:ascii="宋体" w:hAnsi="宋体" w:cs="宋体" w:eastAsia="宋体" w:hint="default"/>
          <w:spacing w:val="-41"/>
        </w:rPr>
        <w:t> </w:t>
      </w:r>
      <w:r>
        <w:rPr/>
        <w:t>万股股份，持有雪迪龙公司</w:t>
      </w:r>
      <w:r>
        <w:rPr>
          <w:spacing w:val="-40"/>
        </w:rPr>
        <w:t> </w:t>
      </w:r>
      <w:r>
        <w:rPr>
          <w:rFonts w:ascii="宋体" w:hAnsi="宋体" w:cs="宋体" w:eastAsia="宋体" w:hint="default"/>
        </w:rPr>
        <w:t>3%</w:t>
      </w:r>
    </w:p>
    <w:p>
      <w:pPr>
        <w:pStyle w:val="BodyText"/>
        <w:spacing w:line="357" w:lineRule="auto" w:before="154"/>
        <w:ind w:right="188"/>
        <w:jc w:val="both"/>
      </w:pPr>
      <w:r>
        <w:rPr>
          <w:spacing w:val="-5"/>
        </w:rPr>
        <w:t>的股份。北京雪迪龙科技股份有限公司于</w:t>
      </w:r>
      <w:r>
        <w:rPr>
          <w:spacing w:val="-58"/>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26</w:t>
      </w:r>
      <w:r>
        <w:rPr>
          <w:rFonts w:ascii="宋体" w:hAnsi="宋体" w:cs="宋体" w:eastAsia="宋体" w:hint="default"/>
          <w:spacing w:val="-59"/>
        </w:rPr>
        <w:t> </w:t>
      </w:r>
      <w:r>
        <w:rPr/>
        <w:t>日正式通过了中国证监会主板发行 审核委员会的</w:t>
      </w:r>
      <w:r>
        <w:rPr>
          <w:spacing w:val="-58"/>
        </w:rPr>
        <w:t> </w:t>
      </w:r>
      <w:r>
        <w:rPr>
          <w:rFonts w:ascii="宋体" w:hAnsi="宋体" w:cs="宋体" w:eastAsia="宋体" w:hint="default"/>
        </w:rPr>
        <w:t>IPO</w:t>
      </w:r>
      <w:r>
        <w:rPr>
          <w:rFonts w:ascii="宋体" w:hAnsi="宋体" w:cs="宋体" w:eastAsia="宋体" w:hint="default"/>
          <w:spacing w:val="-58"/>
        </w:rPr>
        <w:t> </w:t>
      </w:r>
      <w:r>
        <w:rPr>
          <w:spacing w:val="-13"/>
        </w:rPr>
        <w:t>首发申请（具体详见：《发审委</w:t>
      </w:r>
      <w:r>
        <w:rPr>
          <w:spacing w:val="-57"/>
        </w:rPr>
        <w:t> </w:t>
      </w:r>
      <w:r>
        <w:rPr>
          <w:rFonts w:ascii="宋体" w:hAnsi="宋体" w:cs="宋体" w:eastAsia="宋体" w:hint="default"/>
        </w:rPr>
        <w:t>2011</w:t>
      </w:r>
      <w:r>
        <w:rPr>
          <w:rFonts w:ascii="宋体" w:hAnsi="宋体" w:cs="宋体" w:eastAsia="宋体" w:hint="default"/>
          <w:spacing w:val="-58"/>
        </w:rPr>
        <w:t> </w:t>
      </w:r>
      <w:r>
        <w:rPr/>
        <w:t>年第</w:t>
      </w:r>
      <w:r>
        <w:rPr>
          <w:spacing w:val="-58"/>
        </w:rPr>
        <w:t> </w:t>
      </w:r>
      <w:r>
        <w:rPr>
          <w:rFonts w:ascii="宋体" w:hAnsi="宋体" w:cs="宋体" w:eastAsia="宋体" w:hint="default"/>
        </w:rPr>
        <w:t>288</w:t>
      </w:r>
      <w:r>
        <w:rPr>
          <w:rFonts w:ascii="宋体" w:hAnsi="宋体" w:cs="宋体" w:eastAsia="宋体" w:hint="default"/>
          <w:spacing w:val="-58"/>
        </w:rPr>
        <w:t> </w:t>
      </w:r>
      <w:r>
        <w:rPr>
          <w:spacing w:val="-12"/>
        </w:rPr>
        <w:t>次会议审核结果公告》）并于</w:t>
      </w:r>
      <w:r>
        <w:rPr/>
        <w:t> </w:t>
      </w:r>
      <w:r>
        <w:rPr>
          <w:rFonts w:ascii="宋体" w:hAnsi="宋体" w:cs="宋体" w:eastAsia="宋体" w:hint="default"/>
        </w:rPr>
        <w:t>2012</w:t>
      </w:r>
      <w:r>
        <w:rPr>
          <w:rFonts w:ascii="宋体" w:hAnsi="宋体" w:cs="宋体" w:eastAsia="宋体" w:hint="default"/>
          <w:spacing w:val="-38"/>
        </w:rPr>
        <w:t> </w:t>
      </w:r>
      <w:r>
        <w:rPr/>
        <w:t>年</w:t>
      </w:r>
      <w:r>
        <w:rPr>
          <w:spacing w:val="-38"/>
        </w:rPr>
        <w:t> </w:t>
      </w:r>
      <w:r>
        <w:rPr>
          <w:rFonts w:ascii="宋体" w:hAnsi="宋体" w:cs="宋体" w:eastAsia="宋体" w:hint="default"/>
        </w:rPr>
        <w:t>2</w:t>
      </w:r>
      <w:r>
        <w:rPr>
          <w:rFonts w:ascii="宋体" w:hAnsi="宋体" w:cs="宋体" w:eastAsia="宋体" w:hint="default"/>
          <w:spacing w:val="-38"/>
        </w:rPr>
        <w:t> </w:t>
      </w:r>
      <w:r>
        <w:rPr/>
        <w:t>月</w:t>
      </w:r>
      <w:r>
        <w:rPr>
          <w:spacing w:val="-38"/>
        </w:rPr>
        <w:t> </w:t>
      </w:r>
      <w:r>
        <w:rPr>
          <w:rFonts w:ascii="宋体" w:hAnsi="宋体" w:cs="宋体" w:eastAsia="宋体" w:hint="default"/>
        </w:rPr>
        <w:t>2</w:t>
      </w:r>
      <w:r>
        <w:rPr>
          <w:rFonts w:ascii="宋体" w:hAnsi="宋体" w:cs="宋体" w:eastAsia="宋体" w:hint="default"/>
          <w:spacing w:val="-38"/>
        </w:rPr>
        <w:t> </w:t>
      </w:r>
      <w:r>
        <w:rPr>
          <w:spacing w:val="-4"/>
        </w:rPr>
        <w:t>日正式收到中国证监会批复，《关于核准北京雪迪龙科技股份有限公司首次公</w:t>
      </w:r>
      <w:r>
        <w:rPr/>
        <w:t> </w:t>
      </w:r>
      <w:r>
        <w:rPr>
          <w:spacing w:val="-5"/>
        </w:rPr>
        <w:t>开发行股票的批复》（具体详见：证监许可</w:t>
      </w:r>
      <w:r>
        <w:rPr>
          <w:rFonts w:ascii="宋体" w:hAnsi="宋体" w:cs="宋体" w:eastAsia="宋体" w:hint="default"/>
          <w:spacing w:val="-5"/>
        </w:rPr>
        <w:t>[2012]151</w:t>
      </w:r>
      <w:r>
        <w:rPr>
          <w:rFonts w:ascii="宋体" w:hAnsi="宋体" w:cs="宋体" w:eastAsia="宋体" w:hint="default"/>
          <w:spacing w:val="-49"/>
        </w:rPr>
        <w:t> </w:t>
      </w:r>
      <w:r>
        <w:rPr>
          <w:spacing w:val="-1"/>
        </w:rPr>
        <w:t>号《关于核准北京雪迪龙科技股份有限</w:t>
      </w:r>
      <w:r>
        <w:rPr>
          <w:spacing w:val="-118"/>
        </w:rPr>
        <w:t> </w:t>
      </w:r>
      <w:r>
        <w:rPr>
          <w:spacing w:val="-118"/>
        </w:rPr>
      </w:r>
      <w:r>
        <w:rPr>
          <w:spacing w:val="-10"/>
        </w:rPr>
        <w:t>公司首次公开发行股票的批复》）。雪迪龙公司股票已于</w:t>
      </w:r>
      <w:r>
        <w:rPr>
          <w:spacing w:val="-46"/>
        </w:rPr>
        <w:t> </w:t>
      </w:r>
      <w:r>
        <w:rPr>
          <w:rFonts w:ascii="宋体" w:hAnsi="宋体" w:cs="宋体" w:eastAsia="宋体" w:hint="default"/>
        </w:rPr>
        <w:t>2012</w:t>
      </w:r>
      <w:r>
        <w:rPr>
          <w:rFonts w:ascii="宋体" w:hAnsi="宋体" w:cs="宋体" w:eastAsia="宋体" w:hint="default"/>
          <w:spacing w:val="-47"/>
        </w:rPr>
        <w:t> </w:t>
      </w:r>
      <w:r>
        <w:rPr/>
        <w:t>年</w:t>
      </w:r>
      <w:r>
        <w:rPr>
          <w:spacing w:val="-50"/>
        </w:rPr>
        <w:t> </w:t>
      </w:r>
      <w:r>
        <w:rPr>
          <w:rFonts w:ascii="宋体" w:hAnsi="宋体" w:cs="宋体" w:eastAsia="宋体" w:hint="default"/>
        </w:rPr>
        <w:t>3</w:t>
      </w:r>
      <w:r>
        <w:rPr>
          <w:rFonts w:ascii="宋体" w:hAnsi="宋体" w:cs="宋体" w:eastAsia="宋体" w:hint="default"/>
          <w:spacing w:val="-47"/>
        </w:rPr>
        <w:t> </w:t>
      </w:r>
      <w:r>
        <w:rPr/>
        <w:t>月</w:t>
      </w:r>
      <w:r>
        <w:rPr>
          <w:spacing w:val="-49"/>
        </w:rPr>
        <w:t> </w:t>
      </w:r>
      <w:r>
        <w:rPr>
          <w:rFonts w:ascii="宋体" w:hAnsi="宋体" w:cs="宋体" w:eastAsia="宋体" w:hint="default"/>
        </w:rPr>
        <w:t>9</w:t>
      </w:r>
      <w:r>
        <w:rPr>
          <w:rFonts w:ascii="宋体" w:hAnsi="宋体" w:cs="宋体" w:eastAsia="宋体" w:hint="default"/>
          <w:spacing w:val="-47"/>
        </w:rPr>
        <w:t> </w:t>
      </w:r>
      <w:r>
        <w:rPr/>
        <w:t>日上市，</w:t>
      </w:r>
      <w:r>
        <w:rPr>
          <w:rFonts w:ascii="宋体" w:hAnsi="宋体" w:cs="宋体" w:eastAsia="宋体" w:hint="default"/>
        </w:rPr>
        <w:t>2013</w:t>
      </w:r>
      <w:r>
        <w:rPr>
          <w:rFonts w:ascii="宋体" w:hAnsi="宋体" w:cs="宋体" w:eastAsia="宋体" w:hint="default"/>
          <w:spacing w:val="-47"/>
        </w:rPr>
        <w:t> </w:t>
      </w:r>
      <w:r>
        <w:rPr/>
        <w:t>年</w:t>
      </w:r>
      <w:r>
        <w:rPr>
          <w:spacing w:val="-49"/>
        </w:rPr>
        <w:t> </w:t>
      </w:r>
      <w:r>
        <w:rPr>
          <w:rFonts w:ascii="宋体" w:hAnsi="宋体" w:cs="宋体" w:eastAsia="宋体" w:hint="default"/>
        </w:rPr>
        <w:t>6</w:t>
      </w:r>
      <w:r>
        <w:rPr>
          <w:rFonts w:ascii="宋体" w:hAnsi="宋体" w:cs="宋体" w:eastAsia="宋体" w:hint="default"/>
          <w:spacing w:val="-47"/>
        </w:rPr>
        <w:t> </w:t>
      </w:r>
      <w:r>
        <w:rPr/>
        <w:t>月</w:t>
      </w:r>
    </w:p>
    <w:p>
      <w:pPr>
        <w:pStyle w:val="BodyText"/>
        <w:spacing w:line="240" w:lineRule="auto" w:before="37"/>
        <w:ind w:right="0"/>
        <w:jc w:val="both"/>
      </w:pPr>
      <w:r>
        <w:rPr>
          <w:rFonts w:ascii="宋体" w:hAnsi="宋体" w:cs="宋体" w:eastAsia="宋体" w:hint="default"/>
        </w:rPr>
        <w:t>27</w:t>
      </w:r>
      <w:r>
        <w:rPr>
          <w:rFonts w:ascii="宋体" w:hAnsi="宋体" w:cs="宋体" w:eastAsia="宋体" w:hint="default"/>
          <w:spacing w:val="-41"/>
        </w:rPr>
        <w:t> </w:t>
      </w:r>
      <w:r>
        <w:rPr/>
        <w:t>日雪迪龙公司公告权益分派实施公告，每</w:t>
      </w:r>
      <w:r>
        <w:rPr>
          <w:spacing w:val="-41"/>
        </w:rPr>
        <w:t> </w:t>
      </w:r>
      <w:r>
        <w:rPr>
          <w:rFonts w:ascii="宋体" w:hAnsi="宋体" w:cs="宋体" w:eastAsia="宋体" w:hint="default"/>
        </w:rPr>
        <w:t>10</w:t>
      </w:r>
      <w:r>
        <w:rPr>
          <w:rFonts w:ascii="宋体" w:hAnsi="宋体" w:cs="宋体" w:eastAsia="宋体" w:hint="default"/>
          <w:spacing w:val="-41"/>
        </w:rPr>
        <w:t> </w:t>
      </w:r>
      <w:r>
        <w:rPr/>
        <w:t>股派现金股利</w:t>
      </w:r>
      <w:r>
        <w:rPr>
          <w:spacing w:val="-41"/>
        </w:rPr>
        <w:t> </w:t>
      </w:r>
      <w:r>
        <w:rPr>
          <w:rFonts w:ascii="宋体" w:hAnsi="宋体" w:cs="宋体" w:eastAsia="宋体" w:hint="default"/>
        </w:rPr>
        <w:t>1</w:t>
      </w:r>
      <w:r>
        <w:rPr>
          <w:rFonts w:ascii="宋体" w:hAnsi="宋体" w:cs="宋体" w:eastAsia="宋体" w:hint="default"/>
          <w:spacing w:val="2"/>
        </w:rPr>
        <w:t>.</w:t>
      </w:r>
      <w:r>
        <w:rPr>
          <w:rFonts w:ascii="宋体" w:hAnsi="宋体" w:cs="宋体" w:eastAsia="宋体" w:hint="default"/>
        </w:rPr>
        <w:t>60</w:t>
      </w:r>
      <w:r>
        <w:rPr>
          <w:rFonts w:ascii="宋体" w:hAnsi="宋体" w:cs="宋体" w:eastAsia="宋体" w:hint="default"/>
          <w:spacing w:val="-40"/>
        </w:rPr>
        <w:t> </w:t>
      </w:r>
      <w:r>
        <w:rPr/>
        <w:t>元（含税</w:t>
      </w:r>
      <w:r>
        <w:rPr>
          <w:spacing w:val="-120"/>
        </w:rPr>
        <w:t>）</w:t>
      </w:r>
      <w:r>
        <w:rPr/>
        <w:t>，派发红利同</w:t>
      </w:r>
    </w:p>
    <w:p>
      <w:pPr>
        <w:pStyle w:val="BodyText"/>
        <w:spacing w:line="240" w:lineRule="auto" w:before="154"/>
        <w:ind w:right="0"/>
        <w:jc w:val="both"/>
      </w:pPr>
      <w:r>
        <w:rPr/>
        <w:t>时以资本公积金向全体股东每</w:t>
      </w:r>
      <w:r>
        <w:rPr>
          <w:spacing w:val="-57"/>
        </w:rPr>
        <w:t> </w:t>
      </w:r>
      <w:r>
        <w:rPr>
          <w:rFonts w:ascii="宋体" w:hAnsi="宋体" w:cs="宋体" w:eastAsia="宋体" w:hint="default"/>
        </w:rPr>
        <w:t>10</w:t>
      </w:r>
      <w:r>
        <w:rPr>
          <w:rFonts w:ascii="宋体" w:hAnsi="宋体" w:cs="宋体" w:eastAsia="宋体" w:hint="default"/>
          <w:spacing w:val="-58"/>
        </w:rPr>
        <w:t> </w:t>
      </w:r>
      <w:r>
        <w:rPr/>
        <w:t>股转增</w:t>
      </w:r>
      <w:r>
        <w:rPr>
          <w:spacing w:val="-58"/>
        </w:rPr>
        <w:t> </w:t>
      </w:r>
      <w:r>
        <w:rPr>
          <w:rFonts w:ascii="宋体" w:hAnsi="宋体" w:cs="宋体" w:eastAsia="宋体" w:hint="default"/>
        </w:rPr>
        <w:t>10</w:t>
      </w:r>
      <w:r>
        <w:rPr>
          <w:rFonts w:ascii="宋体" w:hAnsi="宋体" w:cs="宋体" w:eastAsia="宋体" w:hint="default"/>
          <w:spacing w:val="-58"/>
        </w:rPr>
        <w:t> </w:t>
      </w:r>
      <w:r>
        <w:rPr>
          <w:spacing w:val="-4"/>
        </w:rPr>
        <w:t>股，转增之后海岸淘金持有其</w:t>
      </w:r>
      <w:r>
        <w:rPr>
          <w:spacing w:val="-57"/>
        </w:rPr>
        <w:t> </w:t>
      </w:r>
      <w:r>
        <w:rPr>
          <w:rFonts w:ascii="宋体" w:hAnsi="宋体" w:cs="宋体" w:eastAsia="宋体" w:hint="default"/>
        </w:rPr>
        <w:t>618.56</w:t>
      </w:r>
      <w:r>
        <w:rPr>
          <w:rFonts w:ascii="宋体" w:hAnsi="宋体" w:cs="宋体" w:eastAsia="宋体" w:hint="default"/>
          <w:spacing w:val="-58"/>
        </w:rPr>
        <w:t> </w:t>
      </w:r>
      <w:r>
        <w:rPr>
          <w:spacing w:val="-9"/>
        </w:rPr>
        <w:t>万股。海岸</w:t>
      </w:r>
    </w:p>
    <w:p>
      <w:pPr>
        <w:pStyle w:val="BodyText"/>
        <w:spacing w:line="357" w:lineRule="auto" w:before="154"/>
        <w:ind w:right="192"/>
        <w:jc w:val="both"/>
      </w:pPr>
      <w:r>
        <w:rPr/>
        <w:t>淘金公司所持限售股份</w:t>
      </w:r>
      <w:r>
        <w:rPr>
          <w:spacing w:val="-49"/>
        </w:rPr>
        <w:t> </w:t>
      </w:r>
      <w:r>
        <w:rPr>
          <w:rFonts w:ascii="宋体" w:hAnsi="宋体" w:cs="宋体" w:eastAsia="宋体" w:hint="default"/>
        </w:rPr>
        <w:t>2013</w:t>
      </w:r>
      <w:r>
        <w:rPr>
          <w:rFonts w:ascii="宋体" w:hAnsi="宋体" w:cs="宋体" w:eastAsia="宋体" w:hint="default"/>
          <w:spacing w:val="-50"/>
        </w:rPr>
        <w:t> </w:t>
      </w:r>
      <w:r>
        <w:rPr/>
        <w:t>年</w:t>
      </w:r>
      <w:r>
        <w:rPr>
          <w:spacing w:val="-50"/>
        </w:rPr>
        <w:t> </w:t>
      </w:r>
      <w:r>
        <w:rPr>
          <w:rFonts w:ascii="宋体" w:hAnsi="宋体" w:cs="宋体" w:eastAsia="宋体" w:hint="default"/>
        </w:rPr>
        <w:t>9</w:t>
      </w:r>
      <w:r>
        <w:rPr>
          <w:rFonts w:ascii="宋体" w:hAnsi="宋体" w:cs="宋体" w:eastAsia="宋体" w:hint="default"/>
          <w:spacing w:val="-53"/>
        </w:rPr>
        <w:t> </w:t>
      </w:r>
      <w:r>
        <w:rPr/>
        <w:t>月</w:t>
      </w:r>
      <w:r>
        <w:rPr>
          <w:spacing w:val="-50"/>
        </w:rPr>
        <w:t> </w:t>
      </w:r>
      <w:r>
        <w:rPr>
          <w:rFonts w:ascii="宋体" w:hAnsi="宋体" w:cs="宋体" w:eastAsia="宋体" w:hint="default"/>
        </w:rPr>
        <w:t>26</w:t>
      </w:r>
      <w:r>
        <w:rPr>
          <w:rFonts w:ascii="宋体" w:hAnsi="宋体" w:cs="宋体" w:eastAsia="宋体" w:hint="default"/>
          <w:spacing w:val="-50"/>
        </w:rPr>
        <w:t> </w:t>
      </w:r>
      <w:r>
        <w:rPr>
          <w:spacing w:val="-11"/>
        </w:rPr>
        <w:t>日上市流通。（详情见：《北京雪迪龙科技股份有限公</w:t>
      </w:r>
      <w:r>
        <w:rPr/>
        <w:t> 司首次公开发行股票上市公告书》及《北京雪迪龙科技股份有限公司关于限售股份上市流通</w:t>
      </w:r>
    </w:p>
    <w:p>
      <w:pPr>
        <w:spacing w:after="0" w:line="357" w:lineRule="auto"/>
        <w:jc w:val="both"/>
        <w:sectPr>
          <w:pgSz w:w="11910" w:h="16840"/>
          <w:pgMar w:header="745" w:footer="1186" w:top="1060" w:bottom="1380" w:left="980" w:right="940"/>
        </w:sectPr>
      </w:pPr>
    </w:p>
    <w:p>
      <w:pPr>
        <w:spacing w:line="240" w:lineRule="auto" w:before="6"/>
        <w:rPr>
          <w:rFonts w:ascii="宋体" w:hAnsi="宋体" w:cs="宋体" w:eastAsia="宋体" w:hint="default"/>
          <w:sz w:val="29"/>
          <w:szCs w:val="29"/>
        </w:rPr>
      </w:pPr>
    </w:p>
    <w:p>
      <w:pPr>
        <w:pStyle w:val="BodyText"/>
        <w:spacing w:line="240" w:lineRule="auto" w:before="26"/>
        <w:ind w:left="392" w:right="0"/>
        <w:jc w:val="left"/>
      </w:pPr>
      <w:r>
        <w:rPr/>
        <w:t>的提示性公告</w:t>
      </w:r>
      <w:r>
        <w:rPr>
          <w:spacing w:val="-120"/>
        </w:rPr>
        <w:t>》</w:t>
      </w:r>
      <w:r>
        <w:rPr/>
        <w:t>）</w:t>
      </w:r>
    </w:p>
    <w:p>
      <w:pPr>
        <w:pStyle w:val="BodyText"/>
        <w:spacing w:line="240" w:lineRule="auto" w:before="195"/>
        <w:ind w:left="0" w:right="151"/>
        <w:jc w:val="right"/>
      </w:pPr>
      <w:r>
        <w:rPr/>
        <w:t>截至</w:t>
      </w:r>
      <w:r>
        <w:rPr>
          <w:spacing w:val="-56"/>
        </w:rPr>
        <w:t> </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5"/>
        </w:rPr>
        <w:t> </w:t>
      </w:r>
      <w:r>
        <w:rPr>
          <w:rFonts w:ascii="宋体" w:hAnsi="宋体" w:cs="宋体" w:eastAsia="宋体" w:hint="default"/>
        </w:rPr>
        <w:t>31</w:t>
      </w:r>
      <w:r>
        <w:rPr>
          <w:rFonts w:ascii="宋体" w:hAnsi="宋体" w:cs="宋体" w:eastAsia="宋体" w:hint="default"/>
          <w:spacing w:val="-56"/>
        </w:rPr>
        <w:t> </w:t>
      </w:r>
      <w:r>
        <w:rPr/>
        <w:t>日，海岸淘金已全部减持了所持有的雪迪龙股份即</w:t>
      </w:r>
      <w:r>
        <w:rPr>
          <w:spacing w:val="-55"/>
        </w:rPr>
        <w:t> </w:t>
      </w:r>
      <w:r>
        <w:rPr>
          <w:rFonts w:ascii="宋体" w:hAnsi="宋体" w:cs="宋体" w:eastAsia="宋体" w:hint="default"/>
        </w:rPr>
        <w:t>618.56</w:t>
      </w:r>
      <w:r>
        <w:rPr>
          <w:rFonts w:ascii="宋体" w:hAnsi="宋体" w:cs="宋体" w:eastAsia="宋体" w:hint="default"/>
          <w:spacing w:val="-56"/>
        </w:rPr>
        <w:t> </w:t>
      </w:r>
      <w:r>
        <w:rPr/>
        <w:t>万股，</w:t>
      </w:r>
    </w:p>
    <w:p>
      <w:pPr>
        <w:pStyle w:val="BodyText"/>
        <w:spacing w:line="240" w:lineRule="auto" w:before="154"/>
        <w:ind w:left="392" w:right="0"/>
        <w:jc w:val="left"/>
      </w:pPr>
      <w:r>
        <w:rPr/>
        <w:t>并向公司派发了</w:t>
      </w:r>
      <w:r>
        <w:rPr>
          <w:spacing w:val="-60"/>
        </w:rPr>
        <w:t> </w:t>
      </w:r>
      <w:r>
        <w:rPr>
          <w:rFonts w:ascii="宋体" w:hAnsi="宋体" w:cs="宋体" w:eastAsia="宋体" w:hint="default"/>
        </w:rPr>
        <w:t>3661.18</w:t>
      </w:r>
      <w:r>
        <w:rPr>
          <w:rFonts w:ascii="宋体" w:hAnsi="宋体" w:cs="宋体" w:eastAsia="宋体" w:hint="default"/>
          <w:spacing w:val="-60"/>
        </w:rPr>
        <w:t> </w:t>
      </w:r>
      <w:r>
        <w:rPr/>
        <w:t>万元现金红利，以上现金红利公司已于报告期内全部取得。</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before="0"/>
        <w:ind w:left="3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076"/>
        <w:gridCol w:w="799"/>
        <w:gridCol w:w="795"/>
        <w:gridCol w:w="806"/>
        <w:gridCol w:w="799"/>
        <w:gridCol w:w="797"/>
        <w:gridCol w:w="799"/>
        <w:gridCol w:w="797"/>
        <w:gridCol w:w="987"/>
        <w:gridCol w:w="852"/>
        <w:gridCol w:w="708"/>
        <w:gridCol w:w="641"/>
      </w:tblGrid>
      <w:tr>
        <w:trPr>
          <w:trHeight w:val="1028"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4"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8"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6"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6" w:right="29"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0" w:right="34"/>
              <w:jc w:val="left"/>
              <w:rPr>
                <w:rFonts w:ascii="宋体" w:hAnsi="宋体" w:cs="宋体" w:eastAsia="宋体" w:hint="default"/>
                <w:sz w:val="18"/>
                <w:szCs w:val="18"/>
              </w:rPr>
            </w:pPr>
            <w:r>
              <w:rPr>
                <w:rFonts w:ascii="宋体" w:hAnsi="宋体" w:cs="宋体" w:eastAsia="宋体" w:hint="default"/>
                <w:sz w:val="18"/>
                <w:szCs w:val="18"/>
              </w:rPr>
              <w:t>本期实际收 回本金金额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 w:right="60"/>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7"/>
              <w:ind w:left="59"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5"/>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102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40"/>
              <w:jc w:val="left"/>
              <w:rPr>
                <w:rFonts w:ascii="宋体" w:hAnsi="宋体" w:cs="宋体" w:eastAsia="宋体" w:hint="default"/>
                <w:sz w:val="18"/>
                <w:szCs w:val="18"/>
              </w:rPr>
            </w:pPr>
            <w:r>
              <w:rPr>
                <w:rFonts w:ascii="宋体" w:hAnsi="宋体" w:cs="宋体" w:eastAsia="宋体" w:hint="default"/>
                <w:sz w:val="18"/>
                <w:szCs w:val="18"/>
              </w:rPr>
              <w:t>北京银行广 源支行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5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6"/>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w:t>
            </w:r>
            <w:r>
              <w:rPr>
                <w:rFonts w:ascii="宋体" w:hAnsi="宋体" w:cs="宋体" w:eastAsia="宋体" w:hint="default"/>
                <w:spacing w:val="-12"/>
                <w:sz w:val="18"/>
                <w:szCs w:val="18"/>
              </w:rPr>
              <w:t>率：</w:t>
            </w:r>
            <w:r>
              <w:rPr>
                <w:rFonts w:ascii="Times New Roman" w:hAnsi="Times New Roman" w:cs="Times New Roman" w:eastAsia="Times New Roman" w:hint="default"/>
                <w:spacing w:val="-12"/>
                <w:sz w:val="18"/>
                <w:szCs w:val="18"/>
              </w:rPr>
              <w:t>3.76%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142.16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142.16</w:t>
            </w:r>
          </w:p>
        </w:tc>
      </w:tr>
      <w:tr>
        <w:trPr>
          <w:trHeight w:val="1027"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0"/>
              <w:jc w:val="left"/>
              <w:rPr>
                <w:rFonts w:ascii="宋体" w:hAnsi="宋体" w:cs="宋体" w:eastAsia="宋体" w:hint="default"/>
                <w:sz w:val="18"/>
                <w:szCs w:val="18"/>
              </w:rPr>
            </w:pPr>
            <w:r>
              <w:rPr>
                <w:rFonts w:ascii="宋体" w:hAnsi="宋体" w:cs="宋体" w:eastAsia="宋体" w:hint="default"/>
                <w:sz w:val="18"/>
                <w:szCs w:val="18"/>
              </w:rPr>
              <w:t>宁波银行北 京丰台支行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3.9%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93.49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93.49</w:t>
            </w:r>
          </w:p>
        </w:tc>
      </w:tr>
      <w:tr>
        <w:trPr>
          <w:trHeight w:val="102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40"/>
              <w:jc w:val="left"/>
              <w:rPr>
                <w:rFonts w:ascii="宋体" w:hAnsi="宋体" w:cs="宋体" w:eastAsia="宋体" w:hint="default"/>
                <w:sz w:val="18"/>
                <w:szCs w:val="18"/>
              </w:rPr>
            </w:pPr>
            <w:r>
              <w:rPr>
                <w:rFonts w:ascii="宋体" w:hAnsi="宋体" w:cs="宋体" w:eastAsia="宋体" w:hint="default"/>
                <w:sz w:val="18"/>
                <w:szCs w:val="18"/>
              </w:rPr>
              <w:t>宁波银行北 京丰台支行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5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3.9%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82.81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82.81</w:t>
            </w:r>
          </w:p>
        </w:tc>
      </w:tr>
      <w:tr>
        <w:trPr>
          <w:trHeight w:val="102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0"/>
              <w:jc w:val="left"/>
              <w:rPr>
                <w:rFonts w:ascii="宋体" w:hAnsi="宋体" w:cs="宋体" w:eastAsia="宋体" w:hint="default"/>
                <w:sz w:val="18"/>
                <w:szCs w:val="18"/>
              </w:rPr>
            </w:pPr>
            <w:r>
              <w:rPr>
                <w:rFonts w:ascii="宋体" w:hAnsi="宋体" w:cs="宋体" w:eastAsia="宋体" w:hint="default"/>
                <w:sz w:val="18"/>
                <w:szCs w:val="18"/>
              </w:rPr>
              <w:t>北京银行广 源支行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3.8%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46.85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46.85</w:t>
            </w:r>
          </w:p>
        </w:tc>
      </w:tr>
      <w:tr>
        <w:trPr>
          <w:trHeight w:val="102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40"/>
              <w:jc w:val="left"/>
              <w:rPr>
                <w:rFonts w:ascii="宋体" w:hAnsi="宋体" w:cs="宋体" w:eastAsia="宋体" w:hint="default"/>
                <w:sz w:val="18"/>
                <w:szCs w:val="18"/>
              </w:rPr>
            </w:pPr>
            <w:r>
              <w:rPr>
                <w:rFonts w:ascii="宋体" w:hAnsi="宋体" w:cs="宋体" w:eastAsia="宋体" w:hint="default"/>
                <w:sz w:val="18"/>
                <w:szCs w:val="18"/>
              </w:rPr>
              <w:t>宁波银行北 京丰台支行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5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4.1%</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17.41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17.41</w:t>
            </w:r>
          </w:p>
        </w:tc>
      </w:tr>
      <w:tr>
        <w:trPr>
          <w:trHeight w:val="1027"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0"/>
              <w:jc w:val="left"/>
              <w:rPr>
                <w:rFonts w:ascii="宋体" w:hAnsi="宋体" w:cs="宋体" w:eastAsia="宋体" w:hint="default"/>
                <w:sz w:val="18"/>
                <w:szCs w:val="18"/>
              </w:rPr>
            </w:pPr>
            <w:r>
              <w:rPr>
                <w:rFonts w:ascii="宋体" w:hAnsi="宋体" w:cs="宋体" w:eastAsia="宋体" w:hint="default"/>
                <w:sz w:val="18"/>
                <w:szCs w:val="18"/>
              </w:rPr>
              <w:t>北京银行广 源支行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3.9%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46.48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46.48</w:t>
            </w:r>
          </w:p>
        </w:tc>
      </w:tr>
      <w:tr>
        <w:trPr>
          <w:trHeight w:val="102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40"/>
              <w:jc w:val="left"/>
              <w:rPr>
                <w:rFonts w:ascii="宋体" w:hAnsi="宋体" w:cs="宋体" w:eastAsia="宋体" w:hint="default"/>
                <w:sz w:val="18"/>
                <w:szCs w:val="18"/>
              </w:rPr>
            </w:pPr>
            <w:r>
              <w:rPr>
                <w:rFonts w:ascii="宋体" w:hAnsi="宋体" w:cs="宋体" w:eastAsia="宋体" w:hint="default"/>
                <w:sz w:val="18"/>
                <w:szCs w:val="18"/>
              </w:rPr>
              <w:t>宁波银行北 京丰台支行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5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3.9%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16.56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16.56</w:t>
            </w:r>
          </w:p>
        </w:tc>
      </w:tr>
      <w:tr>
        <w:trPr>
          <w:trHeight w:val="1027"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0"/>
              <w:jc w:val="left"/>
              <w:rPr>
                <w:rFonts w:ascii="宋体" w:hAnsi="宋体" w:cs="宋体" w:eastAsia="宋体" w:hint="default"/>
                <w:sz w:val="18"/>
                <w:szCs w:val="18"/>
              </w:rPr>
            </w:pPr>
            <w:r>
              <w:rPr>
                <w:rFonts w:ascii="宋体" w:hAnsi="宋体" w:cs="宋体" w:eastAsia="宋体" w:hint="default"/>
                <w:sz w:val="18"/>
                <w:szCs w:val="18"/>
              </w:rPr>
              <w:t>北京银行广 源支行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3.9%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48.08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48.08</w:t>
            </w:r>
          </w:p>
        </w:tc>
      </w:tr>
      <w:tr>
        <w:trPr>
          <w:trHeight w:val="102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40"/>
              <w:jc w:val="left"/>
              <w:rPr>
                <w:rFonts w:ascii="宋体" w:hAnsi="宋体" w:cs="宋体" w:eastAsia="宋体" w:hint="default"/>
                <w:sz w:val="18"/>
                <w:szCs w:val="18"/>
              </w:rPr>
            </w:pPr>
            <w:r>
              <w:rPr>
                <w:rFonts w:ascii="宋体" w:hAnsi="宋体" w:cs="宋体" w:eastAsia="宋体" w:hint="default"/>
                <w:sz w:val="18"/>
                <w:szCs w:val="18"/>
              </w:rPr>
              <w:t>宁波银行北 京丰台支行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5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17.84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17.84</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186" w:top="1060" w:bottom="1380" w:left="740" w:right="98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076"/>
        <w:gridCol w:w="799"/>
        <w:gridCol w:w="795"/>
        <w:gridCol w:w="806"/>
        <w:gridCol w:w="799"/>
        <w:gridCol w:w="797"/>
        <w:gridCol w:w="799"/>
        <w:gridCol w:w="797"/>
        <w:gridCol w:w="987"/>
        <w:gridCol w:w="852"/>
        <w:gridCol w:w="708"/>
        <w:gridCol w:w="641"/>
      </w:tblGrid>
      <w:tr>
        <w:trPr>
          <w:trHeight w:val="102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40"/>
              <w:jc w:val="left"/>
              <w:rPr>
                <w:rFonts w:ascii="宋体" w:hAnsi="宋体" w:cs="宋体" w:eastAsia="宋体" w:hint="default"/>
                <w:sz w:val="18"/>
                <w:szCs w:val="18"/>
              </w:rPr>
            </w:pPr>
            <w:r>
              <w:rPr>
                <w:rFonts w:ascii="宋体" w:hAnsi="宋体" w:cs="宋体" w:eastAsia="宋体" w:hint="default"/>
                <w:sz w:val="18"/>
                <w:szCs w:val="18"/>
              </w:rPr>
              <w:t>北京银行广 源支行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5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3.9%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48.08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48.08</w:t>
            </w:r>
          </w:p>
        </w:tc>
      </w:tr>
      <w:tr>
        <w:trPr>
          <w:trHeight w:val="1027"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40"/>
              <w:jc w:val="left"/>
              <w:rPr>
                <w:rFonts w:ascii="宋体" w:hAnsi="宋体" w:cs="宋体" w:eastAsia="宋体" w:hint="default"/>
                <w:sz w:val="18"/>
                <w:szCs w:val="18"/>
              </w:rPr>
            </w:pPr>
            <w:r>
              <w:rPr>
                <w:rFonts w:ascii="宋体" w:hAnsi="宋体" w:cs="宋体" w:eastAsia="宋体" w:hint="default"/>
                <w:sz w:val="18"/>
                <w:szCs w:val="18"/>
              </w:rPr>
              <w:t>宁波银行北 京丰台支行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5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19.11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19.11</w:t>
            </w:r>
          </w:p>
        </w:tc>
      </w:tr>
      <w:tr>
        <w:trPr>
          <w:trHeight w:val="102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0"/>
              <w:jc w:val="left"/>
              <w:rPr>
                <w:rFonts w:ascii="宋体" w:hAnsi="宋体" w:cs="宋体" w:eastAsia="宋体" w:hint="default"/>
                <w:sz w:val="18"/>
                <w:szCs w:val="18"/>
              </w:rPr>
            </w:pPr>
            <w:r>
              <w:rPr>
                <w:rFonts w:ascii="宋体" w:hAnsi="宋体" w:cs="宋体" w:eastAsia="宋体" w:hint="default"/>
                <w:sz w:val="18"/>
                <w:szCs w:val="18"/>
              </w:rPr>
              <w:t>北京银行广 源支行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4.5%</w:t>
            </w:r>
          </w:p>
        </w:tc>
        <w:tc>
          <w:tcPr>
            <w:tcW w:w="9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55.48</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40"/>
              <w:jc w:val="left"/>
              <w:rPr>
                <w:rFonts w:ascii="宋体" w:hAnsi="宋体" w:cs="宋体" w:eastAsia="宋体" w:hint="default"/>
                <w:sz w:val="18"/>
                <w:szCs w:val="18"/>
              </w:rPr>
            </w:pPr>
            <w:r>
              <w:rPr>
                <w:rFonts w:ascii="宋体" w:hAnsi="宋体" w:cs="宋体" w:eastAsia="宋体" w:hint="default"/>
                <w:sz w:val="18"/>
                <w:szCs w:val="18"/>
              </w:rPr>
              <w:t>宁波银行北 京丰台支行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5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5.4%</w:t>
            </w:r>
          </w:p>
        </w:tc>
        <w:tc>
          <w:tcPr>
            <w:tcW w:w="9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22.93</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657.28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578.87</w:t>
            </w:r>
          </w:p>
        </w:tc>
      </w:tr>
      <w:tr>
        <w:trPr>
          <w:trHeight w:val="403" w:hRule="exact"/>
        </w:trPr>
        <w:tc>
          <w:tcPr>
            <w:tcW w:w="34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8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闲置募集资金</w:t>
            </w:r>
          </w:p>
        </w:tc>
      </w:tr>
      <w:tr>
        <w:trPr>
          <w:trHeight w:val="401" w:hRule="exact"/>
        </w:trPr>
        <w:tc>
          <w:tcPr>
            <w:tcW w:w="34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8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4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委托理财审批董事会公告披露日期（如有</w:t>
            </w:r>
            <w:r>
              <w:rPr>
                <w:rFonts w:ascii="Times New Roman" w:hAnsi="Times New Roman" w:cs="Times New Roman" w:eastAsia="Times New Roman" w:hint="default"/>
                <w:sz w:val="18"/>
                <w:szCs w:val="18"/>
              </w:rPr>
              <w:t>)</w:t>
            </w:r>
          </w:p>
        </w:tc>
        <w:tc>
          <w:tcPr>
            <w:tcW w:w="638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34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委托理财审批股东会公告披露日期（如有</w:t>
            </w:r>
            <w:r>
              <w:rPr>
                <w:rFonts w:ascii="Times New Roman" w:hAnsi="Times New Roman" w:cs="Times New Roman" w:eastAsia="Times New Roman" w:hint="default"/>
                <w:sz w:val="18"/>
                <w:szCs w:val="18"/>
              </w:rPr>
              <w:t>)</w:t>
            </w:r>
          </w:p>
        </w:tc>
        <w:tc>
          <w:tcPr>
            <w:tcW w:w="6381"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pict>
          <v:shape style="position:absolute;margin-left:489.820007pt;margin-top:86.291702pt;width:45.3pt;height:15.6pt;mso-position-horizontal-relative:page;mso-position-vertical-relative:paragraph;z-index:-133170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782"/>
        <w:gridCol w:w="798"/>
        <w:gridCol w:w="807"/>
        <w:gridCol w:w="797"/>
        <w:gridCol w:w="809"/>
        <w:gridCol w:w="797"/>
        <w:gridCol w:w="799"/>
        <w:gridCol w:w="799"/>
        <w:gridCol w:w="785"/>
        <w:gridCol w:w="822"/>
        <w:gridCol w:w="786"/>
        <w:gridCol w:w="792"/>
      </w:tblGrid>
      <w:tr>
        <w:trPr>
          <w:trHeight w:val="317" w:hRule="exact"/>
        </w:trPr>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807"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期末投资 金额占公 司报告期 末净资产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31" w:right="18"/>
              <w:jc w:val="center"/>
              <w:rPr>
                <w:rFonts w:ascii="宋体" w:hAnsi="宋体" w:cs="宋体" w:eastAsia="宋体" w:hint="default"/>
                <w:sz w:val="18"/>
                <w:szCs w:val="18"/>
              </w:rPr>
            </w:pPr>
            <w:r>
              <w:rPr>
                <w:rFonts w:ascii="宋体" w:hAnsi="宋体" w:cs="宋体" w:eastAsia="宋体" w:hint="default"/>
                <w:sz w:val="18"/>
                <w:szCs w:val="18"/>
              </w:rPr>
              <w:t>衍生品投 资操作方 名称</w:t>
            </w:r>
          </w:p>
        </w:tc>
        <w:tc>
          <w:tcPr>
            <w:tcW w:w="798" w:type="dxa"/>
            <w:vMerge/>
            <w:tcBorders>
              <w:left w:val="single" w:sz="4" w:space="0" w:color="000000"/>
              <w:right w:val="single" w:sz="4" w:space="0" w:color="000000"/>
            </w:tcBorders>
            <w:shd w:val="clear" w:color="auto" w:fill="D2D2D2"/>
          </w:tcPr>
          <w:p>
            <w:pPr/>
          </w:p>
        </w:tc>
        <w:tc>
          <w:tcPr>
            <w:tcW w:w="80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45" w:right="31"/>
              <w:jc w:val="both"/>
              <w:rPr>
                <w:rFonts w:ascii="宋体" w:hAnsi="宋体" w:cs="宋体" w:eastAsia="宋体" w:hint="default"/>
                <w:sz w:val="18"/>
                <w:szCs w:val="18"/>
              </w:rPr>
            </w:pPr>
            <w:r>
              <w:rPr>
                <w:rFonts w:ascii="宋体" w:hAnsi="宋体" w:cs="宋体" w:eastAsia="宋体" w:hint="default"/>
                <w:sz w:val="18"/>
                <w:szCs w:val="18"/>
              </w:rPr>
              <w:t>衍生品投 资初始投 资金额</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33" w:right="20"/>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7"/>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22" w:type="dxa"/>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31" w:right="29"/>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56" w:hRule="exact"/>
        </w:trPr>
        <w:tc>
          <w:tcPr>
            <w:tcW w:w="78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5" w:right="2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9" w:right="26" w:hanging="92"/>
              <w:jc w:val="left"/>
              <w:rPr>
                <w:rFonts w:ascii="宋体" w:hAnsi="宋体" w:cs="宋体" w:eastAsia="宋体" w:hint="default"/>
                <w:sz w:val="18"/>
                <w:szCs w:val="18"/>
              </w:rPr>
            </w:pPr>
            <w:r>
              <w:rPr>
                <w:rFonts w:ascii="宋体" w:hAnsi="宋体" w:cs="宋体" w:eastAsia="宋体" w:hint="default"/>
                <w:sz w:val="18"/>
                <w:szCs w:val="18"/>
              </w:rPr>
              <w:t>衍生品投 资类型</w:t>
            </w:r>
          </w:p>
        </w:tc>
        <w:tc>
          <w:tcPr>
            <w:tcW w:w="80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6" w:right="31" w:hanging="180"/>
              <w:jc w:val="left"/>
              <w:rPr>
                <w:rFonts w:ascii="宋体" w:hAnsi="宋体" w:cs="宋体" w:eastAsia="宋体" w:hint="default"/>
                <w:sz w:val="18"/>
                <w:szCs w:val="18"/>
              </w:rPr>
            </w:pPr>
            <w:r>
              <w:rPr>
                <w:rFonts w:ascii="宋体" w:hAnsi="宋体" w:cs="宋体" w:eastAsia="宋体" w:hint="default"/>
                <w:sz w:val="18"/>
                <w:szCs w:val="18"/>
              </w:rPr>
              <w:t>期初投资 金额</w:t>
            </w:r>
          </w:p>
        </w:tc>
        <w:tc>
          <w:tcPr>
            <w:tcW w:w="785"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8" w:right="42" w:hanging="180"/>
              <w:jc w:val="left"/>
              <w:rPr>
                <w:rFonts w:ascii="宋体" w:hAnsi="宋体" w:cs="宋体" w:eastAsia="宋体" w:hint="default"/>
                <w:sz w:val="18"/>
                <w:szCs w:val="18"/>
              </w:rPr>
            </w:pPr>
            <w:r>
              <w:rPr>
                <w:rFonts w:ascii="宋体" w:hAnsi="宋体" w:cs="宋体" w:eastAsia="宋体" w:hint="default"/>
                <w:sz w:val="18"/>
                <w:szCs w:val="18"/>
              </w:rPr>
              <w:t>期末投资 金额</w:t>
            </w:r>
          </w:p>
        </w:tc>
        <w:tc>
          <w:tcPr>
            <w:tcW w:w="786" w:type="dxa"/>
            <w:vMerge/>
            <w:tcBorders>
              <w:left w:val="single" w:sz="4" w:space="0" w:color="000000"/>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r>
      <w:tr>
        <w:trPr>
          <w:trHeight w:val="392" w:hRule="exact"/>
        </w:trPr>
        <w:tc>
          <w:tcPr>
            <w:tcW w:w="782" w:type="dxa"/>
            <w:vMerge/>
            <w:tcBorders>
              <w:left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0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9"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799"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r>
      <w:tr>
        <w:trPr>
          <w:trHeight w:val="156" w:hRule="exact"/>
        </w:trPr>
        <w:tc>
          <w:tcPr>
            <w:tcW w:w="78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80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r>
      <w:tr>
        <w:trPr>
          <w:trHeight w:val="156" w:hRule="exact"/>
        </w:trPr>
        <w:tc>
          <w:tcPr>
            <w:tcW w:w="782"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318" w:hRule="exact"/>
        </w:trPr>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1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4" w:right="0"/>
              <w:jc w:val="lef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6390"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1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衍生品投资审批董事会公告披露日期</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390" w:type="dxa"/>
            <w:gridSpan w:val="8"/>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衍生品投资审批股东会公告披露日期</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390"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4051"/>
        <w:gridCol w:w="881"/>
        <w:gridCol w:w="883"/>
        <w:gridCol w:w="881"/>
        <w:gridCol w:w="1436"/>
        <w:gridCol w:w="1438"/>
      </w:tblGrid>
      <w:tr>
        <w:trPr>
          <w:trHeight w:val="713" w:hRule="exact"/>
        </w:trPr>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贷款对象</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72" w:hanging="269"/>
              <w:jc w:val="left"/>
              <w:rPr>
                <w:rFonts w:ascii="宋体" w:hAnsi="宋体" w:cs="宋体" w:eastAsia="宋体" w:hint="default"/>
                <w:sz w:val="18"/>
                <w:szCs w:val="18"/>
              </w:rPr>
            </w:pPr>
            <w:r>
              <w:rPr>
                <w:rFonts w:ascii="宋体" w:hAnsi="宋体" w:cs="宋体" w:eastAsia="宋体" w:hint="default"/>
                <w:sz w:val="18"/>
                <w:szCs w:val="18"/>
              </w:rPr>
              <w:t>是否关联 方</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担保人或抵押物</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4" w:right="82" w:hanging="540"/>
              <w:jc w:val="left"/>
              <w:rPr>
                <w:rFonts w:ascii="宋体" w:hAnsi="宋体" w:cs="宋体" w:eastAsia="宋体" w:hint="default"/>
                <w:sz w:val="18"/>
                <w:szCs w:val="18"/>
              </w:rPr>
            </w:pPr>
            <w:r>
              <w:rPr>
                <w:rFonts w:ascii="宋体" w:hAnsi="宋体" w:cs="宋体" w:eastAsia="宋体" w:hint="default"/>
                <w:sz w:val="18"/>
                <w:szCs w:val="18"/>
              </w:rPr>
              <w:t>贷款对象资金用 途</w:t>
            </w:r>
          </w:p>
        </w:tc>
      </w:tr>
      <w:tr>
        <w:trPr>
          <w:trHeight w:val="403" w:hRule="exact"/>
        </w:trPr>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186" w:top="1060" w:bottom="1380" w:left="74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052"/>
        <w:gridCol w:w="5519"/>
      </w:tblGrid>
      <w:tr>
        <w:trPr>
          <w:trHeight w:val="40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委托贷款审批董事会公告披露日期（如有</w:t>
            </w:r>
            <w:r>
              <w:rPr>
                <w:rFonts w:ascii="Times New Roman" w:hAnsi="Times New Roman" w:cs="Times New Roman" w:eastAsia="Times New Roman" w:hint="default"/>
                <w:sz w:val="18"/>
                <w:szCs w:val="18"/>
              </w:rPr>
              <w:t>)</w:t>
            </w:r>
          </w:p>
        </w:tc>
        <w:tc>
          <w:tcPr>
            <w:tcW w:w="55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委托贷款审批股东会公告披露日期（如有</w:t>
            </w:r>
            <w:r>
              <w:rPr>
                <w:rFonts w:ascii="Times New Roman" w:hAnsi="Times New Roman" w:cs="Times New Roman" w:eastAsia="Times New Roman" w:hint="default"/>
                <w:sz w:val="18"/>
                <w:szCs w:val="18"/>
              </w:rPr>
              <w:t>)</w:t>
            </w:r>
          </w:p>
        </w:tc>
        <w:tc>
          <w:tcPr>
            <w:tcW w:w="55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89"/>
        <w:gridCol w:w="5482"/>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107,943.48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44,961.61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45,965.02</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42,018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42,018</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38.93%</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020"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日收到的中国证监会证监许可</w:t>
            </w:r>
            <w:r>
              <w:rPr>
                <w:rFonts w:ascii="Times New Roman" w:hAnsi="Times New Roman" w:cs="Times New Roman" w:eastAsia="Times New Roman" w:hint="default"/>
                <w:sz w:val="18"/>
                <w:szCs w:val="18"/>
              </w:rPr>
              <w:t>[2012]690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号文核准，公司于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日采取非公开发行股票方</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式向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家特定对象发行股份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18,304 </w:t>
            </w:r>
            <w:r>
              <w:rPr>
                <w:rFonts w:ascii="宋体" w:hAnsi="宋体" w:cs="宋体" w:eastAsia="宋体" w:hint="default"/>
                <w:sz w:val="18"/>
                <w:szCs w:val="18"/>
              </w:rPr>
              <w:t>万股股票，每股发行价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6.12 </w:t>
            </w:r>
            <w:r>
              <w:rPr>
                <w:rFonts w:ascii="宋体" w:hAnsi="宋体" w:cs="宋体" w:eastAsia="宋体" w:hint="default"/>
                <w:sz w:val="18"/>
                <w:szCs w:val="18"/>
              </w:rPr>
              <w:t>元，特定投资者均以货币资金认购。经中瑞岳华会计师事</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务所（特殊普通合伙）出具的中瑞岳华验字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号《验资报告》验证，本次共募集资金人民币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1,120,204,800.00</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3"/>
                <w:sz w:val="18"/>
                <w:szCs w:val="18"/>
              </w:rPr>
              <w:t>元，扣除承销、保荐及其他费用人民币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40,770,000.00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元后，本次实际募集资金净额为人民币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1,079,434,800.00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2012  </w:t>
            </w:r>
            <w:r>
              <w:rPr>
                <w:rFonts w:ascii="宋体" w:hAnsi="宋体" w:cs="宋体" w:eastAsia="宋体" w:hint="default"/>
                <w:sz w:val="18"/>
                <w:szCs w:val="18"/>
              </w:rPr>
              <w:t>年</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日，公司在中信银行股份有限公司北京望京支行开立的专户账号为：</w:t>
            </w:r>
            <w:r>
              <w:rPr>
                <w:rFonts w:ascii="Times New Roman" w:hAnsi="Times New Roman" w:cs="Times New Roman" w:eastAsia="Times New Roman" w:hint="default"/>
                <w:sz w:val="18"/>
                <w:szCs w:val="18"/>
              </w:rPr>
              <w:t>7113210182600033768</w:t>
            </w:r>
            <w:r>
              <w:rPr>
                <w:rFonts w:ascii="宋体" w:hAnsi="宋体" w:cs="宋体" w:eastAsia="宋体" w:hint="default"/>
                <w:sz w:val="18"/>
                <w:szCs w:val="18"/>
              </w:rPr>
              <w:t>，存入专户项目资金</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280,360,000.00</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元；在北京银行股份有限公司广源支行开立的专户账号为：</w:t>
            </w:r>
            <w:r>
              <w:rPr>
                <w:rFonts w:ascii="Times New Roman" w:hAnsi="Times New Roman" w:cs="Times New Roman" w:eastAsia="Times New Roman" w:hint="default"/>
                <w:spacing w:val="-2"/>
                <w:sz w:val="18"/>
                <w:szCs w:val="18"/>
              </w:rPr>
              <w:t>01091565100120109003920</w:t>
            </w:r>
            <w:r>
              <w:rPr>
                <w:rFonts w:ascii="宋体" w:hAnsi="宋体" w:cs="宋体" w:eastAsia="宋体" w:hint="default"/>
                <w:spacing w:val="-2"/>
                <w:sz w:val="18"/>
                <w:szCs w:val="18"/>
              </w:rPr>
              <w:t>，存入专户项目资金</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419,874,800.00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元；公司子公司大唐高鸿通信技术有限公司（以下简称：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高鸿通信</w:t>
            </w:r>
            <w:r>
              <w:rPr>
                <w:rFonts w:ascii="Times New Roman" w:hAnsi="Times New Roman" w:cs="Times New Roman" w:eastAsia="Times New Roman" w:hint="default"/>
                <w:sz w:val="18"/>
                <w:szCs w:val="18"/>
              </w:rPr>
              <w:t>”</w:t>
            </w:r>
            <w:r>
              <w:rPr>
                <w:rFonts w:ascii="宋体" w:hAnsi="宋体" w:cs="宋体" w:eastAsia="宋体" w:hint="default"/>
                <w:sz w:val="18"/>
                <w:szCs w:val="18"/>
              </w:rPr>
              <w:t>）在宁波银行股份有限公司北京分行</w:t>
            </w:r>
          </w:p>
          <w:p>
            <w:pPr>
              <w:pStyle w:val="TableParagraph"/>
              <w:spacing w:line="300" w:lineRule="auto" w:before="63"/>
              <w:ind w:left="24" w:right="82"/>
              <w:jc w:val="both"/>
              <w:rPr>
                <w:rFonts w:ascii="宋体" w:hAnsi="宋体" w:cs="宋体" w:eastAsia="宋体" w:hint="default"/>
                <w:sz w:val="18"/>
                <w:szCs w:val="18"/>
              </w:rPr>
            </w:pPr>
            <w:r>
              <w:rPr>
                <w:rFonts w:ascii="宋体" w:hAnsi="宋体" w:cs="宋体" w:eastAsia="宋体" w:hint="default"/>
                <w:sz w:val="18"/>
                <w:szCs w:val="18"/>
              </w:rPr>
              <w:t>开立的专户账号为：</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77010122000211049</w:t>
            </w:r>
            <w:r>
              <w:rPr>
                <w:rFonts w:ascii="宋体" w:hAnsi="宋体" w:cs="宋体" w:eastAsia="宋体" w:hint="default"/>
                <w:sz w:val="18"/>
                <w:szCs w:val="18"/>
              </w:rPr>
              <w:t>，存入专户项目资金人民币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379,200,000.00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日公司在宁波银 行股份有限公司北京丰台支行营业部开立的专户账号为：</w:t>
            </w:r>
            <w:r>
              <w:rPr>
                <w:rFonts w:ascii="Times New Roman" w:hAnsi="Times New Roman" w:cs="Times New Roman" w:eastAsia="Times New Roman" w:hint="default"/>
                <w:sz w:val="18"/>
                <w:szCs w:val="18"/>
              </w:rPr>
              <w:t>77040122000002366</w:t>
            </w:r>
            <w:r>
              <w:rPr>
                <w:rFonts w:ascii="宋体" w:hAnsi="宋体" w:cs="宋体" w:eastAsia="宋体" w:hint="default"/>
                <w:sz w:val="18"/>
                <w:szCs w:val="18"/>
              </w:rPr>
              <w:t>，由高鸿通信在宁波银行股份有限公司北京 分行开立的专户账号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77010122000211049</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转入人民币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121,453,390.00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同时存入自有资金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日，公司在中信银行股份有限公司北京望京支行开立的专户账号为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7113210182600033768</w:t>
            </w:r>
            <w:r>
              <w:rPr>
                <w:rFonts w:ascii="宋体" w:hAnsi="宋体" w:cs="宋体" w:eastAsia="宋体" w:hint="default"/>
                <w:sz w:val="18"/>
                <w:szCs w:val="18"/>
              </w:rPr>
              <w:t>，账户余额为人民币</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33,754,850.31 </w:t>
            </w:r>
            <w:r>
              <w:rPr>
                <w:rFonts w:ascii="宋体" w:hAnsi="宋体" w:cs="宋体" w:eastAsia="宋体" w:hint="default"/>
                <w:sz w:val="18"/>
                <w:szCs w:val="18"/>
              </w:rPr>
              <w:t>元；在北京银行股份有限公司广源支行开立的专户账号为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01091565100120109003920</w:t>
            </w:r>
            <w:r>
              <w:rPr>
                <w:rFonts w:ascii="宋体" w:hAnsi="宋体" w:cs="宋体" w:eastAsia="宋体" w:hint="default"/>
                <w:sz w:val="18"/>
                <w:szCs w:val="18"/>
              </w:rPr>
              <w:t>，账户余额为人民币</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39,643,802.20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元；公司子公司大唐高鸿通信技术有限公司在宁波银行股份有限公司北京分行开立的专户账号为</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77010122000211049</w:t>
            </w:r>
            <w:r>
              <w:rPr>
                <w:rFonts w:ascii="宋体" w:hAnsi="宋体" w:cs="宋体" w:eastAsia="宋体" w:hint="default"/>
                <w:spacing w:val="-2"/>
                <w:sz w:val="18"/>
                <w:szCs w:val="18"/>
              </w:rPr>
              <w:t>，账户余额为人民币</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1,280,021.08</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元，公司在宁波银行股份有限公司北京丰台支行营业部开立的专户账</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号为：</w:t>
            </w:r>
            <w:r>
              <w:rPr>
                <w:rFonts w:ascii="Times New Roman" w:hAnsi="Times New Roman" w:cs="Times New Roman" w:eastAsia="Times New Roman" w:hint="default"/>
                <w:sz w:val="18"/>
                <w:szCs w:val="18"/>
              </w:rPr>
              <w:t>77040122000002366</w:t>
            </w:r>
            <w:r>
              <w:rPr>
                <w:rFonts w:ascii="宋体" w:hAnsi="宋体" w:cs="宋体" w:eastAsia="宋体" w:hint="default"/>
                <w:sz w:val="18"/>
                <w:szCs w:val="18"/>
              </w:rPr>
              <w:t>，账户余额为人民币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13,773,054.19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元。本报告期投入募集资金总额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449,616,054.9</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元，累计投入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459,650,202.9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元。同时，</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万元补充流动资金，于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万元全部归还并存入公司募集资金专用账户；</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日公司使用闲置募集资金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40,000 </w:t>
            </w:r>
            <w:r>
              <w:rPr>
                <w:rFonts w:ascii="宋体" w:hAnsi="宋体" w:cs="宋体" w:eastAsia="宋体" w:hint="default"/>
                <w:sz w:val="18"/>
                <w:szCs w:val="18"/>
              </w:rPr>
              <w:t>万元补充流</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动资金，公司于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日提前归还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z w:val="18"/>
                <w:szCs w:val="18"/>
              </w:rPr>
              <w:t>万，存入募集资金专用账户，剩余资金尚未到期，尚未归还；在报告期</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内，滚动使用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万元闲置募集资金购买理财产品，尚未到期，尚未归还。</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7"/>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0"/>
        <w:gridCol w:w="780"/>
        <w:gridCol w:w="780"/>
        <w:gridCol w:w="780"/>
        <w:gridCol w:w="780"/>
        <w:gridCol w:w="781"/>
        <w:gridCol w:w="780"/>
        <w:gridCol w:w="780"/>
        <w:gridCol w:w="780"/>
      </w:tblGrid>
      <w:tr>
        <w:trPr>
          <w:trHeight w:val="101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520"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24" w:right="22"/>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4"/>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26" w:right="22"/>
              <w:jc w:val="both"/>
              <w:rPr>
                <w:rFonts w:ascii="宋体" w:hAnsi="宋体" w:cs="宋体" w:eastAsia="宋体" w:hint="default"/>
                <w:sz w:val="18"/>
                <w:szCs w:val="18"/>
              </w:rPr>
            </w:pPr>
            <w:r>
              <w:rPr>
                <w:rFonts w:ascii="宋体" w:hAnsi="宋体" w:cs="宋体" w:eastAsia="宋体" w:hint="default"/>
                <w:sz w:val="18"/>
                <w:szCs w:val="18"/>
              </w:rPr>
              <w:t>项目达到 预定可使 用状态日</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26" w:right="22"/>
              <w:jc w:val="both"/>
              <w:rPr>
                <w:rFonts w:ascii="宋体" w:hAnsi="宋体" w:cs="宋体" w:eastAsia="宋体" w:hint="default"/>
                <w:sz w:val="18"/>
                <w:szCs w:val="18"/>
              </w:rPr>
            </w:pPr>
            <w:r>
              <w:rPr>
                <w:rFonts w:ascii="宋体" w:hAnsi="宋体" w:cs="宋体" w:eastAsia="宋体" w:hint="default"/>
                <w:sz w:val="18"/>
                <w:szCs w:val="18"/>
              </w:rPr>
              <w:t>项目可行 性是否发 生重大变</w:t>
            </w:r>
          </w:p>
        </w:tc>
      </w:tr>
    </w:tbl>
    <w:p>
      <w:pPr>
        <w:spacing w:after="0" w:line="316" w:lineRule="auto"/>
        <w:jc w:val="both"/>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95.0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0"/>
                    <w:gridCol w:w="780"/>
                    <w:gridCol w:w="780"/>
                    <w:gridCol w:w="780"/>
                    <w:gridCol w:w="780"/>
                    <w:gridCol w:w="781"/>
                    <w:gridCol w:w="780"/>
                    <w:gridCol w:w="780"/>
                    <w:gridCol w:w="780"/>
                  </w:tblGrid>
                  <w:tr>
                    <w:trPr>
                      <w:trHeight w:val="36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1" w:right="0"/>
                          <w:jc w:val="left"/>
                          <w:rPr>
                            <w:rFonts w:ascii="Times New Roman" w:hAnsi="Times New Roman" w:cs="Times New Roman" w:eastAsia="Times New Roman" w:hint="default"/>
                            <w:sz w:val="18"/>
                            <w:szCs w:val="18"/>
                          </w:rPr>
                        </w:pPr>
                        <w:r>
                          <w:rPr>
                            <w:rFonts w:ascii="Times New Roman"/>
                            <w:sz w:val="18"/>
                          </w:rPr>
                          <w:t>(2)/(1)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95" w:right="0"/>
                          <w:jc w:val="left"/>
                          <w:rPr>
                            <w:rFonts w:ascii="宋体" w:hAnsi="宋体" w:cs="宋体" w:eastAsia="宋体" w:hint="default"/>
                            <w:sz w:val="18"/>
                            <w:szCs w:val="18"/>
                          </w:rPr>
                        </w:pPr>
                        <w:r>
                          <w:rPr>
                            <w:rFonts w:ascii="宋体" w:hAnsi="宋体" w:cs="宋体" w:eastAsia="宋体" w:hint="default"/>
                            <w:sz w:val="18"/>
                            <w:szCs w:val="18"/>
                          </w:rPr>
                          <w:t>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93"/>
                          <w:jc w:val="right"/>
                          <w:rPr>
                            <w:rFonts w:ascii="宋体" w:hAnsi="宋体" w:cs="宋体" w:eastAsia="宋体" w:hint="default"/>
                            <w:sz w:val="18"/>
                            <w:szCs w:val="18"/>
                          </w:rPr>
                        </w:pPr>
                        <w:r>
                          <w:rPr>
                            <w:rFonts w:ascii="宋体" w:hAnsi="宋体" w:cs="宋体" w:eastAsia="宋体" w:hint="default"/>
                            <w:sz w:val="18"/>
                            <w:szCs w:val="18"/>
                          </w:rPr>
                          <w:t>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企业信息化系列产品 研发升级与产业化项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680.33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电子商务项目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41,987.48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26,869.48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-62.77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移动增值业务升级扩 容建设与数字新媒体 内容采集与运营项目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37,920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2,363.33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3,366.75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30.55%</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65,925.48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4,318.26</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5,321.68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10"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488.44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66"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107,943.4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65,925.48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4,318.26</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5,321.68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10" w:space="0" w:color="D2D2D2"/>
                          <w:right w:val="single" w:sz="10"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488.44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0"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09" w:lineRule="auto" w:before="49"/>
                          <w:ind w:left="16" w:right="25"/>
                          <w:jc w:val="left"/>
                          <w:rPr>
                            <w:rFonts w:ascii="宋体" w:hAnsi="宋体" w:cs="宋体" w:eastAsia="宋体" w:hint="default"/>
                            <w:sz w:val="18"/>
                            <w:szCs w:val="18"/>
                          </w:rPr>
                        </w:pPr>
                        <w:r>
                          <w:rPr>
                            <w:rFonts w:ascii="宋体" w:hAnsi="宋体" w:cs="宋体" w:eastAsia="宋体" w:hint="default"/>
                            <w:sz w:val="18"/>
                            <w:szCs w:val="18"/>
                          </w:rPr>
                          <w:t>公司拟定项目可行性研究报告在</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月，而募集资金于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月到位，募集资金到位较晚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外部环境发生了较大变化，故企业信息化项目、电子商务项目、移动增值业务升级扩容建设及数字 新媒体内容采集与运营项目的投资计划进度晚于预期，企业信息化项目未达到预计收益。</w:t>
                        </w:r>
                      </w:p>
                    </w:tc>
                  </w:tr>
                  <w:tr>
                    <w:trPr>
                      <w:trHeight w:val="785"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0"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）电子商务项目，根据电子商务项目的募集资金使用计划，该项目募集资金投资期为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年，由于</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募集资金到位晚于预期，且属于该募投项目的物流园基建项目受</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年下半年政策性因素影响，截</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至报告期末尚未进入招拍挂阶段</w:t>
                        </w:r>
                        <w:r>
                          <w:rPr>
                            <w:rFonts w:ascii="宋体" w:hAnsi="宋体" w:cs="宋体" w:eastAsia="宋体" w:hint="default"/>
                            <w:spacing w:val="-72"/>
                            <w:sz w:val="18"/>
                            <w:szCs w:val="18"/>
                          </w:rPr>
                          <w:t>，</w:t>
                        </w:r>
                        <w:r>
                          <w:rPr>
                            <w:rFonts w:ascii="宋体" w:hAnsi="宋体" w:cs="宋体" w:eastAsia="宋体" w:hint="default"/>
                            <w:sz w:val="18"/>
                            <w:szCs w:val="18"/>
                          </w:rPr>
                          <w:t>电子商务项目建设较原计划进度大幅延后</w:t>
                        </w:r>
                        <w:r>
                          <w:rPr>
                            <w:rFonts w:ascii="宋体" w:hAnsi="宋体" w:cs="宋体" w:eastAsia="宋体" w:hint="default"/>
                            <w:spacing w:val="-164"/>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公司初步拟定</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p>
                      <w:p>
                        <w:pPr>
                          <w:pStyle w:val="TableParagraph"/>
                          <w:spacing w:line="312" w:lineRule="auto" w:before="63"/>
                          <w:ind w:left="16" w:right="24"/>
                          <w:jc w:val="left"/>
                          <w:rPr>
                            <w:rFonts w:ascii="宋体" w:hAnsi="宋体" w:cs="宋体" w:eastAsia="宋体" w:hint="default"/>
                            <w:sz w:val="18"/>
                            <w:szCs w:val="18"/>
                          </w:rPr>
                        </w:pPr>
                        <w:r>
                          <w:rPr>
                            <w:rFonts w:ascii="宋体" w:hAnsi="宋体" w:cs="宋体" w:eastAsia="宋体" w:hint="default"/>
                            <w:sz w:val="18"/>
                            <w:szCs w:val="18"/>
                          </w:rPr>
                          <w:t>年度募集资金可行性研究报告的时间为</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月份，而募集资金实际到位时间为</w:t>
                        </w:r>
                        <w:r>
                          <w:rPr>
                            <w:rFonts w:ascii="宋体" w:hAnsi="宋体" w:cs="宋体" w:eastAsia="宋体" w:hint="default"/>
                            <w:spacing w:val="-53"/>
                            <w:sz w:val="18"/>
                            <w:szCs w:val="18"/>
                          </w:rPr>
                          <w:t> </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月份</w:t>
                        </w:r>
                        <w:r>
                          <w:rPr>
                            <w:rFonts w:ascii="宋体" w:hAnsi="宋体" w:cs="宋体" w:eastAsia="宋体" w:hint="default"/>
                            <w:spacing w:val="-87"/>
                            <w:sz w:val="18"/>
                            <w:szCs w:val="18"/>
                          </w:rPr>
                          <w:t> </w:t>
                        </w:r>
                        <w:r>
                          <w:rPr>
                            <w:rFonts w:ascii="宋体" w:hAnsi="宋体" w:cs="宋体" w:eastAsia="宋体" w:hint="default"/>
                            <w:sz w:val="18"/>
                            <w:szCs w:val="18"/>
                          </w:rPr>
                          <w:t>募集资金到位时间晚于预期，公司移动增值业务升级扩容建设及数字新媒体内容采集与运营项目的 募集资金项目进度受到严重耽搁，另外，由于政策等外部环境发生较大变化，移动增值业务升级扩</w:t>
                        </w:r>
                        <w:r>
                          <w:rPr>
                            <w:rFonts w:ascii="宋体" w:hAnsi="宋体" w:cs="宋体" w:eastAsia="宋体" w:hint="default"/>
                            <w:sz w:val="18"/>
                            <w:szCs w:val="18"/>
                          </w:rPr>
                          <w:t> 容建设及数字新媒体内容采集与运营项目前景低于公司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年时对于该项目的业务趋势研判。</w:t>
                        </w:r>
                      </w:p>
                    </w:tc>
                  </w:tr>
                  <w:tr>
                    <w:trPr>
                      <w:trHeight w:val="70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0" w:type="dxa"/>
                        <w:gridSpan w:val="10"/>
                        <w:vMerge/>
                        <w:tcBorders>
                          <w:left w:val="single" w:sz="10" w:space="0" w:color="D2D2D2"/>
                          <w:right w:val="single" w:sz="4" w:space="0" w:color="000000"/>
                        </w:tcBorders>
                      </w:tcPr>
                      <w:p>
                        <w:pPr/>
                      </w:p>
                    </w:tc>
                  </w:tr>
                  <w:tr>
                    <w:trPr>
                      <w:trHeight w:val="785"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0"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21"/>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0"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800" w:type="dxa"/>
                        <w:gridSpan w:val="10"/>
                        <w:tcBorders>
                          <w:top w:val="single" w:sz="4" w:space="0" w:color="000000"/>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0"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0"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800"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800"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0" w:type="dxa"/>
                        <w:gridSpan w:val="10"/>
                        <w:vMerge/>
                        <w:tcBorders>
                          <w:left w:val="single" w:sz="10" w:space="0" w:color="D2D2D2"/>
                          <w:bottom w:val="single" w:sz="4" w:space="0" w:color="000000"/>
                          <w:right w:val="single" w:sz="4" w:space="0" w:color="000000"/>
                        </w:tcBorders>
                      </w:tcPr>
                      <w:p>
                        <w:pPr/>
                      </w:p>
                    </w:tc>
                  </w:tr>
                  <w:tr>
                    <w:trPr>
                      <w:trHeight w:val="25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0"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0"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800"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800"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0" w:type="dxa"/>
                        <w:gridSpan w:val="10"/>
                        <w:vMerge/>
                        <w:tcBorders>
                          <w:left w:val="single" w:sz="10" w:space="0" w:color="D2D2D2"/>
                          <w:bottom w:val="single" w:sz="4" w:space="0" w:color="000000"/>
                          <w:right w:val="single" w:sz="4" w:space="0" w:color="000000"/>
                        </w:tcBorders>
                      </w:tcPr>
                      <w:p>
                        <w:pPr/>
                      </w:p>
                    </w:tc>
                  </w:tr>
                  <w:tr>
                    <w:trPr>
                      <w:trHeight w:val="404"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8"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800"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日，公司以自筹资金投入募集资金总额为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万元，全部为移动增值业务升级</w:t>
                        </w:r>
                      </w:p>
                      <w:p>
                        <w:pPr>
                          <w:pStyle w:val="TableParagraph"/>
                          <w:spacing w:line="309" w:lineRule="auto" w:before="63"/>
                          <w:ind w:left="16" w:right="22"/>
                          <w:jc w:val="both"/>
                          <w:rPr>
                            <w:rFonts w:ascii="宋体" w:hAnsi="宋体" w:cs="宋体" w:eastAsia="宋体" w:hint="default"/>
                            <w:sz w:val="18"/>
                            <w:szCs w:val="18"/>
                          </w:rPr>
                        </w:pPr>
                        <w:r>
                          <w:rPr>
                            <w:rFonts w:ascii="宋体" w:hAnsi="宋体" w:cs="宋体" w:eastAsia="宋体" w:hint="default"/>
                            <w:sz w:val="18"/>
                            <w:szCs w:val="18"/>
                          </w:rPr>
                          <w:t>扩容建设及数字新媒体内容采集与运营项目的投入。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日，经公司第七届董事会第十 </w:t>
                        </w:r>
                        <w:r>
                          <w:rPr>
                            <w:rFonts w:ascii="宋体" w:hAnsi="宋体" w:cs="宋体" w:eastAsia="宋体" w:hint="default"/>
                            <w:spacing w:val="-3"/>
                            <w:sz w:val="18"/>
                            <w:szCs w:val="18"/>
                          </w:rPr>
                          <w:t>三次会议审议通过《关于募集资金置换预先投入募集资金投资项目的自筹资金的议案》，独立董事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监事会、保荐机构分别发表了意见，同意公司使用募集资金人民币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万元置换已预先投入募集资</w:t>
                        </w:r>
                      </w:p>
                      <w:p>
                        <w:pPr>
                          <w:pStyle w:val="TableParagraph"/>
                          <w:spacing w:line="300" w:lineRule="auto" w:before="5"/>
                          <w:ind w:left="16" w:right="21"/>
                          <w:jc w:val="both"/>
                          <w:rPr>
                            <w:rFonts w:ascii="宋体" w:hAnsi="宋体" w:cs="宋体" w:eastAsia="宋体" w:hint="default"/>
                            <w:sz w:val="18"/>
                            <w:szCs w:val="18"/>
                          </w:rPr>
                        </w:pPr>
                        <w:r>
                          <w:rPr>
                            <w:rFonts w:ascii="宋体" w:hAnsi="宋体" w:cs="宋体" w:eastAsia="宋体" w:hint="default"/>
                            <w:sz w:val="18"/>
                            <w:szCs w:val="18"/>
                          </w:rPr>
                          <w:t>金投资项目的自筹资金。会计师出具了中瑞岳华专审字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0846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号《以自筹资金预先投入募集 </w:t>
                        </w:r>
                        <w:r>
                          <w:rPr>
                            <w:rFonts w:ascii="宋体" w:hAnsi="宋体" w:cs="宋体" w:eastAsia="宋体" w:hint="default"/>
                            <w:spacing w:val="-5"/>
                            <w:sz w:val="18"/>
                            <w:szCs w:val="18"/>
                          </w:rPr>
                          <w:t>资金投资项目情况的专项审核报告》。经公司保荐机构国信证券股份有限公司核查，国信证券及保荐</w:t>
                        </w:r>
                      </w:p>
                    </w:tc>
                  </w:tr>
                  <w:tr>
                    <w:trPr>
                      <w:trHeight w:val="70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0" w:type="dxa"/>
                        <w:gridSpan w:val="10"/>
                        <w:vMerge/>
                        <w:tcBorders>
                          <w:left w:val="single" w:sz="10" w:space="0" w:color="D2D2D2"/>
                          <w:right w:val="single" w:sz="4" w:space="0" w:color="000000"/>
                        </w:tcBorders>
                      </w:tcPr>
                      <w:p>
                        <w:pPr/>
                      </w:p>
                    </w:tc>
                  </w:tr>
                  <w:tr>
                    <w:trPr>
                      <w:trHeight w:val="81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0"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80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代表人同意公司以本次非公开发行募集资金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万元置换预先投入募集资金投资项目的自筹资金。</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4" w:lineRule="auto"/>
              <w:ind w:left="23"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7"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日公司第七届董事会第九次会议审议通过；并于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年第八次临时股东大会审议批准将不超过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万元的闲置资金暂时用于补充公司流动资金，期限</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自股东大会批准之日起不超过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使用闲置募集资金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补充流</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动资金</w:t>
            </w:r>
            <w:r>
              <w:rPr>
                <w:rFonts w:ascii="宋体" w:hAnsi="宋体" w:cs="宋体" w:eastAsia="宋体" w:hint="default"/>
                <w:spacing w:val="-15"/>
                <w:sz w:val="18"/>
                <w:szCs w:val="18"/>
              </w:rPr>
              <w:t>，</w:t>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将</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万元全部归还并存</w:t>
            </w:r>
            <w:r>
              <w:rPr>
                <w:rFonts w:ascii="宋体" w:hAnsi="宋体" w:cs="宋体" w:eastAsia="宋体" w:hint="default"/>
                <w:spacing w:val="-3"/>
                <w:sz w:val="18"/>
                <w:szCs w:val="18"/>
              </w:rPr>
              <w:t>入</w:t>
            </w:r>
            <w:r>
              <w:rPr>
                <w:rFonts w:ascii="宋体" w:hAnsi="宋体" w:cs="宋体" w:eastAsia="宋体" w:hint="default"/>
                <w:sz w:val="18"/>
                <w:szCs w:val="18"/>
              </w:rPr>
              <w:t>公司募集资金专用账户</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5"/>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日经公司董事会第七届</w:t>
            </w:r>
            <w:r>
              <w:rPr>
                <w:rFonts w:ascii="宋体" w:hAnsi="宋体" w:cs="宋体" w:eastAsia="宋体" w:hint="default"/>
                <w:spacing w:val="-3"/>
                <w:sz w:val="18"/>
                <w:szCs w:val="18"/>
              </w:rPr>
              <w:t>第</w:t>
            </w:r>
            <w:r>
              <w:rPr>
                <w:rFonts w:ascii="宋体" w:hAnsi="宋体" w:cs="宋体" w:eastAsia="宋体" w:hint="default"/>
                <w:sz w:val="18"/>
                <w:szCs w:val="18"/>
              </w:rPr>
              <w:t>十五次会议审议通过</w:t>
            </w:r>
            <w:r>
              <w:rPr>
                <w:rFonts w:ascii="宋体" w:hAnsi="宋体" w:cs="宋体" w:eastAsia="宋体" w:hint="default"/>
                <w:spacing w:val="-89"/>
                <w:sz w:val="18"/>
                <w:szCs w:val="18"/>
              </w:rPr>
              <w:t>；</w:t>
            </w:r>
            <w:r>
              <w:rPr>
                <w:rFonts w:ascii="宋体" w:hAnsi="宋体" w:cs="宋体" w:eastAsia="宋体" w:hint="default"/>
                <w:sz w:val="18"/>
                <w:szCs w:val="18"/>
              </w:rPr>
              <w:t>并于第二次临时股东大会会议审议批准将不超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万元的闲置募集资金暂时用于补充公司流动资金，使用期限为临时股东大会批准之日起不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40,000 </w:t>
            </w:r>
            <w:r>
              <w:rPr>
                <w:rFonts w:ascii="宋体" w:hAnsi="宋体" w:cs="宋体" w:eastAsia="宋体" w:hint="default"/>
                <w:sz w:val="18"/>
                <w:szCs w:val="18"/>
              </w:rPr>
              <w:t>万元补充流动资金，公司于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日提前归还</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z w:val="18"/>
                <w:szCs w:val="18"/>
              </w:rPr>
              <w:t>万并存入公司募集资金专用账户，剩余资金尚未到期，尚未归还。</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3"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日起，使用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万元闲置募集资金用于暂时购买银行理财产品，资 </w:t>
            </w:r>
            <w:r>
              <w:rPr>
                <w:rFonts w:ascii="宋体" w:hAnsi="宋体" w:cs="宋体" w:eastAsia="宋体" w:hint="default"/>
                <w:spacing w:val="-3"/>
                <w:sz w:val="18"/>
                <w:szCs w:val="18"/>
              </w:rPr>
              <w:t>金流动循环使用；（</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）剩余资金存放于公司在开户银行设立的募集资金专用账户，将依照承诺项目</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计划进度使用。</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6"/>
        <w:gridCol w:w="958"/>
        <w:gridCol w:w="958"/>
      </w:tblGrid>
      <w:tr>
        <w:trPr>
          <w:trHeight w:val="1340"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4" w:right="2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截至期末投 资进度</w:t>
            </w:r>
          </w:p>
          <w:p>
            <w:pPr>
              <w:pStyle w:val="TableParagraph"/>
              <w:spacing w:line="362" w:lineRule="auto" w:before="59"/>
              <w:ind w:left="52" w:right="49"/>
              <w:jc w:val="center"/>
              <w:rPr>
                <w:rFonts w:ascii="Times New Roman" w:hAnsi="Times New Roman" w:cs="Times New Roman" w:eastAsia="Times New Roman" w:hint="default"/>
                <w:sz w:val="18"/>
                <w:szCs w:val="18"/>
              </w:rPr>
            </w:pPr>
            <w:r>
              <w:rPr>
                <w:rFonts w:ascii="Times New Roman"/>
                <w:sz w:val="18"/>
              </w:rPr>
              <w:t>(%)(3)=(2)/</w:t>
            </w:r>
            <w:r>
              <w:rPr>
                <w:rFonts w:ascii="Times New Roman"/>
                <w:w w:val="99"/>
                <w:sz w:val="18"/>
              </w:rPr>
              <w:t> </w:t>
            </w: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2" w:right="20"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高鸿鼎恒项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电子商务项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15,118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15,118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15,118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2,944.06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1"/>
              <w:jc w:val="both"/>
              <w:rPr>
                <w:rFonts w:ascii="宋体" w:hAnsi="宋体" w:cs="宋体" w:eastAsia="宋体" w:hint="default"/>
                <w:sz w:val="18"/>
                <w:szCs w:val="18"/>
              </w:rPr>
            </w:pPr>
            <w:r>
              <w:rPr>
                <w:rFonts w:ascii="宋体" w:hAnsi="宋体" w:cs="宋体" w:eastAsia="宋体" w:hint="default"/>
                <w:sz w:val="18"/>
                <w:szCs w:val="18"/>
              </w:rPr>
              <w:t>收购高阳捷 迅并对其增 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移动增值业 务升级扩容 建设与数字 新媒体内容 采集与运营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25,525.34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25,525.34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2,581.27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40,643.34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40,643.34</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5,525.33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28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700" w:type="dxa"/>
            <w:gridSpan w:val="7"/>
            <w:vMerge w:val="restart"/>
            <w:tcBorders>
              <w:top w:val="single" w:sz="4" w:space="0" w:color="000000"/>
              <w:left w:val="single" w:sz="10" w:space="0" w:color="D2D2D2"/>
              <w:right w:val="single" w:sz="4" w:space="0" w:color="000000"/>
            </w:tcBorders>
          </w:tcPr>
          <w:p>
            <w:pPr>
              <w:pStyle w:val="TableParagraph"/>
              <w:spacing w:line="300" w:lineRule="auto" w:before="49"/>
              <w:ind w:left="16"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）电子商务项目变更原因：根据电子商务项目的募集资金使用计划，该项目募集 资金投资期为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年，由于募集资金到位晚于预期，且属于该募投项目的物流园基建项</w:t>
            </w:r>
          </w:p>
          <w:p>
            <w:pPr>
              <w:pStyle w:val="TableParagraph"/>
              <w:spacing w:line="300" w:lineRule="auto" w:before="13"/>
              <w:ind w:left="16" w:right="92"/>
              <w:jc w:val="both"/>
              <w:rPr>
                <w:rFonts w:ascii="宋体" w:hAnsi="宋体" w:cs="宋体" w:eastAsia="宋体" w:hint="default"/>
                <w:sz w:val="18"/>
                <w:szCs w:val="18"/>
              </w:rPr>
            </w:pPr>
            <w:r>
              <w:rPr>
                <w:rFonts w:ascii="宋体" w:hAnsi="宋体" w:cs="宋体" w:eastAsia="宋体" w:hint="default"/>
                <w:sz w:val="18"/>
                <w:szCs w:val="18"/>
              </w:rPr>
              <w:t>目受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年下半年外部因素影响，截止报告期末尚未进入招拍挂阶段，电子商务项 目建设较原计划进度大幅延后，公司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销售业务盈利能力和规模拓展亟待提升。出 于公司资金优化配置和闲置募集资金使用效率的提升的考虑，结合公司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 </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发展规划，公司拟将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年募集资金项目之一的电子商务项目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年至</w:t>
            </w:r>
          </w:p>
        </w:tc>
      </w:tr>
      <w:tr>
        <w:trPr>
          <w:trHeight w:val="703"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vMerge/>
            <w:tcBorders>
              <w:left w:val="single" w:sz="10" w:space="0" w:color="D2D2D2"/>
              <w:right w:val="single" w:sz="4" w:space="0" w:color="000000"/>
            </w:tcBorders>
          </w:tcPr>
          <w:p>
            <w:pPr/>
          </w:p>
        </w:tc>
      </w:tr>
      <w:tr>
        <w:trPr>
          <w:trHeight w:val="610" w:hRule="exact"/>
        </w:trPr>
        <w:tc>
          <w:tcPr>
            <w:tcW w:w="287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700" w:type="dxa"/>
            <w:gridSpan w:val="7"/>
            <w:vMerge/>
            <w:tcBorders>
              <w:left w:val="single" w:sz="10" w:space="0" w:color="D2D2D2"/>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44"/>
        <w:ind w:left="0" w:right="158" w:firstLine="0"/>
        <w:jc w:val="right"/>
        <w:rPr>
          <w:rFonts w:ascii="宋体" w:hAnsi="宋体" w:cs="宋体" w:eastAsia="宋体" w:hint="default"/>
          <w:sz w:val="18"/>
          <w:szCs w:val="18"/>
        </w:rPr>
      </w:pPr>
      <w:r>
        <w:rPr/>
        <w:pict>
          <v:shape style="position:absolute;margin-left:56.459999pt;margin-top:-201.5383pt;width:479.35pt;height:402.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700"/>
                  </w:tblGrid>
                  <w:tr>
                    <w:trPr>
                      <w:trHeight w:val="660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年计划投资的资金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15,118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万元变更用于联合其他投资者共同投资设立江苏高鸿 庆亚信息技术有限公司，用以经营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销售业务，经工商核准，此公司名称为：江苏 </w:t>
                        </w:r>
                        <w:r>
                          <w:rPr>
                            <w:rFonts w:ascii="宋体" w:hAnsi="宋体" w:cs="宋体" w:eastAsia="宋体" w:hint="default"/>
                            <w:spacing w:val="-1"/>
                            <w:sz w:val="18"/>
                            <w:szCs w:val="18"/>
                          </w:rPr>
                          <w:t>高鸿鼎恒信息技术有限公司。决策程序：公司经第七届第十三次董事会审议通过《关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于变更部分募集资金投向的议案》，独立董事、监事会和保荐机构发表了独立意见，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日提交</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年度股东大会审议批准。信息披露情况详见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日的《第七届第十三</w:t>
                        </w:r>
                        <w:r>
                          <w:rPr>
                            <w:rFonts w:ascii="宋体" w:hAnsi="宋体" w:cs="宋体" w:eastAsia="宋体" w:hint="default"/>
                            <w:spacing w:val="-3"/>
                            <w:sz w:val="18"/>
                            <w:szCs w:val="18"/>
                          </w:rPr>
                          <w:t>次</w:t>
                        </w:r>
                        <w:r>
                          <w:rPr>
                            <w:rFonts w:ascii="宋体" w:hAnsi="宋体" w:cs="宋体" w:eastAsia="宋体" w:hint="default"/>
                            <w:sz w:val="18"/>
                            <w:szCs w:val="18"/>
                          </w:rPr>
                          <w:t>董事会决议公告</w:t>
                        </w:r>
                        <w:r>
                          <w:rPr>
                            <w:rFonts w:ascii="宋体" w:hAnsi="宋体" w:cs="宋体" w:eastAsia="宋体" w:hint="default"/>
                            <w:spacing w:val="-92"/>
                            <w:sz w:val="18"/>
                            <w:szCs w:val="18"/>
                          </w:rPr>
                          <w:t>》</w:t>
                        </w:r>
                        <w:r>
                          <w:rPr>
                            <w:rFonts w:ascii="宋体" w:hAnsi="宋体" w:cs="宋体" w:eastAsia="宋体" w:hint="default"/>
                            <w:sz w:val="18"/>
                            <w:szCs w:val="18"/>
                          </w:rPr>
                          <w:t>（公告号</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00" w:lineRule="auto" w:before="63"/>
                          <w:ind w:left="24"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日的《</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年股东大会决议公告》（公告号</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
                            <w:sz w:val="18"/>
                            <w:szCs w:val="18"/>
                          </w:rPr>
                          <w:t>028</w:t>
                        </w:r>
                        <w:r>
                          <w:rPr>
                            <w:rFonts w:ascii="宋体" w:hAnsi="宋体" w:cs="宋体" w:eastAsia="宋体" w:hint="default"/>
                            <w:spacing w:val="-4"/>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日的《关</w:t>
                        </w:r>
                        <w:r>
                          <w:rPr>
                            <w:rFonts w:ascii="宋体" w:hAnsi="宋体" w:cs="宋体" w:eastAsia="宋体" w:hint="default"/>
                            <w:sz w:val="18"/>
                            <w:szCs w:val="18"/>
                          </w:rPr>
                          <w:t> </w:t>
                        </w:r>
                        <w:r>
                          <w:rPr>
                            <w:rFonts w:ascii="宋体" w:hAnsi="宋体" w:cs="宋体" w:eastAsia="宋体" w:hint="default"/>
                            <w:spacing w:val="-4"/>
                            <w:sz w:val="18"/>
                            <w:szCs w:val="18"/>
                          </w:rPr>
                          <w:t>于变更部分募集资金投向暨对外投资的公告》（公告号</w:t>
                        </w:r>
                        <w:r>
                          <w:rPr>
                            <w:rFonts w:ascii="宋体" w:hAnsi="宋体" w:cs="宋体" w:eastAsia="宋体" w:hint="default"/>
                            <w:spacing w:val="-42"/>
                            <w:sz w:val="18"/>
                            <w:szCs w:val="18"/>
                          </w:rPr>
                          <w:t> </w:t>
                        </w:r>
                        <w:r>
                          <w:rPr>
                            <w:rFonts w:ascii="Times New Roman" w:hAnsi="Times New Roman" w:cs="Times New Roman" w:eastAsia="Times New Roman" w:hint="default"/>
                            <w:spacing w:val="-9"/>
                            <w:sz w:val="18"/>
                            <w:szCs w:val="18"/>
                          </w:rPr>
                          <w:t>2013</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9"/>
                            <w:sz w:val="18"/>
                            <w:szCs w:val="18"/>
                          </w:rPr>
                          <w:t>021</w:t>
                        </w:r>
                        <w:r>
                          <w:rPr>
                            <w:rFonts w:ascii="宋体" w:hAnsi="宋体" w:cs="宋体" w:eastAsia="宋体" w:hint="default"/>
                            <w:spacing w:val="-9"/>
                            <w:sz w:val="18"/>
                            <w:szCs w:val="18"/>
                          </w:rPr>
                          <w:t>）。</w:t>
                        </w:r>
                        <w:r>
                          <w:rPr>
                            <w:rFonts w:ascii="宋体" w:hAnsi="宋体" w:cs="宋体" w:eastAsia="宋体" w:hint="default"/>
                            <w:spacing w:val="5"/>
                            <w:sz w:val="18"/>
                            <w:szCs w:val="18"/>
                          </w:rPr>
                          <w:t> </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）移动增值</w:t>
                        </w:r>
                        <w:r>
                          <w:rPr>
                            <w:rFonts w:ascii="宋体" w:hAnsi="宋体" w:cs="宋体" w:eastAsia="宋体" w:hint="default"/>
                            <w:spacing w:val="-88"/>
                            <w:sz w:val="18"/>
                            <w:szCs w:val="18"/>
                          </w:rPr>
                          <w:t> </w:t>
                        </w:r>
                        <w:r>
                          <w:rPr>
                            <w:rFonts w:ascii="宋体" w:hAnsi="宋体" w:cs="宋体" w:eastAsia="宋体" w:hint="default"/>
                            <w:sz w:val="18"/>
                            <w:szCs w:val="18"/>
                          </w:rPr>
                          <w:t>业务升级扩容建设与数字新媒体内容采集与运营项目变更原因：公司初步拟定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年度募集资金可行性研究报告的时间为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月份，而募集资金实际到位时间为</w:t>
                        </w:r>
                      </w:p>
                      <w:p>
                        <w:pPr>
                          <w:pStyle w:val="TableParagraph"/>
                          <w:spacing w:line="312" w:lineRule="auto" w:before="6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月份，募集资金到位时间晚于预期，公司移动增值业务升级扩容建设及数 </w:t>
                        </w:r>
                        <w:r>
                          <w:rPr>
                            <w:rFonts w:ascii="宋体" w:hAnsi="宋体" w:cs="宋体" w:eastAsia="宋体" w:hint="default"/>
                            <w:spacing w:val="-1"/>
                            <w:sz w:val="18"/>
                            <w:szCs w:val="18"/>
                          </w:rPr>
                          <w:t>字新媒体内容采集与运营项目的募集资金项目进度受到严重耽搁，另外，由于政策等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外部环境发生较大变化，移动增值业务升级扩容建设及数字新媒体内容采集与运营项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目前景低于公司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年时对于该项目的业务趋势研判。为提高募集资金的使用效率 </w:t>
                        </w:r>
                        <w:r>
                          <w:rPr>
                            <w:rFonts w:ascii="宋体" w:hAnsi="宋体" w:cs="宋体" w:eastAsia="宋体" w:hint="default"/>
                            <w:spacing w:val="-1"/>
                            <w:sz w:val="18"/>
                            <w:szCs w:val="18"/>
                          </w:rPr>
                          <w:t>有效实现对公司现有业务的补充与延伸，推动业务发展规划的顺利实现，公司对此项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募集资金的使用作出变更。决策程序：公司经第七届第十七次董事会审议通过《关于</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变更部分募集资金投向的议案》并于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日提交</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会批准。信息披露情况详见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日的《第七届第十七次董事会决议公告》</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47</w:t>
                        </w:r>
                        <w:r>
                          <w:rPr>
                            <w:rFonts w:ascii="宋体" w:hAnsi="宋体" w:cs="宋体" w:eastAsia="宋体" w:hint="default"/>
                            <w:spacing w:val="-92"/>
                            <w:sz w:val="18"/>
                            <w:szCs w:val="18"/>
                          </w:rPr>
                          <w:t>）、</w:t>
                        </w:r>
                        <w:r>
                          <w:rPr>
                            <w:rFonts w:ascii="宋体" w:hAnsi="宋体" w:cs="宋体" w:eastAsia="宋体" w:hint="default"/>
                            <w:sz w:val="18"/>
                            <w:szCs w:val="18"/>
                          </w:rPr>
                          <w:t>《关于变更部分募集资金投向暨对外投资关联交易的公告》</w:t>
                        </w:r>
                      </w:p>
                      <w:p>
                        <w:pPr>
                          <w:pStyle w:val="TableParagraph"/>
                          <w:spacing w:line="300" w:lineRule="auto" w:before="63"/>
                          <w:ind w:left="24" w:right="77"/>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2013-048</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年第四次临时股东大会决议公 </w:t>
                        </w:r>
                        <w:r>
                          <w:rPr>
                            <w:rFonts w:ascii="宋体" w:hAnsi="宋体" w:cs="宋体" w:eastAsia="宋体" w:hint="default"/>
                            <w:spacing w:val="-16"/>
                            <w:sz w:val="18"/>
                            <w:szCs w:val="18"/>
                          </w:rPr>
                          <w:t>告》（公告编号：</w:t>
                        </w:r>
                        <w:r>
                          <w:rPr>
                            <w:rFonts w:ascii="Times New Roman" w:hAnsi="Times New Roman" w:cs="Times New Roman" w:eastAsia="Times New Roman" w:hint="default"/>
                            <w:spacing w:val="-16"/>
                            <w:sz w:val="18"/>
                            <w:szCs w:val="18"/>
                          </w:rPr>
                          <w:t>2013-057</w:t>
                        </w:r>
                        <w:r>
                          <w:rPr>
                            <w:rFonts w:ascii="宋体" w:hAnsi="宋体" w:cs="宋体" w:eastAsia="宋体" w:hint="default"/>
                            <w:spacing w:val="-16"/>
                            <w:sz w:val="18"/>
                            <w:szCs w:val="18"/>
                          </w:rPr>
                          <w:t>）。</w:t>
                        </w:r>
                        <w:r>
                          <w:rPr>
                            <w:rFonts w:ascii="宋体" w:hAnsi="宋体" w:cs="宋体" w:eastAsia="宋体" w:hint="default"/>
                            <w:sz w:val="18"/>
                            <w:szCs w:val="18"/>
                          </w:rPr>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9" w:hanging="269"/>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北京大唐高 鸿数据网络 技术有限公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2"/>
              <w:jc w:val="left"/>
              <w:rPr>
                <w:rFonts w:ascii="宋体" w:hAnsi="宋体" w:cs="宋体" w:eastAsia="宋体" w:hint="default"/>
                <w:sz w:val="18"/>
                <w:szCs w:val="18"/>
              </w:rPr>
            </w:pPr>
            <w:r>
              <w:rPr>
                <w:rFonts w:ascii="宋体" w:hAnsi="宋体" w:cs="宋体" w:eastAsia="宋体" w:hint="default"/>
                <w:sz w:val="18"/>
                <w:szCs w:val="18"/>
              </w:rPr>
              <w:t>通信系统设 备制造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
              <w:jc w:val="both"/>
              <w:rPr>
                <w:rFonts w:ascii="宋体" w:hAnsi="宋体" w:cs="宋体" w:eastAsia="宋体" w:hint="default"/>
                <w:sz w:val="18"/>
                <w:szCs w:val="18"/>
              </w:rPr>
            </w:pPr>
            <w:r>
              <w:rPr>
                <w:rFonts w:ascii="宋体" w:hAnsi="宋体" w:cs="宋体" w:eastAsia="宋体" w:hint="default"/>
                <w:sz w:val="18"/>
                <w:szCs w:val="18"/>
              </w:rPr>
              <w:t>通讯设备生 产，系统集 成、贸易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250,000,000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1,795,251,1</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78.35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379,684,074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1,593,849,6</w:t>
            </w:r>
          </w:p>
          <w:p>
            <w:pPr>
              <w:pStyle w:val="TableParagraph"/>
              <w:spacing w:line="240" w:lineRule="auto" w:before="102"/>
              <w:ind w:left="519" w:right="0"/>
              <w:jc w:val="left"/>
              <w:rPr>
                <w:rFonts w:ascii="Times New Roman" w:hAnsi="Times New Roman" w:cs="Times New Roman" w:eastAsia="Times New Roman" w:hint="default"/>
                <w:sz w:val="18"/>
                <w:szCs w:val="18"/>
              </w:rPr>
            </w:pPr>
            <w:r>
              <w:rPr>
                <w:rFonts w:ascii="Times New Roman"/>
                <w:sz w:val="18"/>
              </w:rPr>
              <w:t>60.45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-44,538,836</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-31,510,307</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.07</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北京大唐高 鸿软件技术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134,185,072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102,796,727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54,430,991.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16,759,172.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16,252,702.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大唐高鸿通 信技术有限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互联网信息 服务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信息服务业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185,000,000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253,709,957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186,502,791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125,506,347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-1,561,551.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-1,753,288.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大唐高鸿信 息技术有限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计算机、软 件及辅助设 备批发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9"/>
              <w:jc w:val="left"/>
              <w:rPr>
                <w:rFonts w:ascii="宋体" w:hAnsi="宋体" w:cs="宋体" w:eastAsia="宋体" w:hint="default"/>
                <w:sz w:val="18"/>
                <w:szCs w:val="18"/>
              </w:rPr>
            </w:pPr>
            <w:r>
              <w:rPr>
                <w:rFonts w:ascii="宋体" w:hAnsi="宋体" w:cs="宋体" w:eastAsia="宋体" w:hint="default"/>
                <w:sz w:val="18"/>
                <w:szCs w:val="18"/>
              </w:rPr>
              <w:t>电子产品销 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1,134,365,7</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45.69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330,378,873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1,479,676,6</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14.13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9,173,205.8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4,407,078.5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北京大唐高 鸿科技发展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宋体" w:hAnsi="宋体" w:cs="宋体" w:eastAsia="宋体" w:hint="default"/>
                <w:sz w:val="18"/>
                <w:szCs w:val="18"/>
              </w:rPr>
              <w:t>计算机、软 件及辅助设 备批发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z w:val="18"/>
                <w:szCs w:val="18"/>
              </w:rPr>
              <w:t>计算机软硬 件销售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65,000,000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156,992,741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80,689,497.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1,436,341,6</w:t>
            </w:r>
          </w:p>
          <w:p>
            <w:pPr>
              <w:pStyle w:val="TableParagraph"/>
              <w:spacing w:line="240" w:lineRule="auto" w:before="102"/>
              <w:ind w:left="519" w:right="0"/>
              <w:jc w:val="left"/>
              <w:rPr>
                <w:rFonts w:ascii="Times New Roman" w:hAnsi="Times New Roman" w:cs="Times New Roman" w:eastAsia="Times New Roman" w:hint="default"/>
                <w:sz w:val="18"/>
                <w:szCs w:val="18"/>
              </w:rPr>
            </w:pPr>
            <w:r>
              <w:rPr>
                <w:rFonts w:ascii="Times New Roman"/>
                <w:sz w:val="18"/>
              </w:rPr>
              <w:t>45.00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13,337,244.</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9,685,400.4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r>
      <w:tr>
        <w:trPr>
          <w:trHeight w:val="133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大唐高鸿济 宁电子信息 技术有限公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计算机、软 件及辅助设 备批发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9"/>
              <w:jc w:val="left"/>
              <w:rPr>
                <w:rFonts w:ascii="宋体" w:hAnsi="宋体" w:cs="宋体" w:eastAsia="宋体" w:hint="default"/>
                <w:sz w:val="18"/>
                <w:szCs w:val="18"/>
              </w:rPr>
            </w:pPr>
            <w:r>
              <w:rPr>
                <w:rFonts w:ascii="宋体" w:hAnsi="宋体" w:cs="宋体" w:eastAsia="宋体" w:hint="default"/>
                <w:sz w:val="18"/>
                <w:szCs w:val="18"/>
              </w:rPr>
              <w:t>电子产品销 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131,031,582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81,112,763.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-564,780.98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20,956,506.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r>
      <w:tr>
        <w:trPr>
          <w:trHeight w:val="10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江苏高鸿鼎 恒信息技术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宋体" w:hAnsi="宋体" w:cs="宋体" w:eastAsia="宋体" w:hint="default"/>
                <w:sz w:val="18"/>
                <w:szCs w:val="18"/>
              </w:rPr>
              <w:t>计算机、软 件及辅助设 备批发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z w:val="18"/>
                <w:szCs w:val="18"/>
              </w:rPr>
              <w:t>电子产品销 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811,303,855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196,704,810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1,304,770,4</w:t>
            </w:r>
          </w:p>
          <w:p>
            <w:pPr>
              <w:pStyle w:val="TableParagraph"/>
              <w:spacing w:line="240" w:lineRule="auto" w:before="102"/>
              <w:ind w:left="519" w:right="0"/>
              <w:jc w:val="left"/>
              <w:rPr>
                <w:rFonts w:ascii="Times New Roman" w:hAnsi="Times New Roman" w:cs="Times New Roman" w:eastAsia="Times New Roman" w:hint="default"/>
                <w:sz w:val="18"/>
                <w:szCs w:val="18"/>
              </w:rPr>
            </w:pPr>
            <w:r>
              <w:rPr>
                <w:rFonts w:ascii="Times New Roman"/>
                <w:sz w:val="18"/>
              </w:rPr>
              <w:t>82.29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29,443,848.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22,015,810.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06</w:t>
            </w:r>
          </w:p>
        </w:tc>
      </w:tr>
      <w:tr>
        <w:trPr>
          <w:trHeight w:val="133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贵州大唐高 鸿电子信息 技术有限公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计算机、软 件及辅助设 备批发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9"/>
              <w:jc w:val="left"/>
              <w:rPr>
                <w:rFonts w:ascii="宋体" w:hAnsi="宋体" w:cs="宋体" w:eastAsia="宋体" w:hint="default"/>
                <w:sz w:val="18"/>
                <w:szCs w:val="18"/>
              </w:rPr>
            </w:pPr>
            <w:r>
              <w:rPr>
                <w:rFonts w:ascii="宋体" w:hAnsi="宋体" w:cs="宋体" w:eastAsia="宋体" w:hint="default"/>
                <w:sz w:val="18"/>
                <w:szCs w:val="18"/>
              </w:rPr>
              <w:t>电子产品销 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58,694,799.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9,994,799.2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-5,200.79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-5,200.79</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北京大唐融 合通信技术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通信系统设 备制造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企业信息化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163,788,641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66,722,497.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171,063,873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1,583,702.0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9,503,139.8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北京高阳捷 迅信息技术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互联网信息 服务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信息服务业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13,528,125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480,731,534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214,623,545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222,087,745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57,291,244.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50,669,566.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r>
      <w:tr>
        <w:trPr>
          <w:trHeight w:val="10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北京海岸淘 金创业投资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创业投资业 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z w:val="18"/>
                <w:szCs w:val="18"/>
              </w:rPr>
              <w:t>创业投资业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24,670,000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40,734,897.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29,342,968.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102,827,180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97,967,713.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96,811,189.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01</w:t>
            </w:r>
          </w:p>
        </w:tc>
      </w:tr>
    </w:tbl>
    <w:p>
      <w:pPr>
        <w:pStyle w:val="BodyText"/>
        <w:spacing w:line="240" w:lineRule="auto" w:before="79"/>
        <w:ind w:right="96"/>
        <w:jc w:val="left"/>
      </w:pPr>
      <w:r>
        <w:rPr/>
        <w:t>主要子公司、参股公司情况说明</w:t>
      </w:r>
    </w:p>
    <w:p>
      <w:pPr>
        <w:pStyle w:val="BodyText"/>
        <w:spacing w:line="357" w:lineRule="auto" w:before="192"/>
        <w:ind w:right="102"/>
        <w:jc w:val="left"/>
      </w:pPr>
      <w:r>
        <w:rPr>
          <w:rFonts w:ascii="宋体" w:hAnsi="宋体" w:cs="宋体" w:eastAsia="宋体" w:hint="default"/>
        </w:rPr>
        <w:t>1.</w:t>
      </w:r>
      <w:r>
        <w:rPr/>
        <w:t>公司全资子公司高鸿数据本年净利润</w:t>
      </w:r>
      <w:r>
        <w:rPr>
          <w:rFonts w:ascii="宋体" w:hAnsi="宋体" w:cs="宋体" w:eastAsia="宋体" w:hint="default"/>
        </w:rPr>
        <w:t>-3151</w:t>
      </w:r>
      <w:r>
        <w:rPr/>
        <w:t>万元，比上年同期减少</w:t>
      </w:r>
      <w:r>
        <w:rPr>
          <w:rFonts w:ascii="宋体" w:hAnsi="宋体" w:cs="宋体" w:eastAsia="宋体" w:hint="default"/>
        </w:rPr>
        <w:t>3637</w:t>
      </w:r>
      <w:r>
        <w:rPr/>
        <w:t>万元，本年度净利润 降低原因为计提资产减值所致； </w:t>
      </w:r>
      <w:r>
        <w:rPr>
          <w:rFonts w:ascii="宋体" w:hAnsi="宋体" w:cs="宋体" w:eastAsia="宋体" w:hint="default"/>
          <w:spacing w:val="-2"/>
        </w:rPr>
        <w:t>2.</w:t>
      </w:r>
      <w:r>
        <w:rPr>
          <w:spacing w:val="-2"/>
        </w:rPr>
        <w:t>公司参股子公司海岸淘金本年净利润为</w:t>
      </w:r>
      <w:r>
        <w:rPr>
          <w:rFonts w:ascii="宋体" w:hAnsi="宋体" w:cs="宋体" w:eastAsia="宋体" w:hint="default"/>
          <w:spacing w:val="-2"/>
        </w:rPr>
        <w:t>9681</w:t>
      </w:r>
      <w:r>
        <w:rPr>
          <w:spacing w:val="-2"/>
        </w:rPr>
        <w:t>万元，主要为出售所持有的股份取得投资收益。</w:t>
      </w:r>
    </w:p>
    <w:p>
      <w:pPr>
        <w:spacing w:line="240" w:lineRule="auto" w:before="8"/>
        <w:rPr>
          <w:rFonts w:ascii="宋体" w:hAnsi="宋体" w:cs="宋体" w:eastAsia="宋体" w:hint="default"/>
          <w:sz w:val="35"/>
          <w:szCs w:val="35"/>
        </w:rPr>
      </w:pPr>
    </w:p>
    <w:p>
      <w:pPr>
        <w:pStyle w:val="BodyText"/>
        <w:spacing w:line="240" w:lineRule="auto" w:before="0"/>
        <w:ind w:right="96"/>
        <w:jc w:val="left"/>
      </w:pPr>
      <w:r>
        <w:rPr/>
        <w:t>报告期内取得和处置子公司的情况</w:t>
      </w:r>
    </w:p>
    <w:p>
      <w:pPr>
        <w:spacing w:before="88"/>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4"/>
        <w:gridCol w:w="2391"/>
        <w:gridCol w:w="2393"/>
        <w:gridCol w:w="2393"/>
      </w:tblGrid>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08"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北京高阳捷迅信息技术有限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根据发展战略，强化公司信息 服务业务，增强盈利能力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增加本年利润总额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2581.27 </w:t>
            </w:r>
            <w:r>
              <w:rPr>
                <w:rFonts w:ascii="宋体" w:hAnsi="宋体" w:cs="宋体" w:eastAsia="宋体" w:hint="default"/>
                <w:sz w:val="18"/>
                <w:szCs w:val="18"/>
              </w:rPr>
              <w:t>万 元</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沈阳高鸿恒昌科技有限公司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调整结构，减少亏损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基本没有影响</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4"/>
        <w:gridCol w:w="2391"/>
        <w:gridCol w:w="2393"/>
        <w:gridCol w:w="2393"/>
      </w:tblGrid>
      <w:tr>
        <w:trPr>
          <w:trHeight w:val="71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厦门大唐高鸿电子技术有限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调整结构，减少亏损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基本没有影响</w:t>
            </w:r>
          </w:p>
        </w:tc>
      </w:tr>
      <w:tr>
        <w:trPr>
          <w:trHeight w:val="715"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山东高鸿恒昌电子科技有限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调整结构，减少亏损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基本没有影响</w:t>
            </w:r>
          </w:p>
        </w:tc>
      </w:tr>
      <w:tr>
        <w:trPr>
          <w:trHeight w:val="71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大连大唐高鸿电子技术有限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调整结构，减少亏损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基本没有影响</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昆明高鸿电子技术有限公司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调整结构，减少亏损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基本没有影响</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无锡高鸿电子技术有限公司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调整结构，减少亏损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基本没有影响</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9"/>
        <w:gridCol w:w="1594"/>
        <w:gridCol w:w="1592"/>
        <w:gridCol w:w="1593"/>
        <w:gridCol w:w="1583"/>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1" w:right="68" w:hanging="180"/>
              <w:jc w:val="left"/>
              <w:rPr>
                <w:rFonts w:ascii="宋体" w:hAnsi="宋体" w:cs="宋体" w:eastAsia="宋体" w:hint="default"/>
                <w:sz w:val="18"/>
                <w:szCs w:val="18"/>
              </w:rPr>
            </w:pPr>
            <w:r>
              <w:rPr>
                <w:rFonts w:ascii="宋体" w:hAnsi="宋体" w:cs="宋体" w:eastAsia="宋体" w:hint="default"/>
                <w:sz w:val="18"/>
                <w:szCs w:val="18"/>
              </w:rPr>
              <w:t>截至报告期末累计 实际投入金额</w:t>
            </w:r>
          </w:p>
        </w:tc>
        <w:tc>
          <w:tcPr>
            <w:tcW w:w="1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计划投资总额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本报告期投入金额</w:t>
            </w:r>
          </w:p>
        </w:tc>
        <w:tc>
          <w:tcPr>
            <w:tcW w:w="1592" w:type="dxa"/>
            <w:vMerge/>
            <w:tcBorders>
              <w:left w:val="single" w:sz="4" w:space="0" w:color="000000"/>
              <w:right w:val="single" w:sz="4" w:space="0" w:color="000000"/>
            </w:tcBorders>
            <w:shd w:val="clear" w:color="auto" w:fill="D2D2D2"/>
          </w:tcPr>
          <w:p>
            <w:pPr/>
          </w:p>
        </w:tc>
        <w:tc>
          <w:tcPr>
            <w:tcW w:w="15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5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both"/>
        <w:rPr>
          <w:b w:val="0"/>
          <w:bCs w:val="0"/>
        </w:rPr>
      </w:pPr>
      <w:r>
        <w:rPr/>
        <w:t>七、</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月经营业绩的预计</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预测年初至下一报告期期末的累计净利润可能为亏损或者与上年同期相比发生大幅度变动的警示及原因说明</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八、公司控制的特殊目的主体情况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t>九、公司未来发展的展望</w:t>
      </w:r>
      <w:r>
        <w:rPr>
          <w:b w:val="0"/>
          <w:bCs w:val="0"/>
        </w:rPr>
      </w:r>
    </w:p>
    <w:p>
      <w:pPr>
        <w:spacing w:line="240" w:lineRule="auto" w:before="8"/>
        <w:rPr>
          <w:rFonts w:ascii="宋体" w:hAnsi="宋体" w:cs="宋体" w:eastAsia="宋体" w:hint="default"/>
          <w:b/>
          <w:bCs/>
          <w:sz w:val="28"/>
          <w:szCs w:val="28"/>
        </w:rPr>
      </w:pPr>
    </w:p>
    <w:p>
      <w:pPr>
        <w:pStyle w:val="BodyText"/>
        <w:tabs>
          <w:tab w:pos="1537" w:val="left" w:leader="none"/>
        </w:tabs>
        <w:spacing w:line="357" w:lineRule="auto" w:before="0"/>
        <w:ind w:left="578" w:right="148"/>
        <w:jc w:val="left"/>
      </w:pPr>
      <w:r>
        <w:rPr/>
        <w:t>（一）</w:t>
        <w:tab/>
        <w:t>公司所处行业的发展趋势及公司面临的市场竞争格局及发展机遇 </w:t>
      </w:r>
      <w:r>
        <w:rPr>
          <w:spacing w:val="2"/>
        </w:rPr>
        <w:t>报告期内全球经济仍处于调整期，从国内来讲，基于国内外环境，国家出台了一系列产</w:t>
      </w:r>
      <w:r>
        <w:rPr/>
      </w:r>
    </w:p>
    <w:p>
      <w:pPr>
        <w:pStyle w:val="BodyText"/>
        <w:spacing w:line="357" w:lineRule="auto"/>
        <w:ind w:right="148"/>
        <w:jc w:val="both"/>
      </w:pPr>
      <w:r>
        <w:rPr/>
        <w:t>业宏观政策</w:t>
      </w:r>
      <w:r>
        <w:rPr>
          <w:rFonts w:ascii="宋体" w:hAnsi="宋体" w:cs="宋体" w:eastAsia="宋体" w:hint="default"/>
        </w:rPr>
        <w:t>(</w:t>
      </w:r>
      <w:r>
        <w:rPr/>
        <w:t>如：物联网、三网融合、电子商务、家电下乡、文化创意产业等扶持政策</w:t>
      </w:r>
      <w:r>
        <w:rPr>
          <w:rFonts w:ascii="宋体" w:hAnsi="宋体" w:cs="宋体" w:eastAsia="宋体" w:hint="default"/>
        </w:rPr>
        <w:t>)</w:t>
      </w:r>
      <w:r>
        <w:rPr/>
        <w:t>鼓励</w:t>
      </w:r>
      <w:r>
        <w:rPr>
          <w:spacing w:val="-83"/>
        </w:rPr>
        <w:t> </w:t>
      </w:r>
      <w:r>
        <w:rPr/>
        <w:t>发展实体经济，此外，社会进步和信息技术也取得了长足发展，积极的外部因素给公司的服</w:t>
      </w:r>
      <w:r>
        <w:rPr>
          <w:spacing w:val="-91"/>
        </w:rPr>
        <w:t> </w:t>
      </w:r>
      <w:r>
        <w:rPr>
          <w:spacing w:val="-91"/>
        </w:rPr>
      </w:r>
      <w:r>
        <w:rPr/>
        <w:t>务及产品带来了一定的机遇，也为公司步入良性发展提供了机会。</w:t>
      </w:r>
    </w:p>
    <w:p>
      <w:pPr>
        <w:pStyle w:val="BodyText"/>
        <w:spacing w:line="357" w:lineRule="auto"/>
        <w:ind w:right="146" w:firstLine="425"/>
        <w:jc w:val="both"/>
      </w:pPr>
      <w:r>
        <w:rPr>
          <w:spacing w:val="2"/>
        </w:rPr>
        <w:t>报告期内公司坚持“建立面向广大独立决策投资和消费主体的服务体系”为战略定位， </w:t>
      </w:r>
      <w:r>
        <w:rPr/>
        <w:t>推动面向企业客户的企业信息化业务、面向个人消费者和中小企业客户的</w:t>
      </w:r>
      <w:r>
        <w:rPr>
          <w:rFonts w:ascii="宋体" w:hAnsi="宋体" w:cs="宋体" w:eastAsia="宋体" w:hint="default"/>
        </w:rPr>
        <w:t>IT</w:t>
      </w:r>
      <w:r>
        <w:rPr/>
        <w:t>销售业务以及面</w:t>
      </w:r>
      <w:r>
        <w:rPr>
          <w:spacing w:val="-87"/>
        </w:rPr>
        <w:t> </w:t>
      </w:r>
      <w:r>
        <w:rPr>
          <w:spacing w:val="-87"/>
        </w:rPr>
      </w:r>
      <w:r>
        <w:rPr/>
        <w:t>向个人消费者的信息服务业务三个业务板块稳健发展、持续增长。</w:t>
      </w:r>
    </w:p>
    <w:p>
      <w:pPr>
        <w:pStyle w:val="BodyText"/>
        <w:spacing w:line="357" w:lineRule="auto"/>
        <w:ind w:left="578" w:right="228"/>
        <w:jc w:val="left"/>
      </w:pPr>
      <w:r>
        <w:rPr/>
        <w:t>结合宏观政策，公司对所处行业的未来发展趋势、市场状况及发展机遇进行如下分析： </w:t>
      </w:r>
      <w:r>
        <w:rPr>
          <w:rFonts w:ascii="宋体" w:hAnsi="宋体" w:cs="宋体" w:eastAsia="宋体" w:hint="default"/>
        </w:rPr>
        <w:t>1.</w:t>
      </w:r>
      <w:r>
        <w:rPr/>
        <w:t>企业信息化方面</w:t>
      </w:r>
    </w:p>
    <w:p>
      <w:pPr>
        <w:spacing w:after="0" w:line="357"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226" w:firstLine="425"/>
        <w:jc w:val="both"/>
      </w:pPr>
      <w:r>
        <w:rPr>
          <w:spacing w:val="2"/>
        </w:rPr>
        <w:t>国家“十二五”规划指出：我国将着力“全面提高信息化水平”，“推动信息化与工业 </w:t>
      </w:r>
      <w:r>
        <w:rPr/>
        <w:t>化深度融合，加快经济社会各领域信息化”，“实现电信网、广播电视网、互联网‘三网融</w:t>
      </w:r>
      <w:r>
        <w:rPr>
          <w:spacing w:val="-87"/>
        </w:rPr>
        <w:t> </w:t>
      </w:r>
      <w:r>
        <w:rPr>
          <w:spacing w:val="-87"/>
        </w:rPr>
      </w:r>
      <w:r>
        <w:rPr/>
        <w:t>合’，构建宽带、融合、安全的下一代国家信息基础设施”，“推进物联网研发应用”。在</w:t>
      </w:r>
      <w:r>
        <w:rPr>
          <w:spacing w:val="-87"/>
        </w:rPr>
        <w:t> </w:t>
      </w:r>
      <w:r>
        <w:rPr>
          <w:spacing w:val="-87"/>
        </w:rPr>
      </w:r>
      <w:r>
        <w:rPr>
          <w:spacing w:val="-2"/>
        </w:rPr>
        <w:t>未来</w:t>
      </w:r>
      <w:r>
        <w:rPr>
          <w:rFonts w:ascii="宋体" w:hAnsi="宋体" w:cs="宋体" w:eastAsia="宋体" w:hint="default"/>
          <w:spacing w:val="-2"/>
        </w:rPr>
        <w:t>5</w:t>
      </w:r>
      <w:r>
        <w:rPr>
          <w:spacing w:val="-2"/>
        </w:rPr>
        <w:t>年，这些政策倾向将推动信息网络和信息技术广泛应用，促进传统产业改造升级，推广</w:t>
      </w:r>
      <w:r>
        <w:rPr/>
        <w:t> 行业智能化应用，推进三网融合和物联网产业取得实质进展。</w:t>
      </w:r>
    </w:p>
    <w:p>
      <w:pPr>
        <w:pStyle w:val="BodyText"/>
        <w:spacing w:line="357" w:lineRule="auto"/>
        <w:ind w:left="578" w:right="230"/>
        <w:jc w:val="left"/>
      </w:pPr>
      <w:r>
        <w:rPr>
          <w:rFonts w:ascii="宋体" w:hAnsi="宋体" w:cs="宋体" w:eastAsia="宋体" w:hint="default"/>
        </w:rPr>
        <w:t>2.IT</w:t>
      </w:r>
      <w:r>
        <w:rPr/>
        <w:t>销售业务方面 </w:t>
      </w:r>
      <w:r>
        <w:rPr>
          <w:spacing w:val="2"/>
        </w:rPr>
        <w:t>目前电子产品消费市场不断扩大，</w:t>
      </w:r>
      <w:r>
        <w:rPr>
          <w:rFonts w:ascii="宋体" w:hAnsi="宋体" w:cs="宋体" w:eastAsia="宋体" w:hint="default"/>
          <w:spacing w:val="2"/>
        </w:rPr>
        <w:t>IT</w:t>
      </w:r>
      <w:r>
        <w:rPr>
          <w:spacing w:val="2"/>
        </w:rPr>
        <w:t>销售业务迅速发展，传统电脑卖场刚性成本上升，</w:t>
      </w:r>
    </w:p>
    <w:p>
      <w:pPr>
        <w:pStyle w:val="BodyText"/>
        <w:spacing w:line="357" w:lineRule="auto"/>
        <w:ind w:right="239"/>
        <w:jc w:val="both"/>
      </w:pPr>
      <w:r>
        <w:rPr/>
        <w:t>供应商逐步挤压下游零售商的利润，行业竞争激烈，行业中企业开始出现集中化；在行业整</w:t>
      </w:r>
      <w:r>
        <w:rPr>
          <w:spacing w:val="-91"/>
        </w:rPr>
        <w:t> </w:t>
      </w:r>
      <w:r>
        <w:rPr>
          <w:spacing w:val="-91"/>
        </w:rPr>
      </w:r>
      <w:r>
        <w:rPr/>
        <w:t>合过程中，销售形式呈现地域化，一、二线城市中，网络销售优势将日益明显，而实体销售</w:t>
      </w:r>
      <w:r>
        <w:rPr>
          <w:spacing w:val="-91"/>
        </w:rPr>
        <w:t> </w:t>
      </w:r>
      <w:r>
        <w:rPr>
          <w:spacing w:val="-91"/>
        </w:rPr>
      </w:r>
      <w:r>
        <w:rPr/>
        <w:t>企业将会在三、四线城市展开激烈竞争；产品呈现差异化。</w:t>
      </w:r>
    </w:p>
    <w:p>
      <w:pPr>
        <w:pStyle w:val="BodyText"/>
        <w:spacing w:line="357" w:lineRule="auto"/>
        <w:ind w:right="228" w:firstLine="425"/>
        <w:jc w:val="both"/>
      </w:pPr>
      <w:r>
        <w:rPr>
          <w:spacing w:val="2"/>
        </w:rPr>
        <w:t>近几年来，电子商务行业高速发展，由于受到全球经济紧缩的影响，中国电子商务市场</w:t>
      </w:r>
      <w:r>
        <w:rPr/>
        <w:t> 整体增长速度有所回落，</w:t>
      </w:r>
      <w:r>
        <w:rPr>
          <w:rFonts w:ascii="宋体" w:hAnsi="宋体" w:cs="宋体" w:eastAsia="宋体" w:hint="default"/>
        </w:rPr>
        <w:t>2013</w:t>
      </w:r>
      <w:r>
        <w:rPr/>
        <w:t>年电商行业进入到一个调整阶段，电商平台在保持原有的市场</w:t>
      </w:r>
      <w:r>
        <w:rPr>
          <w:spacing w:val="-90"/>
        </w:rPr>
        <w:t> </w:t>
      </w:r>
      <w:r>
        <w:rPr>
          <w:spacing w:val="-90"/>
        </w:rPr>
      </w:r>
      <w:r>
        <w:rPr/>
        <w:t>份额下，开始向有盈利的市场开始推进，电子商务的外延在不断的扩散，以金融产品、旅游</w:t>
      </w:r>
      <w:r>
        <w:rPr>
          <w:spacing w:val="-91"/>
        </w:rPr>
        <w:t> </w:t>
      </w:r>
      <w:r>
        <w:rPr>
          <w:spacing w:val="-91"/>
        </w:rPr>
      </w:r>
      <w:r>
        <w:rPr/>
        <w:t>产品、精品消费为代表的无物流电子商务将成为整个市场的重要补充力量。</w:t>
      </w:r>
    </w:p>
    <w:p>
      <w:pPr>
        <w:pStyle w:val="BodyText"/>
        <w:spacing w:line="240" w:lineRule="auto"/>
        <w:ind w:left="578" w:right="96"/>
        <w:jc w:val="left"/>
      </w:pPr>
      <w:r>
        <w:rPr>
          <w:rFonts w:ascii="宋体" w:hAnsi="宋体" w:cs="宋体" w:eastAsia="宋体" w:hint="default"/>
        </w:rPr>
        <w:t>3.</w:t>
      </w:r>
      <w:r>
        <w:rPr/>
        <w:t>信息服务业务方面</w:t>
      </w:r>
    </w:p>
    <w:p>
      <w:pPr>
        <w:pStyle w:val="BodyText"/>
        <w:spacing w:line="357" w:lineRule="auto" w:before="154"/>
        <w:ind w:right="96" w:firstLine="425"/>
        <w:jc w:val="left"/>
      </w:pPr>
      <w:r>
        <w:rPr/>
        <w:t>根据国家“十二五”规划，我国在</w:t>
      </w:r>
      <w:r>
        <w:rPr>
          <w:spacing w:val="-17"/>
        </w:rPr>
        <w:t> </w:t>
      </w:r>
      <w:r>
        <w:rPr/>
        <w:t>“三网融合”背景下，将加快</w:t>
      </w:r>
      <w:r>
        <w:rPr>
          <w:rFonts w:ascii="宋体" w:hAnsi="宋体" w:cs="宋体" w:eastAsia="宋体" w:hint="default"/>
        </w:rPr>
        <w:t>3G</w:t>
      </w:r>
      <w:r>
        <w:rPr/>
        <w:t>网络升级与</w:t>
      </w:r>
      <w:r>
        <w:rPr>
          <w:rFonts w:ascii="宋体" w:hAnsi="宋体" w:cs="宋体" w:eastAsia="宋体" w:hint="default"/>
        </w:rPr>
        <w:t>4G</w:t>
      </w:r>
      <w:r>
        <w:rPr/>
        <w:t>网络建 </w:t>
      </w:r>
      <w:r>
        <w:rPr>
          <w:spacing w:val="-2"/>
        </w:rPr>
        <w:t>设，这亦为信息增值服务业务带来发展机遇。随着机遇的到来，信息增值服务业务前景广阔，</w:t>
      </w:r>
      <w:r>
        <w:rPr/>
        <w:t> 市场竞争日趋激烈。</w:t>
      </w:r>
    </w:p>
    <w:p>
      <w:pPr>
        <w:pStyle w:val="BodyText"/>
        <w:spacing w:line="357" w:lineRule="auto"/>
        <w:ind w:right="226" w:firstLine="425"/>
        <w:jc w:val="both"/>
      </w:pPr>
      <w:r>
        <w:rPr>
          <w:spacing w:val="2"/>
        </w:rPr>
        <w:t>在国家“十二五”规划引领下，公司将加快三个业务板块发展步伐，通过升级企业信息 </w:t>
      </w:r>
      <w:r>
        <w:rPr/>
        <w:t>化系列产品，为企业信息化建设提供专业的技术支持；紧盯三网融合机遇，通过进军移动互</w:t>
      </w:r>
      <w:r>
        <w:rPr>
          <w:spacing w:val="-91"/>
        </w:rPr>
        <w:t> </w:t>
      </w:r>
      <w:r>
        <w:rPr>
          <w:spacing w:val="-91"/>
        </w:rPr>
      </w:r>
      <w:r>
        <w:rPr/>
        <w:t>联网和文化创意领域，获取核心技术及内容资源，逐步发展为数字化信息服务主力企业。</w:t>
      </w:r>
    </w:p>
    <w:p>
      <w:pPr>
        <w:pStyle w:val="BodyText"/>
        <w:spacing w:line="357" w:lineRule="auto"/>
        <w:ind w:left="578" w:right="96"/>
        <w:jc w:val="left"/>
      </w:pPr>
      <w:r>
        <w:rPr/>
        <w:t>（二）公司经营面临以下困难 </w:t>
      </w:r>
      <w:r>
        <w:rPr>
          <w:spacing w:val="2"/>
        </w:rPr>
        <w:t>企业信息化服务方面，产品核心竞争力不突出，传统的市场及营销模式不再适用公司的</w:t>
      </w:r>
      <w:r>
        <w:rPr/>
      </w:r>
    </w:p>
    <w:p>
      <w:pPr>
        <w:pStyle w:val="BodyText"/>
        <w:spacing w:line="357" w:lineRule="auto"/>
        <w:ind w:right="239"/>
        <w:jc w:val="both"/>
      </w:pPr>
      <w:r>
        <w:rPr/>
        <w:t>发展，部分产品及解决方案盈利能力有限，缺乏挖掘优质行业应用潜力的模式，缺乏优势行</w:t>
      </w:r>
      <w:r>
        <w:rPr>
          <w:spacing w:val="-91"/>
        </w:rPr>
        <w:t> </w:t>
      </w:r>
      <w:r>
        <w:rPr>
          <w:spacing w:val="-91"/>
        </w:rPr>
      </w:r>
      <w:r>
        <w:rPr/>
        <w:t>业市场目标。</w:t>
      </w:r>
    </w:p>
    <w:p>
      <w:pPr>
        <w:pStyle w:val="BodyText"/>
        <w:spacing w:line="357" w:lineRule="auto" w:before="37"/>
        <w:ind w:right="109" w:firstLine="425"/>
        <w:jc w:val="left"/>
      </w:pPr>
      <w:r>
        <w:rPr>
          <w:rFonts w:ascii="宋体" w:hAnsi="宋体" w:cs="宋体" w:eastAsia="宋体" w:hint="default"/>
          <w:spacing w:val="-1"/>
        </w:rPr>
        <w:t>IT</w:t>
      </w:r>
      <w:r>
        <w:rPr>
          <w:spacing w:val="-1"/>
        </w:rPr>
        <w:t>销售业务方面，产品资源整合有待深化，自有卖场物业的建设尚需一定的时间与成本，</w:t>
      </w:r>
      <w:r>
        <w:rPr/>
        <w:t> 对于业态的经营与成熟尚存在一定的不可预测因素。整个开发建设的过程手续繁琐，工程量</w:t>
      </w:r>
      <w:r>
        <w:rPr>
          <w:spacing w:val="-86"/>
        </w:rPr>
        <w:t> </w:t>
      </w:r>
      <w:r>
        <w:rPr>
          <w:spacing w:val="-86"/>
        </w:rPr>
      </w:r>
      <w:r>
        <w:rPr/>
        <w:t>较大；</w:t>
      </w:r>
      <w:r>
        <w:rPr>
          <w:rFonts w:ascii="宋体" w:hAnsi="宋体" w:cs="宋体" w:eastAsia="宋体" w:hint="default"/>
        </w:rPr>
        <w:t>B2C</w:t>
      </w:r>
      <w:r>
        <w:rPr/>
        <w:t>业务开展严重受制于系统平台，仍处于行业内同类网站较低水平，功能需求改进速 度不能很好的满足需求客户的要求，总体运营效率偏低，物流成本较高，盈利能力弱。</w:t>
      </w:r>
    </w:p>
    <w:p>
      <w:pPr>
        <w:spacing w:after="0" w:line="357"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148" w:firstLine="425"/>
        <w:jc w:val="both"/>
      </w:pPr>
      <w:r>
        <w:rPr>
          <w:spacing w:val="2"/>
        </w:rPr>
        <w:t>信息服务业务方面，基础增值业务增长处于瓶颈期，运营商基地业务尚未进入快速增长 </w:t>
      </w:r>
      <w:r>
        <w:rPr/>
        <w:t>期，大量信息增值业务服务商的进入为公司建设有高鸿特色的信息增值业务服务带来了更高</w:t>
      </w:r>
      <w:r>
        <w:rPr>
          <w:spacing w:val="-91"/>
        </w:rPr>
        <w:t> </w:t>
      </w:r>
      <w:r>
        <w:rPr>
          <w:spacing w:val="-91"/>
        </w:rPr>
      </w:r>
      <w:r>
        <w:rPr/>
        <w:t>的挑战。</w:t>
      </w:r>
    </w:p>
    <w:p>
      <w:pPr>
        <w:pStyle w:val="BodyText"/>
        <w:spacing w:line="357" w:lineRule="auto"/>
        <w:ind w:left="578" w:right="0"/>
        <w:jc w:val="left"/>
      </w:pPr>
      <w:r>
        <w:rPr/>
        <w:t>（三）公司未来发展战略 </w:t>
      </w:r>
      <w:r>
        <w:rPr>
          <w:spacing w:val="2"/>
        </w:rPr>
        <w:t>当今是为消费者服务的社会，需求产生市场。在国家“十二五”规划的引领下，公司结</w:t>
      </w:r>
    </w:p>
    <w:p>
      <w:pPr>
        <w:pStyle w:val="BodyText"/>
        <w:spacing w:line="357" w:lineRule="auto"/>
        <w:ind w:right="153"/>
        <w:jc w:val="both"/>
      </w:pPr>
      <w:r>
        <w:rPr/>
        <w:t>合自身的特点，制定了公司“十二五”发展规划，公司仍将继续在“建立面向广大独立决策</w:t>
      </w:r>
      <w:r>
        <w:rPr>
          <w:spacing w:val="-88"/>
        </w:rPr>
        <w:t> </w:t>
      </w:r>
      <w:r>
        <w:rPr>
          <w:spacing w:val="-88"/>
        </w:rPr>
      </w:r>
      <w:r>
        <w:rPr/>
        <w:t>的投资和消费者主体的服务体系”发展战略的指引下，秉承“诚信为本、服务至上、勇于创</w:t>
      </w:r>
      <w:r>
        <w:rPr>
          <w:spacing w:val="-88"/>
        </w:rPr>
        <w:t> </w:t>
      </w:r>
      <w:r>
        <w:rPr>
          <w:spacing w:val="-88"/>
        </w:rPr>
      </w:r>
      <w:r>
        <w:rPr/>
        <w:t>新、追求卓越”的服务理念推进公司三个业务板块稳健、快速发展，竭力提升公司的可持续</w:t>
      </w:r>
      <w:r>
        <w:rPr>
          <w:spacing w:val="-90"/>
        </w:rPr>
        <w:t> </w:t>
      </w:r>
      <w:r>
        <w:rPr>
          <w:spacing w:val="-90"/>
        </w:rPr>
      </w:r>
      <w:r>
        <w:rPr/>
        <w:t>发展能力、核心竞争力及盈利能力，逐步将公司打造为具有高社会价值、投资价值的企业。</w:t>
      </w:r>
    </w:p>
    <w:p>
      <w:pPr>
        <w:pStyle w:val="BodyText"/>
        <w:spacing w:line="357" w:lineRule="auto" w:before="37"/>
        <w:ind w:left="578" w:right="147"/>
        <w:jc w:val="left"/>
      </w:pPr>
      <w:r>
        <w:rPr>
          <w:rFonts w:ascii="宋体" w:hAnsi="宋体" w:cs="宋体" w:eastAsia="宋体" w:hint="default"/>
        </w:rPr>
        <w:t>1.</w:t>
      </w:r>
      <w:r>
        <w:rPr/>
        <w:t>经营战略 </w:t>
      </w:r>
      <w:r>
        <w:rPr>
          <w:spacing w:val="-1"/>
        </w:rPr>
        <w:t>深入贯彻落实“科学发展观”，坚持以公司的“十二五”发展战略为引领</w:t>
      </w:r>
      <w:r>
        <w:rPr>
          <w:rFonts w:ascii="宋体" w:hAnsi="宋体" w:cs="宋体" w:eastAsia="宋体" w:hint="default"/>
          <w:spacing w:val="-1"/>
        </w:rPr>
        <w:t>,</w:t>
      </w:r>
      <w:r>
        <w:rPr>
          <w:spacing w:val="-1"/>
        </w:rPr>
        <w:t>通过建设渠道</w:t>
      </w:r>
    </w:p>
    <w:p>
      <w:pPr>
        <w:pStyle w:val="BodyText"/>
        <w:spacing w:line="357" w:lineRule="auto"/>
        <w:ind w:right="154"/>
        <w:jc w:val="both"/>
      </w:pPr>
      <w:r>
        <w:rPr/>
        <w:t>平台对客户广泛覆盖，横向整合资源，纵向整合业务，在传统渠道上整合新型业务，努力使</w:t>
      </w:r>
      <w:r>
        <w:rPr>
          <w:spacing w:val="-91"/>
        </w:rPr>
        <w:t> </w:t>
      </w:r>
      <w:r>
        <w:rPr>
          <w:spacing w:val="-91"/>
        </w:rPr>
      </w:r>
      <w:r>
        <w:rPr/>
        <w:t>各业务板块在行业细分领域成为具有竞争优势的一流企业，实现企业信息化、</w:t>
      </w:r>
      <w:r>
        <w:rPr>
          <w:rFonts w:ascii="宋体" w:hAnsi="宋体" w:cs="宋体" w:eastAsia="宋体" w:hint="default"/>
        </w:rPr>
        <w:t>IT</w:t>
      </w:r>
      <w:r>
        <w:rPr/>
        <w:t>销售业务、</w:t>
      </w:r>
      <w:r>
        <w:rPr>
          <w:spacing w:val="-86"/>
        </w:rPr>
        <w:t> </w:t>
      </w:r>
      <w:r>
        <w:rPr>
          <w:spacing w:val="-86"/>
        </w:rPr>
      </w:r>
      <w:r>
        <w:rPr/>
        <w:t>信息服务业务全面、协调、可持续发展。</w:t>
      </w:r>
    </w:p>
    <w:p>
      <w:pPr>
        <w:pStyle w:val="BodyText"/>
        <w:spacing w:line="240" w:lineRule="auto"/>
        <w:ind w:left="578" w:right="0"/>
        <w:jc w:val="left"/>
      </w:pPr>
      <w:r>
        <w:rPr>
          <w:rFonts w:ascii="宋体" w:hAnsi="宋体" w:cs="宋体" w:eastAsia="宋体" w:hint="default"/>
        </w:rPr>
        <w:t>2.</w:t>
      </w:r>
      <w:r>
        <w:rPr/>
        <w:t>市场战略</w:t>
      </w:r>
    </w:p>
    <w:p>
      <w:pPr>
        <w:pStyle w:val="BodyText"/>
        <w:spacing w:line="357" w:lineRule="auto" w:before="154"/>
        <w:ind w:left="578" w:right="0"/>
        <w:jc w:val="left"/>
      </w:pPr>
      <w:r>
        <w:rPr/>
        <w:t>（</w:t>
      </w:r>
      <w:r>
        <w:rPr>
          <w:rFonts w:ascii="宋体" w:hAnsi="宋体" w:cs="宋体" w:eastAsia="宋体" w:hint="default"/>
        </w:rPr>
        <w:t>1</w:t>
      </w:r>
      <w:r>
        <w:rPr/>
        <w:t>）企业信息化业务 </w:t>
      </w:r>
      <w:r>
        <w:rPr>
          <w:spacing w:val="2"/>
        </w:rPr>
        <w:t>充分利用推动信息化和工业化深度融合和物联网应用为政策导向扩大内需的机遇，结合</w:t>
      </w:r>
      <w:r>
        <w:rPr/>
      </w:r>
    </w:p>
    <w:p>
      <w:pPr>
        <w:pStyle w:val="BodyText"/>
        <w:spacing w:line="357" w:lineRule="auto"/>
        <w:ind w:right="153"/>
        <w:jc w:val="both"/>
      </w:pPr>
      <w:r>
        <w:rPr/>
        <w:t>自有技术积累，整合多项业务，提供有特色的信息化解决方案，拓宽物联网细分领域和企业</w:t>
      </w:r>
      <w:r>
        <w:rPr>
          <w:spacing w:val="-91"/>
        </w:rPr>
        <w:t> </w:t>
      </w:r>
      <w:r>
        <w:rPr>
          <w:spacing w:val="-91"/>
        </w:rPr>
      </w:r>
      <w:r>
        <w:rPr/>
        <w:t>信息化服务市场，建设专业技术领域的职业团队，逐步实现到“企业信息化服务与集成商”</w:t>
      </w:r>
      <w:r>
        <w:rPr>
          <w:spacing w:val="-87"/>
        </w:rPr>
        <w:t> </w:t>
      </w:r>
      <w:r>
        <w:rPr>
          <w:spacing w:val="-87"/>
        </w:rPr>
      </w:r>
      <w:r>
        <w:rPr/>
        <w:t>转变。</w:t>
      </w:r>
    </w:p>
    <w:p>
      <w:pPr>
        <w:pStyle w:val="BodyText"/>
        <w:spacing w:line="357" w:lineRule="auto"/>
        <w:ind w:left="578" w:right="150"/>
        <w:jc w:val="left"/>
      </w:pPr>
      <w:r>
        <w:rPr/>
        <w:t>（</w:t>
      </w:r>
      <w:r>
        <w:rPr>
          <w:rFonts w:ascii="宋体" w:hAnsi="宋体" w:cs="宋体" w:eastAsia="宋体" w:hint="default"/>
        </w:rPr>
        <w:t>2</w:t>
      </w:r>
      <w:r>
        <w:rPr/>
        <w:t>）</w:t>
      </w:r>
      <w:r>
        <w:rPr>
          <w:rFonts w:ascii="宋体" w:hAnsi="宋体" w:cs="宋体" w:eastAsia="宋体" w:hint="default"/>
        </w:rPr>
        <w:t>IT</w:t>
      </w:r>
      <w:r>
        <w:rPr/>
        <w:t>销售业务 </w:t>
      </w:r>
      <w:r>
        <w:rPr>
          <w:spacing w:val="2"/>
        </w:rPr>
        <w:t>公司将在以实体店面与电子商城形成网上网下专业化</w:t>
      </w:r>
      <w:r>
        <w:rPr>
          <w:rFonts w:ascii="宋体" w:hAnsi="宋体" w:cs="宋体" w:eastAsia="宋体" w:hint="default"/>
          <w:spacing w:val="2"/>
        </w:rPr>
        <w:t>IT</w:t>
      </w:r>
      <w:r>
        <w:rPr>
          <w:spacing w:val="2"/>
        </w:rPr>
        <w:t>销售的基础上，逐步建立在一线</w:t>
      </w:r>
    </w:p>
    <w:p>
      <w:pPr>
        <w:pStyle w:val="BodyText"/>
        <w:spacing w:line="357" w:lineRule="auto"/>
        <w:ind w:right="159"/>
        <w:jc w:val="both"/>
      </w:pPr>
      <w:r>
        <w:rPr/>
        <w:t>城市以个性化的电子商务为主体，二、三线城市以覆盖自有物业经营为主体的差异化立体式</w:t>
      </w:r>
      <w:r>
        <w:rPr>
          <w:spacing w:val="-91"/>
        </w:rPr>
        <w:t> </w:t>
      </w:r>
      <w:r>
        <w:rPr>
          <w:spacing w:val="-91"/>
        </w:rPr>
      </w:r>
      <w:r>
        <w:rPr/>
        <w:t>运营体系。</w:t>
      </w:r>
    </w:p>
    <w:p>
      <w:pPr>
        <w:pStyle w:val="BodyText"/>
        <w:spacing w:line="240" w:lineRule="auto"/>
        <w:ind w:left="578" w:right="0"/>
        <w:jc w:val="left"/>
      </w:pPr>
      <w:r>
        <w:rPr/>
        <w:t>电子商务方面，不断向外延扩散逐步转向，向虚拟货品等轻物流产品转型。</w:t>
      </w:r>
    </w:p>
    <w:p>
      <w:pPr>
        <w:pStyle w:val="BodyText"/>
        <w:spacing w:line="357" w:lineRule="auto" w:before="154"/>
        <w:ind w:left="578" w:right="0"/>
        <w:jc w:val="left"/>
      </w:pPr>
      <w:r>
        <w:rPr/>
        <w:t>（</w:t>
      </w:r>
      <w:r>
        <w:rPr>
          <w:rFonts w:ascii="宋体" w:hAnsi="宋体" w:cs="宋体" w:eastAsia="宋体" w:hint="default"/>
        </w:rPr>
        <w:t>3</w:t>
      </w:r>
      <w:r>
        <w:rPr/>
        <w:t>）信息服务业务 </w:t>
      </w:r>
      <w:r>
        <w:rPr>
          <w:spacing w:val="2"/>
        </w:rPr>
        <w:t>根据政策导向，紧盯物联网、三网融合加速推进的机遇，加强业务多样化发展，深入挖</w:t>
      </w:r>
      <w:r>
        <w:rPr/>
      </w:r>
    </w:p>
    <w:p>
      <w:pPr>
        <w:pStyle w:val="BodyText"/>
        <w:spacing w:line="357" w:lineRule="auto"/>
        <w:ind w:right="159"/>
        <w:jc w:val="both"/>
      </w:pPr>
      <w:r>
        <w:rPr/>
        <w:t>掘移动互联网信息增值业务，加大投入，获取核心技术，支撑业务规模化发展；进军文化创</w:t>
      </w:r>
      <w:r>
        <w:rPr>
          <w:spacing w:val="-91"/>
        </w:rPr>
        <w:t> </w:t>
      </w:r>
      <w:r>
        <w:rPr>
          <w:spacing w:val="-91"/>
        </w:rPr>
      </w:r>
      <w:r>
        <w:rPr/>
        <w:t>意领域，以内容资源支撑业务规模拓展，拓展加强新媒体业务，基地接入，逐步塑造为数字</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left="578" w:right="7214" w:hanging="426"/>
        <w:jc w:val="left"/>
      </w:pPr>
      <w:r>
        <w:rPr/>
        <w:t>化信息服务的主力企业。 </w:t>
      </w:r>
      <w:r>
        <w:rPr>
          <w:rFonts w:ascii="宋体" w:hAnsi="宋体" w:cs="宋体" w:eastAsia="宋体" w:hint="default"/>
        </w:rPr>
        <w:t>3.</w:t>
      </w:r>
      <w:r>
        <w:rPr/>
        <w:t>产品和品牌战略</w:t>
      </w:r>
    </w:p>
    <w:p>
      <w:pPr>
        <w:pStyle w:val="BodyText"/>
        <w:spacing w:line="357" w:lineRule="auto"/>
        <w:ind w:right="108" w:firstLine="425"/>
        <w:jc w:val="left"/>
      </w:pPr>
      <w:r>
        <w:rPr>
          <w:spacing w:val="-1"/>
        </w:rPr>
        <w:t>以市场战略为基础，保证整体产品质量，服务质量，提升品牌形象；以服务客户为中心，</w:t>
      </w:r>
      <w:r>
        <w:rPr/>
        <w:t> 打造符合市场需求的有特色产品及服务，突出品牌定位及核心价值。</w:t>
      </w:r>
    </w:p>
    <w:p>
      <w:pPr>
        <w:pStyle w:val="BodyText"/>
        <w:spacing w:line="357" w:lineRule="auto"/>
        <w:ind w:right="233" w:firstLine="425"/>
        <w:jc w:val="both"/>
      </w:pPr>
      <w:r>
        <w:rPr>
          <w:spacing w:val="2"/>
        </w:rPr>
        <w:t>针对企业信息化服务方面，公司深度挖掘市场需求，将产品打造成精品，拓展物联网细</w:t>
      </w:r>
      <w:r>
        <w:rPr/>
        <w:t> 分行业市场和</w:t>
      </w:r>
      <w:r>
        <w:rPr>
          <w:rFonts w:ascii="宋体" w:hAnsi="宋体" w:cs="宋体" w:eastAsia="宋体" w:hint="default"/>
        </w:rPr>
        <w:t>IP</w:t>
      </w:r>
      <w:r>
        <w:rPr/>
        <w:t>语音应用领域，推广企业信息化服务；</w:t>
      </w:r>
      <w:r>
        <w:rPr>
          <w:rFonts w:ascii="宋体" w:hAnsi="宋体" w:cs="宋体" w:eastAsia="宋体" w:hint="default"/>
        </w:rPr>
        <w:t>IT</w:t>
      </w:r>
      <w:r>
        <w:rPr/>
        <w:t>销售业务领域，公司将致力于用具</w:t>
      </w:r>
      <w:r>
        <w:rPr>
          <w:spacing w:val="-89"/>
        </w:rPr>
        <w:t> </w:t>
      </w:r>
      <w:r>
        <w:rPr>
          <w:spacing w:val="-89"/>
        </w:rPr>
      </w:r>
      <w:r>
        <w:rPr/>
        <w:t>有特色的高质量终端产品与丰富的品类组合服务消费者；信息服务业务方面，公司努力拓展</w:t>
      </w:r>
      <w:r>
        <w:rPr>
          <w:spacing w:val="-91"/>
        </w:rPr>
        <w:t> </w:t>
      </w:r>
      <w:r>
        <w:rPr>
          <w:spacing w:val="-91"/>
        </w:rPr>
      </w:r>
      <w:r>
        <w:rPr/>
        <w:t>移动互联网信息服务和新媒体业务，拓宽信息服务业务内容，为客户提供贴心的信息服务。</w:t>
      </w:r>
      <w:r>
        <w:rPr>
          <w:spacing w:val="-91"/>
        </w:rPr>
        <w:t> </w:t>
      </w:r>
      <w:r>
        <w:rPr>
          <w:spacing w:val="-91"/>
        </w:rPr>
      </w:r>
      <w:r>
        <w:rPr/>
        <w:t>高阳捷迅以充值业务为基础，大力拓展多种数字化商品综合兑换平台，实现小额数字商品交</w:t>
      </w:r>
      <w:r>
        <w:rPr>
          <w:spacing w:val="-91"/>
        </w:rPr>
        <w:t> </w:t>
      </w:r>
      <w:r>
        <w:rPr>
          <w:spacing w:val="-91"/>
        </w:rPr>
      </w:r>
      <w:r>
        <w:rPr/>
        <w:t>易品种和交易额的重大突破。公司通过三个业务板块的推进，为消费者提供具有“高鸿”特</w:t>
      </w:r>
      <w:r>
        <w:rPr>
          <w:spacing w:val="-86"/>
        </w:rPr>
        <w:t> </w:t>
      </w:r>
      <w:r>
        <w:rPr>
          <w:spacing w:val="-86"/>
        </w:rPr>
      </w:r>
      <w:r>
        <w:rPr/>
        <w:t>色的产品与服务。</w:t>
      </w:r>
    </w:p>
    <w:p>
      <w:pPr>
        <w:pStyle w:val="BodyText"/>
        <w:spacing w:line="357" w:lineRule="auto"/>
        <w:ind w:left="578" w:right="227"/>
        <w:jc w:val="left"/>
      </w:pPr>
      <w:r>
        <w:rPr>
          <w:rFonts w:ascii="宋体" w:hAnsi="宋体" w:cs="宋体" w:eastAsia="宋体" w:hint="default"/>
        </w:rPr>
        <w:t>4.</w:t>
      </w:r>
      <w:r>
        <w:rPr/>
        <w:t>人才战略 </w:t>
      </w:r>
      <w:r>
        <w:rPr>
          <w:spacing w:val="-1"/>
        </w:rPr>
        <w:t>建立和完善公司激励政策，逐步建立短、中、长期的激励机制</w:t>
      </w:r>
      <w:r>
        <w:rPr>
          <w:rFonts w:ascii="宋体" w:hAnsi="宋体" w:cs="宋体" w:eastAsia="宋体" w:hint="default"/>
          <w:spacing w:val="-1"/>
        </w:rPr>
        <w:t>,</w:t>
      </w:r>
      <w:r>
        <w:rPr>
          <w:spacing w:val="-1"/>
        </w:rPr>
        <w:t>优化人才结构，塑造人才</w:t>
      </w:r>
    </w:p>
    <w:p>
      <w:pPr>
        <w:pStyle w:val="BodyText"/>
        <w:spacing w:line="357" w:lineRule="auto"/>
        <w:ind w:right="239"/>
        <w:jc w:val="both"/>
      </w:pPr>
      <w:r>
        <w:rPr/>
        <w:t>精品战略。引进与培养适合公司新业务发展的综合型人才（或专业型人才）。加强人力资源</w:t>
      </w:r>
      <w:r>
        <w:rPr>
          <w:spacing w:val="-91"/>
        </w:rPr>
        <w:t> </w:t>
      </w:r>
      <w:r>
        <w:rPr>
          <w:spacing w:val="-91"/>
        </w:rPr>
      </w:r>
      <w:r>
        <w:rPr/>
        <w:t>能力建设，通过干部巡讲，逐步培养和建设一支年轻、有朝气、有激情、吃苦耐劳、逆境生</w:t>
      </w:r>
      <w:r>
        <w:rPr>
          <w:spacing w:val="-91"/>
        </w:rPr>
        <w:t> </w:t>
      </w:r>
      <w:r>
        <w:rPr>
          <w:spacing w:val="-91"/>
        </w:rPr>
      </w:r>
      <w:r>
        <w:rPr/>
        <w:t>存的队伍。</w:t>
      </w:r>
    </w:p>
    <w:p>
      <w:pPr>
        <w:pStyle w:val="BodyText"/>
        <w:spacing w:line="357" w:lineRule="auto"/>
        <w:ind w:left="578" w:right="96"/>
        <w:jc w:val="left"/>
      </w:pPr>
      <w:r>
        <w:rPr>
          <w:rFonts w:ascii="宋体" w:hAnsi="宋体" w:cs="宋体" w:eastAsia="宋体" w:hint="default"/>
        </w:rPr>
        <w:t>5.</w:t>
      </w:r>
      <w:r>
        <w:rPr/>
        <w:t>资本战略 </w:t>
      </w:r>
      <w:r>
        <w:rPr>
          <w:spacing w:val="2"/>
        </w:rPr>
        <w:t>公司充分发挥上市公司的资本平台优势，围绕相关业务开展资本经营活动，运用资本经</w:t>
      </w:r>
      <w:r>
        <w:rPr/>
      </w:r>
    </w:p>
    <w:p>
      <w:pPr>
        <w:pStyle w:val="BodyText"/>
        <w:spacing w:line="357" w:lineRule="auto"/>
        <w:ind w:right="96"/>
        <w:jc w:val="left"/>
      </w:pPr>
      <w:r>
        <w:rPr>
          <w:spacing w:val="-2"/>
        </w:rPr>
        <w:t>营手段，整合产业链具有价值的资源，并与公司核心竞争力相结合，提升公司整体竞争能力，</w:t>
      </w:r>
      <w:r>
        <w:rPr/>
        <w:t> 实现资本保值增值，使公司的规模和效益得到有效提升。</w:t>
      </w:r>
    </w:p>
    <w:p>
      <w:pPr>
        <w:pStyle w:val="BodyText"/>
        <w:spacing w:line="357" w:lineRule="auto"/>
        <w:ind w:left="578" w:right="96"/>
        <w:jc w:val="left"/>
      </w:pPr>
      <w:r>
        <w:rPr/>
        <w:t>（四）新年度经营计划 </w:t>
      </w:r>
      <w:r>
        <w:rPr>
          <w:rFonts w:ascii="宋体" w:hAnsi="宋体" w:cs="宋体" w:eastAsia="宋体" w:hint="default"/>
        </w:rPr>
        <w:t>2014</w:t>
      </w:r>
      <w:r>
        <w:rPr/>
        <w:t>年，公司将紧密结合公司的发展战略，三大业务板块重点项目进行投资，推进战略</w:t>
      </w:r>
    </w:p>
    <w:p>
      <w:pPr>
        <w:pStyle w:val="BodyText"/>
        <w:spacing w:line="357" w:lineRule="auto"/>
        <w:ind w:right="235"/>
        <w:jc w:val="both"/>
      </w:pPr>
      <w:r>
        <w:rPr/>
        <w:t>落地，提升核心竞争力和盈利能力。推进“十二五”发展战略的实施。通过业务投入和资本</w:t>
      </w:r>
      <w:r>
        <w:rPr>
          <w:spacing w:val="-89"/>
        </w:rPr>
        <w:t> </w:t>
      </w:r>
      <w:r>
        <w:rPr>
          <w:spacing w:val="-89"/>
        </w:rPr>
      </w:r>
      <w:r>
        <w:rPr/>
        <w:t>投资，调整业务结构，优化资产结构，提高盈利水平，实现公司价值增值。与国家宏观、区</w:t>
      </w:r>
      <w:r>
        <w:rPr>
          <w:spacing w:val="-91"/>
        </w:rPr>
        <w:t> </w:t>
      </w:r>
      <w:r>
        <w:rPr>
          <w:spacing w:val="-91"/>
        </w:rPr>
      </w:r>
      <w:r>
        <w:rPr/>
        <w:t>域政策充分对接，整合资源，提高业绩，提升资产价值；优化商业模式；建立创新机制；丰</w:t>
      </w:r>
      <w:r>
        <w:rPr>
          <w:spacing w:val="-91"/>
        </w:rPr>
        <w:t> </w:t>
      </w:r>
      <w:r>
        <w:rPr>
          <w:spacing w:val="-91"/>
        </w:rPr>
      </w:r>
      <w:r>
        <w:rPr/>
        <w:t>富产融结合策略。</w:t>
      </w:r>
    </w:p>
    <w:p>
      <w:pPr>
        <w:pStyle w:val="BodyText"/>
        <w:spacing w:line="357" w:lineRule="auto"/>
        <w:ind w:right="228" w:firstLine="425"/>
        <w:jc w:val="both"/>
      </w:pPr>
      <w:r>
        <w:rPr>
          <w:spacing w:val="2"/>
        </w:rPr>
        <w:t>逐步优化业务结构：资源倾斜，做强以物联网和融合通信为主方向的企业信息化业务和 </w:t>
      </w:r>
      <w:r>
        <w:rPr/>
        <w:t>以移动互联网为依托的信息服务业务。</w:t>
      </w:r>
    </w:p>
    <w:p>
      <w:pPr>
        <w:pStyle w:val="BodyText"/>
        <w:spacing w:line="240" w:lineRule="auto"/>
        <w:ind w:left="578" w:right="96"/>
        <w:jc w:val="left"/>
      </w:pPr>
      <w:r>
        <w:rPr>
          <w:spacing w:val="2"/>
        </w:rPr>
        <w:t>加强匹配策略：加大新业务投入，实施外延式并购，对接外部政策资源，建设内部配套</w:t>
      </w:r>
      <w:r>
        <w:rPr/>
      </w:r>
    </w:p>
    <w:p>
      <w:pPr>
        <w:spacing w:after="0" w:line="240"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240" w:lineRule="auto" w:before="26"/>
        <w:ind w:right="96"/>
        <w:jc w:val="left"/>
      </w:pPr>
      <w:r>
        <w:rPr/>
        <w:t>激励机制。</w:t>
      </w:r>
    </w:p>
    <w:p>
      <w:pPr>
        <w:pStyle w:val="BodyText"/>
        <w:spacing w:line="357" w:lineRule="auto" w:before="154"/>
        <w:ind w:right="238" w:firstLine="425"/>
        <w:jc w:val="both"/>
      </w:pPr>
      <w:r>
        <w:rPr>
          <w:spacing w:val="2"/>
        </w:rPr>
        <w:t>企业信息化服务方面：立足于公司现有的核心产品及解决方案，聚焦行业市场，有效切</w:t>
      </w:r>
      <w:r>
        <w:rPr/>
        <w:t> 入重点行业市场。</w:t>
      </w:r>
    </w:p>
    <w:p>
      <w:pPr>
        <w:pStyle w:val="BodyText"/>
        <w:spacing w:line="357" w:lineRule="auto"/>
        <w:ind w:right="96" w:firstLine="425"/>
        <w:jc w:val="left"/>
      </w:pPr>
      <w:r>
        <w:rPr>
          <w:spacing w:val="2"/>
        </w:rPr>
        <w:t>以整体解决方案为导向，以重点行业为重点市场；非核心机构外移，降低成本；深入行 </w:t>
      </w:r>
      <w:r>
        <w:rPr/>
        <w:t>业、扩大规模、提升能力，从行业、区域、产品三方面进行市场拓展，进一步提升市场拓展</w:t>
      </w:r>
      <w:r>
        <w:rPr>
          <w:spacing w:val="-91"/>
        </w:rPr>
        <w:t> </w:t>
      </w:r>
      <w:r>
        <w:rPr>
          <w:spacing w:val="-91"/>
        </w:rPr>
      </w:r>
      <w:r>
        <w:rPr/>
        <w:t>工作的能力；以企业信息化为方向，重点开拓教育信息化、金融信息化、广电信息化及矿山</w:t>
      </w:r>
      <w:r>
        <w:rPr>
          <w:spacing w:val="-91"/>
        </w:rPr>
        <w:t> </w:t>
      </w:r>
      <w:r>
        <w:rPr>
          <w:spacing w:val="-91"/>
        </w:rPr>
      </w:r>
      <w:r>
        <w:rPr/>
        <w:t>行业；积极争取获得基础运营商和虚拟运营商的充值平台建设的机会，同时寻求电信运营商</w:t>
      </w:r>
      <w:r>
        <w:rPr>
          <w:spacing w:val="-91"/>
        </w:rPr>
        <w:t> </w:t>
      </w:r>
      <w:r>
        <w:rPr>
          <w:spacing w:val="-91"/>
        </w:rPr>
      </w:r>
      <w:r>
        <w:rPr/>
        <w:t>之外的软件业务机会；积极探索新方案，力争在某个新方向上形成有效突破，为公司企业信</w:t>
      </w:r>
      <w:r>
        <w:rPr>
          <w:spacing w:val="-89"/>
        </w:rPr>
        <w:t> </w:t>
      </w:r>
      <w:r>
        <w:rPr>
          <w:spacing w:val="-89"/>
        </w:rPr>
      </w:r>
      <w:r>
        <w:rPr/>
        <w:t>息化产业后续发展提供原动力；提升团队的业务能力和专业知识，建立和强化各省级区域销</w:t>
      </w:r>
      <w:r>
        <w:rPr>
          <w:spacing w:val="-89"/>
        </w:rPr>
        <w:t> </w:t>
      </w:r>
      <w:r>
        <w:rPr>
          <w:spacing w:val="-89"/>
        </w:rPr>
      </w:r>
      <w:r>
        <w:rPr/>
        <w:t>售和服务能力；研发方面，以整体解决方案为导向，加强对重点项目的支持，以重点行业为</w:t>
      </w:r>
      <w:r>
        <w:rPr>
          <w:spacing w:val="-91"/>
        </w:rPr>
        <w:t> </w:t>
      </w:r>
      <w:r>
        <w:rPr>
          <w:spacing w:val="-91"/>
        </w:rPr>
      </w:r>
      <w:r>
        <w:rPr>
          <w:spacing w:val="-2"/>
        </w:rPr>
        <w:t>重点市场，建立核心专家团队，加强现有产品的竞争力，不断尝试新的应用，突出行业特色，</w:t>
      </w:r>
      <w:r>
        <w:rPr/>
        <w:t> 提高附加值；外部资源整合方面，公司计划围绕企业信息化现有业务范围，积极开展产业并</w:t>
      </w:r>
      <w:r>
        <w:rPr>
          <w:spacing w:val="-91"/>
        </w:rPr>
        <w:t> </w:t>
      </w:r>
      <w:r>
        <w:rPr>
          <w:spacing w:val="-91"/>
        </w:rPr>
      </w:r>
      <w:r>
        <w:rPr/>
        <w:t>购，做强做优现有业务。</w:t>
      </w:r>
    </w:p>
    <w:p>
      <w:pPr>
        <w:pStyle w:val="BodyText"/>
        <w:spacing w:line="357" w:lineRule="auto"/>
        <w:ind w:right="228" w:firstLine="425"/>
        <w:jc w:val="both"/>
      </w:pPr>
      <w:r>
        <w:rPr>
          <w:rFonts w:ascii="宋体" w:hAnsi="宋体" w:cs="宋体" w:eastAsia="宋体" w:hint="default"/>
          <w:spacing w:val="2"/>
        </w:rPr>
        <w:t>IT</w:t>
      </w:r>
      <w:r>
        <w:rPr>
          <w:spacing w:val="2"/>
        </w:rPr>
        <w:t>渠道业务方面：积极研究行业动态，提升公司的综合竞争力，实现应收规模和盈利能 </w:t>
      </w:r>
      <w:r>
        <w:rPr/>
        <w:t>力的双重提升。</w:t>
      </w:r>
    </w:p>
    <w:p>
      <w:pPr>
        <w:pStyle w:val="BodyText"/>
        <w:spacing w:line="357" w:lineRule="auto"/>
        <w:ind w:right="228" w:firstLine="425"/>
        <w:jc w:val="both"/>
      </w:pPr>
      <w:r>
        <w:rPr>
          <w:spacing w:val="2"/>
        </w:rPr>
        <w:t>实体销售方面，持续挖掘客户资源与产品资源，加强与重点厂商、合作伙伴的合作，不 </w:t>
      </w:r>
      <w:r>
        <w:rPr/>
        <w:t>断完善信控体系，强化资金风险控制，保持大客户批发业务平稳有序快速持续发展；快速拓</w:t>
      </w:r>
      <w:r>
        <w:rPr>
          <w:spacing w:val="-90"/>
        </w:rPr>
        <w:t> </w:t>
      </w:r>
      <w:r>
        <w:rPr>
          <w:spacing w:val="-90"/>
        </w:rPr>
      </w:r>
      <w:r>
        <w:rPr/>
        <w:t>展新的产品市场，提升盈利能力。</w:t>
      </w:r>
    </w:p>
    <w:p>
      <w:pPr>
        <w:pStyle w:val="BodyText"/>
        <w:spacing w:line="357" w:lineRule="auto"/>
        <w:ind w:right="238" w:firstLine="425"/>
        <w:jc w:val="both"/>
      </w:pPr>
      <w:r>
        <w:rPr>
          <w:rFonts w:ascii="宋体" w:hAnsi="宋体" w:cs="宋体" w:eastAsia="宋体" w:hint="default"/>
        </w:rPr>
        <w:t>B2C</w:t>
      </w:r>
      <w:r>
        <w:rPr/>
        <w:t>方面，</w:t>
      </w:r>
      <w:r>
        <w:rPr>
          <w:spacing w:val="12"/>
        </w:rPr>
        <w:t> </w:t>
      </w:r>
      <w:r>
        <w:rPr>
          <w:spacing w:val="2"/>
        </w:rPr>
        <w:t>在有效利用现有电子商务平台的基础上，逐步推进现有电子商务业务转型，</w:t>
      </w:r>
      <w:r>
        <w:rPr/>
        <w:t> 紧盯移动互联网行业的发展态势，积极推进公司互联网彩票、保险代理业务的实施，实现公</w:t>
      </w:r>
      <w:r>
        <w:rPr>
          <w:spacing w:val="-91"/>
        </w:rPr>
        <w:t> </w:t>
      </w:r>
      <w:r>
        <w:rPr>
          <w:spacing w:val="-91"/>
        </w:rPr>
      </w:r>
      <w:r>
        <w:rPr/>
        <w:t>司在移动互联网领域的业务拓展和电子商务业务的盈利能力。</w:t>
      </w:r>
    </w:p>
    <w:p>
      <w:pPr>
        <w:pStyle w:val="BodyText"/>
        <w:spacing w:line="357" w:lineRule="auto"/>
        <w:ind w:right="228" w:firstLine="425"/>
        <w:jc w:val="both"/>
      </w:pPr>
      <w:r>
        <w:rPr>
          <w:spacing w:val="2"/>
        </w:rPr>
        <w:t>信息服务业务方面：巩固基础电信增值业务市场份额，重点拓展新媒体业务和电子支付 </w:t>
      </w:r>
      <w:r>
        <w:rPr/>
        <w:t>业务。</w:t>
      </w:r>
    </w:p>
    <w:p>
      <w:pPr>
        <w:pStyle w:val="BodyText"/>
        <w:spacing w:line="357" w:lineRule="auto"/>
        <w:ind w:right="228" w:firstLine="425"/>
        <w:jc w:val="both"/>
      </w:pPr>
      <w:r>
        <w:rPr>
          <w:spacing w:val="2"/>
        </w:rPr>
        <w:t>基础电信增值方面：完善可运营、可管理的渠道运营平台，保持以基础电信业务为主的 </w:t>
      </w:r>
      <w:r>
        <w:rPr/>
        <w:t>规模化运营。</w:t>
      </w:r>
    </w:p>
    <w:p>
      <w:pPr>
        <w:pStyle w:val="BodyText"/>
        <w:spacing w:line="357" w:lineRule="auto" w:before="37"/>
        <w:ind w:right="234" w:firstLine="425"/>
        <w:jc w:val="both"/>
      </w:pPr>
      <w:r>
        <w:rPr>
          <w:spacing w:val="2"/>
        </w:rPr>
        <w:t>新媒体业务方面：开发数字新媒体内容采集平台，支撑新媒体业务以及文化创意产业扶</w:t>
      </w:r>
      <w:r>
        <w:rPr/>
        <w:t> 持基金项目的发展；稳步推进手机网游运营业务和移动互联网应用推广业务的拓展，积极探</w:t>
      </w:r>
      <w:r>
        <w:rPr>
          <w:spacing w:val="-91"/>
        </w:rPr>
        <w:t> </w:t>
      </w:r>
      <w:r>
        <w:rPr>
          <w:spacing w:val="-91"/>
        </w:rPr>
      </w:r>
      <w:r>
        <w:rPr/>
        <w:t>索多种运作模式，结合资本运作以孵化、战略投资、联合运营等多种方式快速推进新业务发</w:t>
      </w:r>
      <w:r>
        <w:rPr>
          <w:spacing w:val="-91"/>
        </w:rPr>
        <w:t> </w:t>
      </w:r>
      <w:r>
        <w:rPr>
          <w:spacing w:val="-91"/>
        </w:rPr>
      </w:r>
      <w:r>
        <w:rPr/>
        <w:t>展。</w:t>
      </w:r>
    </w:p>
    <w:p>
      <w:pPr>
        <w:spacing w:after="0" w:line="357" w:lineRule="auto"/>
        <w:jc w:val="both"/>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148" w:firstLine="425"/>
        <w:jc w:val="both"/>
      </w:pPr>
      <w:r>
        <w:rPr>
          <w:spacing w:val="2"/>
        </w:rPr>
        <w:t>移动互联网小额数字化商品交易服务方面：持续提高充值业务质量，提升充值业务在互 </w:t>
      </w:r>
      <w:r>
        <w:rPr/>
        <w:t>联网平台入口的市场占有率，为公司综合兑换平台提供强健的业务基础；稳健合规的运行开</w:t>
      </w:r>
      <w:r>
        <w:rPr>
          <w:spacing w:val="-91"/>
        </w:rPr>
        <w:t> </w:t>
      </w:r>
      <w:r>
        <w:rPr>
          <w:spacing w:val="-91"/>
        </w:rPr>
      </w:r>
      <w:r>
        <w:rPr/>
        <w:t>展各类第三方支付业务。积极拓宽除几大合作银行外的其他银行的合作，同时深入加强与银</w:t>
      </w:r>
      <w:r>
        <w:rPr>
          <w:spacing w:val="-91"/>
        </w:rPr>
        <w:t> </w:t>
      </w:r>
      <w:r>
        <w:rPr>
          <w:spacing w:val="-91"/>
        </w:rPr>
      </w:r>
      <w:r>
        <w:rPr/>
        <w:t>行的业务合作，如微贷款、信用卡发卡、话费合作等业务。</w:t>
      </w:r>
    </w:p>
    <w:p>
      <w:pPr>
        <w:spacing w:line="240" w:lineRule="auto" w:before="11"/>
        <w:rPr>
          <w:rFonts w:ascii="宋体" w:hAnsi="宋体" w:cs="宋体" w:eastAsia="宋体" w:hint="default"/>
          <w:sz w:val="19"/>
          <w:szCs w:val="19"/>
        </w:rPr>
      </w:pPr>
    </w:p>
    <w:p>
      <w:pPr>
        <w:pStyle w:val="Heading3"/>
        <w:spacing w:line="499" w:lineRule="auto"/>
        <w:ind w:left="578" w:right="2306" w:hanging="426"/>
        <w:jc w:val="left"/>
        <w:rPr>
          <w:rFonts w:ascii="宋体" w:hAnsi="宋体" w:cs="宋体" w:eastAsia="宋体" w:hint="default"/>
          <w:b w:val="0"/>
          <w:bCs w:val="0"/>
        </w:rPr>
      </w:pPr>
      <w:r>
        <w:rPr/>
        <w:t>十、董事会、监事会对会计师事务所本报告期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w w:val="99"/>
        </w:rPr>
        <w:t> </w:t>
      </w:r>
      <w:r>
        <w:rPr>
          <w:rFonts w:ascii="宋体" w:hAnsi="宋体" w:cs="宋体" w:eastAsia="宋体" w:hint="default"/>
          <w:b w:val="0"/>
          <w:bCs w:val="0"/>
        </w:rPr>
        <w:t>不适用</w:t>
      </w:r>
    </w:p>
    <w:p>
      <w:pPr>
        <w:spacing w:line="528" w:lineRule="auto" w:before="118"/>
        <w:ind w:left="688" w:right="859" w:hanging="536"/>
        <w:jc w:val="left"/>
        <w:rPr>
          <w:rFonts w:ascii="宋体" w:hAnsi="宋体" w:cs="宋体" w:eastAsia="宋体" w:hint="default"/>
          <w:sz w:val="24"/>
          <w:szCs w:val="24"/>
        </w:rPr>
      </w:pPr>
      <w:r>
        <w:rPr>
          <w:rFonts w:ascii="宋体" w:hAnsi="宋体" w:cs="宋体" w:eastAsia="宋体" w:hint="default"/>
          <w:b/>
          <w:bCs/>
          <w:sz w:val="24"/>
          <w:szCs w:val="24"/>
        </w:rPr>
        <w:t>十一、与上年度财务报告相比，会计政策、会计估计和核算方法发生变化的情况说明</w:t>
      </w:r>
      <w:r>
        <w:rPr>
          <w:rFonts w:ascii="宋体" w:hAnsi="宋体" w:cs="宋体" w:eastAsia="宋体" w:hint="default"/>
          <w:b/>
          <w:bCs/>
          <w:w w:val="99"/>
          <w:sz w:val="24"/>
          <w:szCs w:val="24"/>
        </w:rPr>
        <w:t> </w:t>
      </w:r>
      <w:r>
        <w:rPr>
          <w:rFonts w:ascii="宋体" w:hAnsi="宋体" w:cs="宋体" w:eastAsia="宋体" w:hint="default"/>
          <w:sz w:val="24"/>
          <w:szCs w:val="24"/>
        </w:rPr>
        <w:t>与上年度财务报告相比，会计政策、会计估计和核算方法没有发生变化。</w:t>
      </w:r>
    </w:p>
    <w:p>
      <w:pPr>
        <w:pStyle w:val="Heading3"/>
        <w:spacing w:line="528" w:lineRule="auto" w:before="89"/>
        <w:ind w:left="578" w:right="3269" w:hanging="426"/>
        <w:jc w:val="left"/>
        <w:rPr>
          <w:rFonts w:ascii="宋体" w:hAnsi="宋体" w:cs="宋体" w:eastAsia="宋体" w:hint="default"/>
          <w:b w:val="0"/>
          <w:bCs w:val="0"/>
        </w:rPr>
      </w:pPr>
      <w:r>
        <w:rPr/>
        <w:t>十二、报告期内发生重大会计差错更正需追溯重述的情况说明</w:t>
      </w:r>
      <w:r>
        <w:rPr>
          <w:w w:val="99"/>
        </w:rPr>
        <w:t> </w:t>
      </w:r>
      <w:r>
        <w:rPr>
          <w:rFonts w:ascii="宋体" w:hAnsi="宋体" w:cs="宋体" w:eastAsia="宋体" w:hint="default"/>
          <w:b w:val="0"/>
          <w:bCs w:val="0"/>
        </w:rPr>
        <w:t>无</w:t>
      </w:r>
    </w:p>
    <w:p>
      <w:pPr>
        <w:pStyle w:val="Heading3"/>
        <w:spacing w:line="240" w:lineRule="auto" w:before="89"/>
        <w:ind w:right="0"/>
        <w:jc w:val="left"/>
        <w:rPr>
          <w:b w:val="0"/>
          <w:bCs w:val="0"/>
        </w:rPr>
      </w:pPr>
      <w:r>
        <w:rPr/>
        <w:t>十三、与上年度财务报告相比，合并报表范围发生变化的情况说明</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52" w:firstLine="425"/>
        <w:jc w:val="both"/>
      </w:pPr>
      <w:r>
        <w:rPr>
          <w:rFonts w:ascii="宋体" w:hAnsi="宋体" w:cs="宋体" w:eastAsia="宋体" w:hint="default"/>
        </w:rPr>
        <w:t>1</w:t>
      </w:r>
      <w:r>
        <w:rPr/>
        <w:t>、与上期相比本期新增合并单位</w:t>
      </w:r>
      <w:r>
        <w:rPr>
          <w:rFonts w:ascii="宋体" w:hAnsi="宋体" w:cs="宋体" w:eastAsia="宋体" w:hint="default"/>
        </w:rPr>
        <w:t>3</w:t>
      </w:r>
      <w:r>
        <w:rPr/>
        <w:t>家，原因为：本期公司新设江苏高鸿鼎恒信息技术有</w:t>
      </w:r>
      <w:r>
        <w:rPr>
          <w:spacing w:val="2"/>
        </w:rPr>
        <w:t> </w:t>
      </w:r>
      <w:r>
        <w:rPr/>
        <w:t>限公司、贵州大唐高鸿电子信息技术有限公司；非同一控制下收购北京高阳捷迅信息技术有</w:t>
      </w:r>
      <w:r>
        <w:rPr>
          <w:spacing w:val="-91"/>
        </w:rPr>
        <w:t> </w:t>
      </w:r>
      <w:r>
        <w:rPr>
          <w:spacing w:val="-91"/>
        </w:rPr>
      </w:r>
      <w:r>
        <w:rPr/>
        <w:t>限公司。</w:t>
      </w:r>
    </w:p>
    <w:p>
      <w:pPr>
        <w:pStyle w:val="BodyText"/>
        <w:spacing w:line="357" w:lineRule="auto"/>
        <w:ind w:right="152" w:firstLine="425"/>
        <w:jc w:val="both"/>
      </w:pPr>
      <w:r>
        <w:rPr>
          <w:rFonts w:ascii="宋体" w:hAnsi="宋体" w:cs="宋体" w:eastAsia="宋体" w:hint="default"/>
          <w:spacing w:val="2"/>
        </w:rPr>
        <w:t>2</w:t>
      </w:r>
      <w:r>
        <w:rPr>
          <w:spacing w:val="2"/>
        </w:rPr>
        <w:t>、本期减少合并单位</w:t>
      </w:r>
      <w:r>
        <w:rPr>
          <w:rFonts w:ascii="宋体" w:hAnsi="宋体" w:cs="宋体" w:eastAsia="宋体" w:hint="default"/>
          <w:spacing w:val="2"/>
        </w:rPr>
        <w:t>6</w:t>
      </w:r>
      <w:r>
        <w:rPr>
          <w:spacing w:val="2"/>
        </w:rPr>
        <w:t>家，原因为：本期高鸿恒昌科技有限公司将其控股子公司沈阳高 </w:t>
      </w:r>
      <w:r>
        <w:rPr/>
        <w:t>鸿恒昌科技有限公司、山东高鸿恒昌电子科技有限公司、厦门大唐高鸿电子技术有限公司、</w:t>
      </w:r>
      <w:r>
        <w:rPr>
          <w:spacing w:val="-91"/>
        </w:rPr>
        <w:t> </w:t>
      </w:r>
      <w:r>
        <w:rPr>
          <w:spacing w:val="-91"/>
        </w:rPr>
      </w:r>
      <w:r>
        <w:rPr/>
        <w:t>大连大唐高鸿电子技术有限公司、昆明高鸿电子技术有限公司、无锡高鸿电子技术有限公司</w:t>
      </w:r>
      <w:r>
        <w:rPr>
          <w:spacing w:val="-91"/>
        </w:rPr>
        <w:t> </w:t>
      </w:r>
      <w:r>
        <w:rPr>
          <w:spacing w:val="-91"/>
        </w:rPr>
      </w:r>
      <w:r>
        <w:rPr/>
        <w:t>予以转让或注销。</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十四、公司利润分配及分红派息情况</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before="0"/>
        <w:ind w:left="578" w:right="0"/>
        <w:jc w:val="left"/>
      </w:pPr>
      <w:r>
        <w:rPr/>
        <w:t>报告期内利润分配政策特别是现金分红政策的制定、执行或调整情况</w:t>
      </w:r>
    </w:p>
    <w:p>
      <w:pPr>
        <w:spacing w:before="16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57" w:lineRule="auto" w:before="132"/>
        <w:ind w:left="578" w:right="0"/>
        <w:jc w:val="left"/>
      </w:pPr>
      <w:r>
        <w:rPr/>
        <w:t>公司近</w:t>
      </w:r>
      <w:r>
        <w:rPr>
          <w:rFonts w:ascii="宋体" w:hAnsi="宋体" w:cs="宋体" w:eastAsia="宋体" w:hint="default"/>
        </w:rPr>
        <w:t>3</w:t>
      </w:r>
      <w:r>
        <w:rPr/>
        <w:t>年（含报告期）的利润分配预案或方案及资本公积金转增股本预案或方案情况 </w:t>
      </w:r>
      <w:r>
        <w:rPr>
          <w:rFonts w:ascii="宋体" w:hAnsi="宋体" w:cs="宋体" w:eastAsia="宋体" w:hint="default"/>
        </w:rPr>
        <w:t>2011</w:t>
      </w:r>
      <w:r>
        <w:rPr/>
        <w:t>年可供母公司股东分配利润均为负，公司不具备分配条件。公司</w:t>
      </w:r>
      <w:r>
        <w:rPr>
          <w:rFonts w:ascii="宋体" w:hAnsi="宋体" w:cs="宋体" w:eastAsia="宋体" w:hint="default"/>
        </w:rPr>
        <w:t>2011</w:t>
      </w:r>
      <w:r>
        <w:rPr/>
        <w:t>年度利润分配</w:t>
      </w:r>
    </w:p>
    <w:p>
      <w:pPr>
        <w:pStyle w:val="BodyText"/>
        <w:spacing w:line="357" w:lineRule="auto"/>
        <w:ind w:left="578" w:right="0" w:hanging="426"/>
        <w:jc w:val="left"/>
        <w:rPr>
          <w:rFonts w:ascii="宋体" w:hAnsi="宋体" w:cs="宋体" w:eastAsia="宋体" w:hint="default"/>
        </w:rPr>
      </w:pPr>
      <w:r>
        <w:rPr/>
        <w:t>方案为既不进行利润分配也不进行资本公积金转增股本。 </w:t>
      </w:r>
      <w:r>
        <w:rPr>
          <w:rFonts w:ascii="宋体" w:hAnsi="宋体" w:cs="宋体" w:eastAsia="宋体" w:hint="default"/>
          <w:spacing w:val="-1"/>
        </w:rPr>
        <w:t>2012</w:t>
      </w:r>
      <w:r>
        <w:rPr>
          <w:spacing w:val="-1"/>
        </w:rPr>
        <w:t>年可供母公司股东分配利润为</w:t>
      </w:r>
      <w:r>
        <w:rPr>
          <w:rFonts w:ascii="宋体" w:hAnsi="宋体" w:cs="宋体" w:eastAsia="宋体" w:hint="default"/>
          <w:spacing w:val="-1"/>
        </w:rPr>
        <w:t>35,241,375.69</w:t>
      </w:r>
      <w:r>
        <w:rPr>
          <w:spacing w:val="-1"/>
        </w:rPr>
        <w:t>元，公司利润分配方案为：以</w:t>
      </w:r>
      <w:r>
        <w:rPr>
          <w:rFonts w:ascii="宋体" w:hAnsi="宋体" w:cs="宋体" w:eastAsia="宋体" w:hint="default"/>
          <w:spacing w:val="-1"/>
        </w:rPr>
        <w:t>2012</w:t>
      </w:r>
      <w:r>
        <w:rPr>
          <w:spacing w:val="-1"/>
        </w:rPr>
        <w:t>年</w:t>
      </w:r>
      <w:r>
        <w:rPr>
          <w:rFonts w:ascii="宋体" w:hAnsi="宋体" w:cs="宋体" w:eastAsia="宋体" w:hint="default"/>
          <w:spacing w:val="-1"/>
        </w:rPr>
        <w:t>12</w:t>
      </w:r>
    </w:p>
    <w:p>
      <w:pPr>
        <w:spacing w:after="0" w:line="357" w:lineRule="auto"/>
        <w:jc w:val="left"/>
        <w:rPr>
          <w:rFonts w:ascii="宋体" w:hAnsi="宋体" w:cs="宋体" w:eastAsia="宋体" w:hint="default"/>
        </w:rPr>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0"/>
        <w:jc w:val="left"/>
      </w:pP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515,940,000</w:t>
      </w:r>
      <w:r>
        <w:rPr>
          <w:spacing w:val="-2"/>
        </w:rPr>
        <w:t>股为基数</w:t>
      </w:r>
      <w:r>
        <w:rPr>
          <w:rFonts w:ascii="宋体" w:hAnsi="宋体" w:cs="宋体" w:eastAsia="宋体" w:hint="default"/>
          <w:spacing w:val="-2"/>
        </w:rPr>
        <w:t>,</w:t>
      </w:r>
      <w:r>
        <w:rPr>
          <w:spacing w:val="-2"/>
        </w:rPr>
        <w:t>向全体股东以每</w:t>
      </w:r>
      <w:r>
        <w:rPr>
          <w:rFonts w:ascii="宋体" w:hAnsi="宋体" w:cs="宋体" w:eastAsia="宋体" w:hint="default"/>
          <w:spacing w:val="-2"/>
        </w:rPr>
        <w:t>10</w:t>
      </w:r>
      <w:r>
        <w:rPr>
          <w:spacing w:val="-2"/>
        </w:rPr>
        <w:t>股派发</w:t>
      </w:r>
      <w:r>
        <w:rPr>
          <w:rFonts w:ascii="宋体" w:hAnsi="宋体" w:cs="宋体" w:eastAsia="宋体" w:hint="default"/>
          <w:spacing w:val="-2"/>
        </w:rPr>
        <w:t>0.6</w:t>
      </w:r>
      <w:r>
        <w:rPr>
          <w:spacing w:val="-2"/>
        </w:rPr>
        <w:t>元现金（含税），此次</w:t>
      </w:r>
      <w:r>
        <w:rPr>
          <w:spacing w:val="-102"/>
        </w:rPr>
        <w:t> </w:t>
      </w:r>
      <w:r>
        <w:rPr>
          <w:spacing w:val="-102"/>
        </w:rPr>
      </w:r>
      <w:r>
        <w:rPr/>
        <w:t>利润分配不进行资本公积金转增股本。</w:t>
      </w:r>
    </w:p>
    <w:p>
      <w:pPr>
        <w:pStyle w:val="BodyText"/>
        <w:spacing w:line="357" w:lineRule="auto"/>
        <w:ind w:right="0" w:firstLine="425"/>
        <w:jc w:val="left"/>
      </w:pPr>
      <w:r>
        <w:rPr>
          <w:rFonts w:ascii="宋体" w:hAnsi="宋体" w:cs="宋体" w:eastAsia="宋体" w:hint="default"/>
          <w:spacing w:val="-1"/>
        </w:rPr>
        <w:t>2013</w:t>
      </w:r>
      <w:r>
        <w:rPr>
          <w:spacing w:val="-1"/>
        </w:rPr>
        <w:t>年公司可供母公司股东分配利润为</w:t>
      </w:r>
      <w:r>
        <w:rPr>
          <w:rFonts w:ascii="宋体" w:hAnsi="宋体" w:cs="宋体" w:eastAsia="宋体" w:hint="default"/>
          <w:spacing w:val="-1"/>
        </w:rPr>
        <w:t>24,351,076.80</w:t>
      </w:r>
      <w:r>
        <w:rPr>
          <w:spacing w:val="-1"/>
        </w:rPr>
        <w:t>元，公司利润分配预案为：既不进</w:t>
      </w:r>
      <w:r>
        <w:rPr/>
        <w:t> 行利润分配也不进行资本公积金转增股本。</w:t>
      </w:r>
    </w:p>
    <w:p>
      <w:pPr>
        <w:pStyle w:val="BodyText"/>
        <w:spacing w:line="240" w:lineRule="auto"/>
        <w:ind w:left="578" w:right="0"/>
        <w:jc w:val="left"/>
      </w:pPr>
      <w:r>
        <w:rPr/>
        <w:t>公司近三年现金分红情况表</w:t>
      </w:r>
    </w:p>
    <w:p>
      <w:pPr>
        <w:spacing w:before="16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0"/>
        <w:gridCol w:w="2403"/>
        <w:gridCol w:w="2393"/>
        <w:gridCol w:w="2393"/>
      </w:tblGrid>
      <w:tr>
        <w:trPr>
          <w:trHeight w:val="161" w:hRule="exact"/>
        </w:trPr>
        <w:tc>
          <w:tcPr>
            <w:tcW w:w="2370"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0"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52,176,395.94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30,956,400.00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25,005,713.64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123.8%</w:t>
            </w:r>
          </w:p>
        </w:tc>
      </w:tr>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23,473,158.66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39"/>
        <w:ind w:left="578" w:right="0"/>
        <w:jc w:val="left"/>
      </w:pPr>
      <w:r>
        <w:rPr/>
        <w:t>公司报告期内盈利且母公司未分配利润为正但未提出现金红利分配预案</w:t>
      </w:r>
    </w:p>
    <w:p>
      <w:pPr>
        <w:spacing w:before="164"/>
        <w:ind w:left="152" w:right="0" w:firstLine="0"/>
        <w:jc w:val="left"/>
        <w:rPr>
          <w:rFonts w:ascii="宋体" w:hAnsi="宋体" w:cs="宋体" w:eastAsia="宋体" w:hint="default"/>
          <w:sz w:val="18"/>
          <w:szCs w:val="18"/>
        </w:rPr>
      </w:pPr>
      <w:r>
        <w:rPr/>
        <w:pict>
          <v:shape style="position:absolute;margin-left:254.089996pt;margin-top:61.55172pt;width:280.9pt;height:54.6pt;mso-position-horizontal-relative:page;mso-position-vertical-relative:paragraph;z-index:-133160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回报规划》</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5"/>
        <w:gridCol w:w="4787"/>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8" w:right="44" w:hanging="1800"/>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588"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根据《公司章程》及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年制定的《未来三年股东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要求：</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公司当年实现盈利且当年年末公司累计未分配利润为</w:t>
            </w:r>
            <w:r>
              <w:rPr>
                <w:rFonts w:ascii="宋体" w:hAnsi="宋体" w:cs="宋体" w:eastAsia="宋体" w:hint="default"/>
                <w:spacing w:val="-69"/>
                <w:sz w:val="18"/>
                <w:szCs w:val="18"/>
              </w:rPr>
              <w:t> </w:t>
            </w:r>
            <w:r>
              <w:rPr>
                <w:rFonts w:ascii="宋体" w:hAnsi="宋体" w:cs="宋体" w:eastAsia="宋体" w:hint="default"/>
                <w:sz w:val="18"/>
                <w:szCs w:val="18"/>
              </w:rPr>
              <w:t>正数时，可以进行现金分红。每年以现金方式分配的利润不 少于当年实现的可分配利润的百分之十或连续三年以现金方 式累计分配的利润不少于三年实现的年均可分配利润的百分 </w:t>
            </w:r>
            <w:r>
              <w:rPr>
                <w:rFonts w:ascii="宋体" w:hAnsi="宋体" w:cs="宋体" w:eastAsia="宋体" w:hint="default"/>
                <w:spacing w:val="-2"/>
                <w:sz w:val="18"/>
                <w:szCs w:val="18"/>
              </w:rPr>
              <w:t>之三十。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累计三年公司现金对外分红占三年实现的年均可分</w:t>
            </w:r>
            <w:r>
              <w:rPr>
                <w:rFonts w:ascii="宋体" w:hAnsi="宋体" w:cs="宋体" w:eastAsia="宋体" w:hint="default"/>
                <w:spacing w:val="-69"/>
                <w:sz w:val="18"/>
                <w:szCs w:val="18"/>
              </w:rPr>
              <w:t> </w:t>
            </w:r>
            <w:r>
              <w:rPr>
                <w:rFonts w:ascii="宋体" w:hAnsi="宋体" w:cs="宋体" w:eastAsia="宋体" w:hint="default"/>
                <w:sz w:val="18"/>
                <w:szCs w:val="18"/>
              </w:rPr>
              <w:t>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155.84%</w:t>
            </w:r>
            <w:r>
              <w:rPr>
                <w:rFonts w:ascii="宋体" w:hAnsi="宋体" w:cs="宋体" w:eastAsia="宋体" w:hint="default"/>
                <w:sz w:val="18"/>
                <w:szCs w:val="18"/>
              </w:rPr>
              <w:t>。结合公司目前经营情况及资金需求，本 次董事会决定暂不分红、不送股、不转增。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left="2" w:right="-51"/>
              <w:jc w:val="left"/>
              <w:rPr>
                <w:rFonts w:ascii="宋体" w:hAnsi="宋体" w:cs="宋体" w:eastAsia="宋体" w:hint="default"/>
                <w:sz w:val="20"/>
                <w:szCs w:val="20"/>
              </w:rPr>
            </w:pPr>
            <w:r>
              <w:rPr>
                <w:rFonts w:ascii="宋体" w:hAnsi="宋体" w:cs="宋体" w:eastAsia="宋体" w:hint="default"/>
                <w:position w:val="-21"/>
                <w:sz w:val="20"/>
                <w:szCs w:val="20"/>
              </w:rPr>
              <w:pict>
                <v:group style="width:238.75pt;height:54.6pt;mso-position-horizontal-relative:char;mso-position-vertical-relative:line" coordorigin="0,0" coordsize="4775,1092">
                  <v:group style="position:absolute;left:0;top:0;width:4775;height:1092" coordorigin="0,0" coordsize="4775,1092">
                    <v:shape style="position:absolute;left:0;top:0;width:4775;height:1092" coordorigin="0,0" coordsize="4775,1092" path="m0,1092l4775,1092,4775,0,0,0,0,1092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用于推进公司业务发展。</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十五、本报告期利润分配及资本公积金转增股本预案</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0"/>
              <w:jc w:val="center"/>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十六、社会责任情况</w:t>
      </w:r>
      <w:r>
        <w:rPr>
          <w:b w:val="0"/>
          <w:bCs w:val="0"/>
        </w:rPr>
      </w:r>
    </w:p>
    <w:p>
      <w:pPr>
        <w:spacing w:line="240" w:lineRule="auto" w:before="9"/>
        <w:rPr>
          <w:rFonts w:ascii="宋体" w:hAnsi="宋体" w:cs="宋体" w:eastAsia="宋体" w:hint="default"/>
          <w:b/>
          <w:bCs/>
          <w:sz w:val="16"/>
          <w:szCs w:val="16"/>
        </w:rPr>
      </w:pPr>
    </w:p>
    <w:p>
      <w:pPr>
        <w:pStyle w:val="BodyText"/>
        <w:spacing w:line="470" w:lineRule="atLeast" w:before="0"/>
        <w:ind w:left="578" w:right="0" w:firstLine="479"/>
        <w:jc w:val="left"/>
      </w:pPr>
      <w:r>
        <w:rPr>
          <w:rFonts w:ascii="宋体" w:hAnsi="宋体" w:cs="宋体" w:eastAsia="宋体" w:hint="default"/>
        </w:rPr>
        <w:t>1.</w:t>
      </w:r>
      <w:r>
        <w:rPr/>
        <w:t>回馈股东 </w:t>
      </w:r>
      <w:r>
        <w:rPr>
          <w:spacing w:val="2"/>
        </w:rPr>
        <w:t>公司治理结构完善，股东大会、董事会、监事会运作规范，内部管理和控制制度体系健</w:t>
      </w:r>
      <w:r>
        <w:rPr/>
      </w:r>
    </w:p>
    <w:p>
      <w:pPr>
        <w:spacing w:after="0" w:line="470" w:lineRule="atLeast"/>
        <w:jc w:val="left"/>
        <w:sectPr>
          <w:footerReference w:type="default" r:id="rId15"/>
          <w:pgSz w:w="11910" w:h="16840"/>
          <w:pgMar w:footer="1186" w:header="745" w:top="1060" w:bottom="1380" w:left="980" w:right="980"/>
          <w:pgNumType w:start="34"/>
        </w:sectPr>
      </w:pPr>
    </w:p>
    <w:p>
      <w:pPr>
        <w:spacing w:line="240" w:lineRule="auto" w:before="6"/>
        <w:rPr>
          <w:rFonts w:ascii="宋体" w:hAnsi="宋体" w:cs="宋体" w:eastAsia="宋体" w:hint="default"/>
          <w:sz w:val="29"/>
          <w:szCs w:val="29"/>
        </w:rPr>
      </w:pPr>
    </w:p>
    <w:p>
      <w:pPr>
        <w:pStyle w:val="BodyText"/>
        <w:spacing w:line="357" w:lineRule="auto" w:before="26"/>
        <w:ind w:right="111"/>
        <w:jc w:val="left"/>
      </w:pPr>
      <w:r>
        <w:rPr/>
        <w:t>全，信息披露真实、准确、及时、完整和公平，使公司股东能够及时了解、掌握公司生产经</w:t>
      </w:r>
      <w:r>
        <w:rPr>
          <w:spacing w:val="-91"/>
        </w:rPr>
        <w:t> </w:t>
      </w:r>
      <w:r>
        <w:rPr>
          <w:spacing w:val="-91"/>
        </w:rPr>
      </w:r>
      <w:r>
        <w:rPr>
          <w:spacing w:val="-2"/>
        </w:rPr>
        <w:t>营情况及所有重大事项的进展情况，从而保证其各项合法权益。公司重视对股东的合理回报，</w:t>
      </w:r>
      <w:r>
        <w:rPr/>
        <w:t> </w:t>
      </w:r>
      <w:r>
        <w:rPr>
          <w:spacing w:val="-7"/>
        </w:rPr>
        <w:t>结合实际情况，制定符合公司发展的利润分配政策。</w:t>
      </w:r>
      <w:r>
        <w:rPr>
          <w:rFonts w:ascii="宋体" w:hAnsi="宋体" w:cs="宋体" w:eastAsia="宋体" w:hint="default"/>
          <w:spacing w:val="-7"/>
        </w:rPr>
        <w:t>2011-2013</w:t>
      </w:r>
      <w:r>
        <w:rPr>
          <w:rFonts w:ascii="宋体" w:hAnsi="宋体" w:cs="宋体" w:eastAsia="宋体" w:hint="default"/>
          <w:spacing w:val="23"/>
        </w:rPr>
        <w:t> </w:t>
      </w:r>
      <w:r>
        <w:rPr/>
        <w:t>年累计现金分红</w:t>
      </w:r>
      <w:r>
        <w:rPr>
          <w:rFonts w:ascii="宋体" w:hAnsi="宋体" w:cs="宋体" w:eastAsia="宋体" w:hint="default"/>
        </w:rPr>
        <w:t>3095.64</w:t>
      </w:r>
      <w:r>
        <w:rPr/>
        <w:t>万元。</w:t>
      </w:r>
    </w:p>
    <w:p>
      <w:pPr>
        <w:pStyle w:val="BodyText"/>
        <w:spacing w:line="357" w:lineRule="auto"/>
        <w:ind w:left="578" w:right="96"/>
        <w:jc w:val="left"/>
      </w:pPr>
      <w:r>
        <w:rPr>
          <w:rFonts w:ascii="宋体" w:hAnsi="宋体" w:cs="宋体" w:eastAsia="宋体" w:hint="default"/>
        </w:rPr>
        <w:t>2.</w:t>
      </w:r>
      <w:r>
        <w:rPr/>
        <w:t>成果惠及员工 </w:t>
      </w:r>
      <w:r>
        <w:rPr>
          <w:spacing w:val="2"/>
        </w:rPr>
        <w:t>公司建立了较为完善的人力资源管理制度，对人员招聘甄选、培训选拔、薪资福利、绩</w:t>
      </w:r>
      <w:r>
        <w:rPr/>
      </w:r>
    </w:p>
    <w:p>
      <w:pPr>
        <w:pStyle w:val="BodyText"/>
        <w:spacing w:line="357" w:lineRule="auto"/>
        <w:ind w:right="239"/>
        <w:jc w:val="both"/>
      </w:pPr>
      <w:r>
        <w:rPr/>
        <w:t>效考核、晋升调整等进行了详细的规定。公司重视职工权益的保护，建立了职工监事选任制</w:t>
      </w:r>
      <w:r>
        <w:rPr>
          <w:spacing w:val="-91"/>
        </w:rPr>
        <w:t> </w:t>
      </w:r>
      <w:r>
        <w:rPr>
          <w:spacing w:val="-91"/>
        </w:rPr>
      </w:r>
      <w:r>
        <w:rPr/>
        <w:t>度，成立了职工代表大会，对工资、福利、劳动安全卫生、社会保险等涉及职工切身利益的</w:t>
      </w:r>
      <w:r>
        <w:rPr>
          <w:spacing w:val="-91"/>
        </w:rPr>
        <w:t> </w:t>
      </w:r>
      <w:r>
        <w:rPr>
          <w:spacing w:val="-91"/>
        </w:rPr>
      </w:r>
      <w:r>
        <w:rPr/>
        <w:t>事项，通过职工代表大会等形式听取职工的意见，关心和重视职工的合理需求，构建和谐稳</w:t>
      </w:r>
      <w:r>
        <w:rPr>
          <w:spacing w:val="-91"/>
        </w:rPr>
        <w:t> </w:t>
      </w:r>
      <w:r>
        <w:rPr>
          <w:spacing w:val="-91"/>
        </w:rPr>
      </w:r>
      <w:r>
        <w:rPr/>
        <w:t>定的劳资关系。为员工提供良好的学习平台，推荐员工加入大唐大学深造；丰富文化生活，</w:t>
      </w:r>
      <w:r>
        <w:rPr>
          <w:spacing w:val="-91"/>
        </w:rPr>
        <w:t> </w:t>
      </w:r>
      <w:r>
        <w:rPr>
          <w:spacing w:val="-91"/>
        </w:rPr>
      </w:r>
      <w:r>
        <w:rPr/>
        <w:t>积极参加马拉松比赛、羽毛球、篮球比赛等，健康长走等，搭建员工风采展示平台。</w:t>
      </w:r>
    </w:p>
    <w:p>
      <w:pPr>
        <w:pStyle w:val="BodyText"/>
        <w:spacing w:line="240" w:lineRule="auto"/>
        <w:ind w:left="578" w:right="96"/>
        <w:jc w:val="left"/>
      </w:pPr>
      <w:r>
        <w:rPr>
          <w:rFonts w:ascii="宋体" w:hAnsi="宋体" w:cs="宋体" w:eastAsia="宋体" w:hint="default"/>
        </w:rPr>
        <w:t>3.</w:t>
      </w:r>
      <w:r>
        <w:rPr/>
        <w:t>回报社会</w:t>
      </w:r>
    </w:p>
    <w:p>
      <w:pPr>
        <w:pStyle w:val="BodyText"/>
        <w:spacing w:line="357" w:lineRule="auto" w:before="154"/>
        <w:ind w:right="229" w:firstLine="425"/>
        <w:jc w:val="both"/>
      </w:pP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20</w:t>
      </w:r>
      <w:r>
        <w:rPr/>
        <w:t>日，四川省雅安市芦山县发生</w:t>
      </w:r>
      <w:r>
        <w:rPr>
          <w:rFonts w:ascii="宋体" w:hAnsi="宋体" w:cs="宋体" w:eastAsia="宋体" w:hint="default"/>
        </w:rPr>
        <w:t>7.0</w:t>
      </w:r>
      <w:r>
        <w:rPr/>
        <w:t>级地震，此次地震导致雅安市芦山县等周</w:t>
      </w:r>
      <w:r>
        <w:rPr>
          <w:spacing w:val="2"/>
        </w:rPr>
        <w:t> </w:t>
      </w:r>
      <w:r>
        <w:rPr/>
        <w:t>边县市百万人民的生命财产遭受重大损失。一方有难八方支援，大唐高鸿组织了全体员工捐</w:t>
      </w:r>
      <w:r>
        <w:rPr>
          <w:spacing w:val="-91"/>
        </w:rPr>
        <w:t> </w:t>
      </w:r>
      <w:r>
        <w:rPr>
          <w:spacing w:val="-91"/>
        </w:rPr>
      </w:r>
      <w:r>
        <w:rPr/>
        <w:t>款活动，天灾无情人有情，广大员工踊跃参加捐款活动，共有</w:t>
      </w:r>
      <w:r>
        <w:rPr>
          <w:rFonts w:ascii="宋体" w:hAnsi="宋体" w:cs="宋体" w:eastAsia="宋体" w:hint="default"/>
        </w:rPr>
        <w:t>270</w:t>
      </w:r>
      <w:r>
        <w:rPr/>
        <w:t>人参加捐款。</w:t>
      </w:r>
    </w:p>
    <w:p>
      <w:pPr>
        <w:pStyle w:val="BodyText"/>
        <w:spacing w:line="357" w:lineRule="auto"/>
        <w:ind w:right="233" w:firstLine="425"/>
        <w:jc w:val="both"/>
      </w:pPr>
      <w:r>
        <w:rPr>
          <w:rFonts w:ascii="宋体" w:hAnsi="宋体" w:cs="宋体" w:eastAsia="宋体" w:hint="default"/>
          <w:spacing w:val="-1"/>
        </w:rPr>
        <w:t>2013</w:t>
      </w:r>
      <w:r>
        <w:rPr>
          <w:spacing w:val="-1"/>
        </w:rPr>
        <w:t>年</w:t>
      </w:r>
      <w:r>
        <w:rPr>
          <w:rFonts w:ascii="宋体" w:hAnsi="宋体" w:cs="宋体" w:eastAsia="宋体" w:hint="default"/>
          <w:spacing w:val="-1"/>
        </w:rPr>
        <w:t>6</w:t>
      </w:r>
      <w:r>
        <w:rPr>
          <w:spacing w:val="-1"/>
        </w:rPr>
        <w:t>月，大唐高鸿组织员工参加大唐电信集团第三届“职工健康日”健康长走主题活</w:t>
      </w:r>
      <w:r>
        <w:rPr/>
        <w:t> 动，提高了广大干部员工的健康意识和生活质量，促进群众体育活动生活化、经常化、科学</w:t>
      </w:r>
      <w:r>
        <w:rPr>
          <w:spacing w:val="-91"/>
        </w:rPr>
        <w:t> </w:t>
      </w:r>
      <w:r>
        <w:rPr>
          <w:spacing w:val="-91"/>
        </w:rPr>
      </w:r>
      <w:r>
        <w:rPr/>
        <w:t>化、普遍化，有力改善和提升职工健康水平。</w:t>
      </w:r>
    </w:p>
    <w:p>
      <w:pPr>
        <w:pStyle w:val="BodyText"/>
        <w:spacing w:line="357" w:lineRule="auto"/>
        <w:ind w:right="229" w:firstLine="425"/>
        <w:jc w:val="both"/>
      </w:pPr>
      <w:r>
        <w:rPr>
          <w:rFonts w:ascii="宋体" w:hAnsi="宋体" w:cs="宋体" w:eastAsia="宋体" w:hint="default"/>
          <w:spacing w:val="-1"/>
        </w:rPr>
        <w:t>2013</w:t>
      </w:r>
      <w:r>
        <w:rPr>
          <w:spacing w:val="-1"/>
        </w:rPr>
        <w:t>年</w:t>
      </w:r>
      <w:r>
        <w:rPr>
          <w:rFonts w:ascii="宋体" w:hAnsi="宋体" w:cs="宋体" w:eastAsia="宋体" w:hint="default"/>
          <w:spacing w:val="-1"/>
        </w:rPr>
        <w:t>6</w:t>
      </w:r>
      <w:r>
        <w:rPr>
          <w:spacing w:val="-1"/>
        </w:rPr>
        <w:t>月，我司选派优秀青年干部赴河南省沈丘县挂职扶贫，以实际行动支持扶贫事业</w:t>
      </w:r>
      <w:r>
        <w:rPr/>
        <w:t> </w:t>
      </w:r>
      <w:r>
        <w:rPr>
          <w:spacing w:val="-2"/>
        </w:rPr>
        <w:t>履行社会责任。针对沈丘的特点，公司提出了</w:t>
      </w:r>
      <w:r>
        <w:rPr>
          <w:rFonts w:ascii="宋体" w:hAnsi="宋体" w:cs="宋体" w:eastAsia="宋体" w:hint="default"/>
          <w:spacing w:val="-2"/>
        </w:rPr>
        <w:t>1-3</w:t>
      </w:r>
      <w:r>
        <w:rPr>
          <w:spacing w:val="-2"/>
        </w:rPr>
        <w:t>年的扶贫规划，包括基础设施建设、中小学</w:t>
      </w:r>
      <w:r>
        <w:rPr>
          <w:spacing w:val="-116"/>
        </w:rPr>
        <w:t> </w:t>
      </w:r>
      <w:r>
        <w:rPr>
          <w:spacing w:val="-116"/>
        </w:rPr>
      </w:r>
      <w:r>
        <w:rPr/>
        <w:t>信息化教育平台改建、聚焦高新技术企业进行产业扶贫等。</w:t>
      </w:r>
    </w:p>
    <w:p>
      <w:pPr>
        <w:spacing w:before="46"/>
        <w:ind w:left="152" w:right="0" w:firstLine="0"/>
        <w:jc w:val="both"/>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40" w:lineRule="auto" w:before="115"/>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1"/>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报告期内是否被行政处罚</w:t>
      </w:r>
    </w:p>
    <w:p>
      <w:pPr>
        <w:spacing w:before="4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十七、报告期内接待调研、沟通、采访等活动登记表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262"/>
        <w:gridCol w:w="1136"/>
        <w:gridCol w:w="1558"/>
        <w:gridCol w:w="2624"/>
      </w:tblGrid>
      <w:tr>
        <w:trPr>
          <w:trHeight w:val="714"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3" w:right="111" w:hanging="361"/>
              <w:jc w:val="left"/>
              <w:rPr>
                <w:rFonts w:ascii="宋体" w:hAnsi="宋体" w:cs="宋体" w:eastAsia="宋体" w:hint="default"/>
                <w:sz w:val="18"/>
                <w:szCs w:val="18"/>
              </w:rPr>
            </w:pPr>
            <w:r>
              <w:rPr>
                <w:rFonts w:ascii="宋体" w:hAnsi="宋体" w:cs="宋体" w:eastAsia="宋体" w:hint="default"/>
                <w:sz w:val="18"/>
                <w:szCs w:val="18"/>
              </w:rPr>
              <w:t>接待对象类 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高鸿股份会议室</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tabs>
                <w:tab w:pos="746" w:val="left" w:leader="none"/>
              </w:tabs>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中信证券股份有限 公司</w:t>
              <w:tab/>
              <w:t>钟昌震</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并购高阳捷迅项目介绍</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00"/>
        </w:sectPr>
      </w:pPr>
    </w:p>
    <w:p>
      <w:pPr>
        <w:spacing w:line="240" w:lineRule="auto" w:before="0"/>
        <w:rPr>
          <w:rFonts w:ascii="宋体" w:hAnsi="宋体" w:cs="宋体" w:eastAsia="宋体" w:hint="default"/>
          <w:b/>
          <w:bCs/>
          <w:sz w:val="20"/>
          <w:szCs w:val="20"/>
        </w:rPr>
      </w:pPr>
      <w:r>
        <w:rPr/>
        <w:pict>
          <v:shape style="position:absolute;margin-left:56.400002pt;margin-top:71.999985pt;width:479.3pt;height:638.4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262"/>
                    <w:gridCol w:w="1136"/>
                    <w:gridCol w:w="1558"/>
                    <w:gridCol w:w="2624"/>
                  </w:tblGrid>
                  <w:tr>
                    <w:trPr>
                      <w:trHeight w:val="196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高鸿股份会议室</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both"/>
                          <w:rPr>
                            <w:rFonts w:ascii="宋体" w:hAnsi="宋体" w:cs="宋体" w:eastAsia="宋体" w:hint="default"/>
                            <w:sz w:val="18"/>
                            <w:szCs w:val="18"/>
                          </w:rPr>
                        </w:pPr>
                        <w:r>
                          <w:rPr>
                            <w:rFonts w:ascii="宋体" w:hAnsi="宋体" w:cs="宋体" w:eastAsia="宋体" w:hint="default"/>
                            <w:sz w:val="18"/>
                            <w:szCs w:val="18"/>
                          </w:rPr>
                          <w:t>光大证券股份有限 公司</w:t>
                        </w:r>
                        <w:r>
                          <w:rPr>
                            <w:rFonts w:ascii="宋体" w:hAnsi="宋体" w:cs="宋体" w:eastAsia="宋体" w:hint="default"/>
                            <w:spacing w:val="2"/>
                            <w:sz w:val="18"/>
                            <w:szCs w:val="18"/>
                          </w:rPr>
                          <w:t> </w:t>
                        </w:r>
                        <w:r>
                          <w:rPr>
                            <w:rFonts w:ascii="宋体" w:hAnsi="宋体" w:cs="宋体" w:eastAsia="宋体" w:hint="default"/>
                            <w:sz w:val="18"/>
                            <w:szCs w:val="18"/>
                          </w:rPr>
                          <w:t>宋嘉吉中信</w:t>
                        </w:r>
                        <w:r>
                          <w:rPr>
                            <w:rFonts w:ascii="宋体" w:hAnsi="宋体" w:cs="宋体" w:eastAsia="宋体" w:hint="default"/>
                            <w:sz w:val="18"/>
                            <w:szCs w:val="18"/>
                          </w:rPr>
                          <w:t> 证券股份有限公司 王浩冰银华基金管 理有限公司</w:t>
                        </w:r>
                        <w:r>
                          <w:rPr>
                            <w:rFonts w:ascii="宋体" w:hAnsi="宋体" w:cs="宋体" w:eastAsia="宋体" w:hint="default"/>
                            <w:spacing w:val="2"/>
                            <w:sz w:val="18"/>
                            <w:szCs w:val="18"/>
                          </w:rPr>
                          <w:t> </w:t>
                        </w:r>
                        <w:r>
                          <w:rPr>
                            <w:rFonts w:ascii="宋体" w:hAnsi="宋体" w:cs="宋体" w:eastAsia="宋体" w:hint="default"/>
                            <w:sz w:val="18"/>
                            <w:szCs w:val="18"/>
                          </w:rPr>
                          <w:t>段梦</w:t>
                        </w:r>
                        <w:r>
                          <w:rPr>
                            <w:rFonts w:ascii="宋体" w:hAnsi="宋体" w:cs="宋体" w:eastAsia="宋体" w:hint="default"/>
                            <w:sz w:val="18"/>
                            <w:szCs w:val="18"/>
                          </w:rPr>
                          <w:t> 行</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67"/>
                          <w:jc w:val="both"/>
                          <w:rPr>
                            <w:rFonts w:ascii="宋体" w:hAnsi="宋体" w:cs="宋体" w:eastAsia="宋体" w:hint="default"/>
                            <w:sz w:val="18"/>
                            <w:szCs w:val="18"/>
                          </w:rPr>
                        </w:pPr>
                        <w:r>
                          <w:rPr>
                            <w:rFonts w:ascii="宋体" w:hAnsi="宋体" w:cs="宋体" w:eastAsia="宋体" w:hint="default"/>
                            <w:spacing w:val="-4"/>
                            <w:sz w:val="18"/>
                            <w:szCs w:val="18"/>
                          </w:rPr>
                          <w:t>一、并购高阳捷迅项目介绍</w:t>
                        </w:r>
                        <w:r>
                          <w:rPr>
                            <w:rFonts w:ascii="宋体" w:hAnsi="宋体" w:cs="宋体" w:eastAsia="宋体" w:hint="default"/>
                            <w:spacing w:val="7"/>
                            <w:sz w:val="18"/>
                            <w:szCs w:val="18"/>
                          </w:rPr>
                          <w:t> </w:t>
                        </w:r>
                        <w:r>
                          <w:rPr>
                            <w:rFonts w:ascii="宋体" w:hAnsi="宋体" w:cs="宋体" w:eastAsia="宋体" w:hint="default"/>
                            <w:sz w:val="18"/>
                            <w:szCs w:val="18"/>
                          </w:rPr>
                          <w:t>二</w:t>
                        </w:r>
                        <w:r>
                          <w:rPr>
                            <w:rFonts w:ascii="宋体" w:hAnsi="宋体" w:cs="宋体" w:eastAsia="宋体" w:hint="default"/>
                            <w:sz w:val="18"/>
                            <w:szCs w:val="18"/>
                          </w:rPr>
                          <w:t> 公司主营业务介绍</w:t>
                        </w:r>
                        <w:r>
                          <w:rPr>
                            <w:rFonts w:ascii="宋体" w:hAnsi="宋体" w:cs="宋体" w:eastAsia="宋体" w:hint="default"/>
                            <w:spacing w:val="89"/>
                            <w:sz w:val="18"/>
                            <w:szCs w:val="18"/>
                          </w:rPr>
                          <w:t> </w:t>
                        </w:r>
                        <w:r>
                          <w:rPr>
                            <w:rFonts w:ascii="宋体" w:hAnsi="宋体" w:cs="宋体" w:eastAsia="宋体" w:hint="default"/>
                            <w:sz w:val="18"/>
                            <w:szCs w:val="18"/>
                          </w:rPr>
                          <w:t>三、公司财</w:t>
                        </w:r>
                        <w:r>
                          <w:rPr>
                            <w:rFonts w:ascii="宋体" w:hAnsi="宋体" w:cs="宋体" w:eastAsia="宋体" w:hint="default"/>
                            <w:sz w:val="18"/>
                            <w:szCs w:val="18"/>
                          </w:rPr>
                          <w:t> 务情况介绍</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高鸿股份会议室</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62"/>
                          <w:jc w:val="left"/>
                          <w:rPr>
                            <w:rFonts w:ascii="宋体" w:hAnsi="宋体" w:cs="宋体" w:eastAsia="宋体" w:hint="default"/>
                            <w:sz w:val="18"/>
                            <w:szCs w:val="18"/>
                          </w:rPr>
                        </w:pPr>
                        <w:r>
                          <w:rPr>
                            <w:rFonts w:ascii="宋体" w:hAnsi="宋体" w:cs="宋体" w:eastAsia="宋体" w:hint="default"/>
                            <w:sz w:val="18"/>
                            <w:szCs w:val="18"/>
                          </w:rPr>
                          <w:t>证券机构研究员 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方</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7"/>
                          <w:jc w:val="both"/>
                          <w:rPr>
                            <w:rFonts w:ascii="宋体" w:hAnsi="宋体" w:cs="宋体" w:eastAsia="宋体" w:hint="default"/>
                            <w:sz w:val="18"/>
                            <w:szCs w:val="18"/>
                          </w:rPr>
                        </w:pPr>
                        <w:r>
                          <w:rPr>
                            <w:rFonts w:ascii="宋体" w:hAnsi="宋体" w:cs="宋体" w:eastAsia="宋体" w:hint="default"/>
                            <w:sz w:val="18"/>
                            <w:szCs w:val="18"/>
                          </w:rPr>
                          <w:t>一、并购高阳捷迅项目介绍 提 供了《高鸿股份并购高阳捷迅项 目介绍》演示文稿</w:t>
                        </w: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高鸿股份会议室</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82"/>
                          <w:jc w:val="left"/>
                          <w:rPr>
                            <w:rFonts w:ascii="宋体" w:hAnsi="宋体" w:cs="宋体" w:eastAsia="宋体" w:hint="default"/>
                            <w:sz w:val="18"/>
                            <w:szCs w:val="18"/>
                          </w:rPr>
                        </w:pPr>
                        <w:r>
                          <w:rPr>
                            <w:rFonts w:ascii="宋体" w:hAnsi="宋体" w:cs="宋体" w:eastAsia="宋体" w:hint="default"/>
                            <w:sz w:val="18"/>
                            <w:szCs w:val="18"/>
                          </w:rPr>
                          <w:t>证券、基金等机构 研究员</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一、介绍并购高阳捷迅项目</w:t>
                        </w:r>
                        <w:r>
                          <w:rPr>
                            <w:rFonts w:ascii="宋体" w:hAnsi="宋体" w:cs="宋体" w:eastAsia="宋体" w:hint="default"/>
                            <w:spacing w:val="1"/>
                            <w:sz w:val="18"/>
                            <w:szCs w:val="18"/>
                          </w:rPr>
                          <w:t> </w:t>
                        </w:r>
                        <w:r>
                          <w:rPr>
                            <w:rFonts w:ascii="宋体" w:hAnsi="宋体" w:cs="宋体" w:eastAsia="宋体" w:hint="default"/>
                            <w:sz w:val="18"/>
                            <w:szCs w:val="18"/>
                          </w:rPr>
                          <w:t>二、</w:t>
                        </w:r>
                        <w:r>
                          <w:rPr>
                            <w:rFonts w:ascii="宋体" w:hAnsi="宋体" w:cs="宋体" w:eastAsia="宋体" w:hint="default"/>
                            <w:sz w:val="18"/>
                            <w:szCs w:val="18"/>
                          </w:rPr>
                          <w:t> 介绍公司业务情况；</w:t>
                        </w:r>
                        <w:r>
                          <w:rPr>
                            <w:rFonts w:ascii="宋体" w:hAnsi="宋体" w:cs="宋体" w:eastAsia="宋体" w:hint="default"/>
                            <w:spacing w:val="26"/>
                            <w:sz w:val="18"/>
                            <w:szCs w:val="18"/>
                          </w:rPr>
                          <w:t> </w:t>
                        </w:r>
                        <w:r>
                          <w:rPr>
                            <w:rFonts w:ascii="宋体" w:hAnsi="宋体" w:cs="宋体" w:eastAsia="宋体" w:hint="default"/>
                            <w:spacing w:val="-14"/>
                            <w:sz w:val="18"/>
                            <w:szCs w:val="18"/>
                          </w:rPr>
                          <w:t>提供了《高</w:t>
                        </w:r>
                        <w:r>
                          <w:rPr>
                            <w:rFonts w:ascii="宋体" w:hAnsi="宋体" w:cs="宋体" w:eastAsia="宋体" w:hint="default"/>
                            <w:sz w:val="18"/>
                            <w:szCs w:val="18"/>
                          </w:rPr>
                          <w:t> 鸿股份并购高阳捷迅项目介绍》 演示文稿</w:t>
                        </w:r>
                      </w:p>
                    </w:tc>
                  </w:tr>
                  <w:tr>
                    <w:trPr>
                      <w:trHeight w:val="258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高鸿股份会议室</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新华基金管理有限 公司 巩显峰</w:t>
                        </w:r>
                        <w:r>
                          <w:rPr>
                            <w:rFonts w:ascii="宋体" w:hAnsi="宋体" w:cs="宋体" w:eastAsia="宋体" w:hint="default"/>
                            <w:spacing w:val="3"/>
                            <w:sz w:val="18"/>
                            <w:szCs w:val="18"/>
                          </w:rPr>
                          <w:t> </w:t>
                        </w:r>
                        <w:r>
                          <w:rPr>
                            <w:rFonts w:ascii="宋体" w:hAnsi="宋体" w:cs="宋体" w:eastAsia="宋体" w:hint="default"/>
                            <w:sz w:val="18"/>
                            <w:szCs w:val="18"/>
                          </w:rPr>
                          <w:t>兴</w:t>
                        </w:r>
                        <w:r>
                          <w:rPr>
                            <w:rFonts w:ascii="宋体" w:hAnsi="宋体" w:cs="宋体" w:eastAsia="宋体" w:hint="default"/>
                            <w:sz w:val="18"/>
                            <w:szCs w:val="18"/>
                          </w:rPr>
                          <w:t> 业证券股份有限公 司许炎 </w:t>
                        </w:r>
                        <w:r>
                          <w:rPr>
                            <w:rFonts w:ascii="宋体" w:hAnsi="宋体" w:cs="宋体" w:eastAsia="宋体" w:hint="default"/>
                            <w:spacing w:val="2"/>
                            <w:sz w:val="18"/>
                            <w:szCs w:val="18"/>
                          </w:rPr>
                          <w:t> </w:t>
                        </w:r>
                        <w:r>
                          <w:rPr>
                            <w:rFonts w:ascii="宋体" w:hAnsi="宋体" w:cs="宋体" w:eastAsia="宋体" w:hint="default"/>
                            <w:sz w:val="18"/>
                            <w:szCs w:val="18"/>
                          </w:rPr>
                          <w:t>光大金控</w:t>
                        </w:r>
                      </w:p>
                      <w:p>
                        <w:pPr>
                          <w:pStyle w:val="TableParagraph"/>
                          <w:spacing w:line="316" w:lineRule="auto" w:before="19"/>
                          <w:ind w:left="23" w:right="80"/>
                          <w:jc w:val="both"/>
                          <w:rPr>
                            <w:rFonts w:ascii="宋体" w:hAnsi="宋体" w:cs="宋体" w:eastAsia="宋体" w:hint="default"/>
                            <w:sz w:val="18"/>
                            <w:szCs w:val="18"/>
                          </w:rPr>
                        </w:pPr>
                        <w:r>
                          <w:rPr>
                            <w:rFonts w:ascii="宋体" w:hAnsi="宋体" w:cs="宋体" w:eastAsia="宋体" w:hint="default"/>
                            <w:sz w:val="18"/>
                            <w:szCs w:val="18"/>
                          </w:rPr>
                          <w:t>（北京）投资管理 有限公司郑明</w:t>
                        </w:r>
                        <w:r>
                          <w:rPr>
                            <w:rFonts w:ascii="宋体" w:hAnsi="宋体" w:cs="宋体" w:eastAsia="宋体" w:hint="default"/>
                            <w:spacing w:val="2"/>
                            <w:sz w:val="18"/>
                            <w:szCs w:val="18"/>
                          </w:rPr>
                          <w:t> </w:t>
                        </w:r>
                        <w:r>
                          <w:rPr>
                            <w:rFonts w:ascii="宋体" w:hAnsi="宋体" w:cs="宋体" w:eastAsia="宋体" w:hint="default"/>
                            <w:sz w:val="18"/>
                            <w:szCs w:val="18"/>
                          </w:rPr>
                          <w:t>海</w:t>
                        </w:r>
                        <w:r>
                          <w:rPr>
                            <w:rFonts w:ascii="宋体" w:hAnsi="宋体" w:cs="宋体" w:eastAsia="宋体" w:hint="default"/>
                            <w:sz w:val="18"/>
                            <w:szCs w:val="18"/>
                          </w:rPr>
                          <w:t> 润四方投资顾问有 限公司王冬</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z w:val="18"/>
                            <w:szCs w:val="18"/>
                          </w:rPr>
                          <w:t>一、并购高阳捷迅项目介绍</w:t>
                        </w:r>
                        <w:r>
                          <w:rPr>
                            <w:rFonts w:ascii="宋体" w:hAnsi="宋体" w:cs="宋体" w:eastAsia="宋体" w:hint="default"/>
                            <w:spacing w:val="1"/>
                            <w:sz w:val="18"/>
                            <w:szCs w:val="18"/>
                          </w:rPr>
                          <w:t> </w:t>
                        </w:r>
                        <w:r>
                          <w:rPr>
                            <w:rFonts w:ascii="宋体" w:hAnsi="宋体" w:cs="宋体" w:eastAsia="宋体" w:hint="default"/>
                            <w:sz w:val="18"/>
                            <w:szCs w:val="18"/>
                          </w:rPr>
                          <w:t>二、</w:t>
                        </w:r>
                        <w:r>
                          <w:rPr>
                            <w:rFonts w:ascii="宋体" w:hAnsi="宋体" w:cs="宋体" w:eastAsia="宋体" w:hint="default"/>
                            <w:sz w:val="18"/>
                            <w:szCs w:val="18"/>
                          </w:rPr>
                          <w:t> 公司主营业务中</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销售业务介绍</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高鸿股份会议室</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招商证券</w:t>
                        </w:r>
                        <w:r>
                          <w:rPr>
                            <w:rFonts w:ascii="宋体" w:hAnsi="宋体" w:cs="宋体" w:eastAsia="宋体" w:hint="default"/>
                            <w:spacing w:val="1"/>
                            <w:sz w:val="18"/>
                            <w:szCs w:val="18"/>
                          </w:rPr>
                          <w:t> </w:t>
                        </w:r>
                        <w:r>
                          <w:rPr>
                            <w:rFonts w:ascii="宋体" w:hAnsi="宋体" w:cs="宋体" w:eastAsia="宋体" w:hint="default"/>
                            <w:spacing w:val="-7"/>
                            <w:sz w:val="18"/>
                            <w:szCs w:val="18"/>
                          </w:rPr>
                          <w:t>陈鹏、周</w:t>
                        </w:r>
                        <w:r>
                          <w:rPr>
                            <w:rFonts w:ascii="宋体" w:hAnsi="宋体" w:cs="宋体" w:eastAsia="宋体" w:hint="default"/>
                            <w:sz w:val="18"/>
                            <w:szCs w:val="18"/>
                          </w:rPr>
                          <w:t> 炎</w:t>
                          <w:tab/>
                          <w:t>江苏悦达集 团有限公司 </w:t>
                        </w:r>
                        <w:r>
                          <w:rPr>
                            <w:rFonts w:ascii="宋体" w:hAnsi="宋体" w:cs="宋体" w:eastAsia="宋体" w:hint="default"/>
                            <w:spacing w:val="2"/>
                            <w:sz w:val="18"/>
                            <w:szCs w:val="18"/>
                          </w:rPr>
                          <w:t> </w:t>
                        </w:r>
                        <w:r>
                          <w:rPr>
                            <w:rFonts w:ascii="宋体" w:hAnsi="宋体" w:cs="宋体" w:eastAsia="宋体" w:hint="default"/>
                            <w:sz w:val="18"/>
                            <w:szCs w:val="18"/>
                          </w:rPr>
                          <w:t>陈林</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一、并购高阳捷迅项目介绍</w:t>
                        </w:r>
                        <w:r>
                          <w:rPr>
                            <w:rFonts w:ascii="宋体" w:hAnsi="宋体" w:cs="宋体" w:eastAsia="宋体" w:hint="default"/>
                            <w:spacing w:val="1"/>
                            <w:sz w:val="18"/>
                            <w:szCs w:val="18"/>
                          </w:rPr>
                          <w:t> </w:t>
                        </w:r>
                        <w:r>
                          <w:rPr>
                            <w:rFonts w:ascii="宋体" w:hAnsi="宋体" w:cs="宋体" w:eastAsia="宋体" w:hint="default"/>
                            <w:sz w:val="18"/>
                            <w:szCs w:val="18"/>
                          </w:rPr>
                          <w:t>二、</w:t>
                        </w:r>
                        <w:r>
                          <w:rPr>
                            <w:rFonts w:ascii="宋体" w:hAnsi="宋体" w:cs="宋体" w:eastAsia="宋体" w:hint="default"/>
                            <w:sz w:val="18"/>
                            <w:szCs w:val="18"/>
                          </w:rPr>
                          <w:t> 公司主营业务中</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销售业务介绍</w:t>
                        </w:r>
                      </w:p>
                    </w:tc>
                  </w:tr>
                  <w:tr>
                    <w:trPr>
                      <w:trHeight w:val="134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高鸿股份会议室</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工银瑞信基金管理 有限公司刘天任 富国基金管理有限 公司</w:t>
                        </w:r>
                        <w:r>
                          <w:rPr>
                            <w:rFonts w:ascii="宋体" w:hAnsi="宋体" w:cs="宋体" w:eastAsia="宋体" w:hint="default"/>
                            <w:spacing w:val="1"/>
                            <w:sz w:val="18"/>
                            <w:szCs w:val="18"/>
                          </w:rPr>
                          <w:t> </w:t>
                        </w:r>
                        <w:r>
                          <w:rPr>
                            <w:rFonts w:ascii="宋体" w:hAnsi="宋体" w:cs="宋体" w:eastAsia="宋体" w:hint="default"/>
                            <w:sz w:val="18"/>
                            <w:szCs w:val="18"/>
                          </w:rPr>
                          <w:t>袁兵兵</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一、并购高阳捷迅项目介绍</w:t>
                        </w:r>
                        <w:r>
                          <w:rPr>
                            <w:rFonts w:ascii="宋体" w:hAnsi="宋体" w:cs="宋体" w:eastAsia="宋体" w:hint="default"/>
                            <w:spacing w:val="1"/>
                            <w:sz w:val="18"/>
                            <w:szCs w:val="18"/>
                          </w:rPr>
                          <w:t> </w:t>
                        </w:r>
                        <w:r>
                          <w:rPr>
                            <w:rFonts w:ascii="宋体" w:hAnsi="宋体" w:cs="宋体" w:eastAsia="宋体" w:hint="default"/>
                            <w:sz w:val="18"/>
                            <w:szCs w:val="18"/>
                          </w:rPr>
                          <w:t>二、</w:t>
                        </w:r>
                        <w:r>
                          <w:rPr>
                            <w:rFonts w:ascii="宋体" w:hAnsi="宋体" w:cs="宋体" w:eastAsia="宋体" w:hint="default"/>
                            <w:sz w:val="18"/>
                            <w:szCs w:val="18"/>
                          </w:rPr>
                          <w:t> 公司互联网彩票进展情况及后续 发展规划</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高鸿股份会议室</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媒体记者</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公司互联网彩票业务进展情况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高鸿股份会议室</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上海证券报 </w:t>
                        </w:r>
                        <w:r>
                          <w:rPr>
                            <w:rFonts w:ascii="宋体" w:hAnsi="宋体" w:cs="宋体" w:eastAsia="宋体" w:hint="default"/>
                            <w:spacing w:val="2"/>
                            <w:sz w:val="18"/>
                            <w:szCs w:val="18"/>
                          </w:rPr>
                          <w:t> </w:t>
                        </w:r>
                        <w:r>
                          <w:rPr>
                            <w:rFonts w:ascii="宋体" w:hAnsi="宋体" w:cs="宋体" w:eastAsia="宋体" w:hint="default"/>
                            <w:sz w:val="18"/>
                            <w:szCs w:val="18"/>
                          </w:rPr>
                          <w:t>杨晶</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公司互联网彩票情况介绍</w:t>
                        </w:r>
                      </w:p>
                    </w:tc>
                  </w:tr>
                  <w:tr>
                    <w:trPr>
                      <w:trHeight w:val="164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高鸿股份会议室</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 w:pos="1286" w:val="left" w:leader="none"/>
                          </w:tabs>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国海证券</w:t>
                        </w:r>
                        <w:r>
                          <w:rPr>
                            <w:rFonts w:ascii="宋体" w:hAnsi="宋体" w:cs="宋体" w:eastAsia="宋体" w:hint="default"/>
                            <w:spacing w:val="1"/>
                            <w:sz w:val="18"/>
                            <w:szCs w:val="18"/>
                          </w:rPr>
                          <w:t> </w:t>
                        </w:r>
                        <w:r>
                          <w:rPr>
                            <w:rFonts w:ascii="宋体" w:hAnsi="宋体" w:cs="宋体" w:eastAsia="宋体" w:hint="default"/>
                            <w:sz w:val="18"/>
                            <w:szCs w:val="18"/>
                          </w:rPr>
                          <w:t>李响</w:t>
                        </w:r>
                        <w:r>
                          <w:rPr>
                            <w:rFonts w:ascii="宋体" w:hAnsi="宋体" w:cs="宋体" w:eastAsia="宋体" w:hint="default"/>
                            <w:sz w:val="18"/>
                            <w:szCs w:val="18"/>
                          </w:rPr>
                          <w:t> 银河证券</w:t>
                          <w:tab/>
                          <w:t>王 娜</w:t>
                        </w:r>
                        <w:r>
                          <w:rPr>
                            <w:rFonts w:ascii="宋体" w:hAnsi="宋体" w:cs="宋体" w:eastAsia="宋体" w:hint="default"/>
                            <w:spacing w:val="1"/>
                            <w:sz w:val="18"/>
                            <w:szCs w:val="18"/>
                          </w:rPr>
                          <w:t> </w:t>
                        </w:r>
                        <w:r>
                          <w:rPr>
                            <w:rFonts w:ascii="宋体" w:hAnsi="宋体" w:cs="宋体" w:eastAsia="宋体" w:hint="default"/>
                            <w:sz w:val="18"/>
                            <w:szCs w:val="18"/>
                          </w:rPr>
                          <w:t>个人投资者</w:t>
                        </w:r>
                        <w:r>
                          <w:rPr>
                            <w:rFonts w:ascii="宋体" w:hAnsi="宋体" w:cs="宋体" w:eastAsia="宋体" w:hint="default"/>
                            <w:sz w:val="18"/>
                            <w:szCs w:val="18"/>
                          </w:rPr>
                          <w:t> 杜景函</w:t>
                        </w:r>
                        <w:r>
                          <w:rPr>
                            <w:rFonts w:ascii="宋体" w:hAnsi="宋体" w:cs="宋体" w:eastAsia="宋体" w:hint="default"/>
                            <w:spacing w:val="1"/>
                            <w:sz w:val="18"/>
                            <w:szCs w:val="18"/>
                          </w:rPr>
                          <w:t> </w:t>
                        </w:r>
                        <w:r>
                          <w:rPr>
                            <w:rFonts w:ascii="宋体" w:hAnsi="宋体" w:cs="宋体" w:eastAsia="宋体" w:hint="default"/>
                            <w:sz w:val="18"/>
                            <w:szCs w:val="18"/>
                          </w:rPr>
                          <w:t>个人投资</w:t>
                        </w:r>
                        <w:r>
                          <w:rPr>
                            <w:rFonts w:ascii="宋体" w:hAnsi="宋体" w:cs="宋体" w:eastAsia="宋体" w:hint="default"/>
                            <w:sz w:val="18"/>
                            <w:szCs w:val="18"/>
                          </w:rPr>
                          <w:t> 者</w:t>
                          <w:tab/>
                          <w:t>姚海桥</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69"/>
                          <w:jc w:val="left"/>
                          <w:rPr>
                            <w:rFonts w:ascii="宋体" w:hAnsi="宋体" w:cs="宋体" w:eastAsia="宋体" w:hint="default"/>
                            <w:sz w:val="18"/>
                            <w:szCs w:val="18"/>
                          </w:rPr>
                        </w:pPr>
                        <w:r>
                          <w:rPr>
                            <w:rFonts w:ascii="宋体" w:hAnsi="宋体" w:cs="宋体" w:eastAsia="宋体" w:hint="default"/>
                            <w:sz w:val="18"/>
                            <w:szCs w:val="18"/>
                          </w:rPr>
                          <w:t>一、公司互联网彩票情况介绍、 二、高阳捷迅业务情况</w:t>
                        </w:r>
                      </w:p>
                    </w:tc>
                  </w:tr>
                  <w:tr>
                    <w:trPr>
                      <w:trHeight w:val="102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高鸿股份会议室</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80"/>
                          <w:jc w:val="both"/>
                          <w:rPr>
                            <w:rFonts w:ascii="宋体" w:hAnsi="宋体" w:cs="宋体" w:eastAsia="宋体" w:hint="default"/>
                            <w:sz w:val="18"/>
                            <w:szCs w:val="18"/>
                          </w:rPr>
                        </w:pPr>
                        <w:r>
                          <w:rPr>
                            <w:rFonts w:ascii="宋体" w:hAnsi="宋体" w:cs="宋体" w:eastAsia="宋体" w:hint="default"/>
                            <w:sz w:val="18"/>
                            <w:szCs w:val="18"/>
                          </w:rPr>
                          <w:t>上海泽熙投资管理 有限公司</w:t>
                        </w:r>
                        <w:r>
                          <w:rPr>
                            <w:rFonts w:ascii="宋体" w:hAnsi="宋体" w:cs="宋体" w:eastAsia="宋体" w:hint="default"/>
                            <w:spacing w:val="2"/>
                            <w:sz w:val="18"/>
                            <w:szCs w:val="18"/>
                          </w:rPr>
                          <w:t> </w:t>
                        </w:r>
                        <w:r>
                          <w:rPr>
                            <w:rFonts w:ascii="宋体" w:hAnsi="宋体" w:cs="宋体" w:eastAsia="宋体" w:hint="default"/>
                            <w:sz w:val="18"/>
                            <w:szCs w:val="18"/>
                          </w:rPr>
                          <w:t>孟斯硕</w:t>
                        </w:r>
                        <w:r>
                          <w:rPr>
                            <w:rFonts w:ascii="宋体" w:hAnsi="宋体" w:cs="宋体" w:eastAsia="宋体" w:hint="default"/>
                            <w:sz w:val="18"/>
                            <w:szCs w:val="18"/>
                          </w:rPr>
                          <w:t> 证券日报 </w:t>
                        </w:r>
                        <w:r>
                          <w:rPr>
                            <w:rFonts w:ascii="宋体" w:hAnsi="宋体" w:cs="宋体" w:eastAsia="宋体" w:hint="default"/>
                            <w:spacing w:val="2"/>
                            <w:sz w:val="18"/>
                            <w:szCs w:val="18"/>
                          </w:rPr>
                          <w:t> </w:t>
                        </w:r>
                        <w:r>
                          <w:rPr>
                            <w:rFonts w:ascii="宋体" w:hAnsi="宋体" w:cs="宋体" w:eastAsia="宋体" w:hint="default"/>
                            <w:sz w:val="18"/>
                            <w:szCs w:val="18"/>
                          </w:rPr>
                          <w:t>李金明</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4" w:right="29"/>
                          <w:jc w:val="both"/>
                          <w:rPr>
                            <w:rFonts w:ascii="宋体" w:hAnsi="宋体" w:cs="宋体" w:eastAsia="宋体" w:hint="default"/>
                            <w:sz w:val="18"/>
                            <w:szCs w:val="18"/>
                          </w:rPr>
                        </w:pPr>
                        <w:r>
                          <w:rPr>
                            <w:rFonts w:ascii="宋体" w:hAnsi="宋体" w:cs="宋体" w:eastAsia="宋体" w:hint="default"/>
                            <w:sz w:val="18"/>
                            <w:szCs w:val="18"/>
                          </w:rPr>
                          <w:t>一、公司彩票业务进展</w:t>
                        </w:r>
                        <w:r>
                          <w:rPr>
                            <w:rFonts w:ascii="宋体" w:hAnsi="宋体" w:cs="宋体" w:eastAsia="宋体" w:hint="default"/>
                            <w:spacing w:val="89"/>
                            <w:sz w:val="18"/>
                            <w:szCs w:val="18"/>
                          </w:rPr>
                          <w:t> </w:t>
                        </w:r>
                        <w:r>
                          <w:rPr>
                            <w:rFonts w:ascii="宋体" w:hAnsi="宋体" w:cs="宋体" w:eastAsia="宋体" w:hint="default"/>
                            <w:sz w:val="18"/>
                            <w:szCs w:val="18"/>
                          </w:rPr>
                          <w:t>二、公</w:t>
                        </w:r>
                        <w:r>
                          <w:rPr>
                            <w:rFonts w:ascii="宋体" w:hAnsi="宋体" w:cs="宋体" w:eastAsia="宋体" w:hint="default"/>
                            <w:sz w:val="18"/>
                            <w:szCs w:val="18"/>
                          </w:rPr>
                          <w:t> 司企业信息化业务介绍、</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w:t>
                        </w:r>
                        <w:r>
                          <w:rPr>
                            <w:rFonts w:ascii="宋体" w:hAnsi="宋体" w:cs="宋体" w:eastAsia="宋体" w:hint="default"/>
                            <w:spacing w:val="2"/>
                            <w:sz w:val="18"/>
                            <w:szCs w:val="18"/>
                          </w:rPr>
                          <w:t> </w:t>
                        </w:r>
                        <w:r>
                          <w:rPr>
                            <w:rFonts w:ascii="宋体" w:hAnsi="宋体" w:cs="宋体" w:eastAsia="宋体" w:hint="default"/>
                            <w:sz w:val="18"/>
                            <w:szCs w:val="18"/>
                          </w:rPr>
                          <w:t>业务介绍</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059"/>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二、媒体质疑情况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90"/>
        <w:gridCol w:w="3188"/>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媒体质疑事项说明</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27"/>
              <w:jc w:val="righ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传闻：公司招聘</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互联网彩票事业部总经 理</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互联网保险事业部总经理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两项职 位，涉足互联网彩票以及互联网保险业 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22"/>
              <w:jc w:val="right"/>
              <w:rPr>
                <w:rFonts w:ascii="Times New Roman" w:hAnsi="Times New Roman" w:cs="Times New Roman" w:eastAsia="Times New Roman" w:hint="default"/>
                <w:sz w:val="18"/>
                <w:szCs w:val="18"/>
              </w:rPr>
            </w:pPr>
            <w:hyperlink r:id="rId13">
              <w:r>
                <w:rPr>
                  <w:rFonts w:ascii="Times New Roman"/>
                  <w:spacing w:val="-1"/>
                  <w:sz w:val="18"/>
                </w:rPr>
                <w:t>http://www.cninfo.com.cn/</w:t>
              </w:r>
            </w:hyperlink>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三、控股股东及其关联方对上市公司的非经营性占用资金情况</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28"/>
        <w:gridCol w:w="966"/>
        <w:gridCol w:w="946"/>
        <w:gridCol w:w="982"/>
        <w:gridCol w:w="947"/>
        <w:gridCol w:w="946"/>
        <w:gridCol w:w="983"/>
        <w:gridCol w:w="947"/>
        <w:gridCol w:w="958"/>
        <w:gridCol w:w="959"/>
      </w:tblGrid>
      <w:tr>
        <w:trPr>
          <w:trHeight w:val="163" w:hRule="exact"/>
        </w:trPr>
        <w:tc>
          <w:tcPr>
            <w:tcW w:w="92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94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03" w:right="23" w:hanging="92"/>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02" w:right="11"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94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72" w:right="23" w:hanging="361"/>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5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91" w:hRule="exact"/>
        </w:trPr>
        <w:tc>
          <w:tcPr>
            <w:tcW w:w="928" w:type="dxa"/>
            <w:vMerge/>
            <w:tcBorders>
              <w:left w:val="single" w:sz="4" w:space="0" w:color="000000"/>
              <w:right w:val="single" w:sz="4" w:space="0" w:color="000000"/>
            </w:tcBorders>
            <w:shd w:val="clear" w:color="auto" w:fill="D2D2D2"/>
          </w:tcPr>
          <w:p>
            <w:pPr/>
          </w:p>
        </w:tc>
        <w:tc>
          <w:tcPr>
            <w:tcW w:w="9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47" w:type="dxa"/>
            <w:vMerge/>
            <w:tcBorders>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47"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9" w:type="dxa"/>
            <w:vMerge/>
            <w:tcBorders>
              <w:left w:val="single" w:sz="4" w:space="0" w:color="000000"/>
              <w:right w:val="single" w:sz="4" w:space="0" w:color="000000"/>
            </w:tcBorders>
            <w:shd w:val="clear" w:color="auto" w:fill="D2D2D2"/>
          </w:tcPr>
          <w:p>
            <w:pPr/>
          </w:p>
        </w:tc>
      </w:tr>
      <w:tr>
        <w:trPr>
          <w:trHeight w:val="161" w:hRule="exact"/>
        </w:trPr>
        <w:tc>
          <w:tcPr>
            <w:tcW w:w="928" w:type="dxa"/>
            <w:vMerge/>
            <w:tcBorders>
              <w:left w:val="single" w:sz="4" w:space="0" w:color="000000"/>
              <w:bottom w:val="single" w:sz="4" w:space="0" w:color="000000"/>
              <w:right w:val="single" w:sz="4" w:space="0" w:color="000000"/>
            </w:tcBorders>
            <w:shd w:val="clear" w:color="auto" w:fill="D2D2D2"/>
          </w:tcPr>
          <w:p>
            <w:pPr/>
          </w:p>
        </w:tc>
        <w:tc>
          <w:tcPr>
            <w:tcW w:w="9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46" w:type="dxa"/>
            <w:tcBorders>
              <w:top w:val="nil" w:sz="6" w:space="0" w:color="auto"/>
              <w:left w:val="single" w:sz="4" w:space="0" w:color="000000"/>
              <w:bottom w:val="single" w:sz="4" w:space="0" w:color="000000"/>
              <w:right w:val="single" w:sz="4" w:space="0" w:color="000000"/>
            </w:tcBorders>
            <w:shd w:val="clear" w:color="auto" w:fill="D2D2D2"/>
          </w:tcPr>
          <w:p>
            <w:pPr/>
          </w:p>
        </w:tc>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947"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947"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8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16"/>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期末合计值占最近一期经审计净资 产的比例</w:t>
            </w:r>
            <w:r>
              <w:rPr>
                <w:rFonts w:ascii="Times New Roman" w:hAnsi="Times New Roman" w:cs="Times New Roman" w:eastAsia="Times New Roman" w:hint="default"/>
                <w:sz w:val="18"/>
                <w:szCs w:val="18"/>
              </w:rPr>
              <w:t>(%)</w:t>
            </w:r>
          </w:p>
        </w:tc>
        <w:tc>
          <w:tcPr>
            <w:tcW w:w="6721"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8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6"/>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21"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5" w:hRule="exact"/>
        </w:trPr>
        <w:tc>
          <w:tcPr>
            <w:tcW w:w="28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16"/>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21"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四、破产重整相关事项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r>
        <w:rPr/>
        <w:t>五、资产交易事项</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3"/>
        <w:gridCol w:w="871"/>
        <w:gridCol w:w="869"/>
        <w:gridCol w:w="871"/>
        <w:gridCol w:w="869"/>
        <w:gridCol w:w="869"/>
        <w:gridCol w:w="871"/>
        <w:gridCol w:w="869"/>
        <w:gridCol w:w="871"/>
        <w:gridCol w:w="869"/>
        <w:gridCol w:w="872"/>
      </w:tblGrid>
      <w:tr>
        <w:trPr>
          <w:trHeight w:val="98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66" w:right="65"/>
              <w:jc w:val="left"/>
              <w:rPr>
                <w:rFonts w:ascii="宋体" w:hAnsi="宋体" w:cs="宋体" w:eastAsia="宋体" w:hint="default"/>
                <w:sz w:val="18"/>
                <w:szCs w:val="18"/>
              </w:rPr>
            </w:pPr>
            <w:r>
              <w:rPr>
                <w:rFonts w:ascii="宋体" w:hAnsi="宋体" w:cs="宋体" w:eastAsia="宋体" w:hint="default"/>
                <w:sz w:val="18"/>
                <w:szCs w:val="18"/>
              </w:rPr>
              <w:t>交易对方 或最终控</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对公司经 营的影响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对公司损 益的影响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该资产为 上市公司 贡献的净</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316" w:lineRule="auto"/>
              <w:ind w:left="160" w:right="68" w:hanging="92"/>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firstLine="45"/>
              <w:jc w:val="both"/>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2"/>
      </w:tblGrid>
      <w:tr>
        <w:trPr>
          <w:trHeight w:val="98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制方</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6" w:right="24"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利润占净 利润总额 的比率</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9" w:right="71" w:hanging="180"/>
              <w:jc w:val="left"/>
              <w:rPr>
                <w:rFonts w:ascii="宋体" w:hAnsi="宋体" w:cs="宋体" w:eastAsia="宋体" w:hint="default"/>
                <w:sz w:val="18"/>
                <w:szCs w:val="18"/>
              </w:rPr>
            </w:pPr>
            <w:r>
              <w:rPr>
                <w:rFonts w:ascii="宋体" w:hAnsi="宋体" w:cs="宋体" w:eastAsia="宋体" w:hint="default"/>
                <w:sz w:val="18"/>
                <w:szCs w:val="18"/>
              </w:rPr>
              <w:t>关联交易 情形</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08"/>
              <w:jc w:val="both"/>
              <w:rPr>
                <w:rFonts w:ascii="宋体" w:hAnsi="宋体" w:cs="宋体" w:eastAsia="宋体" w:hint="default"/>
                <w:sz w:val="18"/>
                <w:szCs w:val="18"/>
              </w:rPr>
            </w:pPr>
            <w:r>
              <w:rPr>
                <w:rFonts w:ascii="宋体" w:hAnsi="宋体" w:cs="宋体" w:eastAsia="宋体" w:hint="default"/>
                <w:sz w:val="18"/>
                <w:szCs w:val="18"/>
              </w:rPr>
              <w:t>北京木兰 工场咨询 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昆山雷石 雨花股权 投资合伙 </w:t>
            </w:r>
            <w:r>
              <w:rPr>
                <w:rFonts w:ascii="宋体" w:hAnsi="宋体" w:cs="宋体" w:eastAsia="宋体" w:hint="default"/>
                <w:spacing w:val="-18"/>
                <w:sz w:val="18"/>
                <w:szCs w:val="18"/>
              </w:rPr>
              <w:t>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合伙）股权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2013-023</w:t>
            </w: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5"/>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2,470.72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2013-048</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5"/>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1,440.13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2013-048</w:t>
            </w: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5"/>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1,645.35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2013-048</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15"/>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1,754.65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2013-048</w:t>
            </w: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李昌锋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5"/>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1,303.16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2013-048</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王世成</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15"/>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1,494.69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2013-048</w:t>
            </w: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670.54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2159.52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2013-048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2"/>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有影响。</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骆郁文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15"/>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2013-048</w:t>
            </w: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任一凡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5"/>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2013-048</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王元军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15"/>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224.77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2013-048</w:t>
            </w: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周逵</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5"/>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4,205.33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2013-048</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上海中路</w:t>
            </w:r>
          </w:p>
          <w:p>
            <w:pPr>
              <w:pStyle w:val="TableParagraph"/>
              <w:spacing w:line="319" w:lineRule="auto" w:before="76"/>
              <w:ind w:left="24" w:right="108"/>
              <w:jc w:val="left"/>
              <w:rPr>
                <w:rFonts w:ascii="宋体" w:hAnsi="宋体" w:cs="宋体" w:eastAsia="宋体" w:hint="default"/>
                <w:sz w:val="18"/>
                <w:szCs w:val="18"/>
              </w:rPr>
            </w:pPr>
            <w:r>
              <w:rPr>
                <w:rFonts w:ascii="宋体" w:hAnsi="宋体" w:cs="宋体" w:eastAsia="宋体" w:hint="default"/>
                <w:sz w:val="18"/>
                <w:szCs w:val="18"/>
              </w:rPr>
              <w:t>（集团） 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15"/>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722.74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2013-048</w:t>
            </w: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倪正东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5"/>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2159.52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2013-048</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吴晓丹</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5"/>
              <w:jc w:val="both"/>
              <w:rPr>
                <w:rFonts w:ascii="宋体" w:hAnsi="宋体" w:cs="宋体" w:eastAsia="宋体" w:hint="default"/>
                <w:sz w:val="18"/>
                <w:szCs w:val="18"/>
              </w:rPr>
            </w:pPr>
            <w:r>
              <w:rPr>
                <w:rFonts w:ascii="宋体" w:hAnsi="宋体" w:cs="宋体" w:eastAsia="宋体" w:hint="default"/>
                <w:sz w:val="18"/>
                <w:szCs w:val="18"/>
              </w:rPr>
              <w:t>大唐高鸿 信息技术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514.02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5"/>
              <w:jc w:val="both"/>
              <w:rPr>
                <w:rFonts w:ascii="宋体" w:hAnsi="宋体" w:cs="宋体" w:eastAsia="宋体" w:hint="default"/>
                <w:sz w:val="18"/>
                <w:szCs w:val="18"/>
              </w:rPr>
            </w:pPr>
            <w:r>
              <w:rPr>
                <w:rFonts w:ascii="宋体" w:hAnsi="宋体" w:cs="宋体" w:eastAsia="宋体" w:hint="default"/>
                <w:sz w:val="18"/>
                <w:szCs w:val="18"/>
              </w:rPr>
              <w:t>大唐高鸿 信息技术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918.06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交易已完 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2"/>
        <w:rPr>
          <w:rFonts w:ascii="Times New Roman" w:hAnsi="Times New Roman" w:cs="Times New Roman" w:eastAsia="Times New Roman" w:hint="default"/>
          <w:sz w:val="28"/>
          <w:szCs w:val="28"/>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before="44"/>
        <w:ind w:left="4414" w:right="5412" w:firstLine="0"/>
        <w:jc w:val="center"/>
        <w:rPr>
          <w:rFonts w:ascii="宋体" w:hAnsi="宋体" w:cs="宋体" w:eastAsia="宋体" w:hint="default"/>
          <w:sz w:val="18"/>
          <w:szCs w:val="18"/>
        </w:rPr>
      </w:pPr>
      <w:r>
        <w:rPr/>
        <w:pict>
          <v:shape style="position:absolute;margin-left:56.400002pt;margin-top:-70.808311pt;width:489.85pt;height:533.3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84"/>
                    <w:gridCol w:w="684"/>
                    <w:gridCol w:w="617"/>
                    <w:gridCol w:w="567"/>
                    <w:gridCol w:w="710"/>
                    <w:gridCol w:w="1133"/>
                    <w:gridCol w:w="74"/>
                    <w:gridCol w:w="634"/>
                    <w:gridCol w:w="710"/>
                    <w:gridCol w:w="566"/>
                    <w:gridCol w:w="709"/>
                    <w:gridCol w:w="569"/>
                    <w:gridCol w:w="708"/>
                    <w:gridCol w:w="708"/>
                    <w:gridCol w:w="708"/>
                  </w:tblGrid>
                  <w:tr>
                    <w:trPr>
                      <w:trHeight w:val="2897"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98" w:right="98"/>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20"/>
                          <w:ind w:left="98" w:right="98"/>
                          <w:jc w:val="left"/>
                          <w:rPr>
                            <w:rFonts w:ascii="宋体" w:hAnsi="宋体" w:cs="宋体" w:eastAsia="宋体" w:hint="default"/>
                            <w:sz w:val="18"/>
                            <w:szCs w:val="18"/>
                          </w:rPr>
                        </w:pPr>
                        <w:r>
                          <w:rPr>
                            <w:rFonts w:ascii="宋体" w:hAnsi="宋体" w:cs="宋体" w:eastAsia="宋体" w:hint="default"/>
                            <w:sz w:val="18"/>
                            <w:szCs w:val="18"/>
                          </w:rPr>
                          <w:t>（万 元）</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4" w:right="108" w:firstLine="88"/>
                          <w:jc w:val="left"/>
                          <w:rPr>
                            <w:rFonts w:ascii="Times New Roman" w:hAnsi="Times New Roman" w:cs="Times New Roman" w:eastAsia="Times New Roman" w:hint="default"/>
                            <w:sz w:val="18"/>
                            <w:szCs w:val="18"/>
                          </w:rPr>
                        </w:pPr>
                        <w:r>
                          <w:rPr>
                            <w:rFonts w:ascii="宋体" w:hAnsi="宋体" w:cs="宋体" w:eastAsia="宋体" w:hint="default"/>
                            <w:sz w:val="18"/>
                            <w:szCs w:val="18"/>
                          </w:rPr>
                          <w:t>出售对公司 </w:t>
                        </w:r>
                        <w:r>
                          <w:rPr>
                            <w:rFonts w:ascii="宋体" w:hAnsi="宋体" w:cs="宋体" w:eastAsia="宋体" w:hint="default"/>
                            <w:spacing w:val="-10"/>
                            <w:sz w:val="18"/>
                            <w:szCs w:val="18"/>
                          </w:rPr>
                          <w:t>的影响（注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74" w:type="dxa"/>
                        <w:tcBorders>
                          <w:top w:val="single" w:sz="4" w:space="0" w:color="000000"/>
                          <w:left w:val="single" w:sz="4" w:space="0" w:color="000000"/>
                          <w:bottom w:val="single" w:sz="4" w:space="0" w:color="000000"/>
                          <w:right w:val="nil" w:sz="6" w:space="0" w:color="auto"/>
                        </w:tcBorders>
                        <w:shd w:val="clear" w:color="auto" w:fill="D2D2D2"/>
                      </w:tcPr>
                      <w:p>
                        <w:pPr/>
                      </w:p>
                    </w:tc>
                    <w:tc>
                      <w:tcPr>
                        <w:tcW w:w="63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9" w:right="77"/>
                          <w:jc w:val="center"/>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p>
                        <w:pPr>
                          <w:pStyle w:val="TableParagraph"/>
                          <w:spacing w:line="240" w:lineRule="auto" w:before="61"/>
                          <w:ind w:right="64"/>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79" w:right="79"/>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8" w:right="9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46" w:hanging="70"/>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7"/>
                            <w:sz w:val="18"/>
                            <w:szCs w:val="18"/>
                          </w:rPr>
                          <w:t>系（适用</w:t>
                        </w:r>
                        <w:r>
                          <w:rPr>
                            <w:rFonts w:ascii="宋体" w:hAnsi="宋体" w:cs="宋体" w:eastAsia="宋体" w:hint="default"/>
                            <w:sz w:val="18"/>
                            <w:szCs w:val="18"/>
                          </w:rPr>
                          <w:t> 关联交 易情形）</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59" w:right="77" w:hanging="181"/>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8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贵阳市 工商资 产经营 管理有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08"/>
                          <w:jc w:val="both"/>
                          <w:rPr>
                            <w:rFonts w:ascii="宋体" w:hAnsi="宋体" w:cs="宋体" w:eastAsia="宋体" w:hint="default"/>
                            <w:sz w:val="18"/>
                            <w:szCs w:val="18"/>
                          </w:rPr>
                        </w:pPr>
                        <w:r>
                          <w:rPr>
                            <w:rFonts w:ascii="宋体" w:hAnsi="宋体" w:cs="宋体" w:eastAsia="宋体" w:hint="default"/>
                            <w:sz w:val="18"/>
                            <w:szCs w:val="18"/>
                          </w:rPr>
                          <w:t>贵州达 众磨料 磨具有 限责任 公司股 权</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920.95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对公司业务 的连续性、管 理层稳定性 没有影响。对 报告期财务 状况和经营 成果没有影 响。</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根据评 估定价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w:t>
                        </w:r>
                      </w:p>
                    </w:tc>
                  </w:tr>
                  <w:tr>
                    <w:trPr>
                      <w:trHeight w:val="258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马德兴</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沈阳高 鸿恒昌 科技有 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对公司业务 的连续性、管 理层稳定性 没有影响。对 报告期财务 状况和经营 成果没有影 响。</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-0.56%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3" w:right="134"/>
                          <w:jc w:val="left"/>
                          <w:rPr>
                            <w:rFonts w:ascii="宋体" w:hAnsi="宋体" w:cs="宋体" w:eastAsia="宋体" w:hint="default"/>
                            <w:sz w:val="18"/>
                            <w:szCs w:val="18"/>
                          </w:rPr>
                        </w:pPr>
                        <w:r>
                          <w:rPr>
                            <w:rFonts w:ascii="宋体" w:hAnsi="宋体" w:cs="宋体" w:eastAsia="宋体" w:hint="default"/>
                            <w:sz w:val="18"/>
                            <w:szCs w:val="18"/>
                          </w:rPr>
                          <w:t>根据评 估定价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58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张洪飙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厦门大 唐高鸿 电子技 术有限 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对公司业务 的连续性、管 理层稳定性 没有影响。对 报告期财务 状况和经营 成果没有影 响。</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0.74%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根据评 估定价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240" w:lineRule="auto" w:before="0"/>
        <w:ind w:left="578" w:right="0"/>
        <w:jc w:val="left"/>
      </w:pPr>
      <w:r>
        <w:rPr/>
        <w:t>本期发生的非同一控制下企业合并</w:t>
      </w:r>
    </w:p>
    <w:p>
      <w:pPr>
        <w:pStyle w:val="BodyText"/>
        <w:spacing w:line="357" w:lineRule="auto" w:before="154"/>
        <w:ind w:left="578" w:right="0"/>
        <w:jc w:val="left"/>
      </w:pPr>
      <w:r>
        <w:rPr>
          <w:rFonts w:ascii="宋体" w:hAnsi="宋体" w:cs="宋体" w:eastAsia="宋体" w:hint="default"/>
        </w:rPr>
        <w:t>1</w:t>
      </w:r>
      <w:r>
        <w:rPr/>
        <w:t>、</w:t>
      </w:r>
      <w:r>
        <w:rPr>
          <w:spacing w:val="-65"/>
        </w:rPr>
        <w:t> </w:t>
      </w:r>
      <w:r>
        <w:rPr/>
        <w:t>本期发生的非同一控制下企业合并的情况</w:t>
      </w:r>
      <w:r>
        <w:rPr/>
        <w:t> </w:t>
      </w:r>
      <w:r>
        <w:rPr>
          <w:spacing w:val="-1"/>
        </w:rPr>
        <w:t>本公司以</w:t>
      </w:r>
      <w:r>
        <w:rPr>
          <w:rFonts w:ascii="宋体" w:hAnsi="宋体" w:cs="宋体" w:eastAsia="宋体" w:hint="default"/>
          <w:spacing w:val="-1"/>
        </w:rPr>
        <w:t>2013</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26</w:t>
      </w:r>
      <w:r>
        <w:rPr>
          <w:spacing w:val="-1"/>
        </w:rPr>
        <w:t>日为购买日，支付现金人民币</w:t>
      </w:r>
      <w:r>
        <w:rPr>
          <w:rFonts w:ascii="宋体" w:hAnsi="宋体" w:cs="宋体" w:eastAsia="宋体" w:hint="default"/>
          <w:spacing w:val="-1"/>
        </w:rPr>
        <w:t>169,000,000.00</w:t>
      </w:r>
      <w:r>
        <w:rPr>
          <w:spacing w:val="-1"/>
        </w:rPr>
        <w:t>元收购股权、支付现</w:t>
      </w:r>
    </w:p>
    <w:p>
      <w:pPr>
        <w:spacing w:after="0" w:line="357" w:lineRule="auto"/>
        <w:jc w:val="left"/>
        <w:sectPr>
          <w:pgSz w:w="11910" w:h="16840"/>
          <w:pgMar w:header="745" w:footer="1186" w:top="1060" w:bottom="1380" w:left="980" w:right="880"/>
        </w:sectPr>
      </w:pPr>
    </w:p>
    <w:p>
      <w:pPr>
        <w:spacing w:line="240" w:lineRule="auto" w:before="6"/>
        <w:rPr>
          <w:rFonts w:ascii="宋体" w:hAnsi="宋体" w:cs="宋体" w:eastAsia="宋体" w:hint="default"/>
          <w:sz w:val="29"/>
          <w:szCs w:val="29"/>
        </w:rPr>
      </w:pPr>
    </w:p>
    <w:p>
      <w:pPr>
        <w:pStyle w:val="BodyText"/>
        <w:spacing w:line="357" w:lineRule="auto" w:before="26"/>
        <w:ind w:right="0"/>
        <w:jc w:val="left"/>
      </w:pPr>
      <w:r>
        <w:rPr>
          <w:spacing w:val="20"/>
        </w:rPr>
        <w:t>金人民币增资</w:t>
      </w:r>
      <w:r>
        <w:rPr>
          <w:spacing w:val="-87"/>
        </w:rPr>
        <w:t> </w:t>
      </w:r>
      <w:r>
        <w:rPr>
          <w:rFonts w:ascii="宋体" w:hAnsi="宋体" w:cs="宋体" w:eastAsia="宋体" w:hint="default"/>
        </w:rPr>
        <w:t>100,000,000.00</w:t>
      </w:r>
      <w:r>
        <w:rPr>
          <w:rFonts w:ascii="宋体" w:hAnsi="宋体" w:cs="宋体" w:eastAsia="宋体" w:hint="default"/>
          <w:spacing w:val="-89"/>
        </w:rPr>
        <w:t> </w:t>
      </w:r>
      <w:r>
        <w:rPr>
          <w:spacing w:val="23"/>
        </w:rPr>
        <w:t>元作为合并成本购买了北京高阳捷迅信息技术有限公司</w:t>
      </w:r>
      <w:r>
        <w:rPr>
          <w:spacing w:val="-117"/>
        </w:rPr>
        <w:t> </w:t>
      </w:r>
      <w:r>
        <w:rPr>
          <w:spacing w:val="-117"/>
        </w:rPr>
      </w:r>
      <w:r>
        <w:rPr>
          <w:rFonts w:ascii="宋体" w:hAnsi="宋体" w:cs="宋体" w:eastAsia="宋体" w:hint="default"/>
        </w:rPr>
        <w:t>36.351%</w:t>
      </w:r>
      <w:r>
        <w:rPr/>
        <w:t>的权益。合并成本在购买日的总额为人民币</w:t>
      </w:r>
      <w:r>
        <w:rPr>
          <w:rFonts w:ascii="宋体" w:hAnsi="宋体" w:cs="宋体" w:eastAsia="宋体" w:hint="default"/>
        </w:rPr>
        <w:t>269,000,000.00</w:t>
      </w:r>
      <w:r>
        <w:rPr/>
        <w:t>元。</w:t>
      </w:r>
    </w:p>
    <w:p>
      <w:pPr>
        <w:pStyle w:val="BodyText"/>
        <w:spacing w:line="357" w:lineRule="auto"/>
        <w:ind w:left="578" w:right="0"/>
        <w:jc w:val="left"/>
      </w:pPr>
      <w:r>
        <w:rPr/>
        <w:t>购买日的确定依据：以完成股权转让的工商变更登记手续作为购买日确定的依据。 </w:t>
      </w:r>
      <w:r>
        <w:rPr>
          <w:spacing w:val="4"/>
        </w:rPr>
        <w:t>合并对价公允价值以中联资产评估集团有限公司出具的中联评报字</w:t>
      </w:r>
      <w:r>
        <w:rPr>
          <w:rFonts w:ascii="宋体" w:hAnsi="宋体" w:cs="宋体" w:eastAsia="宋体" w:hint="default"/>
          <w:spacing w:val="4"/>
        </w:rPr>
        <w:t>[2013]</w:t>
      </w:r>
      <w:r>
        <w:rPr>
          <w:spacing w:val="4"/>
        </w:rPr>
        <w:t>第</w:t>
      </w:r>
      <w:r>
        <w:rPr>
          <w:rFonts w:ascii="宋体" w:hAnsi="宋体" w:cs="宋体" w:eastAsia="宋体" w:hint="default"/>
          <w:spacing w:val="4"/>
        </w:rPr>
        <w:t>399</w:t>
      </w:r>
      <w:r>
        <w:rPr>
          <w:spacing w:val="4"/>
        </w:rPr>
        <w:t>号资产</w:t>
      </w:r>
      <w:r>
        <w:rPr/>
      </w:r>
    </w:p>
    <w:p>
      <w:pPr>
        <w:pStyle w:val="BodyText"/>
        <w:spacing w:line="357" w:lineRule="auto"/>
        <w:ind w:right="0"/>
        <w:jc w:val="left"/>
      </w:pPr>
      <w:r>
        <w:rPr/>
        <w:t>评估报告书评估的北京高阳捷迅信息技术有限公司在评估基准日</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日的净资产评</w:t>
      </w:r>
      <w:r>
        <w:rPr>
          <w:spacing w:val="-87"/>
        </w:rPr>
        <w:t> </w:t>
      </w:r>
      <w:r>
        <w:rPr>
          <w:spacing w:val="-87"/>
        </w:rPr>
      </w:r>
      <w:r>
        <w:rPr/>
        <w:t>估值为基础来确定。</w:t>
      </w:r>
    </w:p>
    <w:p>
      <w:pPr>
        <w:pStyle w:val="BodyText"/>
        <w:spacing w:line="357" w:lineRule="auto"/>
        <w:ind w:right="151" w:firstLine="425"/>
        <w:jc w:val="both"/>
      </w:pPr>
      <w:r>
        <w:rPr>
          <w:spacing w:val="-1"/>
        </w:rPr>
        <w:t>北京高阳捷迅信息技术有限公司是于</w:t>
      </w:r>
      <w:r>
        <w:rPr>
          <w:rFonts w:ascii="宋体" w:hAnsi="宋体" w:cs="宋体" w:eastAsia="宋体" w:hint="default"/>
          <w:spacing w:val="-1"/>
        </w:rPr>
        <w:t>2005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24</w:t>
      </w:r>
      <w:r>
        <w:rPr>
          <w:spacing w:val="-1"/>
        </w:rPr>
        <w:t>日在北京市注册成立的公司，总部位于</w:t>
      </w:r>
      <w:r>
        <w:rPr/>
        <w:t> 北京市海淀区农大南路</w:t>
      </w:r>
      <w:r>
        <w:rPr>
          <w:rFonts w:ascii="宋体" w:hAnsi="宋体" w:cs="宋体" w:eastAsia="宋体" w:hint="default"/>
        </w:rPr>
        <w:t>88</w:t>
      </w:r>
      <w:r>
        <w:rPr/>
        <w:t>号，主要从事互联网信息服务业务、第二类增值电信业务中的信息</w:t>
      </w:r>
      <w:r>
        <w:rPr>
          <w:spacing w:val="-89"/>
        </w:rPr>
        <w:t> </w:t>
      </w:r>
      <w:r>
        <w:rPr>
          <w:spacing w:val="-89"/>
        </w:rPr>
      </w:r>
      <w:r>
        <w:rPr/>
        <w:t>服务业务。</w:t>
      </w:r>
    </w:p>
    <w:tbl>
      <w:tblPr>
        <w:tblW w:w="0" w:type="auto"/>
        <w:jc w:val="left"/>
        <w:tblInd w:w="145" w:type="dxa"/>
        <w:tblLayout w:type="fixed"/>
        <w:tblCellMar>
          <w:top w:w="0" w:type="dxa"/>
          <w:left w:w="0" w:type="dxa"/>
          <w:bottom w:w="0" w:type="dxa"/>
          <w:right w:w="0" w:type="dxa"/>
        </w:tblCellMar>
        <w:tblLook w:val="01E0"/>
      </w:tblPr>
      <w:tblGrid>
        <w:gridCol w:w="1844"/>
        <w:gridCol w:w="2204"/>
        <w:gridCol w:w="5034"/>
      </w:tblGrid>
      <w:tr>
        <w:trPr>
          <w:trHeight w:val="34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77" w:right="0"/>
              <w:jc w:val="left"/>
              <w:rPr>
                <w:rFonts w:ascii="宋体" w:hAnsi="宋体" w:cs="宋体" w:eastAsia="宋体" w:hint="default"/>
                <w:sz w:val="21"/>
                <w:szCs w:val="21"/>
              </w:rPr>
            </w:pPr>
            <w:r>
              <w:rPr>
                <w:rFonts w:ascii="宋体" w:hAnsi="宋体" w:cs="宋体" w:eastAsia="宋体" w:hint="default"/>
                <w:sz w:val="21"/>
                <w:szCs w:val="21"/>
              </w:rPr>
              <w:t>被合并方</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87"/>
              <w:jc w:val="right"/>
              <w:rPr>
                <w:rFonts w:ascii="宋体" w:hAnsi="宋体" w:cs="宋体" w:eastAsia="宋体" w:hint="default"/>
                <w:sz w:val="21"/>
                <w:szCs w:val="21"/>
              </w:rPr>
            </w:pPr>
            <w:r>
              <w:rPr>
                <w:rFonts w:ascii="宋体" w:hAnsi="宋体" w:cs="宋体" w:eastAsia="宋体" w:hint="default"/>
                <w:spacing w:val="-1"/>
                <w:sz w:val="21"/>
                <w:szCs w:val="21"/>
              </w:rPr>
              <w:t>商誉金额</w:t>
            </w:r>
          </w:p>
        </w:tc>
        <w:tc>
          <w:tcPr>
            <w:tcW w:w="50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67" w:right="0"/>
              <w:jc w:val="center"/>
              <w:rPr>
                <w:rFonts w:ascii="宋体" w:hAnsi="宋体" w:cs="宋体" w:eastAsia="宋体" w:hint="default"/>
                <w:sz w:val="21"/>
                <w:szCs w:val="21"/>
              </w:rPr>
            </w:pPr>
            <w:r>
              <w:rPr>
                <w:rFonts w:ascii="宋体" w:hAnsi="宋体" w:cs="宋体" w:eastAsia="宋体" w:hint="default"/>
                <w:sz w:val="21"/>
                <w:szCs w:val="21"/>
              </w:rPr>
              <w:t>商誉计算方法</w:t>
            </w:r>
          </w:p>
        </w:tc>
      </w:tr>
      <w:tr>
        <w:trPr>
          <w:trHeight w:val="190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9"/>
              <w:jc w:val="left"/>
              <w:rPr>
                <w:rFonts w:ascii="宋体" w:hAnsi="宋体" w:cs="宋体" w:eastAsia="宋体" w:hint="default"/>
                <w:sz w:val="21"/>
                <w:szCs w:val="21"/>
              </w:rPr>
            </w:pPr>
            <w:r>
              <w:rPr>
                <w:rFonts w:ascii="宋体" w:hAnsi="宋体" w:cs="宋体" w:eastAsia="宋体" w:hint="default"/>
                <w:sz w:val="21"/>
                <w:szCs w:val="21"/>
              </w:rPr>
              <w:t>北京高阳捷迅信息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507"/>
              <w:jc w:val="right"/>
              <w:rPr>
                <w:rFonts w:ascii="Times New Roman" w:hAnsi="Times New Roman" w:cs="Times New Roman" w:eastAsia="Times New Roman" w:hint="default"/>
                <w:sz w:val="21"/>
                <w:szCs w:val="21"/>
              </w:rPr>
            </w:pPr>
            <w:r>
              <w:rPr>
                <w:rFonts w:ascii="Times New Roman"/>
                <w:spacing w:val="-1"/>
                <w:sz w:val="21"/>
              </w:rPr>
              <w:t>194,420,526.00</w:t>
            </w:r>
          </w:p>
        </w:tc>
        <w:tc>
          <w:tcPr>
            <w:tcW w:w="5034"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 w:right="-9" w:firstLine="360"/>
              <w:jc w:val="both"/>
              <w:rPr>
                <w:rFonts w:ascii="宋体" w:hAnsi="宋体" w:cs="宋体" w:eastAsia="宋体" w:hint="default"/>
                <w:sz w:val="21"/>
                <w:szCs w:val="21"/>
              </w:rPr>
            </w:pPr>
            <w:r>
              <w:rPr>
                <w:rFonts w:ascii="宋体" w:hAnsi="宋体" w:cs="宋体" w:eastAsia="宋体" w:hint="default"/>
                <w:spacing w:val="-2"/>
                <w:sz w:val="21"/>
                <w:szCs w:val="21"/>
              </w:rPr>
              <w:t>本公司的合并成本为人民币</w:t>
            </w:r>
            <w:r>
              <w:rPr>
                <w:rFonts w:ascii="Times New Roman" w:hAnsi="Times New Roman" w:cs="Times New Roman" w:eastAsia="Times New Roman" w:hint="default"/>
                <w:spacing w:val="-2"/>
                <w:sz w:val="21"/>
                <w:szCs w:val="21"/>
              </w:rPr>
              <w:t>269,000,000.00</w:t>
            </w:r>
            <w:r>
              <w:rPr>
                <w:rFonts w:ascii="宋体" w:hAnsi="宋体" w:cs="宋体" w:eastAsia="宋体" w:hint="default"/>
                <w:spacing w:val="-2"/>
                <w:sz w:val="21"/>
                <w:szCs w:val="21"/>
              </w:rPr>
              <w:t>元，在合</w:t>
            </w:r>
            <w:r>
              <w:rPr>
                <w:rFonts w:ascii="宋体" w:hAnsi="宋体" w:cs="宋体" w:eastAsia="宋体" w:hint="default"/>
                <w:w w:val="100"/>
                <w:sz w:val="21"/>
                <w:szCs w:val="21"/>
              </w:rPr>
              <w:t> </w:t>
            </w:r>
            <w:r>
              <w:rPr>
                <w:rFonts w:ascii="宋体" w:hAnsi="宋体" w:cs="宋体" w:eastAsia="宋体" w:hint="default"/>
                <w:spacing w:val="8"/>
                <w:sz w:val="21"/>
                <w:szCs w:val="21"/>
              </w:rPr>
              <w:t>并中取得北京高阳捷迅信息技术有限公司</w:t>
            </w:r>
            <w:r>
              <w:rPr>
                <w:rFonts w:ascii="Times New Roman" w:hAnsi="Times New Roman" w:cs="Times New Roman" w:eastAsia="Times New Roman" w:hint="default"/>
                <w:spacing w:val="8"/>
                <w:sz w:val="21"/>
                <w:szCs w:val="21"/>
              </w:rPr>
              <w:t>36.351%</w:t>
            </w:r>
            <w:r>
              <w:rPr>
                <w:rFonts w:ascii="宋体" w:hAnsi="宋体" w:cs="宋体" w:eastAsia="宋体" w:hint="default"/>
                <w:spacing w:val="8"/>
                <w:sz w:val="21"/>
                <w:szCs w:val="21"/>
              </w:rPr>
              <w:t>权</w:t>
            </w:r>
            <w:r>
              <w:rPr>
                <w:rFonts w:ascii="宋体" w:hAnsi="宋体" w:cs="宋体" w:eastAsia="宋体" w:hint="default"/>
                <w:spacing w:val="-53"/>
                <w:sz w:val="21"/>
                <w:szCs w:val="21"/>
              </w:rPr>
              <w:t> </w:t>
            </w:r>
            <w:r>
              <w:rPr>
                <w:rFonts w:ascii="宋体" w:hAnsi="宋体" w:cs="宋体" w:eastAsia="宋体" w:hint="default"/>
                <w:spacing w:val="-3"/>
                <w:sz w:val="21"/>
                <w:szCs w:val="21"/>
              </w:rPr>
              <w:t>益，北京高阳捷迅信息技术有限公司可辨认净资产在购</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4"/>
                <w:sz w:val="21"/>
                <w:szCs w:val="21"/>
              </w:rPr>
              <w:t>买日的公允价值为人民币</w:t>
            </w:r>
            <w:r>
              <w:rPr>
                <w:rFonts w:ascii="Times New Roman" w:hAnsi="Times New Roman" w:cs="Times New Roman" w:eastAsia="Times New Roman" w:hint="default"/>
                <w:spacing w:val="-4"/>
                <w:sz w:val="21"/>
                <w:szCs w:val="21"/>
              </w:rPr>
              <w:t>205,164,848.30</w:t>
            </w:r>
            <w:r>
              <w:rPr>
                <w:rFonts w:ascii="宋体" w:hAnsi="宋体" w:cs="宋体" w:eastAsia="宋体" w:hint="default"/>
                <w:spacing w:val="-4"/>
                <w:sz w:val="21"/>
                <w:szCs w:val="21"/>
              </w:rPr>
              <w:t>元，投资成本大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于被收购企业可辨认净资产公允价值份额的差额人民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币</w:t>
            </w:r>
            <w:r>
              <w:rPr>
                <w:rFonts w:ascii="Times New Roman" w:hAnsi="Times New Roman" w:cs="Times New Roman" w:eastAsia="Times New Roman" w:hint="default"/>
                <w:sz w:val="21"/>
                <w:szCs w:val="21"/>
              </w:rPr>
              <w:t>194,420,526.00</w:t>
            </w:r>
            <w:r>
              <w:rPr>
                <w:rFonts w:ascii="宋体" w:hAnsi="宋体" w:cs="宋体" w:eastAsia="宋体" w:hint="default"/>
                <w:sz w:val="21"/>
                <w:szCs w:val="21"/>
              </w:rPr>
              <w:t>元确认为商誉</w:t>
            </w:r>
          </w:p>
        </w:tc>
      </w:tr>
    </w:tbl>
    <w:p>
      <w:pPr>
        <w:spacing w:line="240" w:lineRule="auto" w:before="8"/>
        <w:rPr>
          <w:rFonts w:ascii="宋体" w:hAnsi="宋体" w:cs="宋体" w:eastAsia="宋体" w:hint="default"/>
          <w:sz w:val="24"/>
          <w:szCs w:val="24"/>
        </w:rPr>
      </w:pPr>
    </w:p>
    <w:p>
      <w:pPr>
        <w:pStyle w:val="BodyText"/>
        <w:spacing w:line="240" w:lineRule="auto" w:before="26"/>
        <w:ind w:left="578" w:right="0"/>
        <w:jc w:val="left"/>
      </w:pPr>
      <w:r>
        <w:rPr>
          <w:rFonts w:ascii="宋体" w:hAnsi="宋体" w:cs="宋体" w:eastAsia="宋体" w:hint="default"/>
        </w:rPr>
        <w:t>2</w:t>
      </w:r>
      <w:r>
        <w:rPr/>
        <w:t>、</w:t>
      </w:r>
      <w:r>
        <w:rPr>
          <w:spacing w:val="-65"/>
        </w:rPr>
        <w:t> </w:t>
      </w:r>
      <w:r>
        <w:rPr/>
        <w:t>被购买方可辨认资产和负债的情况</w:t>
      </w:r>
    </w:p>
    <w:p>
      <w:pPr>
        <w:spacing w:line="240" w:lineRule="auto" w:before="10"/>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853"/>
        <w:gridCol w:w="1909"/>
        <w:gridCol w:w="1815"/>
        <w:gridCol w:w="1743"/>
        <w:gridCol w:w="1790"/>
      </w:tblGrid>
      <w:tr>
        <w:trPr>
          <w:trHeight w:val="348" w:hRule="exact"/>
        </w:trPr>
        <w:tc>
          <w:tcPr>
            <w:tcW w:w="1853" w:type="dxa"/>
            <w:vMerge w:val="restart"/>
            <w:tcBorders>
              <w:top w:val="single" w:sz="6" w:space="0" w:color="000000"/>
              <w:left w:val="single" w:sz="6" w:space="0" w:color="000000"/>
              <w:right w:val="single" w:sz="6" w:space="0" w:color="000000"/>
            </w:tcBorders>
          </w:tcPr>
          <w:p>
            <w:pPr>
              <w:pStyle w:val="TableParagraph"/>
              <w:spacing w:line="274" w:lineRule="exact"/>
              <w:ind w:left="36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407" w:right="0"/>
              <w:jc w:val="left"/>
              <w:rPr>
                <w:rFonts w:ascii="宋体" w:hAnsi="宋体" w:cs="宋体" w:eastAsia="宋体" w:hint="default"/>
                <w:sz w:val="21"/>
                <w:szCs w:val="21"/>
              </w:rPr>
            </w:pPr>
            <w:r>
              <w:rPr>
                <w:rFonts w:ascii="宋体" w:hAnsi="宋体" w:cs="宋体" w:eastAsia="宋体" w:hint="default"/>
                <w:sz w:val="21"/>
                <w:szCs w:val="21"/>
              </w:rPr>
              <w:t>购买日（元）</w:t>
            </w:r>
          </w:p>
        </w:tc>
        <w:tc>
          <w:tcPr>
            <w:tcW w:w="35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84" w:right="0"/>
              <w:jc w:val="left"/>
              <w:rPr>
                <w:rFonts w:ascii="宋体" w:hAnsi="宋体" w:cs="宋体" w:eastAsia="宋体" w:hint="default"/>
                <w:sz w:val="21"/>
                <w:szCs w:val="21"/>
              </w:rPr>
            </w:pPr>
            <w:r>
              <w:rPr>
                <w:rFonts w:ascii="宋体" w:hAnsi="宋体" w:cs="宋体" w:eastAsia="宋体" w:hint="default"/>
                <w:sz w:val="21"/>
                <w:szCs w:val="21"/>
              </w:rPr>
              <w:t>上一资产负债表日（元）</w:t>
            </w:r>
          </w:p>
        </w:tc>
      </w:tr>
      <w:tr>
        <w:trPr>
          <w:trHeight w:val="348" w:hRule="exact"/>
        </w:trPr>
        <w:tc>
          <w:tcPr>
            <w:tcW w:w="1853" w:type="dxa"/>
            <w:vMerge/>
            <w:tcBorders>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59"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2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47" w:right="0"/>
              <w:jc w:val="left"/>
              <w:rPr>
                <w:rFonts w:ascii="宋体" w:hAnsi="宋体" w:cs="宋体" w:eastAsia="宋体" w:hint="default"/>
                <w:sz w:val="21"/>
                <w:szCs w:val="21"/>
              </w:rPr>
            </w:pPr>
            <w:r>
              <w:rPr>
                <w:rFonts w:ascii="宋体" w:hAnsi="宋体" w:cs="宋体" w:eastAsia="宋体" w:hint="default"/>
                <w:sz w:val="21"/>
                <w:szCs w:val="21"/>
              </w:rPr>
              <w:t>公允价值</w:t>
            </w:r>
          </w:p>
        </w:tc>
      </w:tr>
      <w:tr>
        <w:trPr>
          <w:trHeight w:val="346"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110,551,662.23</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110,551,662.23</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50,179,666.48</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50,179,666.48</w:t>
            </w:r>
          </w:p>
        </w:tc>
      </w:tr>
      <w:tr>
        <w:trPr>
          <w:trHeight w:val="34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6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29,965,036.23</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29,965,036.23</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31,232,775.61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31,232,775.61</w:t>
            </w:r>
          </w:p>
        </w:tc>
      </w:tr>
      <w:tr>
        <w:trPr>
          <w:trHeight w:val="346"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103,975,018.38</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103,975,018.38</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63,975,674.75</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63,975,674.75</w:t>
            </w:r>
          </w:p>
        </w:tc>
      </w:tr>
      <w:tr>
        <w:trPr>
          <w:trHeight w:val="34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6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46,351,337.91</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46,351,337.91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102,835,982.12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102,835,982.12</w:t>
            </w:r>
          </w:p>
        </w:tc>
      </w:tr>
      <w:tr>
        <w:trPr>
          <w:trHeight w:val="346"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2,593,682.23</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2,593,682.23</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2,099,720.95</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2,099,720.95</w:t>
            </w:r>
          </w:p>
        </w:tc>
      </w:tr>
      <w:tr>
        <w:trPr>
          <w:trHeight w:val="34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6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160,765,081.30</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160,765,081.30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122,941,435.70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122,941,435.70</w:t>
            </w:r>
          </w:p>
        </w:tc>
      </w:tr>
      <w:tr>
        <w:trPr>
          <w:trHeight w:val="34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10,075,655.39</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10,075,655.39</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13,899,099.76</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13,899,099.76</w:t>
            </w:r>
          </w:p>
        </w:tc>
      </w:tr>
      <w:tr>
        <w:trPr>
          <w:trHeight w:val="346"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461,107.15</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12,597,584.62</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950,240.81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14,302,000.00</w:t>
            </w:r>
          </w:p>
        </w:tc>
      </w:tr>
      <w:tr>
        <w:trPr>
          <w:trHeight w:val="34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6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2,864,905.08</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2,864,905.08</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3,299,315.66</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3,299,315.66</w:t>
            </w:r>
          </w:p>
        </w:tc>
      </w:tr>
      <w:tr>
        <w:trPr>
          <w:trHeight w:val="346"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5" w:right="-1"/>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41,742.76</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41,742.76</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35,698.02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35,698.02</w:t>
            </w:r>
          </w:p>
        </w:tc>
      </w:tr>
      <w:tr>
        <w:trPr>
          <w:trHeight w:val="34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6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120,000,000.00</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120,000,000.00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118,310,000.00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118,310,000.00</w:t>
            </w:r>
          </w:p>
        </w:tc>
      </w:tr>
      <w:tr>
        <w:trPr>
          <w:trHeight w:val="349"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20,818,748.91</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20,818,748.91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22,281,817.70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22,281,817.70</w:t>
            </w:r>
          </w:p>
        </w:tc>
      </w:tr>
      <w:tr>
        <w:trPr>
          <w:trHeight w:val="346"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300,000.00</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300,000.00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9,000.00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9,000.00</w:t>
            </w:r>
          </w:p>
        </w:tc>
      </w:tr>
      <w:tr>
        <w:trPr>
          <w:trHeight w:val="34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6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5,790,000.00</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5,790,000.00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2,645,021.51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2,645,021.51</w:t>
            </w:r>
          </w:p>
        </w:tc>
      </w:tr>
      <w:tr>
        <w:trPr>
          <w:trHeight w:val="346"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7,279,596.88</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7,279,596.88</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3,053,036.93</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3,053,036.93</w:t>
            </w:r>
          </w:p>
        </w:tc>
      </w:tr>
      <w:tr>
        <w:trPr>
          <w:trHeight w:val="34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6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120,428,512.03</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120,428,512.03</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180,096,755.05</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180,096,755.05</w:t>
            </w:r>
          </w:p>
        </w:tc>
      </w:tr>
      <w:tr>
        <w:trPr>
          <w:trHeight w:val="34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5"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909" w:type="dxa"/>
            <w:tcBorders>
              <w:top w:val="single" w:sz="6" w:space="0" w:color="000000"/>
              <w:left w:val="single" w:sz="6"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600,000.00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600,000.00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853"/>
        <w:gridCol w:w="1909"/>
        <w:gridCol w:w="1815"/>
        <w:gridCol w:w="1743"/>
        <w:gridCol w:w="1790"/>
      </w:tblGrid>
      <w:tr>
        <w:trPr>
          <w:trHeight w:val="34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79" w:right="-1"/>
              <w:jc w:val="left"/>
              <w:rPr>
                <w:rFonts w:ascii="Times New Roman" w:hAnsi="Times New Roman" w:cs="Times New Roman" w:eastAsia="Times New Roman" w:hint="default"/>
                <w:sz w:val="21"/>
                <w:szCs w:val="21"/>
              </w:rPr>
            </w:pPr>
            <w:r>
              <w:rPr>
                <w:rFonts w:ascii="Times New Roman"/>
                <w:sz w:val="21"/>
              </w:rPr>
              <w:t>193,028,370.84</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84" w:right="0"/>
              <w:jc w:val="left"/>
              <w:rPr>
                <w:rFonts w:ascii="Times New Roman" w:hAnsi="Times New Roman" w:cs="Times New Roman" w:eastAsia="Times New Roman" w:hint="default"/>
                <w:sz w:val="21"/>
                <w:szCs w:val="21"/>
              </w:rPr>
            </w:pPr>
            <w:r>
              <w:rPr>
                <w:rFonts w:ascii="Times New Roman"/>
                <w:sz w:val="21"/>
              </w:rPr>
              <w:t>205,164,848.30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18" w:right="0"/>
              <w:jc w:val="left"/>
              <w:rPr>
                <w:rFonts w:ascii="Times New Roman" w:hAnsi="Times New Roman" w:cs="Times New Roman" w:eastAsia="Times New Roman" w:hint="default"/>
                <w:sz w:val="21"/>
                <w:szCs w:val="21"/>
              </w:rPr>
            </w:pPr>
            <w:r>
              <w:rPr>
                <w:rFonts w:ascii="Times New Roman"/>
                <w:sz w:val="21"/>
              </w:rPr>
              <w:t>64,453,978.67</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66" w:right="-1"/>
              <w:jc w:val="left"/>
              <w:rPr>
                <w:rFonts w:ascii="Times New Roman" w:hAnsi="Times New Roman" w:cs="Times New Roman" w:eastAsia="Times New Roman" w:hint="default"/>
                <w:sz w:val="21"/>
                <w:szCs w:val="21"/>
              </w:rPr>
            </w:pPr>
            <w:r>
              <w:rPr>
                <w:rFonts w:ascii="Times New Roman"/>
                <w:sz w:val="21"/>
              </w:rPr>
              <w:t>77,805,737.86</w:t>
            </w:r>
          </w:p>
        </w:tc>
      </w:tr>
    </w:tbl>
    <w:p>
      <w:pPr>
        <w:spacing w:line="240" w:lineRule="auto" w:before="11"/>
        <w:rPr>
          <w:rFonts w:ascii="宋体" w:hAnsi="宋体" w:cs="宋体" w:eastAsia="宋体" w:hint="default"/>
          <w:sz w:val="23"/>
          <w:szCs w:val="23"/>
        </w:rPr>
      </w:pPr>
    </w:p>
    <w:tbl>
      <w:tblPr>
        <w:tblW w:w="0" w:type="auto"/>
        <w:jc w:val="left"/>
        <w:tblInd w:w="145" w:type="dxa"/>
        <w:tblLayout w:type="fixed"/>
        <w:tblCellMar>
          <w:top w:w="0" w:type="dxa"/>
          <w:left w:w="0" w:type="dxa"/>
          <w:bottom w:w="0" w:type="dxa"/>
          <w:right w:w="0" w:type="dxa"/>
        </w:tblCellMar>
        <w:tblLook w:val="01E0"/>
      </w:tblPr>
      <w:tblGrid>
        <w:gridCol w:w="1788"/>
        <w:gridCol w:w="2720"/>
        <w:gridCol w:w="2415"/>
        <w:gridCol w:w="2415"/>
      </w:tblGrid>
      <w:tr>
        <w:trPr>
          <w:trHeight w:val="658"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5" w:right="0"/>
              <w:jc w:val="left"/>
              <w:rPr>
                <w:rFonts w:ascii="宋体" w:hAnsi="宋体" w:cs="宋体" w:eastAsia="宋体" w:hint="default"/>
                <w:sz w:val="21"/>
                <w:szCs w:val="21"/>
              </w:rPr>
            </w:pPr>
            <w:r>
              <w:rPr>
                <w:rFonts w:ascii="宋体" w:hAnsi="宋体" w:cs="宋体" w:eastAsia="宋体" w:hint="default"/>
                <w:sz w:val="21"/>
                <w:szCs w:val="21"/>
              </w:rPr>
              <w:t>被购买方</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76" w:right="0"/>
              <w:jc w:val="left"/>
              <w:rPr>
                <w:rFonts w:ascii="宋体" w:hAnsi="宋体" w:cs="宋体" w:eastAsia="宋体" w:hint="default"/>
                <w:sz w:val="21"/>
                <w:szCs w:val="21"/>
              </w:rPr>
            </w:pPr>
            <w:r>
              <w:rPr>
                <w:rFonts w:ascii="宋体" w:hAnsi="宋体" w:cs="宋体" w:eastAsia="宋体" w:hint="default"/>
                <w:sz w:val="21"/>
                <w:szCs w:val="21"/>
              </w:rPr>
              <w:t>自购买日至本期期末的收</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w w:val="100"/>
                <w:sz w:val="21"/>
                <w:szCs w:val="21"/>
              </w:rPr>
              <w:t>入</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82" w:right="67" w:hanging="346"/>
              <w:jc w:val="left"/>
              <w:rPr>
                <w:rFonts w:ascii="宋体" w:hAnsi="宋体" w:cs="宋体" w:eastAsia="宋体" w:hint="default"/>
                <w:sz w:val="21"/>
                <w:szCs w:val="21"/>
              </w:rPr>
            </w:pPr>
            <w:r>
              <w:rPr>
                <w:rFonts w:ascii="宋体" w:hAnsi="宋体" w:cs="宋体" w:eastAsia="宋体" w:hint="default"/>
                <w:sz w:val="21"/>
                <w:szCs w:val="21"/>
              </w:rPr>
              <w:t>自购买日至本期期末</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54" w:right="70" w:firstLine="180"/>
              <w:jc w:val="left"/>
              <w:rPr>
                <w:rFonts w:ascii="宋体" w:hAnsi="宋体" w:cs="宋体" w:eastAsia="宋体" w:hint="default"/>
                <w:sz w:val="21"/>
                <w:szCs w:val="21"/>
              </w:rPr>
            </w:pPr>
            <w:r>
              <w:rPr>
                <w:rFonts w:ascii="宋体" w:hAnsi="宋体" w:cs="宋体" w:eastAsia="宋体" w:hint="default"/>
                <w:sz w:val="21"/>
                <w:szCs w:val="21"/>
              </w:rPr>
              <w:t>自购买日至本期期末</w:t>
            </w:r>
            <w:r>
              <w:rPr>
                <w:rFonts w:ascii="宋体" w:hAnsi="宋体" w:cs="宋体" w:eastAsia="宋体" w:hint="default"/>
                <w:w w:val="100"/>
                <w:sz w:val="21"/>
                <w:szCs w:val="21"/>
              </w:rPr>
              <w:t> </w:t>
            </w:r>
            <w:r>
              <w:rPr>
                <w:rFonts w:ascii="宋体" w:hAnsi="宋体" w:cs="宋体" w:eastAsia="宋体" w:hint="default"/>
                <w:sz w:val="21"/>
                <w:szCs w:val="21"/>
              </w:rPr>
              <w:t>的经营活动净现金流</w:t>
            </w:r>
          </w:p>
        </w:tc>
      </w:tr>
      <w:tr>
        <w:trPr>
          <w:trHeight w:val="660"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8"/>
                <w:sz w:val="21"/>
                <w:szCs w:val="21"/>
              </w:rPr>
              <w:t>北京高阳捷迅信息</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技术有限公司</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495" w:right="-1"/>
              <w:jc w:val="left"/>
              <w:rPr>
                <w:rFonts w:ascii="Times New Roman" w:hAnsi="Times New Roman" w:cs="Times New Roman" w:eastAsia="Times New Roman" w:hint="default"/>
                <w:sz w:val="21"/>
                <w:szCs w:val="21"/>
              </w:rPr>
            </w:pPr>
            <w:r>
              <w:rPr>
                <w:rFonts w:ascii="Times New Roman"/>
                <w:sz w:val="21"/>
              </w:rPr>
              <w:t>97,881,274.38</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93" w:right="-2"/>
              <w:jc w:val="left"/>
              <w:rPr>
                <w:rFonts w:ascii="Times New Roman" w:hAnsi="Times New Roman" w:cs="Times New Roman" w:eastAsia="Times New Roman" w:hint="default"/>
                <w:sz w:val="21"/>
                <w:szCs w:val="21"/>
              </w:rPr>
            </w:pPr>
            <w:r>
              <w:rPr>
                <w:rFonts w:ascii="Times New Roman"/>
                <w:sz w:val="21"/>
              </w:rPr>
              <w:t>21,595,174.32</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90" w:right="0"/>
              <w:jc w:val="left"/>
              <w:rPr>
                <w:rFonts w:ascii="Times New Roman" w:hAnsi="Times New Roman" w:cs="Times New Roman" w:eastAsia="Times New Roman" w:hint="default"/>
                <w:sz w:val="21"/>
                <w:szCs w:val="21"/>
              </w:rPr>
            </w:pPr>
            <w:r>
              <w:rPr>
                <w:rFonts w:ascii="Times New Roman"/>
                <w:sz w:val="21"/>
              </w:rPr>
              <w:t>21,119,905.60</w:t>
            </w:r>
          </w:p>
        </w:tc>
      </w:tr>
    </w:tbl>
    <w:p>
      <w:pPr>
        <w:spacing w:line="240" w:lineRule="auto" w:before="11"/>
        <w:rPr>
          <w:rFonts w:ascii="宋体" w:hAnsi="宋体" w:cs="宋体" w:eastAsia="宋体" w:hint="default"/>
          <w:sz w:val="24"/>
          <w:szCs w:val="24"/>
        </w:rPr>
      </w:pPr>
    </w:p>
    <w:p>
      <w:pPr>
        <w:pStyle w:val="BodyText"/>
        <w:spacing w:line="357" w:lineRule="auto" w:before="26"/>
        <w:ind w:right="151" w:firstLine="425"/>
        <w:jc w:val="both"/>
      </w:pPr>
      <w:r>
        <w:rPr>
          <w:spacing w:val="-1"/>
        </w:rPr>
        <w:t>报告期内，电信科学技术研究院收购其</w:t>
      </w:r>
      <w:r>
        <w:rPr>
          <w:rFonts w:ascii="宋体" w:hAnsi="宋体" w:cs="宋体" w:eastAsia="宋体" w:hint="default"/>
          <w:spacing w:val="-1"/>
        </w:rPr>
        <w:t>30.469%</w:t>
      </w:r>
      <w:r>
        <w:rPr>
          <w:spacing w:val="-1"/>
        </w:rPr>
        <w:t>股权，大唐高新创业投资有限公司、海南</w:t>
      </w:r>
      <w:r>
        <w:rPr/>
        <w:t> </w:t>
      </w:r>
      <w:r>
        <w:rPr>
          <w:spacing w:val="-5"/>
        </w:rPr>
        <w:t>信息产业创业投资基金（有限合伙）及北京银汉创业投资有限公司，共同收购高阳捷迅</w:t>
      </w:r>
      <w:r>
        <w:rPr>
          <w:rFonts w:ascii="宋体" w:hAnsi="宋体" w:cs="宋体" w:eastAsia="宋体" w:hint="default"/>
          <w:spacing w:val="-5"/>
        </w:rPr>
        <w:t>9.375%</w:t>
      </w:r>
      <w:r>
        <w:rPr>
          <w:rFonts w:ascii="宋体" w:hAnsi="宋体" w:cs="宋体" w:eastAsia="宋体" w:hint="default"/>
          <w:spacing w:val="-102"/>
        </w:rPr>
        <w:t> </w:t>
      </w:r>
      <w:r>
        <w:rPr/>
        <w:t>股权。以上收购增资于</w:t>
      </w: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26</w:t>
      </w:r>
      <w:r>
        <w:rPr/>
        <w:t>日同时完成。</w:t>
      </w:r>
    </w:p>
    <w:p>
      <w:pPr>
        <w:pStyle w:val="BodyText"/>
        <w:spacing w:line="240" w:lineRule="auto"/>
        <w:ind w:left="578" w:right="0"/>
        <w:jc w:val="left"/>
      </w:pPr>
      <w:r>
        <w:rPr/>
        <w:t>目前股东情况：</w:t>
      </w:r>
    </w:p>
    <w:p>
      <w:pPr>
        <w:spacing w:line="240" w:lineRule="auto" w:before="10"/>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177"/>
        <w:gridCol w:w="2504"/>
      </w:tblGrid>
      <w:tr>
        <w:trPr>
          <w:trHeight w:val="349"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占高阳捷迅的股权比例</w:t>
            </w:r>
            <w:r>
              <w:rPr>
                <w:rFonts w:ascii="宋体" w:hAnsi="宋体" w:cs="宋体" w:eastAsia="宋体" w:hint="default"/>
                <w:sz w:val="21"/>
                <w:szCs w:val="21"/>
              </w:rPr>
            </w:r>
          </w:p>
        </w:tc>
      </w:tr>
      <w:tr>
        <w:trPr>
          <w:trHeight w:val="346"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大唐高鸿数据网络技术股份有限公司</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b/>
                <w:sz w:val="21"/>
              </w:rPr>
              <w:t>36.351%</w:t>
            </w:r>
            <w:r>
              <w:rPr>
                <w:rFonts w:ascii="Times New Roman"/>
                <w:sz w:val="21"/>
              </w:rPr>
            </w:r>
          </w:p>
        </w:tc>
      </w:tr>
      <w:tr>
        <w:trPr>
          <w:trHeight w:val="348"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电信科学技术研究院</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26.350%</w:t>
            </w:r>
          </w:p>
        </w:tc>
      </w:tr>
      <w:tr>
        <w:trPr>
          <w:trHeight w:val="348"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大唐高新创业投资有限公司</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2.703%</w:t>
            </w:r>
          </w:p>
        </w:tc>
      </w:tr>
      <w:tr>
        <w:trPr>
          <w:trHeight w:val="346"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海南信息产业创业投资基金（有限合伙）</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2.703%</w:t>
            </w:r>
          </w:p>
        </w:tc>
      </w:tr>
      <w:tr>
        <w:trPr>
          <w:trHeight w:val="348"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北京银汉创业投资有限公司</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2.703%</w:t>
            </w:r>
          </w:p>
        </w:tc>
      </w:tr>
      <w:tr>
        <w:trPr>
          <w:trHeight w:val="346"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曾东卫</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7.923%</w:t>
            </w:r>
          </w:p>
        </w:tc>
      </w:tr>
      <w:tr>
        <w:trPr>
          <w:trHeight w:val="348"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李伟斌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7.189%</w:t>
            </w:r>
          </w:p>
        </w:tc>
      </w:tr>
      <w:tr>
        <w:trPr>
          <w:trHeight w:val="346"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叶军</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5.832%</w:t>
            </w:r>
          </w:p>
        </w:tc>
      </w:tr>
      <w:tr>
        <w:trPr>
          <w:trHeight w:val="348"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张岩</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2.920%</w:t>
            </w:r>
          </w:p>
        </w:tc>
      </w:tr>
      <w:tr>
        <w:trPr>
          <w:trHeight w:val="348"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李昌锋</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2.838%</w:t>
            </w:r>
          </w:p>
        </w:tc>
      </w:tr>
      <w:tr>
        <w:trPr>
          <w:trHeight w:val="346"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王世成</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2.488%</w:t>
            </w:r>
          </w:p>
        </w:tc>
      </w:tr>
      <w:tr>
        <w:trPr>
          <w:trHeight w:val="348"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7"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11"/>
        <w:rPr>
          <w:rFonts w:ascii="宋体" w:hAnsi="宋体" w:cs="宋体" w:eastAsia="宋体" w:hint="default"/>
          <w:sz w:val="24"/>
          <w:szCs w:val="24"/>
        </w:rPr>
      </w:pPr>
    </w:p>
    <w:p>
      <w:pPr>
        <w:pStyle w:val="BodyText"/>
        <w:spacing w:line="357" w:lineRule="auto" w:before="26"/>
        <w:ind w:right="148" w:firstLine="425"/>
        <w:jc w:val="both"/>
      </w:pPr>
      <w:r>
        <w:rPr>
          <w:spacing w:val="2"/>
        </w:rPr>
        <w:t>后续公司拟发行股份购买除公司外高阳捷迅所有股权，发行股份购买资产事宜尚需提交 </w:t>
      </w:r>
      <w:r>
        <w:rPr>
          <w:spacing w:val="-2"/>
        </w:rPr>
        <w:t>董事会审议，国资委批复，公司股东大会审议和证监会审核。具体详见</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24</w:t>
      </w:r>
      <w:r>
        <w:rPr>
          <w:spacing w:val="-2"/>
        </w:rPr>
        <w:t>日公司公</w:t>
      </w:r>
      <w:r>
        <w:rPr>
          <w:spacing w:val="-112"/>
        </w:rPr>
        <w:t> </w:t>
      </w:r>
      <w:r>
        <w:rPr/>
        <w:t>告《大唐高鸿数据网络技术股份有限公司发行股份购买资产暨关联交易预案》</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六、公司股权激励的实施情况及其影响</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r>
        <w:rPr/>
        <w:t>七、重大关联交易</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6"/>
        <w:gridCol w:w="799"/>
        <w:gridCol w:w="797"/>
        <w:gridCol w:w="799"/>
        <w:gridCol w:w="799"/>
        <w:gridCol w:w="797"/>
        <w:gridCol w:w="799"/>
        <w:gridCol w:w="798"/>
        <w:gridCol w:w="799"/>
        <w:gridCol w:w="797"/>
        <w:gridCol w:w="794"/>
        <w:gridCol w:w="797"/>
      </w:tblGrid>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4" w:right="31"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3" w:right="33"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3" w:right="35"/>
              <w:jc w:val="left"/>
              <w:rPr>
                <w:rFonts w:ascii="宋体" w:hAnsi="宋体" w:cs="宋体" w:eastAsia="宋体" w:hint="default"/>
                <w:sz w:val="18"/>
                <w:szCs w:val="18"/>
              </w:rPr>
            </w:pPr>
            <w:r>
              <w:rPr>
                <w:rFonts w:ascii="宋体" w:hAnsi="宋体" w:cs="宋体" w:eastAsia="宋体" w:hint="default"/>
                <w:sz w:val="18"/>
                <w:szCs w:val="18"/>
              </w:rPr>
              <w:t>关联交易 金额（万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3"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 w:right="34"/>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3" w:right="31"/>
              <w:jc w:val="left"/>
              <w:rPr>
                <w:rFonts w:ascii="宋体" w:hAnsi="宋体" w:cs="宋体" w:eastAsia="宋体" w:hint="default"/>
                <w:sz w:val="18"/>
                <w:szCs w:val="18"/>
              </w:rPr>
            </w:pPr>
            <w:r>
              <w:rPr>
                <w:rFonts w:ascii="宋体" w:hAnsi="宋体" w:cs="宋体" w:eastAsia="宋体" w:hint="default"/>
                <w:sz w:val="18"/>
                <w:szCs w:val="18"/>
              </w:rPr>
              <w:t>可获得的 同类交易</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799"/>
        <w:gridCol w:w="799"/>
        <w:gridCol w:w="797"/>
        <w:gridCol w:w="799"/>
        <w:gridCol w:w="797"/>
        <w:gridCol w:w="800"/>
        <w:gridCol w:w="797"/>
        <w:gridCol w:w="794"/>
        <w:gridCol w:w="797"/>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市价</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北京大唐 志诚软件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32.18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32.18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32.18</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大唐电信 科技产业 控股有限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211.12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2"/>
                <w:sz w:val="18"/>
              </w:rPr>
              <w:t>211.12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211.12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大唐软件 技术股份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57.91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57.91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大唐移动 通信设备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895.38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895.38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电信科学 技术仪表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57.31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57.31</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大唐微电 子技术有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北京畅通 达通信技 术有限公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0.71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0.71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0.71</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北京大唐 实创投资 中心</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2.73</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北京大唐 物业管理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7.04</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北京大唐 智能卡技 术有限公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8.49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8.49</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成都泰瑞 通信设备 检测有限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1.99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1.99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1.99</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成都</w:t>
            </w:r>
            <w:r>
              <w:rPr>
                <w:rFonts w:ascii="Times New Roman" w:hAnsi="Times New Roman" w:cs="Times New Roman" w:eastAsia="Times New Roman" w:hint="default"/>
                <w:sz w:val="18"/>
                <w:szCs w:val="18"/>
              </w:rPr>
              <w:t>)</w:t>
            </w:r>
            <w:r>
              <w:rPr>
                <w:rFonts w:ascii="宋体" w:hAnsi="宋体" w:cs="宋体" w:eastAsia="宋体" w:hint="default"/>
                <w:sz w:val="18"/>
                <w:szCs w:val="18"/>
              </w:rPr>
              <w:t>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受同一控 制下的公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3.08</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799"/>
        <w:gridCol w:w="799"/>
        <w:gridCol w:w="797"/>
        <w:gridCol w:w="799"/>
        <w:gridCol w:w="797"/>
        <w:gridCol w:w="800"/>
        <w:gridCol w:w="797"/>
        <w:gridCol w:w="794"/>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息技术有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大唐电信 </w:t>
            </w:r>
            <w:r>
              <w:rPr>
                <w:rFonts w:ascii="Times New Roman" w:hAnsi="Times New Roman" w:cs="Times New Roman" w:eastAsia="Times New Roman" w:hint="default"/>
                <w:sz w:val="18"/>
                <w:szCs w:val="18"/>
              </w:rPr>
              <w:t>(</w:t>
            </w:r>
            <w:r>
              <w:rPr>
                <w:rFonts w:ascii="宋体" w:hAnsi="宋体" w:cs="宋体" w:eastAsia="宋体" w:hint="default"/>
                <w:sz w:val="18"/>
                <w:szCs w:val="18"/>
              </w:rPr>
              <w:t>南京</w:t>
            </w:r>
            <w:r>
              <w:rPr>
                <w:rFonts w:ascii="Times New Roman" w:hAnsi="Times New Roman" w:cs="Times New Roman" w:eastAsia="Times New Roman" w:hint="default"/>
                <w:sz w:val="18"/>
                <w:szCs w:val="18"/>
              </w:rPr>
              <w:t>)</w:t>
            </w:r>
            <w:r>
              <w:rPr>
                <w:rFonts w:ascii="宋体" w:hAnsi="宋体" w:cs="宋体" w:eastAsia="宋体" w:hint="default"/>
                <w:sz w:val="18"/>
                <w:szCs w:val="18"/>
              </w:rPr>
              <w:t>信 息技术有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1.18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1.18</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大唐电信</w:t>
            </w:r>
          </w:p>
          <w:p>
            <w:pPr>
              <w:pStyle w:val="TableParagraph"/>
              <w:spacing w:line="316" w:lineRule="auto" w:before="76"/>
              <w:ind w:left="24" w:right="41"/>
              <w:jc w:val="both"/>
              <w:rPr>
                <w:rFonts w:ascii="宋体" w:hAnsi="宋体" w:cs="宋体" w:eastAsia="宋体" w:hint="default"/>
                <w:sz w:val="18"/>
                <w:szCs w:val="18"/>
              </w:rPr>
            </w:pPr>
            <w:r>
              <w:rPr>
                <w:rFonts w:ascii="宋体" w:hAnsi="宋体" w:cs="宋体" w:eastAsia="宋体" w:hint="default"/>
                <w:sz w:val="18"/>
                <w:szCs w:val="18"/>
              </w:rPr>
              <w:t>（天津） 技术服务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1.45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1.45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1.45</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大唐电信 国际技术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25.89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25.89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大唐电信 集团财务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11.85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11.85</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大唐电信 科技产业 控股有限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129.29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129.29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129.29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大唐电信 科技股份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关联销 售、提供 劳务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销售商 品、提供 劳务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1,527.78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1,527.78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1,527.78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大唐联诚 信息系统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102.73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102.73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102.73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大唐联仪 科技有限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11.39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11.39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大唐软件 技术股份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关联销 售、提供 劳务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销售商 品、提供 劳务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1,122.52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1,122.52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1,122.52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大唐投资 管理（北 京）有限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2.86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2.86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2.86</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大唐投资 控股发展 </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0.19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0.19</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799"/>
        <w:gridCol w:w="799"/>
        <w:gridCol w:w="797"/>
        <w:gridCol w:w="799"/>
        <w:gridCol w:w="797"/>
        <w:gridCol w:w="800"/>
        <w:gridCol w:w="797"/>
        <w:gridCol w:w="794"/>
        <w:gridCol w:w="797"/>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大唐微电 子技术有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64.94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64.94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大唐移动 通信设备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136.15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136.15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电信科学 技术第十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4.18</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电信科学 技术第四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6.11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6.11</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电信科学 技术第五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2.82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2.82</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电信科学 技术第一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0.95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0.95</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电信科学 技术研究 院</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控股母公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60.63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60.63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电信科学 技术仪表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31.12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31.12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联芯科技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联芯科技 有限公司 北京分公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0.10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0.10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上海大唐 移动通信 设备有限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1.83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1.83</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盛耀无线 通讯科技</w:t>
            </w:r>
          </w:p>
          <w:p>
            <w:pPr>
              <w:pStyle w:val="TableParagraph"/>
              <w:spacing w:line="316" w:lineRule="auto" w:before="20"/>
              <w:ind w:left="24" w:right="41"/>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2.48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2.48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2.48</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数据通信 科学技术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受同一控 制下的公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3.98</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799"/>
        <w:gridCol w:w="799"/>
        <w:gridCol w:w="797"/>
        <w:gridCol w:w="799"/>
        <w:gridCol w:w="797"/>
        <w:gridCol w:w="800"/>
        <w:gridCol w:w="797"/>
        <w:gridCol w:w="794"/>
        <w:gridCol w:w="797"/>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西安大唐 电信有限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center"/>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西安通和 电信设备 检测有限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1.18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1.18</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新华瑞德</w:t>
            </w:r>
          </w:p>
          <w:p>
            <w:pPr>
              <w:pStyle w:val="TableParagraph"/>
              <w:spacing w:line="316" w:lineRule="auto" w:before="76"/>
              <w:ind w:left="24" w:right="41"/>
              <w:jc w:val="both"/>
              <w:rPr>
                <w:rFonts w:ascii="宋体" w:hAnsi="宋体" w:cs="宋体" w:eastAsia="宋体" w:hint="default"/>
                <w:sz w:val="18"/>
                <w:szCs w:val="18"/>
              </w:rPr>
            </w:pPr>
            <w:r>
              <w:rPr>
                <w:rFonts w:ascii="宋体" w:hAnsi="宋体" w:cs="宋体" w:eastAsia="宋体" w:hint="default"/>
                <w:sz w:val="18"/>
                <w:szCs w:val="18"/>
              </w:rPr>
              <w:t>（北京） 网络科技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10.60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10.60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兴唐通信 科技有限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center"/>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383.61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383.61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4,962.53</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 w:right="0"/>
              <w:jc w:val="left"/>
              <w:rPr>
                <w:rFonts w:ascii="宋体" w:hAnsi="宋体" w:cs="宋体" w:eastAsia="宋体" w:hint="default"/>
                <w:sz w:val="18"/>
                <w:szCs w:val="18"/>
              </w:rPr>
            </w:pPr>
            <w:r>
              <w:rPr>
                <w:rFonts w:ascii="宋体" w:hAnsi="宋体" w:cs="宋体" w:eastAsia="宋体" w:hint="default"/>
                <w:sz w:val="18"/>
                <w:szCs w:val="18"/>
              </w:rPr>
              <w:t>本单位关联交易属于正常业务范围，按照公开、公正、公平的原则进行交易</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8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8"/>
        <w:gridCol w:w="749"/>
        <w:gridCol w:w="737"/>
        <w:gridCol w:w="745"/>
        <w:gridCol w:w="734"/>
        <w:gridCol w:w="732"/>
        <w:gridCol w:w="732"/>
        <w:gridCol w:w="734"/>
        <w:gridCol w:w="734"/>
        <w:gridCol w:w="735"/>
        <w:gridCol w:w="739"/>
        <w:gridCol w:w="732"/>
        <w:gridCol w:w="725"/>
      </w:tblGrid>
      <w:tr>
        <w:trPr>
          <w:trHeight w:val="1340" w:hRule="exact"/>
        </w:trPr>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80" w:right="96"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6" w:right="9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91"/>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9"/>
              <w:ind w:left="24" w:right="-20"/>
              <w:jc w:val="left"/>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92"/>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5" w:right="91"/>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8" w:right="8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、共同对外投资的重大关联交易</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6"/>
        <w:gridCol w:w="1066"/>
        <w:gridCol w:w="1066"/>
        <w:gridCol w:w="1063"/>
        <w:gridCol w:w="1062"/>
        <w:gridCol w:w="1056"/>
      </w:tblGrid>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1"/>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3" w:right="21" w:firstLine="52"/>
              <w:jc w:val="left"/>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2" w:right="21" w:firstLine="52"/>
              <w:jc w:val="left"/>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3" w:right="21" w:firstLine="50"/>
              <w:jc w:val="left"/>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p>
        </w:tc>
      </w:tr>
    </w:tbl>
    <w:p>
      <w:pPr>
        <w:spacing w:after="0" w:line="314"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6"/>
        <w:gridCol w:w="1066"/>
        <w:gridCol w:w="1066"/>
        <w:gridCol w:w="1061"/>
        <w:gridCol w:w="1063"/>
        <w:gridCol w:w="1056"/>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电信科学技 术研究院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为公司控股 股东</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30"/>
              <w:jc w:val="left"/>
              <w:rPr>
                <w:rFonts w:ascii="宋体" w:hAnsi="宋体" w:cs="宋体" w:eastAsia="宋体" w:hint="default"/>
                <w:sz w:val="18"/>
                <w:szCs w:val="18"/>
              </w:rPr>
            </w:pPr>
            <w:r>
              <w:rPr>
                <w:rFonts w:ascii="宋体" w:hAnsi="宋体" w:cs="宋体" w:eastAsia="宋体" w:hint="default"/>
                <w:sz w:val="18"/>
                <w:szCs w:val="18"/>
              </w:rPr>
              <w:t>根据评估结 果定价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both"/>
              <w:rPr>
                <w:rFonts w:ascii="宋体" w:hAnsi="宋体" w:cs="宋体" w:eastAsia="宋体" w:hint="default"/>
                <w:sz w:val="18"/>
                <w:szCs w:val="18"/>
              </w:rPr>
            </w:pPr>
            <w:r>
              <w:rPr>
                <w:rFonts w:ascii="宋体" w:hAnsi="宋体" w:cs="宋体" w:eastAsia="宋体" w:hint="default"/>
                <w:sz w:val="18"/>
                <w:szCs w:val="18"/>
              </w:rPr>
              <w:t>北京高阳捷 迅信息技术 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30"/>
              <w:jc w:val="left"/>
              <w:rPr>
                <w:rFonts w:ascii="宋体" w:hAnsi="宋体" w:cs="宋体" w:eastAsia="宋体" w:hint="default"/>
                <w:sz w:val="18"/>
                <w:szCs w:val="18"/>
              </w:rPr>
            </w:pPr>
            <w:r>
              <w:rPr>
                <w:rFonts w:ascii="宋体" w:hAnsi="宋体" w:cs="宋体" w:eastAsia="宋体" w:hint="default"/>
                <w:sz w:val="18"/>
                <w:szCs w:val="18"/>
              </w:rPr>
              <w:t>信息服务业 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1352.8125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46,764.52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19,302.84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2,159.52</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大唐高新创 业投资有限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控股股东下 属企业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30"/>
              <w:jc w:val="left"/>
              <w:rPr>
                <w:rFonts w:ascii="宋体" w:hAnsi="宋体" w:cs="宋体" w:eastAsia="宋体" w:hint="default"/>
                <w:sz w:val="18"/>
                <w:szCs w:val="18"/>
              </w:rPr>
            </w:pPr>
            <w:r>
              <w:rPr>
                <w:rFonts w:ascii="宋体" w:hAnsi="宋体" w:cs="宋体" w:eastAsia="宋体" w:hint="default"/>
                <w:sz w:val="18"/>
                <w:szCs w:val="18"/>
              </w:rPr>
              <w:t>根据评估结 果定价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both"/>
              <w:rPr>
                <w:rFonts w:ascii="宋体" w:hAnsi="宋体" w:cs="宋体" w:eastAsia="宋体" w:hint="default"/>
                <w:sz w:val="18"/>
                <w:szCs w:val="18"/>
              </w:rPr>
            </w:pPr>
            <w:r>
              <w:rPr>
                <w:rFonts w:ascii="宋体" w:hAnsi="宋体" w:cs="宋体" w:eastAsia="宋体" w:hint="default"/>
                <w:sz w:val="18"/>
                <w:szCs w:val="18"/>
              </w:rPr>
              <w:t>北京高阳捷 迅信息技术 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30"/>
              <w:jc w:val="left"/>
              <w:rPr>
                <w:rFonts w:ascii="宋体" w:hAnsi="宋体" w:cs="宋体" w:eastAsia="宋体" w:hint="default"/>
                <w:sz w:val="18"/>
                <w:szCs w:val="18"/>
              </w:rPr>
            </w:pPr>
            <w:r>
              <w:rPr>
                <w:rFonts w:ascii="宋体" w:hAnsi="宋体" w:cs="宋体" w:eastAsia="宋体" w:hint="default"/>
                <w:sz w:val="18"/>
                <w:szCs w:val="18"/>
              </w:rPr>
              <w:t>信息服务业 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1352.8125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46,764.52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19,302.84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2,159.52</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海南信息产 业创业投资 </w:t>
            </w:r>
            <w:r>
              <w:rPr>
                <w:rFonts w:ascii="宋体" w:hAnsi="宋体" w:cs="宋体" w:eastAsia="宋体" w:hint="default"/>
                <w:spacing w:val="-12"/>
                <w:sz w:val="18"/>
                <w:szCs w:val="18"/>
              </w:rPr>
              <w:t>基金（有限合</w:t>
            </w:r>
            <w:r>
              <w:rPr>
                <w:rFonts w:ascii="宋体" w:hAnsi="宋体" w:cs="宋体" w:eastAsia="宋体" w:hint="default"/>
                <w:sz w:val="18"/>
                <w:szCs w:val="18"/>
              </w:rPr>
              <w:t> 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127"/>
              <w:jc w:val="left"/>
              <w:rPr>
                <w:rFonts w:ascii="宋体" w:hAnsi="宋体" w:cs="宋体" w:eastAsia="宋体" w:hint="default"/>
                <w:sz w:val="18"/>
                <w:szCs w:val="18"/>
              </w:rPr>
            </w:pPr>
            <w:r>
              <w:rPr>
                <w:rFonts w:ascii="宋体" w:hAnsi="宋体" w:cs="宋体" w:eastAsia="宋体" w:hint="default"/>
                <w:sz w:val="18"/>
                <w:szCs w:val="18"/>
              </w:rPr>
              <w:t>控股股东下 属企业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30"/>
              <w:jc w:val="left"/>
              <w:rPr>
                <w:rFonts w:ascii="宋体" w:hAnsi="宋体" w:cs="宋体" w:eastAsia="宋体" w:hint="default"/>
                <w:sz w:val="18"/>
                <w:szCs w:val="18"/>
              </w:rPr>
            </w:pPr>
            <w:r>
              <w:rPr>
                <w:rFonts w:ascii="宋体" w:hAnsi="宋体" w:cs="宋体" w:eastAsia="宋体" w:hint="default"/>
                <w:sz w:val="18"/>
                <w:szCs w:val="18"/>
              </w:rPr>
              <w:t>根据评估结 果定价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31"/>
              <w:jc w:val="both"/>
              <w:rPr>
                <w:rFonts w:ascii="宋体" w:hAnsi="宋体" w:cs="宋体" w:eastAsia="宋体" w:hint="default"/>
                <w:sz w:val="18"/>
                <w:szCs w:val="18"/>
              </w:rPr>
            </w:pPr>
            <w:r>
              <w:rPr>
                <w:rFonts w:ascii="宋体" w:hAnsi="宋体" w:cs="宋体" w:eastAsia="宋体" w:hint="default"/>
                <w:sz w:val="18"/>
                <w:szCs w:val="18"/>
              </w:rPr>
              <w:t>北京高阳捷 迅信息技术 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30"/>
              <w:jc w:val="left"/>
              <w:rPr>
                <w:rFonts w:ascii="宋体" w:hAnsi="宋体" w:cs="宋体" w:eastAsia="宋体" w:hint="default"/>
                <w:sz w:val="18"/>
                <w:szCs w:val="18"/>
              </w:rPr>
            </w:pPr>
            <w:r>
              <w:rPr>
                <w:rFonts w:ascii="宋体" w:hAnsi="宋体" w:cs="宋体" w:eastAsia="宋体" w:hint="default"/>
                <w:sz w:val="18"/>
                <w:szCs w:val="18"/>
              </w:rPr>
              <w:t>信息服务业 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1352.8125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46,764.52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19,302.84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2,159.52</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36"/>
        <w:gridCol w:w="1119"/>
        <w:gridCol w:w="1118"/>
        <w:gridCol w:w="1121"/>
        <w:gridCol w:w="1118"/>
        <w:gridCol w:w="1119"/>
        <w:gridCol w:w="1118"/>
        <w:gridCol w:w="1121"/>
      </w:tblGrid>
      <w:tr>
        <w:trPr>
          <w:trHeight w:val="1026"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4"/>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5"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74" w:right="20"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4"/>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北京畅通达通信技术 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0.06</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北京大唐实创投资中 心</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0.02</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北京大唐实创投资中 心后勤服务部</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0.72</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北京大唐智能卡技术 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3.72</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成都泰瑞通信设备检 测有限公司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大唐电信（成都）信 息技术有限公司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大唐电信</w:t>
            </w:r>
            <w:r>
              <w:rPr>
                <w:rFonts w:ascii="Times New Roman" w:hAnsi="Times New Roman" w:cs="Times New Roman" w:eastAsia="Times New Roman" w:hint="default"/>
                <w:sz w:val="18"/>
                <w:szCs w:val="18"/>
              </w:rPr>
              <w:t>(</w:t>
            </w:r>
            <w:r>
              <w:rPr>
                <w:rFonts w:ascii="宋体" w:hAnsi="宋体" w:cs="宋体" w:eastAsia="宋体" w:hint="default"/>
                <w:sz w:val="18"/>
                <w:szCs w:val="18"/>
              </w:rPr>
              <w:t>南京</w:t>
            </w:r>
            <w:r>
              <w:rPr>
                <w:rFonts w:ascii="Times New Roman" w:hAnsi="Times New Roman" w:cs="Times New Roman" w:eastAsia="Times New Roman" w:hint="default"/>
                <w:sz w:val="18"/>
                <w:szCs w:val="18"/>
              </w:rPr>
              <w:t>)</w:t>
            </w:r>
            <w:r>
              <w:rPr>
                <w:rFonts w:ascii="宋体" w:hAnsi="宋体" w:cs="宋体" w:eastAsia="宋体" w:hint="default"/>
                <w:sz w:val="18"/>
                <w:szCs w:val="18"/>
              </w:rPr>
              <w:t>信息 技术有限公司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大唐电信（天津）技 术服务有限公司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大唐电信国际技术有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-0.36</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大唐电信集团财务有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5"/>
              <w:jc w:val="center"/>
              <w:rPr>
                <w:rFonts w:ascii="宋体" w:hAnsi="宋体" w:cs="宋体" w:eastAsia="宋体" w:hint="default"/>
                <w:sz w:val="18"/>
                <w:szCs w:val="18"/>
              </w:rPr>
            </w:pPr>
            <w:r>
              <w:rPr>
                <w:rFonts w:ascii="宋体" w:hAnsi="宋体" w:cs="宋体" w:eastAsia="宋体" w:hint="default"/>
                <w:sz w:val="18"/>
                <w:szCs w:val="18"/>
              </w:rPr>
              <w:t>大唐电信科技产业控</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3"/>
              <w:jc w:val="right"/>
              <w:rPr>
                <w:rFonts w:ascii="宋体" w:hAnsi="宋体" w:cs="宋体" w:eastAsia="宋体" w:hint="default"/>
                <w:sz w:val="18"/>
                <w:szCs w:val="18"/>
              </w:rPr>
            </w:pPr>
            <w:r>
              <w:rPr>
                <w:rFonts w:ascii="宋体" w:hAnsi="宋体" w:cs="宋体" w:eastAsia="宋体" w:hint="default"/>
                <w:sz w:val="18"/>
                <w:szCs w:val="18"/>
              </w:rPr>
              <w:t>同一最终控</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应收关联方</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36"/>
        <w:gridCol w:w="1119"/>
        <w:gridCol w:w="1118"/>
        <w:gridCol w:w="1121"/>
        <w:gridCol w:w="1118"/>
        <w:gridCol w:w="1119"/>
        <w:gridCol w:w="1118"/>
        <w:gridCol w:w="1121"/>
      </w:tblGrid>
      <w:tr>
        <w:trPr>
          <w:trHeight w:val="362"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债权</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大唐电信科技股份有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大唐联诚信息系统技 术有限公司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大唐联仪科技有限公 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大唐软件技术股份有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74.17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178.22</w:t>
            </w:r>
          </w:p>
        </w:tc>
      </w:tr>
      <w:tr>
        <w:trPr>
          <w:trHeight w:val="713" w:hRule="exact"/>
        </w:trPr>
        <w:tc>
          <w:tcPr>
            <w:tcW w:w="1736"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pacing w:val="-7"/>
                <w:sz w:val="18"/>
                <w:szCs w:val="18"/>
              </w:rPr>
              <w:t>大唐投资管理（北京）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19"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49"/>
              <w:ind w:left="16"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p>
            <w:pPr>
              <w:pStyle w:val="TableParagraph"/>
              <w:spacing w:line="35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3.2pt;height:17.650pt;mso-position-horizontal-relative:char;mso-position-vertical-relative:line" coordorigin="0,0" coordsize="1064,353">
                  <v:group style="position:absolute;left:0;top:0;width:1064;height:353" coordorigin="0,0" coordsize="1064,353">
                    <v:shape style="position:absolute;left:0;top:0;width:1064;height:353" coordorigin="0,0" coordsize="1064,353" path="m0,353l1064,353,1064,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2.07</w:t>
            </w:r>
          </w:p>
        </w:tc>
      </w:tr>
      <w:tr>
        <w:trPr>
          <w:trHeight w:val="716"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大唐投资控股发展</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大唐微电子技术有限 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-11.11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大唐移动通信设备有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-53.54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33.03</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电信科学技术第四研 究所</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8.27</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电信科学技术第五研 究所</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大股东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12.97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12.97</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电信科学技术仪表研 究所</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上海大唐移动通信设 备有限公司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盛耀无线通讯科技</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数据通信科学技术研 究所</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西安大唐电信有限公 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9.48</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西安通和电信设备检 测有限公司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新华瑞德（北京）网 络科技有限公司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36"/>
        <w:gridCol w:w="1119"/>
        <w:gridCol w:w="1118"/>
        <w:gridCol w:w="1121"/>
        <w:gridCol w:w="1118"/>
        <w:gridCol w:w="1119"/>
        <w:gridCol w:w="1118"/>
        <w:gridCol w:w="1121"/>
      </w:tblGrid>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兴唐通信科技有限公 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139.27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29.63</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北京大唐志诚软件技 术有限公司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北京大唐志诚软件技 术有限公司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1,156.47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774.47</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大唐电信科技产业控 股有限公司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247.01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247.01</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大唐电信科技股份有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46.39</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46.39</w:t>
            </w:r>
          </w:p>
        </w:tc>
      </w:tr>
      <w:tr>
        <w:trPr>
          <w:trHeight w:val="716"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大唐联诚信息系统技 术有限公司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172.5</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172.5</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大唐软件技术股份有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1,018.03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-723.68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294.35</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电信科学技术仪表研 究所</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63.29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-62.11</w:t>
            </w:r>
            <w:r>
              <w:rPr>
                <w:rFonts w:ascii="Times New Roman"/>
                <w:spacing w:val="-1"/>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大唐移动通信设备有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同一最终控 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752.63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-752.63</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7"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0" w:firstLine="425"/>
        <w:jc w:val="left"/>
      </w:pPr>
      <w:r>
        <w:rPr>
          <w:rFonts w:ascii="宋体" w:hAnsi="宋体" w:cs="宋体" w:eastAsia="宋体" w:hint="default"/>
          <w:spacing w:val="2"/>
        </w:rPr>
        <w:t>1.</w:t>
      </w:r>
      <w:r>
        <w:rPr>
          <w:spacing w:val="2"/>
        </w:rPr>
        <w:t>报告期内，公司及下属企业向大唐电信科技产业控股有限公司和电信科学技术研究院 </w:t>
      </w:r>
      <w:r>
        <w:rPr/>
        <w:t>申请的贷款及委托贷款发生额为</w:t>
      </w:r>
      <w:r>
        <w:rPr>
          <w:rFonts w:ascii="宋体" w:hAnsi="宋体" w:cs="宋体" w:eastAsia="宋体" w:hint="default"/>
        </w:rPr>
        <w:t>55000</w:t>
      </w:r>
      <w:r>
        <w:rPr/>
        <w:t>万元，具体披露情况为：</w:t>
      </w:r>
    </w:p>
    <w:tbl>
      <w:tblPr>
        <w:tblW w:w="0" w:type="auto"/>
        <w:jc w:val="left"/>
        <w:tblInd w:w="145" w:type="dxa"/>
        <w:tblLayout w:type="fixed"/>
        <w:tblCellMar>
          <w:top w:w="0" w:type="dxa"/>
          <w:left w:w="0" w:type="dxa"/>
          <w:bottom w:w="0" w:type="dxa"/>
          <w:right w:w="0" w:type="dxa"/>
        </w:tblCellMar>
        <w:tblLook w:val="01E0"/>
      </w:tblPr>
      <w:tblGrid>
        <w:gridCol w:w="2132"/>
        <w:gridCol w:w="2917"/>
        <w:gridCol w:w="2129"/>
      </w:tblGrid>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4" w:right="0"/>
              <w:jc w:val="left"/>
              <w:rPr>
                <w:rFonts w:ascii="宋体" w:hAnsi="宋体" w:cs="宋体" w:eastAsia="宋体" w:hint="default"/>
                <w:sz w:val="24"/>
                <w:szCs w:val="24"/>
              </w:rPr>
            </w:pPr>
            <w:r>
              <w:rPr>
                <w:rFonts w:ascii="宋体" w:hAnsi="宋体" w:cs="宋体" w:eastAsia="宋体" w:hint="default"/>
                <w:sz w:val="24"/>
                <w:szCs w:val="24"/>
              </w:rPr>
              <w:t>时间</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宋体" w:hAnsi="宋体" w:cs="宋体" w:eastAsia="宋体" w:hint="default"/>
                <w:sz w:val="24"/>
                <w:szCs w:val="24"/>
              </w:rPr>
            </w:pPr>
            <w:r>
              <w:rPr>
                <w:rFonts w:ascii="宋体" w:hAnsi="宋体" w:cs="宋体" w:eastAsia="宋体" w:hint="default"/>
                <w:sz w:val="24"/>
                <w:szCs w:val="24"/>
              </w:rPr>
              <w:t>公告名称</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宋体" w:hAnsi="宋体" w:cs="宋体" w:eastAsia="宋体" w:hint="default"/>
                <w:sz w:val="24"/>
                <w:szCs w:val="24"/>
              </w:rPr>
            </w:pPr>
            <w:r>
              <w:rPr>
                <w:rFonts w:ascii="宋体" w:hAnsi="宋体" w:cs="宋体" w:eastAsia="宋体" w:hint="default"/>
                <w:sz w:val="24"/>
                <w:szCs w:val="24"/>
              </w:rPr>
              <w:t>公告编号</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2013-2-26</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《关联交易公告（一）》</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left"/>
              <w:rPr>
                <w:rFonts w:ascii="Times New Roman" w:hAnsi="Times New Roman" w:cs="Times New Roman" w:eastAsia="Times New Roman" w:hint="default"/>
                <w:sz w:val="24"/>
                <w:szCs w:val="24"/>
              </w:rPr>
            </w:pPr>
            <w:r>
              <w:rPr>
                <w:rFonts w:ascii="Times New Roman"/>
                <w:sz w:val="24"/>
              </w:rPr>
              <w:t>2013-006</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left"/>
              <w:rPr>
                <w:rFonts w:ascii="Times New Roman" w:hAnsi="Times New Roman" w:cs="Times New Roman" w:eastAsia="Times New Roman" w:hint="default"/>
                <w:sz w:val="24"/>
                <w:szCs w:val="24"/>
              </w:rPr>
            </w:pPr>
            <w:r>
              <w:rPr>
                <w:rFonts w:ascii="Times New Roman"/>
                <w:sz w:val="24"/>
              </w:rPr>
              <w:t>2013-2-26</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宋体" w:hAnsi="宋体" w:cs="宋体" w:eastAsia="宋体" w:hint="default"/>
                <w:sz w:val="24"/>
                <w:szCs w:val="24"/>
              </w:rPr>
            </w:pPr>
            <w:r>
              <w:rPr>
                <w:rFonts w:ascii="宋体" w:hAnsi="宋体" w:cs="宋体" w:eastAsia="宋体" w:hint="default"/>
                <w:sz w:val="24"/>
                <w:szCs w:val="24"/>
              </w:rPr>
              <w:t>《关联交易公告（二）》</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left"/>
              <w:rPr>
                <w:rFonts w:ascii="Times New Roman" w:hAnsi="Times New Roman" w:cs="Times New Roman" w:eastAsia="Times New Roman" w:hint="default"/>
                <w:sz w:val="24"/>
                <w:szCs w:val="24"/>
              </w:rPr>
            </w:pPr>
            <w:r>
              <w:rPr>
                <w:rFonts w:ascii="Times New Roman"/>
                <w:sz w:val="24"/>
              </w:rPr>
              <w:t>2013-007</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2013-3-26</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《关联交易公告（三）》</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left"/>
              <w:rPr>
                <w:rFonts w:ascii="Times New Roman" w:hAnsi="Times New Roman" w:cs="Times New Roman" w:eastAsia="Times New Roman" w:hint="default"/>
                <w:sz w:val="24"/>
                <w:szCs w:val="24"/>
              </w:rPr>
            </w:pPr>
            <w:r>
              <w:rPr>
                <w:rFonts w:ascii="Times New Roman"/>
                <w:sz w:val="24"/>
              </w:rPr>
              <w:t>2013-018</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left"/>
              <w:rPr>
                <w:rFonts w:ascii="Times New Roman" w:hAnsi="Times New Roman" w:cs="Times New Roman" w:eastAsia="Times New Roman" w:hint="default"/>
                <w:sz w:val="24"/>
                <w:szCs w:val="24"/>
              </w:rPr>
            </w:pPr>
            <w:r>
              <w:rPr>
                <w:rFonts w:ascii="Times New Roman"/>
                <w:sz w:val="24"/>
              </w:rPr>
              <w:t>2013-6-18</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宋体" w:hAnsi="宋体" w:cs="宋体" w:eastAsia="宋体" w:hint="default"/>
                <w:sz w:val="24"/>
                <w:szCs w:val="24"/>
              </w:rPr>
            </w:pPr>
            <w:r>
              <w:rPr>
                <w:rFonts w:ascii="宋体" w:hAnsi="宋体" w:cs="宋体" w:eastAsia="宋体" w:hint="default"/>
                <w:sz w:val="24"/>
                <w:szCs w:val="24"/>
              </w:rPr>
              <w:t>《关联交易公告》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left"/>
              <w:rPr>
                <w:rFonts w:ascii="Times New Roman" w:hAnsi="Times New Roman" w:cs="Times New Roman" w:eastAsia="Times New Roman" w:hint="default"/>
                <w:sz w:val="24"/>
                <w:szCs w:val="24"/>
              </w:rPr>
            </w:pPr>
            <w:r>
              <w:rPr>
                <w:rFonts w:ascii="Times New Roman"/>
                <w:sz w:val="24"/>
              </w:rPr>
              <w:t>2013-050</w:t>
            </w:r>
          </w:p>
        </w:tc>
      </w:tr>
    </w:tbl>
    <w:p>
      <w:pPr>
        <w:spacing w:line="240" w:lineRule="auto" w:before="8"/>
        <w:rPr>
          <w:rFonts w:ascii="宋体" w:hAnsi="宋体" w:cs="宋体" w:eastAsia="宋体" w:hint="default"/>
          <w:sz w:val="24"/>
          <w:szCs w:val="24"/>
        </w:rPr>
      </w:pPr>
    </w:p>
    <w:p>
      <w:pPr>
        <w:pStyle w:val="BodyText"/>
        <w:spacing w:line="357" w:lineRule="auto" w:before="26"/>
        <w:ind w:right="0" w:firstLine="425"/>
        <w:jc w:val="left"/>
      </w:pPr>
      <w:r>
        <w:rPr>
          <w:rFonts w:ascii="宋体" w:hAnsi="宋体" w:cs="宋体" w:eastAsia="宋体" w:hint="default"/>
          <w:spacing w:val="2"/>
        </w:rPr>
        <w:t>2.</w:t>
      </w:r>
      <w:r>
        <w:rPr>
          <w:spacing w:val="2"/>
        </w:rPr>
        <w:t>报告期内，公司和大唐电信集团财务有限公司签订了《金融服务协议》及其《补充协 </w:t>
      </w:r>
      <w:r>
        <w:rPr/>
        <w:t>议》，具体披露情况为：</w:t>
      </w:r>
    </w:p>
    <w:tbl>
      <w:tblPr>
        <w:tblW w:w="0" w:type="auto"/>
        <w:jc w:val="left"/>
        <w:tblInd w:w="145" w:type="dxa"/>
        <w:tblLayout w:type="fixed"/>
        <w:tblCellMar>
          <w:top w:w="0" w:type="dxa"/>
          <w:left w:w="0" w:type="dxa"/>
          <w:bottom w:w="0" w:type="dxa"/>
          <w:right w:w="0" w:type="dxa"/>
        </w:tblCellMar>
        <w:tblLook w:val="01E0"/>
      </w:tblPr>
      <w:tblGrid>
        <w:gridCol w:w="2132"/>
        <w:gridCol w:w="2917"/>
        <w:gridCol w:w="2129"/>
      </w:tblGrid>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4" w:right="0"/>
              <w:jc w:val="left"/>
              <w:rPr>
                <w:rFonts w:ascii="宋体" w:hAnsi="宋体" w:cs="宋体" w:eastAsia="宋体" w:hint="default"/>
                <w:sz w:val="24"/>
                <w:szCs w:val="24"/>
              </w:rPr>
            </w:pPr>
            <w:r>
              <w:rPr>
                <w:rFonts w:ascii="宋体" w:hAnsi="宋体" w:cs="宋体" w:eastAsia="宋体" w:hint="default"/>
                <w:sz w:val="24"/>
                <w:szCs w:val="24"/>
              </w:rPr>
              <w:t>时间</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宋体" w:hAnsi="宋体" w:cs="宋体" w:eastAsia="宋体" w:hint="default"/>
                <w:sz w:val="24"/>
                <w:szCs w:val="24"/>
              </w:rPr>
            </w:pPr>
            <w:r>
              <w:rPr>
                <w:rFonts w:ascii="宋体" w:hAnsi="宋体" w:cs="宋体" w:eastAsia="宋体" w:hint="default"/>
                <w:sz w:val="24"/>
                <w:szCs w:val="24"/>
              </w:rPr>
              <w:t>公告名称</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宋体" w:hAnsi="宋体" w:cs="宋体" w:eastAsia="宋体" w:hint="default"/>
                <w:sz w:val="24"/>
                <w:szCs w:val="24"/>
              </w:rPr>
            </w:pPr>
            <w:r>
              <w:rPr>
                <w:rFonts w:ascii="宋体" w:hAnsi="宋体" w:cs="宋体" w:eastAsia="宋体" w:hint="default"/>
                <w:sz w:val="24"/>
                <w:szCs w:val="24"/>
              </w:rPr>
              <w:t>公告编号</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2013-3-26</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《关联交易公告（二）》</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left"/>
              <w:rPr>
                <w:rFonts w:ascii="Times New Roman" w:hAnsi="Times New Roman" w:cs="Times New Roman" w:eastAsia="Times New Roman" w:hint="default"/>
                <w:sz w:val="24"/>
                <w:szCs w:val="24"/>
              </w:rPr>
            </w:pPr>
            <w:r>
              <w:rPr>
                <w:rFonts w:ascii="Times New Roman"/>
                <w:sz w:val="24"/>
              </w:rPr>
              <w:t>2013-017</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left"/>
              <w:rPr>
                <w:rFonts w:ascii="Times New Roman" w:hAnsi="Times New Roman" w:cs="Times New Roman" w:eastAsia="Times New Roman" w:hint="default"/>
                <w:sz w:val="24"/>
                <w:szCs w:val="24"/>
              </w:rPr>
            </w:pPr>
            <w:r>
              <w:rPr>
                <w:rFonts w:ascii="Times New Roman"/>
                <w:sz w:val="24"/>
              </w:rPr>
              <w:t>2013-8-27</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宋体" w:hAnsi="宋体" w:cs="宋体" w:eastAsia="宋体" w:hint="default"/>
                <w:sz w:val="24"/>
                <w:szCs w:val="24"/>
              </w:rPr>
            </w:pPr>
            <w:r>
              <w:rPr>
                <w:rFonts w:ascii="宋体" w:hAnsi="宋体" w:cs="宋体" w:eastAsia="宋体" w:hint="default"/>
                <w:sz w:val="24"/>
                <w:szCs w:val="24"/>
              </w:rPr>
              <w:t>《关联交易公告》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w:t>
            </w:r>
            <w:r>
              <w:rPr>
                <w:rFonts w:ascii="Times New Roman" w:hAnsi="Times New Roman" w:cs="Times New Roman" w:eastAsia="Times New Roman" w:hint="default"/>
                <w:sz w:val="24"/>
                <w:szCs w:val="24"/>
              </w:rPr>
              <w:t>—</w:t>
            </w:r>
            <w:r>
              <w:rPr>
                <w:rFonts w:ascii="Times New Roman" w:hAnsi="Times New Roman" w:cs="Times New Roman" w:eastAsia="Times New Roman" w:hint="default"/>
                <w:sz w:val="24"/>
                <w:szCs w:val="24"/>
              </w:rPr>
              <w:t>074</w:t>
            </w:r>
          </w:p>
        </w:tc>
      </w:tr>
    </w:tbl>
    <w:p>
      <w:pPr>
        <w:spacing w:line="240" w:lineRule="auto" w:before="8"/>
        <w:rPr>
          <w:rFonts w:ascii="宋体" w:hAnsi="宋体" w:cs="宋体" w:eastAsia="宋体" w:hint="default"/>
          <w:sz w:val="24"/>
          <w:szCs w:val="24"/>
        </w:rPr>
      </w:pPr>
    </w:p>
    <w:p>
      <w:pPr>
        <w:pStyle w:val="BodyText"/>
        <w:spacing w:line="240" w:lineRule="auto" w:before="26"/>
        <w:ind w:left="578" w:right="0"/>
        <w:jc w:val="left"/>
      </w:pPr>
      <w:r>
        <w:rPr>
          <w:rFonts w:ascii="宋体" w:hAnsi="宋体" w:cs="宋体" w:eastAsia="宋体" w:hint="default"/>
          <w:spacing w:val="2"/>
        </w:rPr>
        <w:t>3.</w:t>
      </w:r>
      <w:r>
        <w:rPr>
          <w:spacing w:val="2"/>
        </w:rPr>
        <w:t>报告期内，公司及下属公司向控股股东电信科学技术研究院及其下属企业租用办公用</w:t>
      </w:r>
      <w:r>
        <w:rPr/>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240" w:lineRule="auto" w:before="26"/>
        <w:ind w:right="94"/>
        <w:jc w:val="left"/>
      </w:pPr>
      <w:r>
        <w:rPr/>
        <w:t>房，具体披露情况为：</w:t>
      </w:r>
    </w:p>
    <w:p>
      <w:pPr>
        <w:spacing w:line="240" w:lineRule="auto" w:before="1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132"/>
        <w:gridCol w:w="2917"/>
        <w:gridCol w:w="2129"/>
      </w:tblGrid>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时间</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公告名称</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公告编号</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2013-3-26</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关联交易公告（一）</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left"/>
              <w:rPr>
                <w:rFonts w:ascii="Times New Roman" w:hAnsi="Times New Roman" w:cs="Times New Roman" w:eastAsia="Times New Roman" w:hint="default"/>
                <w:sz w:val="24"/>
                <w:szCs w:val="24"/>
              </w:rPr>
            </w:pPr>
            <w:r>
              <w:rPr>
                <w:rFonts w:ascii="Times New Roman"/>
                <w:sz w:val="24"/>
              </w:rPr>
              <w:t>2013-016</w:t>
            </w:r>
          </w:p>
        </w:tc>
      </w:tr>
    </w:tbl>
    <w:p>
      <w:pPr>
        <w:spacing w:line="240" w:lineRule="auto" w:before="11"/>
        <w:rPr>
          <w:rFonts w:ascii="宋体" w:hAnsi="宋体" w:cs="宋体" w:eastAsia="宋体" w:hint="default"/>
          <w:sz w:val="24"/>
          <w:szCs w:val="24"/>
        </w:rPr>
      </w:pPr>
    </w:p>
    <w:p>
      <w:pPr>
        <w:pStyle w:val="BodyText"/>
        <w:spacing w:line="357" w:lineRule="auto" w:before="26"/>
        <w:ind w:left="578" w:right="94"/>
        <w:jc w:val="left"/>
      </w:pPr>
      <w:r>
        <w:rPr>
          <w:rFonts w:ascii="宋体" w:hAnsi="宋体" w:cs="宋体" w:eastAsia="宋体" w:hint="default"/>
        </w:rPr>
        <w:t>4.</w:t>
      </w:r>
      <w:r>
        <w:rPr>
          <w:rFonts w:ascii="宋体" w:hAnsi="宋体" w:cs="宋体" w:eastAsia="宋体" w:hint="default"/>
          <w:spacing w:val="-1"/>
        </w:rPr>
        <w:t> </w:t>
      </w:r>
      <w:r>
        <w:rPr/>
        <w:t>报告期内，</w:t>
      </w:r>
      <w:r>
        <w:rPr>
          <w:rFonts w:ascii="宋体" w:hAnsi="宋体" w:cs="宋体" w:eastAsia="宋体" w:hint="default"/>
        </w:rPr>
        <w:t>2013</w:t>
      </w:r>
      <w:r>
        <w:rPr/>
        <w:t>年</w:t>
      </w:r>
      <w:r>
        <w:rPr>
          <w:rFonts w:ascii="宋体" w:hAnsi="宋体" w:cs="宋体" w:eastAsia="宋体" w:hint="default"/>
        </w:rPr>
        <w:t>6</w:t>
      </w:r>
      <w:r>
        <w:rPr/>
        <w:t>月</w:t>
      </w:r>
      <w:r>
        <w:rPr>
          <w:rFonts w:ascii="宋体" w:hAnsi="宋体" w:cs="宋体" w:eastAsia="宋体" w:hint="default"/>
        </w:rPr>
        <w:t>3</w:t>
      </w:r>
      <w:r>
        <w:rPr/>
        <w:t>日公司股票停牌，筹划资产重组事项。 第七届第十七次董事会、</w:t>
      </w:r>
      <w:r>
        <w:rPr>
          <w:rFonts w:ascii="宋体" w:hAnsi="宋体" w:cs="宋体" w:eastAsia="宋体" w:hint="default"/>
        </w:rPr>
        <w:t>2013</w:t>
      </w:r>
      <w:r>
        <w:rPr/>
        <w:t>年第三次临时股东大会审议通过《关于变更部分募集资金</w:t>
      </w:r>
    </w:p>
    <w:p>
      <w:pPr>
        <w:pStyle w:val="BodyText"/>
        <w:spacing w:line="357" w:lineRule="auto"/>
        <w:ind w:right="94"/>
        <w:jc w:val="left"/>
      </w:pPr>
      <w:r>
        <w:rPr/>
        <w:t>投向的议案》，同意公司以</w:t>
      </w:r>
      <w:r>
        <w:rPr>
          <w:rFonts w:ascii="宋体" w:hAnsi="宋体" w:cs="宋体" w:eastAsia="宋体" w:hint="default"/>
        </w:rPr>
        <w:t>1.69</w:t>
      </w:r>
      <w:r>
        <w:rPr/>
        <w:t>亿元收购高阳捷迅</w:t>
      </w:r>
      <w:r>
        <w:rPr>
          <w:rFonts w:ascii="宋体" w:hAnsi="宋体" w:cs="宋体" w:eastAsia="宋体" w:hint="default"/>
        </w:rPr>
        <w:t>26.406%</w:t>
      </w:r>
      <w:r>
        <w:rPr/>
        <w:t>股权，并对其增资</w:t>
      </w:r>
      <w:r>
        <w:rPr>
          <w:rFonts w:ascii="宋体" w:hAnsi="宋体" w:cs="宋体" w:eastAsia="宋体" w:hint="default"/>
        </w:rPr>
        <w:t>1</w:t>
      </w:r>
      <w:r>
        <w:rPr/>
        <w:t>亿元，增资完</w:t>
      </w:r>
      <w:r>
        <w:rPr>
          <w:spacing w:val="-88"/>
        </w:rPr>
        <w:t> </w:t>
      </w:r>
      <w:r>
        <w:rPr>
          <w:spacing w:val="-88"/>
        </w:rPr>
      </w:r>
      <w:r>
        <w:rPr/>
        <w:t>成后取得其</w:t>
      </w:r>
      <w:r>
        <w:rPr>
          <w:rFonts w:ascii="宋体" w:hAnsi="宋体" w:cs="宋体" w:eastAsia="宋体" w:hint="default"/>
        </w:rPr>
        <w:t>36.351%</w:t>
      </w:r>
      <w:r>
        <w:rPr/>
        <w:t>股权。</w:t>
      </w:r>
    </w:p>
    <w:p>
      <w:pPr>
        <w:pStyle w:val="BodyText"/>
        <w:spacing w:line="357" w:lineRule="auto"/>
        <w:ind w:right="94" w:firstLine="425"/>
        <w:jc w:val="left"/>
      </w:pPr>
      <w:r>
        <w:rPr/>
        <w:t>公司以</w:t>
      </w:r>
      <w:r>
        <w:rPr>
          <w:rFonts w:ascii="宋体" w:hAnsi="宋体" w:cs="宋体" w:eastAsia="宋体" w:hint="default"/>
        </w:rPr>
        <w:t>1.69</w:t>
      </w:r>
      <w:r>
        <w:rPr/>
        <w:t>亿元高阳捷迅</w:t>
      </w:r>
      <w:r>
        <w:rPr>
          <w:rFonts w:ascii="宋体" w:hAnsi="宋体" w:cs="宋体" w:eastAsia="宋体" w:hint="default"/>
        </w:rPr>
        <w:t>26.406%</w:t>
      </w:r>
      <w:r>
        <w:rPr/>
        <w:t>股权，电信科学技术研究院收购其</w:t>
      </w:r>
      <w:r>
        <w:rPr>
          <w:rFonts w:ascii="宋体" w:hAnsi="宋体" w:cs="宋体" w:eastAsia="宋体" w:hint="default"/>
        </w:rPr>
        <w:t>30.469%</w:t>
      </w:r>
      <w:r>
        <w:rPr/>
        <w:t>股权，大唐</w:t>
      </w:r>
      <w:r>
        <w:rPr>
          <w:spacing w:val="2"/>
        </w:rPr>
        <w:t> </w:t>
      </w:r>
      <w:r>
        <w:rPr/>
        <w:t>高新创业投资有限公司、海南信息产业创业投资基金（有限合伙）及北京银汉创业投资有限</w:t>
      </w:r>
      <w:r>
        <w:rPr>
          <w:spacing w:val="-91"/>
        </w:rPr>
        <w:t> </w:t>
      </w:r>
      <w:r>
        <w:rPr>
          <w:spacing w:val="-91"/>
        </w:rPr>
      </w:r>
      <w:r>
        <w:rPr/>
        <w:t>公司，共同收购高阳捷迅</w:t>
      </w:r>
      <w:r>
        <w:rPr>
          <w:rFonts w:ascii="宋体" w:hAnsi="宋体" w:cs="宋体" w:eastAsia="宋体" w:hint="default"/>
        </w:rPr>
        <w:t>9.375%</w:t>
      </w:r>
      <w:r>
        <w:rPr/>
        <w:t>股权。收购完成后公司对高阳捷迅进行</w:t>
      </w:r>
      <w:r>
        <w:rPr>
          <w:rFonts w:ascii="宋体" w:hAnsi="宋体" w:cs="宋体" w:eastAsia="宋体" w:hint="default"/>
        </w:rPr>
        <w:t>1</w:t>
      </w:r>
      <w:r>
        <w:rPr/>
        <w:t>亿元人民币的增资， </w:t>
      </w:r>
      <w:r>
        <w:rPr>
          <w:spacing w:val="-2"/>
        </w:rPr>
        <w:t>增资完成后，公司持有高阳捷迅</w:t>
      </w:r>
      <w:r>
        <w:rPr>
          <w:rFonts w:ascii="宋体" w:hAnsi="宋体" w:cs="宋体" w:eastAsia="宋体" w:hint="default"/>
          <w:spacing w:val="-2"/>
        </w:rPr>
        <w:t>36.351%</w:t>
      </w:r>
      <w:r>
        <w:rPr>
          <w:spacing w:val="-2"/>
        </w:rPr>
        <w:t>股权，为高阳捷迅单一大股东。收购增资股权变更手</w:t>
      </w:r>
      <w:r>
        <w:rPr>
          <w:spacing w:val="-112"/>
        </w:rPr>
        <w:t> </w:t>
      </w:r>
      <w:r>
        <w:rPr>
          <w:spacing w:val="-112"/>
        </w:rPr>
      </w:r>
      <w:r>
        <w:rPr/>
        <w:t>续于</w:t>
      </w: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26</w:t>
      </w:r>
      <w:r>
        <w:rPr/>
        <w:t>日已完成。</w:t>
      </w:r>
    </w:p>
    <w:p>
      <w:pPr>
        <w:pStyle w:val="BodyText"/>
        <w:spacing w:line="357" w:lineRule="auto"/>
        <w:ind w:right="94" w:firstLine="425"/>
        <w:jc w:val="left"/>
      </w:pPr>
      <w:r>
        <w:rPr>
          <w:rFonts w:ascii="宋体" w:hAnsi="宋体" w:cs="宋体" w:eastAsia="宋体" w:hint="default"/>
          <w:spacing w:val="4"/>
        </w:rPr>
        <w:t>2013</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24</w:t>
      </w:r>
      <w:r>
        <w:rPr>
          <w:spacing w:val="4"/>
        </w:rPr>
        <w:t>日，经第七届第十九次董事会审议通过《发行股份购买资产暨关联交易预</w:t>
      </w:r>
      <w:r>
        <w:rPr/>
        <w:t> 案》，同意公司拟发行股份收购除公司外高阳捷迅所有股份事项。公司股票复牌。</w:t>
      </w:r>
    </w:p>
    <w:p>
      <w:pPr>
        <w:pStyle w:val="BodyText"/>
        <w:spacing w:line="357" w:lineRule="auto"/>
        <w:ind w:right="94" w:firstLine="425"/>
        <w:jc w:val="left"/>
      </w:pPr>
      <w:r>
        <w:rPr>
          <w:spacing w:val="2"/>
        </w:rPr>
        <w:t>本次发行股份购买资产交易事项尚需再次提交董事会审议、国资委审核、公司股东大会 </w:t>
      </w:r>
      <w:r>
        <w:rPr/>
        <w:t>审议及中国证监会审核。</w:t>
      </w:r>
    </w:p>
    <w:p>
      <w:pPr>
        <w:pStyle w:val="BodyText"/>
        <w:spacing w:line="240" w:lineRule="auto"/>
        <w:ind w:left="578" w:right="94"/>
        <w:jc w:val="left"/>
      </w:pPr>
      <w:r>
        <w:rPr/>
        <w:t>公司在巨潮资讯网披露公告具体信息如下：</w:t>
      </w:r>
    </w:p>
    <w:p>
      <w:pPr>
        <w:spacing w:line="240" w:lineRule="auto" w:before="10"/>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27"/>
        <w:gridCol w:w="5387"/>
        <w:gridCol w:w="1846"/>
      </w:tblGrid>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时间</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公告名称</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公告编号</w:t>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2013-06-03</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《重大资产重组停牌公告》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2013-044</w:t>
            </w:r>
          </w:p>
        </w:tc>
      </w:tr>
      <w:tr>
        <w:trPr>
          <w:trHeight w:val="34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2013-06-18</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《第七届第十七次董事会决议公告》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2013-047</w:t>
            </w:r>
          </w:p>
        </w:tc>
      </w:tr>
      <w:tr>
        <w:trPr>
          <w:trHeight w:val="660"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2013-06-18</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4" w:right="4"/>
              <w:jc w:val="left"/>
              <w:rPr>
                <w:rFonts w:ascii="宋体" w:hAnsi="宋体" w:cs="宋体" w:eastAsia="宋体" w:hint="default"/>
                <w:sz w:val="24"/>
                <w:szCs w:val="24"/>
              </w:rPr>
            </w:pPr>
            <w:r>
              <w:rPr>
                <w:rFonts w:ascii="宋体" w:hAnsi="宋体" w:cs="宋体" w:eastAsia="宋体" w:hint="default"/>
                <w:spacing w:val="3"/>
                <w:sz w:val="24"/>
                <w:szCs w:val="24"/>
              </w:rPr>
              <w:t>《关于变更部分募集资金投向暨对外投资关联交易</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的公告》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2013-048</w:t>
            </w:r>
          </w:p>
        </w:tc>
      </w:tr>
      <w:tr>
        <w:trPr>
          <w:trHeight w:val="34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2013-07-05</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2" w:lineRule="exact"/>
              <w:ind w:left="4"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2013</w:t>
            </w:r>
            <w:r>
              <w:rPr>
                <w:rFonts w:ascii="宋体" w:hAnsi="宋体" w:cs="宋体" w:eastAsia="宋体" w:hint="default"/>
                <w:sz w:val="24"/>
                <w:szCs w:val="24"/>
              </w:rPr>
              <w:t>年第三次临时股东大会决议公告》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2013-057</w:t>
            </w:r>
          </w:p>
        </w:tc>
      </w:tr>
      <w:tr>
        <w:trPr>
          <w:trHeight w:val="660"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2013-07-23</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3"/>
                <w:sz w:val="24"/>
                <w:szCs w:val="24"/>
              </w:rPr>
              <w:t>《关于公司重大重组事项的进展暨新投资方情况介</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绍公告》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2013-062</w:t>
            </w:r>
          </w:p>
        </w:tc>
      </w:tr>
      <w:tr>
        <w:trPr>
          <w:trHeight w:val="34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2013-09-03</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《关于公司资产重组事项延期复牌的公告》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2013-080</w:t>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2013-09-24</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《第七届第十九次董事会决议公告》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2013-087</w:t>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2013-09-24</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《发行股份购买资产暨关联交易预案》</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w:t>
            </w:r>
          </w:p>
        </w:tc>
      </w:tr>
    </w:tbl>
    <w:p>
      <w:pPr>
        <w:spacing w:before="49"/>
        <w:ind w:left="152" w:right="94"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2"/>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关于向大唐电信科技产业控股有限公司申 请贰亿陆仟万元委托借款的关联交易公告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关于控股子公司北京大唐高鸿数据网络技</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2"/>
      </w:tblGrid>
      <w:tr>
        <w:trPr>
          <w:trHeight w:val="67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83"/>
              <w:jc w:val="left"/>
              <w:rPr>
                <w:rFonts w:ascii="宋体" w:hAnsi="宋体" w:cs="宋体" w:eastAsia="宋体" w:hint="default"/>
                <w:sz w:val="18"/>
                <w:szCs w:val="18"/>
              </w:rPr>
            </w:pPr>
            <w:r>
              <w:rPr>
                <w:rFonts w:ascii="宋体" w:hAnsi="宋体" w:cs="宋体" w:eastAsia="宋体" w:hint="default"/>
                <w:sz w:val="18"/>
                <w:szCs w:val="18"/>
              </w:rPr>
              <w:t>术有限公司向控股股东电信科学技术研究 院申请肆仟万元委托借款公告</w:t>
            </w:r>
          </w:p>
        </w:tc>
        <w:tc>
          <w:tcPr>
            <w:tcW w:w="2650" w:type="dxa"/>
            <w:tcBorders>
              <w:top w:val="single" w:sz="4" w:space="0" w:color="000000"/>
              <w:left w:val="single" w:sz="4" w:space="0" w:color="000000"/>
              <w:bottom w:val="single" w:sz="4" w:space="0" w:color="000000"/>
              <w:right w:val="single" w:sz="4" w:space="0" w:color="000000"/>
            </w:tcBorders>
          </w:tcPr>
          <w:p>
            <w:pPr/>
          </w:p>
        </w:tc>
        <w:tc>
          <w:tcPr>
            <w:tcW w:w="34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年度大唐电信集团财务有限公司 为公司提供金融服务的关联交易公告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关联交易公告（一）</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关联交易公告（二）</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关联交易公告（二）</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八、重大合同及其履行情况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60"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托管情况说明 无</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57"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承包情况说明 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租赁情况说明 无</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06"/>
        <w:gridCol w:w="940"/>
        <w:gridCol w:w="935"/>
        <w:gridCol w:w="1212"/>
        <w:gridCol w:w="1178"/>
        <w:gridCol w:w="1097"/>
        <w:gridCol w:w="1014"/>
        <w:gridCol w:w="803"/>
        <w:gridCol w:w="788"/>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8"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24"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8"/>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7"/>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1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 w:right="27"/>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20"/>
              <w:ind w:left="119" w:right="117"/>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24"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8"/>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 w:right="27"/>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20"/>
              <w:ind w:left="119" w:right="117"/>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连带责任担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5"/>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江苏高鸿鼎恒信息 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5"/>
              <w:jc w:val="center"/>
              <w:rPr>
                <w:rFonts w:ascii="宋体" w:hAnsi="宋体" w:cs="宋体" w:eastAsia="宋体" w:hint="default"/>
                <w:sz w:val="18"/>
                <w:szCs w:val="18"/>
              </w:rPr>
            </w:pPr>
            <w:r>
              <w:rPr>
                <w:rFonts w:ascii="宋体" w:hAnsi="宋体" w:cs="宋体" w:eastAsia="宋体" w:hint="default"/>
                <w:sz w:val="18"/>
                <w:szCs w:val="18"/>
              </w:rPr>
              <w:t>大唐高鸿通信技术</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06"/>
        <w:gridCol w:w="931"/>
        <w:gridCol w:w="944"/>
        <w:gridCol w:w="1219"/>
        <w:gridCol w:w="1172"/>
        <w:gridCol w:w="1091"/>
        <w:gridCol w:w="1016"/>
        <w:gridCol w:w="806"/>
        <w:gridCol w:w="788"/>
      </w:tblGrid>
      <w:tr>
        <w:trPr>
          <w:trHeight w:val="36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保</w:t>
            </w:r>
          </w:p>
        </w:tc>
        <w:tc>
          <w:tcPr>
            <w:tcW w:w="101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高鸿恒昌科技有限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高鸿恒昌科技有限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12,142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701.5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12,142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7"/>
                <w:sz w:val="18"/>
                <w:szCs w:val="18"/>
              </w:rPr>
              <w:t> </w:t>
            </w:r>
            <w:r>
              <w:rPr>
                <w:rFonts w:ascii="宋体" w:hAnsi="宋体" w:cs="宋体" w:eastAsia="宋体" w:hint="default"/>
                <w:sz w:val="18"/>
                <w:szCs w:val="18"/>
              </w:rPr>
              <w:t>带</w:t>
            </w:r>
            <w:r>
              <w:rPr>
                <w:rFonts w:ascii="宋体" w:hAnsi="宋体" w:cs="宋体" w:eastAsia="宋体" w:hint="default"/>
                <w:spacing w:val="-57"/>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
              <w:jc w:val="left"/>
              <w:rPr>
                <w:rFonts w:ascii="宋体" w:hAnsi="宋体" w:cs="宋体" w:eastAsia="宋体" w:hint="default"/>
                <w:sz w:val="18"/>
                <w:szCs w:val="18"/>
              </w:rPr>
            </w:pPr>
            <w:r>
              <w:rPr>
                <w:rFonts w:ascii="宋体" w:hAnsi="宋体" w:cs="宋体" w:eastAsia="宋体" w:hint="default"/>
                <w:spacing w:val="22"/>
                <w:sz w:val="18"/>
                <w:szCs w:val="18"/>
              </w:rPr>
              <w:t>连带责</w:t>
            </w:r>
            <w:r>
              <w:rPr>
                <w:rFonts w:ascii="宋体" w:hAnsi="宋体" w:cs="宋体" w:eastAsia="宋体" w:hint="default"/>
                <w:spacing w:val="-54"/>
                <w:sz w:val="18"/>
                <w:szCs w:val="18"/>
              </w:rPr>
              <w:t> </w:t>
            </w:r>
            <w:r>
              <w:rPr>
                <w:rFonts w:ascii="宋体" w:hAnsi="宋体" w:cs="宋体" w:eastAsia="宋体" w:hint="default"/>
                <w:spacing w:val="16"/>
                <w:sz w:val="18"/>
                <w:szCs w:val="18"/>
              </w:rPr>
              <w:t>任担</w:t>
            </w:r>
            <w:r>
              <w:rPr>
                <w:rFonts w:ascii="宋体" w:hAnsi="宋体" w:cs="宋体" w:eastAsia="宋体" w:hint="default"/>
                <w:spacing w:val="-57"/>
                <w:sz w:val="18"/>
                <w:szCs w:val="18"/>
              </w:rPr>
              <w:t> </w:t>
            </w:r>
            <w:r>
              <w:rPr>
                <w:rFonts w:ascii="宋体" w:hAnsi="宋体" w:cs="宋体" w:eastAsia="宋体" w:hint="default"/>
                <w:sz w:val="18"/>
                <w:szCs w:val="18"/>
              </w:rPr>
              <w:t>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6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64,142</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71"/>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77,401.5</w:t>
            </w:r>
          </w:p>
        </w:tc>
      </w:tr>
      <w:tr>
        <w:trPr>
          <w:trHeight w:val="718" w:hRule="exact"/>
        </w:trPr>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6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123,142</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71"/>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70,000</w:t>
            </w:r>
          </w:p>
        </w:tc>
      </w:tr>
      <w:tr>
        <w:trPr>
          <w:trHeight w:val="394"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6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64,142</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9"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77,401.5</w:t>
            </w:r>
          </w:p>
        </w:tc>
      </w:tr>
      <w:tr>
        <w:trPr>
          <w:trHeight w:val="715" w:hRule="exact"/>
        </w:trPr>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6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123,142</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70,000</w:t>
            </w:r>
          </w:p>
        </w:tc>
      </w:tr>
      <w:tr>
        <w:trPr>
          <w:trHeight w:val="406" w:hRule="exact"/>
        </w:trPr>
        <w:tc>
          <w:tcPr>
            <w:tcW w:w="47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87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32.65%</w:t>
            </w:r>
          </w:p>
        </w:tc>
      </w:tr>
      <w:tr>
        <w:trPr>
          <w:trHeight w:val="398"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692"/>
        <w:gridCol w:w="4880"/>
      </w:tblGrid>
      <w:tr>
        <w:trPr>
          <w:trHeight w:val="402" w:hRule="exact"/>
        </w:trPr>
        <w:tc>
          <w:tcPr>
            <w:tcW w:w="4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3" w:right="14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70,000</w:t>
            </w:r>
          </w:p>
        </w:tc>
      </w:tr>
      <w:tr>
        <w:trPr>
          <w:trHeight w:val="402" w:hRule="exact"/>
        </w:trPr>
        <w:tc>
          <w:tcPr>
            <w:tcW w:w="4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70,000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9"/>
        <w:gridCol w:w="883"/>
        <w:gridCol w:w="846"/>
        <w:gridCol w:w="881"/>
        <w:gridCol w:w="869"/>
        <w:gridCol w:w="870"/>
        <w:gridCol w:w="861"/>
        <w:gridCol w:w="881"/>
        <w:gridCol w:w="869"/>
        <w:gridCol w:w="861"/>
      </w:tblGrid>
      <w:tr>
        <w:trPr>
          <w:trHeight w:val="161" w:hRule="exact"/>
        </w:trPr>
        <w:tc>
          <w:tcPr>
            <w:tcW w:w="867" w:type="dxa"/>
            <w:vMerge w:val="restart"/>
            <w:tcBorders>
              <w:top w:val="single" w:sz="4" w:space="0" w:color="000000"/>
              <w:left w:val="single" w:sz="4" w:space="0" w:color="000000"/>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
        </w:tc>
        <w:tc>
          <w:tcPr>
            <w:tcW w:w="883" w:type="dxa"/>
            <w:vMerge w:val="restart"/>
            <w:tcBorders>
              <w:top w:val="single" w:sz="4" w:space="0" w:color="000000"/>
              <w:left w:val="single" w:sz="4" w:space="0" w:color="000000"/>
              <w:right w:val="single" w:sz="4" w:space="0" w:color="000000"/>
            </w:tcBorders>
            <w:shd w:val="clear" w:color="auto" w:fill="D2D2D2"/>
          </w:tcPr>
          <w:p>
            <w:pPr/>
          </w:p>
        </w:tc>
        <w:tc>
          <w:tcPr>
            <w:tcW w:w="84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8"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占最近一 期经审计 净资产的 比例</w:t>
            </w:r>
            <w:r>
              <w:rPr>
                <w:rFonts w:ascii="Times New Roman" w:hAnsi="Times New Roman" w:cs="Times New Roman" w:eastAsia="Times New Roman" w:hint="default"/>
                <w:sz w:val="18"/>
                <w:szCs w:val="18"/>
              </w:rPr>
              <w:t>(%)</w:t>
            </w:r>
          </w:p>
        </w:tc>
        <w:tc>
          <w:tcPr>
            <w:tcW w:w="881" w:type="dxa"/>
            <w:vMerge w:val="restart"/>
            <w:tcBorders>
              <w:top w:val="single" w:sz="4" w:space="0" w:color="000000"/>
              <w:left w:val="single" w:sz="4" w:space="0" w:color="000000"/>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0"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占最近一 期经审计 净资产的 比例</w:t>
            </w:r>
            <w:r>
              <w:rPr>
                <w:rFonts w:ascii="Times New Roman" w:hAnsi="Times New Roman" w:cs="Times New Roman" w:eastAsia="Times New Roman" w:hint="default"/>
                <w:sz w:val="18"/>
                <w:szCs w:val="18"/>
              </w:rPr>
              <w:t>(%)</w:t>
            </w:r>
          </w:p>
        </w:tc>
        <w:tc>
          <w:tcPr>
            <w:tcW w:w="881" w:type="dxa"/>
            <w:vMerge w:val="restart"/>
            <w:tcBorders>
              <w:top w:val="single" w:sz="4" w:space="0" w:color="000000"/>
              <w:left w:val="single" w:sz="4" w:space="0" w:color="000000"/>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
        </w:tc>
        <w:tc>
          <w:tcPr>
            <w:tcW w:w="8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867" w:type="dxa"/>
            <w:vMerge/>
            <w:tcBorders>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46" w:type="dxa"/>
            <w:vMerge/>
            <w:tcBorders>
              <w:left w:val="single" w:sz="4" w:space="0" w:color="000000"/>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69" w:right="68"/>
              <w:jc w:val="both"/>
              <w:rPr>
                <w:rFonts w:ascii="宋体" w:hAnsi="宋体" w:cs="宋体" w:eastAsia="宋体" w:hint="default"/>
                <w:sz w:val="18"/>
                <w:szCs w:val="18"/>
              </w:rPr>
            </w:pPr>
            <w:r>
              <w:rPr>
                <w:rFonts w:ascii="宋体" w:hAnsi="宋体" w:cs="宋体" w:eastAsia="宋体" w:hint="default"/>
                <w:sz w:val="18"/>
                <w:szCs w:val="18"/>
              </w:rPr>
              <w:t>截至报告 期末违规 担保余额</w:t>
            </w:r>
          </w:p>
        </w:tc>
        <w:tc>
          <w:tcPr>
            <w:tcW w:w="861" w:type="dxa"/>
            <w:vMerge/>
            <w:tcBorders>
              <w:left w:val="single" w:sz="4" w:space="0" w:color="000000"/>
              <w:right w:val="single" w:sz="4" w:space="0" w:color="000000"/>
            </w:tcBorders>
            <w:shd w:val="clear" w:color="auto" w:fill="D2D2D2"/>
          </w:tcPr>
          <w:p>
            <w:pPr/>
          </w:p>
        </w:tc>
        <w:tc>
          <w:tcPr>
            <w:tcW w:w="881" w:type="dxa"/>
            <w:vMerge/>
            <w:tcBorders>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86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71" w:right="57"/>
              <w:jc w:val="center"/>
              <w:rPr>
                <w:rFonts w:ascii="宋体" w:hAnsi="宋体" w:cs="宋体" w:eastAsia="宋体" w:hint="default"/>
                <w:sz w:val="18"/>
                <w:szCs w:val="18"/>
              </w:rPr>
            </w:pPr>
            <w:r>
              <w:rPr>
                <w:rFonts w:ascii="宋体" w:hAnsi="宋体" w:cs="宋体" w:eastAsia="宋体" w:hint="default"/>
                <w:sz w:val="18"/>
                <w:szCs w:val="18"/>
              </w:rPr>
              <w:t>预计解除 时间（月 份）</w:t>
            </w:r>
          </w:p>
        </w:tc>
      </w:tr>
      <w:tr>
        <w:trPr>
          <w:trHeight w:val="156" w:hRule="exact"/>
        </w:trPr>
        <w:tc>
          <w:tcPr>
            <w:tcW w:w="86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50" w:right="65"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86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与上市公 司的关系</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49" w:right="81" w:hanging="180"/>
              <w:jc w:val="left"/>
              <w:rPr>
                <w:rFonts w:ascii="宋体" w:hAnsi="宋体" w:cs="宋体" w:eastAsia="宋体" w:hint="default"/>
                <w:sz w:val="18"/>
                <w:szCs w:val="18"/>
              </w:rPr>
            </w:pPr>
            <w:r>
              <w:rPr>
                <w:rFonts w:ascii="宋体" w:hAnsi="宋体" w:cs="宋体" w:eastAsia="宋体" w:hint="default"/>
                <w:sz w:val="18"/>
                <w:szCs w:val="18"/>
              </w:rPr>
              <w:t>违规担保 金额</w:t>
            </w:r>
          </w:p>
        </w:tc>
        <w:tc>
          <w:tcPr>
            <w:tcW w:w="846" w:type="dxa"/>
            <w:vMerge/>
            <w:tcBorders>
              <w:left w:val="single" w:sz="4" w:space="0" w:color="000000"/>
              <w:right w:val="single" w:sz="4" w:space="0" w:color="000000"/>
            </w:tcBorders>
            <w:shd w:val="clear" w:color="auto" w:fill="D2D2D2"/>
          </w:tcPr>
          <w:p>
            <w:pPr/>
          </w:p>
        </w:tc>
        <w:tc>
          <w:tcPr>
            <w:tcW w:w="881" w:type="dxa"/>
            <w:vMerge/>
            <w:tcBorders>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c>
          <w:tcPr>
            <w:tcW w:w="88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61" w:right="67" w:hanging="180"/>
              <w:jc w:val="left"/>
              <w:rPr>
                <w:rFonts w:ascii="宋体" w:hAnsi="宋体" w:cs="宋体" w:eastAsia="宋体" w:hint="default"/>
                <w:sz w:val="18"/>
                <w:szCs w:val="18"/>
              </w:rPr>
            </w:pPr>
            <w:r>
              <w:rPr>
                <w:rFonts w:ascii="宋体" w:hAnsi="宋体" w:cs="宋体" w:eastAsia="宋体" w:hint="default"/>
                <w:sz w:val="18"/>
                <w:szCs w:val="18"/>
              </w:rPr>
              <w:t>预计解除 方式</w:t>
            </w:r>
          </w:p>
        </w:tc>
        <w:tc>
          <w:tcPr>
            <w:tcW w:w="86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预计解除 金额</w:t>
            </w:r>
          </w:p>
        </w:tc>
        <w:tc>
          <w:tcPr>
            <w:tcW w:w="861" w:type="dxa"/>
            <w:vMerge/>
            <w:tcBorders>
              <w:left w:val="single" w:sz="4" w:space="0" w:color="000000"/>
              <w:right w:val="single" w:sz="4" w:space="0" w:color="000000"/>
            </w:tcBorders>
            <w:shd w:val="clear" w:color="auto" w:fill="D2D2D2"/>
          </w:tcPr>
          <w:p>
            <w:pPr/>
          </w:p>
        </w:tc>
      </w:tr>
      <w:tr>
        <w:trPr>
          <w:trHeight w:val="394" w:hRule="exact"/>
        </w:trPr>
        <w:tc>
          <w:tcPr>
            <w:tcW w:w="867"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46" w:type="dxa"/>
            <w:vMerge/>
            <w:tcBorders>
              <w:left w:val="single" w:sz="4" w:space="0" w:color="000000"/>
              <w:right w:val="single" w:sz="4" w:space="0" w:color="000000"/>
            </w:tcBorders>
            <w:shd w:val="clear" w:color="auto" w:fill="D2D2D2"/>
          </w:tcPr>
          <w:p>
            <w:pPr/>
          </w:p>
        </w:tc>
        <w:tc>
          <w:tcPr>
            <w:tcW w:w="8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70" w:type="dxa"/>
            <w:vMerge/>
            <w:tcBorders>
              <w:left w:val="single" w:sz="4" w:space="0" w:color="000000"/>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r>
      <w:tr>
        <w:trPr>
          <w:trHeight w:val="156" w:hRule="exact"/>
        </w:trPr>
        <w:tc>
          <w:tcPr>
            <w:tcW w:w="867" w:type="dxa"/>
            <w:vMerge/>
            <w:tcBorders>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46" w:type="dxa"/>
            <w:vMerge/>
            <w:tcBorders>
              <w:left w:val="single" w:sz="4" w:space="0" w:color="000000"/>
              <w:right w:val="single" w:sz="4" w:space="0" w:color="000000"/>
            </w:tcBorders>
            <w:shd w:val="clear" w:color="auto" w:fill="D2D2D2"/>
          </w:tcPr>
          <w:p>
            <w:pPr/>
          </w:p>
        </w:tc>
        <w:tc>
          <w:tcPr>
            <w:tcW w:w="881" w:type="dxa"/>
            <w:vMerge w:val="restart"/>
            <w:tcBorders>
              <w:top w:val="nil" w:sz="6" w:space="0" w:color="auto"/>
              <w:left w:val="single" w:sz="4" w:space="0" w:color="000000"/>
              <w:right w:val="single" w:sz="4" w:space="0" w:color="000000"/>
            </w:tcBorders>
            <w:shd w:val="clear" w:color="auto" w:fill="D2D2D2"/>
          </w:tcPr>
          <w:p>
            <w:pPr/>
          </w:p>
        </w:tc>
        <w:tc>
          <w:tcPr>
            <w:tcW w:w="869" w:type="dxa"/>
            <w:vMerge w:val="restart"/>
            <w:tcBorders>
              <w:top w:val="nil" w:sz="6" w:space="0" w:color="auto"/>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c>
          <w:tcPr>
            <w:tcW w:w="881" w:type="dxa"/>
            <w:vMerge/>
            <w:tcBorders>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r>
      <w:tr>
        <w:trPr>
          <w:trHeight w:val="156" w:hRule="exact"/>
        </w:trPr>
        <w:tc>
          <w:tcPr>
            <w:tcW w:w="867" w:type="dxa"/>
            <w:vMerge w:val="restart"/>
            <w:tcBorders>
              <w:top w:val="nil" w:sz="6" w:space="0" w:color="auto"/>
              <w:left w:val="single" w:sz="4" w:space="0" w:color="000000"/>
              <w:right w:val="single" w:sz="4" w:space="0" w:color="000000"/>
            </w:tcBorders>
            <w:shd w:val="clear" w:color="auto" w:fill="D2D2D2"/>
          </w:tcPr>
          <w:p>
            <w:pPr/>
          </w:p>
        </w:tc>
        <w:tc>
          <w:tcPr>
            <w:tcW w:w="869" w:type="dxa"/>
            <w:vMerge w:val="restart"/>
            <w:tcBorders>
              <w:top w:val="nil" w:sz="6" w:space="0" w:color="auto"/>
              <w:left w:val="single" w:sz="4" w:space="0" w:color="000000"/>
              <w:right w:val="single" w:sz="4" w:space="0" w:color="000000"/>
            </w:tcBorders>
            <w:shd w:val="clear" w:color="auto" w:fill="D2D2D2"/>
          </w:tcPr>
          <w:p>
            <w:pPr/>
          </w:p>
        </w:tc>
        <w:tc>
          <w:tcPr>
            <w:tcW w:w="883" w:type="dxa"/>
            <w:vMerge w:val="restart"/>
            <w:tcBorders>
              <w:top w:val="nil" w:sz="6" w:space="0" w:color="auto"/>
              <w:left w:val="single" w:sz="4" w:space="0" w:color="000000"/>
              <w:right w:val="single" w:sz="4" w:space="0" w:color="000000"/>
            </w:tcBorders>
            <w:shd w:val="clear" w:color="auto" w:fill="D2D2D2"/>
          </w:tcPr>
          <w:p>
            <w:pPr/>
          </w:p>
        </w:tc>
        <w:tc>
          <w:tcPr>
            <w:tcW w:w="846" w:type="dxa"/>
            <w:vMerge/>
            <w:tcBorders>
              <w:left w:val="single" w:sz="4" w:space="0" w:color="000000"/>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0" w:type="dxa"/>
            <w:vMerge/>
            <w:tcBorders>
              <w:left w:val="single" w:sz="4" w:space="0" w:color="000000"/>
              <w:bottom w:val="nil" w:sz="6" w:space="0" w:color="auto"/>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c>
          <w:tcPr>
            <w:tcW w:w="881" w:type="dxa"/>
            <w:vMerge w:val="restart"/>
            <w:tcBorders>
              <w:top w:val="nil" w:sz="6" w:space="0" w:color="auto"/>
              <w:left w:val="single" w:sz="4" w:space="0" w:color="000000"/>
              <w:right w:val="single" w:sz="4" w:space="0" w:color="000000"/>
            </w:tcBorders>
            <w:shd w:val="clear" w:color="auto" w:fill="D2D2D2"/>
          </w:tcPr>
          <w:p>
            <w:pPr/>
          </w:p>
        </w:tc>
        <w:tc>
          <w:tcPr>
            <w:tcW w:w="869" w:type="dxa"/>
            <w:vMerge w:val="restart"/>
            <w:tcBorders>
              <w:top w:val="nil" w:sz="6" w:space="0" w:color="auto"/>
              <w:left w:val="single" w:sz="4" w:space="0" w:color="000000"/>
              <w:right w:val="single" w:sz="4" w:space="0" w:color="000000"/>
            </w:tcBorders>
            <w:shd w:val="clear" w:color="auto" w:fill="D2D2D2"/>
          </w:tcPr>
          <w:p>
            <w:pPr/>
          </w:p>
        </w:tc>
        <w:tc>
          <w:tcPr>
            <w:tcW w:w="86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867"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46" w:type="dxa"/>
            <w:vMerge/>
            <w:tcBorders>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1" w:type="dxa"/>
            <w:vMerge/>
            <w:tcBorders>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13" w:space="0" w:color="D2D2D2"/>
            </w:tcBorders>
          </w:tcPr>
          <w:p>
            <w:pP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61" w:type="dxa"/>
            <w:tcBorders>
              <w:top w:val="single" w:sz="4" w:space="0" w:color="000000"/>
              <w:left w:val="single" w:sz="4" w:space="0" w:color="000000"/>
              <w:bottom w:val="single" w:sz="4" w:space="0" w:color="000000"/>
              <w:right w:val="single" w:sz="10" w:space="0" w:color="D2D2D2"/>
            </w:tcBorders>
          </w:tcPr>
          <w:p>
            <w:pP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800"/>
        <w:gridCol w:w="797"/>
        <w:gridCol w:w="799"/>
        <w:gridCol w:w="797"/>
        <w:gridCol w:w="797"/>
        <w:gridCol w:w="797"/>
        <w:gridCol w:w="797"/>
        <w:gridCol w:w="797"/>
        <w:gridCol w:w="797"/>
        <w:gridCol w:w="797"/>
      </w:tblGrid>
      <w:tr>
        <w:trPr>
          <w:trHeight w:val="1649"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5" w:right="31"/>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3" w:right="33"/>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31"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196"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3" w:right="33"/>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九、承诺事项履行情况</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3970"/>
        <w:gridCol w:w="992"/>
        <w:gridCol w:w="1135"/>
        <w:gridCol w:w="922"/>
      </w:tblGrid>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3"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2"/>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133"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4" w:right="122"/>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3" w:right="197"/>
              <w:jc w:val="left"/>
              <w:rPr>
                <w:rFonts w:ascii="宋体" w:hAnsi="宋体" w:cs="宋体" w:eastAsia="宋体" w:hint="default"/>
                <w:sz w:val="18"/>
                <w:szCs w:val="18"/>
              </w:rPr>
            </w:pPr>
            <w:r>
              <w:rPr>
                <w:rFonts w:ascii="宋体" w:hAnsi="宋体" w:cs="宋体" w:eastAsia="宋体" w:hint="default"/>
                <w:sz w:val="18"/>
                <w:szCs w:val="18"/>
              </w:rPr>
              <w:t>电信科学技 术研究院</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7" w:lineRule="auto"/>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年向公司控股股东电信院定向发行股份购买 </w:t>
            </w:r>
            <w:r>
              <w:rPr>
                <w:rFonts w:ascii="宋体" w:hAnsi="宋体" w:cs="宋体" w:eastAsia="宋体" w:hint="default"/>
                <w:spacing w:val="-3"/>
                <w:sz w:val="18"/>
                <w:szCs w:val="18"/>
              </w:rPr>
              <w:t>高阳捷迅股权，电信院承诺：本次认购的上市公司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股份限售期为股票上市之日起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股份尚未发 行，此承诺尚 未进入承诺 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股份尚未 </w:t>
            </w:r>
            <w:r>
              <w:rPr>
                <w:rFonts w:ascii="宋体" w:hAnsi="宋体" w:cs="宋体" w:eastAsia="宋体" w:hint="default"/>
                <w:spacing w:val="-8"/>
                <w:sz w:val="18"/>
                <w:szCs w:val="18"/>
              </w:rPr>
              <w:t>发行，此承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诺尚未进 入承诺期</w:t>
            </w:r>
          </w:p>
        </w:tc>
      </w:tr>
    </w:tbl>
    <w:p>
      <w:pPr>
        <w:spacing w:after="0" w:line="316"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83.109985pt;margin-top:170.659988pt;width:49.15pt;height:85.8pt;mso-position-horizontal-relative:page;mso-position-vertical-relative:page;z-index:-1331512" coordorigin="7662,3413" coordsize="983,1716">
            <v:shape style="position:absolute;left:7662;top:3413;width:983;height:1716" coordorigin="7662,3413" coordsize="983,1716" path="m7662,5129l8644,5129,8644,3413,7662,3413,7662,512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3970"/>
        <w:gridCol w:w="992"/>
        <w:gridCol w:w="1135"/>
        <w:gridCol w:w="922"/>
      </w:tblGrid>
      <w:tr>
        <w:trPr>
          <w:trHeight w:val="1961"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电信科学技 术研究院</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关于同业竞争的承诺：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目前本院及下属除你公司 </w:t>
            </w:r>
            <w:r>
              <w:rPr>
                <w:rFonts w:ascii="宋体" w:hAnsi="宋体" w:cs="宋体" w:eastAsia="宋体" w:hint="default"/>
                <w:spacing w:val="-3"/>
                <w:sz w:val="18"/>
                <w:szCs w:val="18"/>
              </w:rPr>
              <w:t>外其他企业与你公司不存在同业竞争关系。本院作</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为你公司控股股东或第一大股东期间，本院及下属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除你公司以外的其他企业将不从事与你公司存在 </w:t>
            </w:r>
            <w:r>
              <w:rPr>
                <w:rFonts w:ascii="宋体" w:hAnsi="宋体" w:cs="宋体" w:eastAsia="宋体" w:hint="default"/>
                <w:spacing w:val="-3"/>
                <w:sz w:val="18"/>
                <w:szCs w:val="18"/>
              </w:rPr>
              <w:t>同业竞争的具体业务，也不会利用对公司的控股关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系做出任何有损你公司利益的行为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97"/>
              <w:jc w:val="left"/>
              <w:rPr>
                <w:rFonts w:ascii="宋体" w:hAnsi="宋体" w:cs="宋体" w:eastAsia="宋体" w:hint="default"/>
                <w:sz w:val="18"/>
                <w:szCs w:val="18"/>
              </w:rPr>
            </w:pPr>
            <w:r>
              <w:rPr>
                <w:rFonts w:ascii="宋体" w:hAnsi="宋体" w:cs="宋体" w:eastAsia="宋体" w:hint="default"/>
                <w:sz w:val="18"/>
                <w:szCs w:val="18"/>
              </w:rPr>
              <w:t>此项承诺尚 在承诺期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此项承诺 尚在承诺 期</w:t>
            </w:r>
          </w:p>
        </w:tc>
      </w:tr>
      <w:tr>
        <w:trPr>
          <w:trHeight w:val="3836"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6" w:lineRule="auto"/>
              <w:ind w:left="24" w:right="122"/>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left="23" w:right="197"/>
              <w:jc w:val="left"/>
              <w:rPr>
                <w:rFonts w:ascii="宋体" w:hAnsi="宋体" w:cs="宋体" w:eastAsia="宋体" w:hint="default"/>
                <w:sz w:val="18"/>
                <w:szCs w:val="18"/>
              </w:rPr>
            </w:pPr>
            <w:r>
              <w:rPr>
                <w:rFonts w:ascii="宋体" w:hAnsi="宋体" w:cs="宋体" w:eastAsia="宋体" w:hint="default"/>
                <w:sz w:val="18"/>
                <w:szCs w:val="18"/>
              </w:rPr>
              <w:t>电信科学技 术研究院</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）关于避免同业竞争的承诺：公司控股股东电 信科学技术研究院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312" w:lineRule="auto" w:before="15"/>
              <w:ind w:left="23"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日出具了《关于避免与大唐高鸿数据网络技术</w:t>
            </w:r>
            <w:r>
              <w:rPr>
                <w:rFonts w:ascii="宋体" w:hAnsi="宋体" w:cs="宋体" w:eastAsia="宋体" w:hint="default"/>
                <w:sz w:val="18"/>
                <w:szCs w:val="18"/>
              </w:rPr>
              <w:t> </w:t>
            </w:r>
            <w:r>
              <w:rPr>
                <w:rFonts w:ascii="宋体" w:hAnsi="宋体" w:cs="宋体" w:eastAsia="宋体" w:hint="default"/>
                <w:spacing w:val="-7"/>
                <w:sz w:val="18"/>
                <w:szCs w:val="18"/>
              </w:rPr>
              <w:t>股份有限公司存在同业竞争关系的承诺函》，承诺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目前电信院及下属除发行人外的其它企业与发行 人不存在同业竞争关系；同时电信院承诺：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在本 </w:t>
            </w:r>
            <w:r>
              <w:rPr>
                <w:rFonts w:ascii="宋体" w:hAnsi="宋体" w:cs="宋体" w:eastAsia="宋体" w:hint="default"/>
                <w:spacing w:val="-3"/>
                <w:sz w:val="18"/>
                <w:szCs w:val="18"/>
              </w:rPr>
              <w:t>院作为发行人控股股东或第一大股东期间，本院及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下属除发行人以外的其他企业将不会直接或间接 参与经营任何与发行人及其控股子公司有竞争的 </w:t>
            </w:r>
            <w:r>
              <w:rPr>
                <w:rFonts w:ascii="宋体" w:hAnsi="宋体" w:cs="宋体" w:eastAsia="宋体" w:hint="default"/>
                <w:spacing w:val="-3"/>
                <w:sz w:val="18"/>
                <w:szCs w:val="18"/>
              </w:rPr>
              <w:t>业务，也不会利用对发行人的控股关系做出任何有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损发行人及其控股子公司利益的行为。</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此项承诺 尚在承诺期。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left="26" w:right="197"/>
              <w:jc w:val="left"/>
              <w:rPr>
                <w:rFonts w:ascii="宋体" w:hAnsi="宋体" w:cs="宋体" w:eastAsia="宋体" w:hint="default"/>
                <w:sz w:val="18"/>
                <w:szCs w:val="18"/>
              </w:rPr>
            </w:pPr>
            <w:r>
              <w:rPr>
                <w:rFonts w:ascii="宋体" w:hAnsi="宋体" w:cs="宋体" w:eastAsia="宋体" w:hint="default"/>
                <w:sz w:val="18"/>
                <w:szCs w:val="18"/>
              </w:rPr>
              <w:t>此项承诺尚 在承诺期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此项承诺 尚在承诺 期</w:t>
            </w:r>
          </w:p>
        </w:tc>
      </w:tr>
      <w:tr>
        <w:trPr>
          <w:trHeight w:val="1025" w:hRule="exact"/>
        </w:trPr>
        <w:tc>
          <w:tcPr>
            <w:tcW w:w="1419" w:type="dxa"/>
            <w:vMerge/>
            <w:tcBorders>
              <w:left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电信科学技 术研究院</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年公司非公开发行股票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万股，公 司控股股东电信科学技术研究院承诺认购的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860 </w:t>
            </w:r>
            <w:r>
              <w:rPr>
                <w:rFonts w:ascii="宋体" w:hAnsi="宋体" w:cs="宋体" w:eastAsia="宋体" w:hint="default"/>
                <w:sz w:val="18"/>
                <w:szCs w:val="18"/>
              </w:rPr>
              <w:t>万股股票限售期为三十六个月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已履行</w:t>
            </w:r>
          </w:p>
        </w:tc>
      </w:tr>
      <w:tr>
        <w:trPr>
          <w:trHeight w:val="1027" w:hRule="exact"/>
        </w:trPr>
        <w:tc>
          <w:tcPr>
            <w:tcW w:w="1419"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97"/>
              <w:jc w:val="left"/>
              <w:rPr>
                <w:rFonts w:ascii="宋体" w:hAnsi="宋体" w:cs="宋体" w:eastAsia="宋体" w:hint="default"/>
                <w:sz w:val="18"/>
                <w:szCs w:val="18"/>
              </w:rPr>
            </w:pPr>
            <w:r>
              <w:rPr>
                <w:rFonts w:ascii="宋体" w:hAnsi="宋体" w:cs="宋体" w:eastAsia="宋体" w:hint="default"/>
                <w:sz w:val="18"/>
                <w:szCs w:val="18"/>
              </w:rPr>
              <w:t>电信科学技 术研究院</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年公司非公开发行股票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18,304</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万股，公</w:t>
            </w:r>
            <w:r>
              <w:rPr>
                <w:rFonts w:ascii="宋体" w:hAnsi="宋体" w:cs="宋体" w:eastAsia="宋体" w:hint="default"/>
                <w:sz w:val="18"/>
                <w:szCs w:val="18"/>
              </w:rPr>
              <w:t> 司控股股东认购的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万股股票限售期为三十六 个月。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197"/>
              <w:jc w:val="left"/>
              <w:rPr>
                <w:rFonts w:ascii="宋体" w:hAnsi="宋体" w:cs="宋体" w:eastAsia="宋体" w:hint="default"/>
                <w:sz w:val="18"/>
                <w:szCs w:val="18"/>
              </w:rPr>
            </w:pPr>
            <w:r>
              <w:rPr>
                <w:rFonts w:ascii="宋体" w:hAnsi="宋体" w:cs="宋体" w:eastAsia="宋体" w:hint="default"/>
                <w:sz w:val="18"/>
                <w:szCs w:val="18"/>
              </w:rPr>
              <w:t>此项承诺尚 在承诺期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6"/>
              <w:jc w:val="both"/>
              <w:rPr>
                <w:rFonts w:ascii="宋体" w:hAnsi="宋体" w:cs="宋体" w:eastAsia="宋体" w:hint="default"/>
                <w:sz w:val="18"/>
                <w:szCs w:val="18"/>
              </w:rPr>
            </w:pPr>
            <w:r>
              <w:rPr>
                <w:rFonts w:ascii="宋体" w:hAnsi="宋体" w:cs="宋体" w:eastAsia="宋体" w:hint="default"/>
                <w:sz w:val="18"/>
                <w:szCs w:val="18"/>
              </w:rPr>
              <w:t>此项承诺 尚在承诺 期</w:t>
            </w:r>
          </w:p>
        </w:tc>
      </w:tr>
      <w:tr>
        <w:trPr>
          <w:trHeight w:val="258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22"/>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97"/>
              <w:jc w:val="left"/>
              <w:rPr>
                <w:rFonts w:ascii="宋体" w:hAnsi="宋体" w:cs="宋体" w:eastAsia="宋体" w:hint="default"/>
                <w:sz w:val="18"/>
                <w:szCs w:val="18"/>
              </w:rPr>
            </w:pPr>
            <w:r>
              <w:rPr>
                <w:rFonts w:ascii="宋体" w:hAnsi="宋体" w:cs="宋体" w:eastAsia="宋体" w:hint="default"/>
                <w:sz w:val="18"/>
                <w:szCs w:val="18"/>
              </w:rPr>
              <w:t>电信科学技 术研究院</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股改解限承诺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日，控股股东电信科</w:t>
            </w:r>
            <w:r>
              <w:rPr>
                <w:rFonts w:ascii="宋体" w:hAnsi="宋体" w:cs="宋体" w:eastAsia="宋体" w:hint="default"/>
                <w:sz w:val="18"/>
                <w:szCs w:val="18"/>
              </w:rPr>
              <w:t> 学技术研究院针对解除限售股份的持有意图及减 </w:t>
            </w:r>
            <w:r>
              <w:rPr>
                <w:rFonts w:ascii="宋体" w:hAnsi="宋体" w:cs="宋体" w:eastAsia="宋体" w:hint="default"/>
                <w:spacing w:val="-3"/>
                <w:sz w:val="18"/>
                <w:szCs w:val="18"/>
              </w:rPr>
              <w:t>持计划承诺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电信科学技术研究院承诺：如果电</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信科学技术研究院计划未来通过证券交易系统出 </w:t>
            </w:r>
            <w:r>
              <w:rPr>
                <w:rFonts w:ascii="宋体" w:hAnsi="宋体" w:cs="宋体" w:eastAsia="宋体" w:hint="default"/>
                <w:spacing w:val="-3"/>
                <w:sz w:val="18"/>
                <w:szCs w:val="18"/>
              </w:rPr>
              <w:t>售所持公司解除限售流通股，并于第一笔减持起六</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个月内减持数量达到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及以上的，电信科学技术 研究院将于第一次减持前两个交易日内通过上市 公司对外披露出售提示性公告。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97"/>
              <w:jc w:val="left"/>
              <w:rPr>
                <w:rFonts w:ascii="宋体" w:hAnsi="宋体" w:cs="宋体" w:eastAsia="宋体" w:hint="default"/>
                <w:sz w:val="18"/>
                <w:szCs w:val="18"/>
              </w:rPr>
            </w:pPr>
            <w:r>
              <w:rPr>
                <w:rFonts w:ascii="宋体" w:hAnsi="宋体" w:cs="宋体" w:eastAsia="宋体" w:hint="default"/>
                <w:sz w:val="18"/>
                <w:szCs w:val="18"/>
              </w:rPr>
              <w:t>此项承诺尚 在承诺期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此项承诺 尚在承诺 期</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承诺是否及时履 行</w:t>
            </w:r>
          </w:p>
        </w:tc>
        <w:tc>
          <w:tcPr>
            <w:tcW w:w="81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22"/>
              <w:jc w:val="both"/>
              <w:rPr>
                <w:rFonts w:ascii="宋体" w:hAnsi="宋体" w:cs="宋体" w:eastAsia="宋体" w:hint="default"/>
                <w:sz w:val="18"/>
                <w:szCs w:val="18"/>
              </w:rPr>
            </w:pPr>
            <w:r>
              <w:rPr>
                <w:rFonts w:ascii="宋体" w:hAnsi="宋体" w:cs="宋体" w:eastAsia="宋体" w:hint="default"/>
                <w:sz w:val="18"/>
                <w:szCs w:val="18"/>
              </w:rPr>
              <w:t>未完成履行的具 体原因及下一步 计划（如有）</w:t>
            </w:r>
          </w:p>
        </w:tc>
        <w:tc>
          <w:tcPr>
            <w:tcW w:w="81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2"/>
        <w:rPr>
          <w:rFonts w:ascii="Times New Roman" w:hAnsi="Times New Roman" w:cs="Times New Roman" w:eastAsia="Times New Roman" w:hint="default"/>
          <w:sz w:val="28"/>
          <w:szCs w:val="28"/>
        </w:rPr>
      </w:pPr>
    </w:p>
    <w:p>
      <w:pPr>
        <w:spacing w:line="259" w:lineRule="auto" w:before="36"/>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8"/>
        <w:gridCol w:w="1195"/>
        <w:gridCol w:w="1197"/>
        <w:gridCol w:w="1196"/>
        <w:gridCol w:w="1198"/>
      </w:tblGrid>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2"/>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2" w:right="50"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line="240" w:lineRule="auto" w:before="1"/>
        <w:rPr>
          <w:rFonts w:ascii="宋体" w:hAnsi="宋体" w:cs="宋体" w:eastAsia="宋体" w:hint="default"/>
          <w:b/>
          <w:bCs/>
          <w:sz w:val="18"/>
          <w:szCs w:val="18"/>
        </w:rPr>
      </w:pPr>
    </w:p>
    <w:p>
      <w:pPr>
        <w:pStyle w:val="Heading3"/>
        <w:spacing w:line="240" w:lineRule="auto" w:before="26"/>
        <w:ind w:right="96"/>
        <w:jc w:val="left"/>
        <w:rPr>
          <w:b w:val="0"/>
          <w:bCs w:val="0"/>
        </w:rPr>
      </w:pPr>
      <w:r>
        <w:rPr/>
        <w:t>十、聘任、解聘会计师事务所情况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范鹏飞</w:t>
            </w:r>
            <w:r>
              <w:rPr>
                <w:rFonts w:ascii="宋体" w:hAnsi="宋体" w:cs="宋体" w:eastAsia="宋体" w:hint="default"/>
                <w:spacing w:val="1"/>
                <w:sz w:val="18"/>
                <w:szCs w:val="18"/>
              </w:rPr>
              <w:t> </w:t>
            </w:r>
            <w:r>
              <w:rPr>
                <w:rFonts w:ascii="宋体" w:hAnsi="宋体" w:cs="宋体" w:eastAsia="宋体" w:hint="default"/>
                <w:sz w:val="18"/>
                <w:szCs w:val="18"/>
              </w:rPr>
              <w:t>郭健</w:t>
            </w:r>
          </w:p>
        </w:tc>
      </w:tr>
    </w:tbl>
    <w:p>
      <w:pPr>
        <w:spacing w:before="49"/>
        <w:ind w:left="152" w:right="96"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是否在审计期间改聘会计师事务所</w:t>
      </w:r>
    </w:p>
    <w:p>
      <w:pPr>
        <w:spacing w:line="338" w:lineRule="auto" w:before="41"/>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更换会计师事务所是否履行审批程序</w:t>
      </w:r>
    </w:p>
    <w:p>
      <w:pPr>
        <w:spacing w:line="340" w:lineRule="auto" w:before="43"/>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对改聘、变更会计师事务所情况的详细说明</w:t>
      </w:r>
    </w:p>
    <w:p>
      <w:pPr>
        <w:pStyle w:val="BodyText"/>
        <w:spacing w:line="357" w:lineRule="auto" w:before="70"/>
        <w:ind w:right="96" w:firstLine="425"/>
        <w:jc w:val="left"/>
      </w:pPr>
      <w:r>
        <w:rPr>
          <w:spacing w:val="-4"/>
        </w:rPr>
        <w:t>经公司第七届董事会第二十四次会议审议，并经</w:t>
      </w:r>
      <w:r>
        <w:rPr>
          <w:rFonts w:ascii="宋体" w:hAnsi="宋体" w:cs="宋体" w:eastAsia="宋体" w:hint="default"/>
          <w:spacing w:val="-4"/>
        </w:rPr>
        <w:t>2014</w:t>
      </w:r>
      <w:r>
        <w:rPr>
          <w:spacing w:val="-4"/>
        </w:rPr>
        <w:t>年第一次临时股东大会决议通过《关</w:t>
      </w:r>
      <w:r>
        <w:rPr/>
        <w:t> </w:t>
      </w:r>
      <w:r>
        <w:rPr>
          <w:spacing w:val="-3"/>
        </w:rPr>
        <w:t>于变更公司年度财务审计和内控审计机构的议案》，变更立信会计师事务所（特殊普通合伙）</w:t>
      </w:r>
      <w:r>
        <w:rPr>
          <w:spacing w:val="-81"/>
        </w:rPr>
        <w:t> </w:t>
      </w:r>
      <w:r>
        <w:rPr>
          <w:spacing w:val="-81"/>
        </w:rPr>
      </w:r>
      <w:r>
        <w:rPr/>
        <w:t>为公司</w:t>
      </w:r>
      <w:r>
        <w:rPr>
          <w:rFonts w:ascii="宋体" w:hAnsi="宋体" w:cs="宋体" w:eastAsia="宋体" w:hint="default"/>
        </w:rPr>
        <w:t>2013</w:t>
      </w:r>
      <w:r>
        <w:rPr/>
        <w:t>年度财务审计和内控审计机构。</w:t>
      </w:r>
    </w:p>
    <w:p>
      <w:pPr>
        <w:pStyle w:val="BodyText"/>
        <w:spacing w:line="240" w:lineRule="auto"/>
        <w:ind w:left="578" w:right="96"/>
        <w:jc w:val="left"/>
      </w:pPr>
      <w:r>
        <w:rPr/>
        <w:t>会计师事务所变更说明：</w:t>
      </w:r>
      <w:r>
        <w:rPr>
          <w:spacing w:val="-26"/>
        </w:rPr>
        <w:t> </w:t>
      </w:r>
      <w:r>
        <w:rPr/>
        <w:t>公司原年度财务审计及内控审计机构为中瑞岳华会计师事务所</w:t>
      </w:r>
    </w:p>
    <w:p>
      <w:pPr>
        <w:pStyle w:val="BodyText"/>
        <w:spacing w:line="357" w:lineRule="auto" w:before="154"/>
        <w:ind w:right="219"/>
        <w:jc w:val="left"/>
      </w:pPr>
      <w:r>
        <w:rPr>
          <w:spacing w:val="-5"/>
        </w:rPr>
        <w:t>（特殊普通合伙），因中瑞岳华会计师事务所（特殊普通合伙）被国富浩华会计师事务所（特</w:t>
      </w:r>
      <w:r>
        <w:rPr/>
        <w:t> 殊普通合伙）吸收合并，合并后中瑞岳华的法律主体不再使用。</w:t>
      </w:r>
    </w:p>
    <w:p>
      <w:pPr>
        <w:pStyle w:val="BodyText"/>
        <w:spacing w:line="357" w:lineRule="auto"/>
        <w:ind w:right="96" w:firstLine="425"/>
        <w:jc w:val="left"/>
      </w:pPr>
      <w:r>
        <w:rPr/>
        <w:t>考虑到中瑞岳华会计师事务所（特殊普通合伙）已经连续</w:t>
      </w:r>
      <w:r>
        <w:rPr>
          <w:rFonts w:ascii="宋体" w:hAnsi="宋体" w:cs="宋体" w:eastAsia="宋体" w:hint="default"/>
        </w:rPr>
        <w:t>6</w:t>
      </w:r>
      <w:r>
        <w:rPr/>
        <w:t>年为公司服务，为保证审计工 </w:t>
      </w:r>
      <w:r>
        <w:rPr>
          <w:spacing w:val="-2"/>
        </w:rPr>
        <w:t>作的独立性和客观性，提升公司经营管控能力，公司经过对多家会计师事务所的综合考察后，</w:t>
      </w:r>
      <w:r>
        <w:rPr/>
        <w:t> 聘任立信会计师事务所（特殊普通合伙）为公司</w:t>
      </w:r>
      <w:r>
        <w:rPr>
          <w:rFonts w:ascii="宋体" w:hAnsi="宋体" w:cs="宋体" w:eastAsia="宋体" w:hint="default"/>
        </w:rPr>
        <w:t>2013</w:t>
      </w:r>
      <w:r>
        <w:rPr/>
        <w:t>年度财务审计和内控审计机构，财务审</w:t>
      </w:r>
      <w:r>
        <w:rPr>
          <w:spacing w:val="-89"/>
        </w:rPr>
        <w:t> </w:t>
      </w:r>
      <w:r>
        <w:rPr>
          <w:spacing w:val="-89"/>
        </w:rPr>
      </w:r>
      <w:r>
        <w:rPr/>
        <w:t>计费用为</w:t>
      </w:r>
      <w:r>
        <w:rPr>
          <w:rFonts w:ascii="宋体" w:hAnsi="宋体" w:cs="宋体" w:eastAsia="宋体" w:hint="default"/>
        </w:rPr>
        <w:t>80</w:t>
      </w:r>
      <w:r>
        <w:rPr/>
        <w:t>万元，聘期一年。</w:t>
      </w:r>
    </w:p>
    <w:p>
      <w:pPr>
        <w:spacing w:before="47"/>
        <w:ind w:left="152" w:right="96"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7"/>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right="96" w:firstLine="425"/>
        <w:jc w:val="left"/>
      </w:pPr>
      <w:r>
        <w:rPr>
          <w:spacing w:val="-4"/>
        </w:rPr>
        <w:t>经公司第七届董事会第二十四次会议审议，并经</w:t>
      </w:r>
      <w:r>
        <w:rPr>
          <w:rFonts w:ascii="宋体" w:hAnsi="宋体" w:cs="宋体" w:eastAsia="宋体" w:hint="default"/>
          <w:spacing w:val="-4"/>
        </w:rPr>
        <w:t>2014</w:t>
      </w:r>
      <w:r>
        <w:rPr>
          <w:spacing w:val="-4"/>
        </w:rPr>
        <w:t>年第一次临时股东大会决议通过《关</w:t>
      </w:r>
      <w:r>
        <w:rPr/>
        <w:t> </w:t>
      </w:r>
      <w:r>
        <w:rPr>
          <w:spacing w:val="-3"/>
        </w:rPr>
        <w:t>于变更公司年度财务审计和内控审计机构的议案》，变更立信会计师事务所（特殊普通合伙）</w:t>
      </w:r>
      <w:r>
        <w:rPr>
          <w:spacing w:val="-81"/>
        </w:rPr>
        <w:t> </w:t>
      </w:r>
      <w:r>
        <w:rPr>
          <w:spacing w:val="-81"/>
        </w:rPr>
      </w:r>
      <w:r>
        <w:rPr/>
        <w:t>为公司</w:t>
      </w:r>
      <w:r>
        <w:rPr>
          <w:rFonts w:ascii="宋体" w:hAnsi="宋体" w:cs="宋体" w:eastAsia="宋体" w:hint="default"/>
        </w:rPr>
        <w:t>2013</w:t>
      </w:r>
      <w:r>
        <w:rPr/>
        <w:t>年度财务审计和内控审计机构。内控审计费用为</w:t>
      </w:r>
      <w:r>
        <w:rPr>
          <w:rFonts w:ascii="宋体" w:hAnsi="宋体" w:cs="宋体" w:eastAsia="宋体" w:hint="default"/>
        </w:rPr>
        <w:t>40</w:t>
      </w:r>
      <w:r>
        <w:rPr/>
        <w:t>万元，聘期一年。</w:t>
      </w:r>
    </w:p>
    <w:p>
      <w:pPr>
        <w:spacing w:after="0" w:line="357" w:lineRule="auto"/>
        <w:jc w:val="left"/>
        <w:sectPr>
          <w:pgSz w:w="11910" w:h="16840"/>
          <w:pgMar w:header="745" w:footer="1186" w:top="1060" w:bottom="1380" w:left="980" w:right="900"/>
        </w:sectPr>
      </w:pPr>
    </w:p>
    <w:p>
      <w:pPr>
        <w:spacing w:line="240" w:lineRule="auto" w:before="8"/>
        <w:rPr>
          <w:rFonts w:ascii="宋体" w:hAnsi="宋体" w:cs="宋体" w:eastAsia="宋体" w:hint="default"/>
          <w:sz w:val="23"/>
          <w:szCs w:val="23"/>
        </w:rPr>
      </w:pPr>
    </w:p>
    <w:p>
      <w:pPr>
        <w:pStyle w:val="Heading3"/>
        <w:spacing w:line="240" w:lineRule="auto" w:before="26"/>
        <w:ind w:right="94"/>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94"/>
        <w:jc w:val="left"/>
        <w:rPr>
          <w:b w:val="0"/>
          <w:bCs w:val="0"/>
        </w:rPr>
      </w:pPr>
      <w:r>
        <w:rPr/>
        <w:t>十二、处罚及整改情况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6"/>
        <w:gridCol w:w="1368"/>
        <w:gridCol w:w="1367"/>
        <w:gridCol w:w="1367"/>
      </w:tblGrid>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before="49"/>
        <w:ind w:left="152" w:right="94" w:firstLine="0"/>
        <w:jc w:val="left"/>
        <w:rPr>
          <w:rFonts w:ascii="宋体" w:hAnsi="宋体" w:cs="宋体" w:eastAsia="宋体" w:hint="default"/>
          <w:sz w:val="18"/>
          <w:szCs w:val="18"/>
        </w:rPr>
      </w:pPr>
      <w:r>
        <w:rPr>
          <w:rFonts w:ascii="宋体" w:hAnsi="宋体" w:cs="宋体" w:eastAsia="宋体" w:hint="default"/>
          <w:sz w:val="18"/>
          <w:szCs w:val="18"/>
        </w:rPr>
        <w:t>整改情况说明</w:t>
      </w:r>
    </w:p>
    <w:p>
      <w:pPr>
        <w:spacing w:before="115"/>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94"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before="101"/>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4"/>
        <w:jc w:val="left"/>
        <w:rPr>
          <w:b w:val="0"/>
          <w:bCs w:val="0"/>
        </w:rPr>
      </w:pPr>
      <w:r>
        <w:rPr/>
        <w:t>十三、年度报告披露后面临暂停上市和终止上市情况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688" w:lineRule="exact" w:before="60"/>
        <w:ind w:left="578" w:right="2908" w:hanging="426"/>
        <w:jc w:val="left"/>
        <w:rPr>
          <w:rFonts w:ascii="宋体" w:hAnsi="宋体" w:cs="宋体" w:eastAsia="宋体" w:hint="default"/>
          <w:sz w:val="24"/>
          <w:szCs w:val="24"/>
        </w:rPr>
      </w:pPr>
      <w:r>
        <w:rPr>
          <w:rFonts w:ascii="宋体" w:hAnsi="宋体" w:cs="宋体" w:eastAsia="宋体" w:hint="default"/>
          <w:b/>
          <w:bCs/>
          <w:sz w:val="24"/>
          <w:szCs w:val="24"/>
        </w:rPr>
        <w:t>十四、其他重大事项的说明</w:t>
      </w:r>
      <w:r>
        <w:rPr>
          <w:rFonts w:ascii="宋体" w:hAnsi="宋体" w:cs="宋体" w:eastAsia="宋体" w:hint="default"/>
          <w:b/>
          <w:bCs/>
          <w:w w:val="99"/>
          <w:sz w:val="24"/>
          <w:szCs w:val="24"/>
        </w:rPr>
        <w:t> </w:t>
      </w:r>
      <w:r>
        <w:rPr>
          <w:rFonts w:ascii="宋体" w:hAnsi="宋体" w:cs="宋体" w:eastAsia="宋体" w:hint="default"/>
          <w:sz w:val="24"/>
          <w:szCs w:val="24"/>
        </w:rPr>
        <w:t>报告期内，</w:t>
      </w:r>
      <w:r>
        <w:rPr>
          <w:rFonts w:ascii="宋体" w:hAnsi="宋体" w:cs="宋体" w:eastAsia="宋体" w:hint="default"/>
          <w:sz w:val="24"/>
          <w:szCs w:val="24"/>
        </w:rPr>
        <w:t>2013</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3</w:t>
      </w:r>
      <w:r>
        <w:rPr>
          <w:rFonts w:ascii="宋体" w:hAnsi="宋体" w:cs="宋体" w:eastAsia="宋体" w:hint="default"/>
          <w:sz w:val="24"/>
          <w:szCs w:val="24"/>
        </w:rPr>
        <w:t>日公司股票停牌，筹划资产重组事项。</w:t>
      </w:r>
    </w:p>
    <w:p>
      <w:pPr>
        <w:pStyle w:val="BodyText"/>
        <w:spacing w:line="357" w:lineRule="auto" w:before="50"/>
        <w:ind w:right="194" w:firstLine="425"/>
        <w:jc w:val="both"/>
      </w:pPr>
      <w:r>
        <w:rPr/>
        <w:t>第七届第十七次董事会、</w:t>
      </w:r>
      <w:r>
        <w:rPr>
          <w:rFonts w:ascii="宋体" w:hAnsi="宋体" w:cs="宋体" w:eastAsia="宋体" w:hint="default"/>
        </w:rPr>
        <w:t>2013</w:t>
      </w:r>
      <w:r>
        <w:rPr/>
        <w:t>年第三次临时股东大会审议通过《关于变更部分募集资金 投向的议案》，同意公司以</w:t>
      </w:r>
      <w:r>
        <w:rPr>
          <w:rFonts w:ascii="宋体" w:hAnsi="宋体" w:cs="宋体" w:eastAsia="宋体" w:hint="default"/>
        </w:rPr>
        <w:t>1.69</w:t>
      </w:r>
      <w:r>
        <w:rPr/>
        <w:t>亿元收购高阳捷迅</w:t>
      </w:r>
      <w:r>
        <w:rPr>
          <w:rFonts w:ascii="宋体" w:hAnsi="宋体" w:cs="宋体" w:eastAsia="宋体" w:hint="default"/>
        </w:rPr>
        <w:t>26.406%</w:t>
      </w:r>
      <w:r>
        <w:rPr/>
        <w:t>股权，并对其增资</w:t>
      </w:r>
      <w:r>
        <w:rPr>
          <w:rFonts w:ascii="宋体" w:hAnsi="宋体" w:cs="宋体" w:eastAsia="宋体" w:hint="default"/>
        </w:rPr>
        <w:t>1</w:t>
      </w:r>
      <w:r>
        <w:rPr/>
        <w:t>亿元，增资完</w:t>
      </w:r>
      <w:r>
        <w:rPr>
          <w:spacing w:val="-88"/>
        </w:rPr>
        <w:t> </w:t>
      </w:r>
      <w:r>
        <w:rPr>
          <w:spacing w:val="-88"/>
        </w:rPr>
      </w:r>
      <w:r>
        <w:rPr/>
        <w:t>成后取得其</w:t>
      </w:r>
      <w:r>
        <w:rPr>
          <w:rFonts w:ascii="宋体" w:hAnsi="宋体" w:cs="宋体" w:eastAsia="宋体" w:hint="default"/>
        </w:rPr>
        <w:t>36.351%</w:t>
      </w:r>
      <w:r>
        <w:rPr/>
        <w:t>股权。</w:t>
      </w:r>
    </w:p>
    <w:p>
      <w:pPr>
        <w:pStyle w:val="BodyText"/>
        <w:spacing w:line="357" w:lineRule="auto"/>
        <w:ind w:right="94" w:firstLine="425"/>
        <w:jc w:val="left"/>
      </w:pPr>
      <w:r>
        <w:rPr/>
        <w:t>公司以</w:t>
      </w:r>
      <w:r>
        <w:rPr>
          <w:rFonts w:ascii="宋体" w:hAnsi="宋体" w:cs="宋体" w:eastAsia="宋体" w:hint="default"/>
        </w:rPr>
        <w:t>1.69</w:t>
      </w:r>
      <w:r>
        <w:rPr/>
        <w:t>亿元高阳捷迅</w:t>
      </w:r>
      <w:r>
        <w:rPr>
          <w:rFonts w:ascii="宋体" w:hAnsi="宋体" w:cs="宋体" w:eastAsia="宋体" w:hint="default"/>
        </w:rPr>
        <w:t>26.406%</w:t>
      </w:r>
      <w:r>
        <w:rPr/>
        <w:t>股权，电信科学技术研究院收购其</w:t>
      </w:r>
      <w:r>
        <w:rPr>
          <w:rFonts w:ascii="宋体" w:hAnsi="宋体" w:cs="宋体" w:eastAsia="宋体" w:hint="default"/>
        </w:rPr>
        <w:t>30.469%</w:t>
      </w:r>
      <w:r>
        <w:rPr/>
        <w:t>股权，大唐</w:t>
      </w:r>
      <w:r>
        <w:rPr>
          <w:spacing w:val="2"/>
        </w:rPr>
        <w:t> </w:t>
      </w:r>
      <w:r>
        <w:rPr/>
        <w:t>高新创业投资有限公司、海南信息产业创业投资基金（有限合伙）及北京银汉创业投资有限</w:t>
      </w:r>
      <w:r>
        <w:rPr>
          <w:spacing w:val="-91"/>
        </w:rPr>
        <w:t> </w:t>
      </w:r>
      <w:r>
        <w:rPr>
          <w:spacing w:val="-91"/>
        </w:rPr>
      </w:r>
      <w:r>
        <w:rPr/>
        <w:t>公司，共同收购高阳捷迅</w:t>
      </w:r>
      <w:r>
        <w:rPr>
          <w:rFonts w:ascii="宋体" w:hAnsi="宋体" w:cs="宋体" w:eastAsia="宋体" w:hint="default"/>
        </w:rPr>
        <w:t>9.375%</w:t>
      </w:r>
      <w:r>
        <w:rPr/>
        <w:t>股权。收购完成后公司对高阳捷迅进行</w:t>
      </w:r>
      <w:r>
        <w:rPr>
          <w:rFonts w:ascii="宋体" w:hAnsi="宋体" w:cs="宋体" w:eastAsia="宋体" w:hint="default"/>
        </w:rPr>
        <w:t>1</w:t>
      </w:r>
      <w:r>
        <w:rPr/>
        <w:t>亿元人民币的增资， </w:t>
      </w:r>
      <w:r>
        <w:rPr>
          <w:spacing w:val="-2"/>
        </w:rPr>
        <w:t>增资完成后，公司持有高阳捷迅</w:t>
      </w:r>
      <w:r>
        <w:rPr>
          <w:rFonts w:ascii="宋体" w:hAnsi="宋体" w:cs="宋体" w:eastAsia="宋体" w:hint="default"/>
          <w:spacing w:val="-2"/>
        </w:rPr>
        <w:t>36.351%</w:t>
      </w:r>
      <w:r>
        <w:rPr>
          <w:spacing w:val="-2"/>
        </w:rPr>
        <w:t>股权，为高阳捷迅单一大股东。收购增资股权变更手</w:t>
      </w:r>
      <w:r>
        <w:rPr>
          <w:spacing w:val="-112"/>
        </w:rPr>
        <w:t> </w:t>
      </w:r>
      <w:r>
        <w:rPr>
          <w:spacing w:val="-112"/>
        </w:rPr>
      </w:r>
      <w:r>
        <w:rPr/>
        <w:t>续于</w:t>
      </w: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26</w:t>
      </w:r>
      <w:r>
        <w:rPr/>
        <w:t>日已完成。</w:t>
      </w:r>
    </w:p>
    <w:p>
      <w:pPr>
        <w:pStyle w:val="BodyText"/>
        <w:spacing w:line="357" w:lineRule="auto"/>
        <w:ind w:right="94" w:firstLine="425"/>
        <w:jc w:val="left"/>
      </w:pPr>
      <w:r>
        <w:rPr>
          <w:rFonts w:ascii="宋体" w:hAnsi="宋体" w:cs="宋体" w:eastAsia="宋体" w:hint="default"/>
          <w:spacing w:val="4"/>
        </w:rPr>
        <w:t>2013</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24</w:t>
      </w:r>
      <w:r>
        <w:rPr>
          <w:spacing w:val="4"/>
        </w:rPr>
        <w:t>日，经第七届第十九次董事会审议通过《发行股份购买资产暨关联交易预</w:t>
      </w:r>
      <w:r>
        <w:rPr/>
        <w:t> 案》，同意公司拟发行股份收购除公司外高阳捷迅所有股份事项。公司股票复牌。</w:t>
      </w:r>
    </w:p>
    <w:p>
      <w:pPr>
        <w:pStyle w:val="BodyText"/>
        <w:spacing w:line="357" w:lineRule="auto"/>
        <w:ind w:right="94" w:firstLine="425"/>
        <w:jc w:val="left"/>
      </w:pPr>
      <w:r>
        <w:rPr>
          <w:spacing w:val="2"/>
        </w:rPr>
        <w:t>本次发行股份购买资产交易事项尚需再次提交董事会审议、国资委审核、公司股东大会 </w:t>
      </w:r>
      <w:r>
        <w:rPr/>
        <w:t>审议及中国证监会审核。</w:t>
      </w:r>
    </w:p>
    <w:p>
      <w:pPr>
        <w:pStyle w:val="BodyText"/>
        <w:spacing w:line="240" w:lineRule="auto" w:before="37"/>
        <w:ind w:left="578" w:right="94"/>
        <w:jc w:val="left"/>
      </w:pPr>
      <w:r>
        <w:rPr/>
        <w:t>公司在巨潮资讯网披露公告具体信息如下：</w:t>
      </w:r>
    </w:p>
    <w:p>
      <w:pPr>
        <w:spacing w:line="240" w:lineRule="auto" w:before="10"/>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27"/>
        <w:gridCol w:w="5387"/>
        <w:gridCol w:w="1846"/>
      </w:tblGrid>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时间</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公告名称</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公告编号</w:t>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2013-06-03</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《重大资产重组停牌公告》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2013-044</w:t>
            </w:r>
          </w:p>
        </w:tc>
      </w:tr>
      <w:tr>
        <w:trPr>
          <w:trHeight w:val="34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2013-06-18</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《第七届第十七次董事会决议公告》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2013-047</w:t>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2013-06-18</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pacing w:val="3"/>
                <w:sz w:val="24"/>
                <w:szCs w:val="24"/>
              </w:rPr>
              <w:t>《关于变更部分募集资金投向暨对外投资关联交易</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2013-048</w:t>
            </w:r>
          </w:p>
        </w:tc>
      </w:tr>
    </w:tbl>
    <w:p>
      <w:pPr>
        <w:spacing w:after="0" w:line="240" w:lineRule="auto"/>
        <w:jc w:val="left"/>
        <w:rPr>
          <w:rFonts w:ascii="Times New Roman" w:hAnsi="Times New Roman" w:cs="Times New Roman" w:eastAsia="Times New Roman" w:hint="default"/>
          <w:sz w:val="24"/>
          <w:szCs w:val="24"/>
        </w:rPr>
        <w:sectPr>
          <w:pgSz w:w="11910" w:h="16840"/>
          <w:pgMar w:header="745" w:footer="1186" w:top="1060" w:bottom="1380" w:left="980" w:right="9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527"/>
        <w:gridCol w:w="5387"/>
        <w:gridCol w:w="1846"/>
      </w:tblGrid>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的公告》</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left"/>
              <w:rPr>
                <w:rFonts w:ascii="Times New Roman" w:hAnsi="Times New Roman" w:cs="Times New Roman" w:eastAsia="Times New Roman" w:hint="default"/>
                <w:sz w:val="24"/>
                <w:szCs w:val="24"/>
              </w:rPr>
            </w:pPr>
            <w:r>
              <w:rPr>
                <w:rFonts w:ascii="Times New Roman"/>
                <w:sz w:val="24"/>
              </w:rPr>
              <w:t>2013-07-05</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2" w:lineRule="exact"/>
              <w:ind w:left="4"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2013</w:t>
            </w:r>
            <w:r>
              <w:rPr>
                <w:rFonts w:ascii="宋体" w:hAnsi="宋体" w:cs="宋体" w:eastAsia="宋体" w:hint="default"/>
                <w:sz w:val="24"/>
                <w:szCs w:val="24"/>
              </w:rPr>
              <w:t>年第三次临时股东大会决议公告》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left"/>
              <w:rPr>
                <w:rFonts w:ascii="Times New Roman" w:hAnsi="Times New Roman" w:cs="Times New Roman" w:eastAsia="Times New Roman" w:hint="default"/>
                <w:sz w:val="24"/>
                <w:szCs w:val="24"/>
              </w:rPr>
            </w:pPr>
            <w:r>
              <w:rPr>
                <w:rFonts w:ascii="Times New Roman"/>
                <w:sz w:val="24"/>
              </w:rPr>
              <w:t>2013-057</w:t>
            </w:r>
          </w:p>
        </w:tc>
      </w:tr>
      <w:tr>
        <w:trPr>
          <w:trHeight w:val="660"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2013-07-23</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4" w:right="4"/>
              <w:jc w:val="left"/>
              <w:rPr>
                <w:rFonts w:ascii="宋体" w:hAnsi="宋体" w:cs="宋体" w:eastAsia="宋体" w:hint="default"/>
                <w:sz w:val="24"/>
                <w:szCs w:val="24"/>
              </w:rPr>
            </w:pPr>
            <w:r>
              <w:rPr>
                <w:rFonts w:ascii="宋体" w:hAnsi="宋体" w:cs="宋体" w:eastAsia="宋体" w:hint="default"/>
                <w:spacing w:val="3"/>
                <w:sz w:val="24"/>
                <w:szCs w:val="24"/>
              </w:rPr>
              <w:t>《关于公司重大重组事项的进展暨新投资方情况介</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绍公告》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2013-062</w:t>
            </w:r>
          </w:p>
        </w:tc>
      </w:tr>
      <w:tr>
        <w:trPr>
          <w:trHeight w:val="34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2013-09-03</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《关于公司资产重组事项延期复牌的公告》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2013-080</w:t>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2013-09-24</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《第七届第十九次董事会决议公告》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2013-087</w:t>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2013-09-24</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《发行股份购买资产暨关联交易预案》</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sz w:val="24"/>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before="26"/>
        <w:ind w:right="96"/>
        <w:jc w:val="left"/>
        <w:rPr>
          <w:b w:val="0"/>
          <w:bCs w:val="0"/>
        </w:rPr>
      </w:pPr>
      <w:r>
        <w:rPr/>
        <w:t>十五、公司子公司重要事项</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232" w:firstLine="425"/>
        <w:jc w:val="both"/>
      </w:pPr>
      <w:r>
        <w:rPr>
          <w:rFonts w:ascii="宋体" w:hAnsi="宋体" w:cs="宋体" w:eastAsia="宋体" w:hint="default"/>
        </w:rPr>
        <w:t>1.</w:t>
      </w:r>
      <w:r>
        <w:rPr/>
        <w:t>公司第七届第十三次董事会审议通过，同意公司变更</w:t>
      </w:r>
      <w:r>
        <w:rPr>
          <w:rFonts w:ascii="宋体" w:hAnsi="宋体" w:cs="宋体" w:eastAsia="宋体" w:hint="default"/>
        </w:rPr>
        <w:t>2012</w:t>
      </w:r>
      <w:r>
        <w:rPr/>
        <w:t>年募集资金项目之一的电子 商务项目</w:t>
      </w:r>
      <w:r>
        <w:rPr>
          <w:rFonts w:ascii="宋体" w:hAnsi="宋体" w:cs="宋体" w:eastAsia="宋体" w:hint="default"/>
        </w:rPr>
        <w:t>2015</w:t>
      </w:r>
      <w:r>
        <w:rPr/>
        <w:t>年至</w:t>
      </w:r>
      <w:r>
        <w:rPr>
          <w:rFonts w:ascii="宋体" w:hAnsi="宋体" w:cs="宋体" w:eastAsia="宋体" w:hint="default"/>
        </w:rPr>
        <w:t>2017</w:t>
      </w:r>
      <w:r>
        <w:rPr/>
        <w:t>年计划投资的资金</w:t>
      </w:r>
      <w:r>
        <w:rPr>
          <w:rFonts w:ascii="宋体" w:hAnsi="宋体" w:cs="宋体" w:eastAsia="宋体" w:hint="default"/>
        </w:rPr>
        <w:t>15,118</w:t>
      </w:r>
      <w:r>
        <w:rPr/>
        <w:t>万元变更用于联合其他投资者共同投资设立</w:t>
      </w:r>
      <w:r>
        <w:rPr>
          <w:spacing w:val="-88"/>
        </w:rPr>
        <w:t> </w:t>
      </w:r>
      <w:r>
        <w:rPr>
          <w:spacing w:val="-88"/>
        </w:rPr>
      </w:r>
      <w:r>
        <w:rPr>
          <w:spacing w:val="3"/>
        </w:rPr>
        <w:t>高鸿鼎恒公司主要从事</w:t>
      </w:r>
      <w:r>
        <w:rPr>
          <w:rFonts w:ascii="宋体" w:hAnsi="宋体" w:cs="宋体" w:eastAsia="宋体" w:hint="default"/>
          <w:spacing w:val="3"/>
        </w:rPr>
        <w:t>IT</w:t>
      </w:r>
      <w:r>
        <w:rPr>
          <w:spacing w:val="3"/>
        </w:rPr>
        <w:t>销售业务。具体详见公司</w:t>
      </w: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26</w:t>
      </w:r>
      <w:r>
        <w:rPr>
          <w:spacing w:val="3"/>
        </w:rPr>
        <w:t>日在巨潮资讯网披露的公告</w:t>
      </w:r>
    </w:p>
    <w:p>
      <w:pPr>
        <w:pStyle w:val="BodyText"/>
        <w:spacing w:line="357" w:lineRule="auto"/>
        <w:ind w:left="578" w:right="96" w:hanging="426"/>
        <w:jc w:val="left"/>
      </w:pPr>
      <w:r>
        <w:rPr/>
        <w:t>《关于变更部分募集资金投向暨对外投资的公告》（公告编号：</w:t>
      </w:r>
      <w:r>
        <w:rPr>
          <w:rFonts w:ascii="宋体" w:hAnsi="宋体" w:cs="宋体" w:eastAsia="宋体" w:hint="default"/>
        </w:rPr>
        <w:t>2013-021</w:t>
      </w:r>
      <w:r>
        <w:rPr/>
        <w:t>） </w:t>
      </w:r>
      <w:r>
        <w:rPr>
          <w:rFonts w:ascii="宋体" w:hAnsi="宋体" w:cs="宋体" w:eastAsia="宋体" w:hint="default"/>
          <w:spacing w:val="2"/>
        </w:rPr>
        <w:t>2.</w:t>
      </w:r>
      <w:r>
        <w:rPr>
          <w:spacing w:val="2"/>
        </w:rPr>
        <w:t>公司第七届第十四次董事会审议通过，同意公司控股子公司大唐高鸿信息技术有限公</w:t>
      </w:r>
      <w:r>
        <w:rPr/>
      </w:r>
    </w:p>
    <w:p>
      <w:pPr>
        <w:pStyle w:val="BodyText"/>
        <w:spacing w:line="357" w:lineRule="auto"/>
        <w:ind w:right="96"/>
        <w:jc w:val="left"/>
      </w:pPr>
      <w:r>
        <w:rPr>
          <w:spacing w:val="3"/>
        </w:rPr>
        <w:t>司全资子公司高鸿恒昌科技有限公司对其全资子公司深圳高鸿恒昌科技有限公司增资</w:t>
      </w:r>
      <w:r>
        <w:rPr>
          <w:rFonts w:ascii="宋体" w:hAnsi="宋体" w:cs="宋体" w:eastAsia="宋体" w:hint="default"/>
          <w:spacing w:val="3"/>
        </w:rPr>
        <w:t>400</w:t>
      </w:r>
      <w:r>
        <w:rPr>
          <w:spacing w:val="3"/>
        </w:rPr>
        <w:t>万</w:t>
      </w:r>
      <w:r>
        <w:rPr>
          <w:spacing w:val="-100"/>
        </w:rPr>
        <w:t> </w:t>
      </w:r>
      <w:r>
        <w:rPr/>
        <w:t>元，增资完成后深圳高鸿恒昌科技有限公司注册资本为</w:t>
      </w:r>
      <w:r>
        <w:rPr>
          <w:rFonts w:ascii="宋体" w:hAnsi="宋体" w:cs="宋体" w:eastAsia="宋体" w:hint="default"/>
        </w:rPr>
        <w:t>500</w:t>
      </w:r>
      <w:r>
        <w:rPr/>
        <w:t>万元。高鸿恒昌将其转让给公司全 资子公司大唐高鸿通信技术有限公司，高鸿通信和自然人王康对深圳高鸿恒昌科技有限公司</w:t>
      </w:r>
      <w:r>
        <w:rPr>
          <w:spacing w:val="-91"/>
        </w:rPr>
        <w:t> </w:t>
      </w:r>
      <w:r>
        <w:rPr>
          <w:spacing w:val="-91"/>
        </w:rPr>
      </w:r>
      <w:r>
        <w:rPr>
          <w:spacing w:val="-5"/>
        </w:rPr>
        <w:t>增资至</w:t>
      </w:r>
      <w:r>
        <w:rPr>
          <w:rFonts w:ascii="宋体" w:hAnsi="宋体" w:cs="宋体" w:eastAsia="宋体" w:hint="default"/>
          <w:spacing w:val="-5"/>
        </w:rPr>
        <w:t>1,000</w:t>
      </w:r>
      <w:r>
        <w:rPr>
          <w:spacing w:val="-5"/>
        </w:rPr>
        <w:t>万元。增资完成后高鸿通信出资</w:t>
      </w:r>
      <w:r>
        <w:rPr>
          <w:rFonts w:ascii="宋体" w:hAnsi="宋体" w:cs="宋体" w:eastAsia="宋体" w:hint="default"/>
          <w:spacing w:val="-5"/>
        </w:rPr>
        <w:t>510</w:t>
      </w:r>
      <w:r>
        <w:rPr>
          <w:spacing w:val="-5"/>
        </w:rPr>
        <w:t>万元，持股</w:t>
      </w:r>
      <w:r>
        <w:rPr>
          <w:rFonts w:ascii="宋体" w:hAnsi="宋体" w:cs="宋体" w:eastAsia="宋体" w:hint="default"/>
          <w:spacing w:val="-5"/>
        </w:rPr>
        <w:t>51%</w:t>
      </w:r>
      <w:r>
        <w:rPr>
          <w:spacing w:val="-5"/>
        </w:rPr>
        <w:t>，王康出资</w:t>
      </w:r>
      <w:r>
        <w:rPr>
          <w:rFonts w:ascii="宋体" w:hAnsi="宋体" w:cs="宋体" w:eastAsia="宋体" w:hint="default"/>
          <w:spacing w:val="-5"/>
        </w:rPr>
        <w:t>490</w:t>
      </w:r>
      <w:r>
        <w:rPr>
          <w:spacing w:val="-5"/>
        </w:rPr>
        <w:t>万元，持股</w:t>
      </w:r>
      <w:r>
        <w:rPr>
          <w:rFonts w:ascii="宋体" w:hAnsi="宋体" w:cs="宋体" w:eastAsia="宋体" w:hint="default"/>
          <w:spacing w:val="-5"/>
        </w:rPr>
        <w:t>49%</w:t>
      </w:r>
      <w:r>
        <w:rPr>
          <w:spacing w:val="-5"/>
        </w:rPr>
        <w:t>。</w:t>
      </w:r>
      <w:r>
        <w:rPr>
          <w:spacing w:val="-74"/>
        </w:rPr>
        <w:t> </w:t>
      </w:r>
      <w:r>
        <w:rPr/>
        <w:t>深圳高鸿恒昌科技有限公司后更名为深圳大唐高鸿互动科技有限公司主要从事手机游戏的运</w:t>
      </w:r>
      <w:r>
        <w:rPr>
          <w:spacing w:val="-91"/>
        </w:rPr>
        <w:t> </w:t>
      </w:r>
      <w:r>
        <w:rPr>
          <w:spacing w:val="-91"/>
        </w:rPr>
      </w:r>
      <w:r>
        <w:rPr/>
        <w:t>营和发行、手机单机游戏的运营和发行。截至报告期末，工商变更已经完成。本项收购增资</w:t>
      </w:r>
      <w:r>
        <w:rPr>
          <w:spacing w:val="-91"/>
        </w:rPr>
        <w:t> </w:t>
      </w:r>
      <w:r>
        <w:rPr>
          <w:spacing w:val="-91"/>
        </w:rPr>
      </w:r>
      <w:r>
        <w:rPr/>
        <w:t>事项未达披露标准。</w:t>
      </w:r>
    </w:p>
    <w:p>
      <w:pPr>
        <w:pStyle w:val="BodyText"/>
        <w:spacing w:line="357" w:lineRule="auto"/>
        <w:ind w:right="228" w:firstLine="425"/>
        <w:jc w:val="both"/>
      </w:pPr>
      <w:r>
        <w:rPr>
          <w:rFonts w:ascii="宋体" w:hAnsi="宋体" w:cs="宋体" w:eastAsia="宋体" w:hint="default"/>
          <w:spacing w:val="2"/>
        </w:rPr>
        <w:t>3.</w:t>
      </w:r>
      <w:r>
        <w:rPr>
          <w:spacing w:val="2"/>
        </w:rPr>
        <w:t>公司第七届第二十次董事会审议通过《关于公司受让子公司大唐高鸿信息技术有限公 </w:t>
      </w:r>
      <w:r>
        <w:rPr>
          <w:spacing w:val="3"/>
        </w:rPr>
        <w:t>司少数股东股权的议案》，同意公司以</w:t>
      </w:r>
      <w:r>
        <w:rPr>
          <w:rFonts w:ascii="宋体" w:hAnsi="宋体" w:cs="宋体" w:eastAsia="宋体" w:hint="default"/>
          <w:spacing w:val="3"/>
        </w:rPr>
        <w:t>1432.08</w:t>
      </w:r>
      <w:r>
        <w:rPr>
          <w:spacing w:val="3"/>
        </w:rPr>
        <w:t>万元收购高鸿信息原股东谢澎、吴晓丹合计</w:t>
      </w:r>
      <w:r>
        <w:rPr>
          <w:spacing w:val="-115"/>
        </w:rPr>
        <w:t> </w:t>
      </w:r>
      <w:r>
        <w:rPr>
          <w:spacing w:val="-115"/>
        </w:rPr>
      </w:r>
      <w:r>
        <w:rPr>
          <w:rFonts w:ascii="宋体" w:hAnsi="宋体" w:cs="宋体" w:eastAsia="宋体" w:hint="default"/>
          <w:spacing w:val="2"/>
        </w:rPr>
        <w:t>6.12%</w:t>
      </w:r>
      <w:r>
        <w:rPr>
          <w:spacing w:val="2"/>
        </w:rPr>
        <w:t>股权。目前公司直接持有高鸿信息</w:t>
      </w:r>
      <w:r>
        <w:rPr>
          <w:rFonts w:ascii="宋体" w:hAnsi="宋体" w:cs="宋体" w:eastAsia="宋体" w:hint="default"/>
          <w:spacing w:val="2"/>
        </w:rPr>
        <w:t>91.89%</w:t>
      </w:r>
      <w:r>
        <w:rPr>
          <w:spacing w:val="2"/>
        </w:rPr>
        <w:t>股权，公司及全资子公司合计持有其</w:t>
      </w:r>
      <w:r>
        <w:rPr>
          <w:rFonts w:ascii="宋体" w:hAnsi="宋体" w:cs="宋体" w:eastAsia="宋体" w:hint="default"/>
          <w:spacing w:val="2"/>
        </w:rPr>
        <w:t>96.99%</w:t>
      </w:r>
      <w:r>
        <w:rPr>
          <w:rFonts w:ascii="宋体" w:hAnsi="宋体" w:cs="宋体" w:eastAsia="宋体" w:hint="default"/>
          <w:spacing w:val="-81"/>
        </w:rPr>
        <w:t> </w:t>
      </w:r>
      <w:r>
        <w:rPr/>
        <w:t>股权。截至报告期末，工商变更已经完成。本项收购增资事项未达披露标准。</w:t>
      </w:r>
    </w:p>
    <w:p>
      <w:pPr>
        <w:pStyle w:val="BodyText"/>
        <w:spacing w:line="357" w:lineRule="auto"/>
        <w:ind w:right="230" w:firstLine="425"/>
        <w:jc w:val="both"/>
        <w:rPr>
          <w:rFonts w:ascii="宋体" w:hAnsi="宋体" w:cs="宋体" w:eastAsia="宋体" w:hint="default"/>
        </w:rPr>
      </w:pPr>
      <w:r>
        <w:rPr>
          <w:rFonts w:ascii="宋体" w:hAnsi="宋体" w:cs="宋体" w:eastAsia="宋体" w:hint="default"/>
          <w:spacing w:val="8"/>
        </w:rPr>
        <w:t>4.</w:t>
      </w:r>
      <w:r>
        <w:rPr>
          <w:spacing w:val="8"/>
        </w:rPr>
        <w:t>公司董事会第五届第二十九次会议审议通过《关于参与设立创业企业投资公司的议</w:t>
      </w:r>
      <w:r>
        <w:rPr/>
        <w:t> </w:t>
      </w:r>
      <w:r>
        <w:rPr>
          <w:spacing w:val="-5"/>
        </w:rPr>
        <w:t>案》，同意合资成立投资公司。</w:t>
      </w:r>
      <w:r>
        <w:rPr>
          <w:rFonts w:ascii="宋体" w:hAnsi="宋体" w:cs="宋体" w:eastAsia="宋体" w:hint="default"/>
          <w:spacing w:val="-5"/>
        </w:rPr>
        <w:t>2008</w:t>
      </w:r>
      <w:r>
        <w:rPr>
          <w:spacing w:val="-5"/>
        </w:rPr>
        <w:t>年，公司参股设立北京海岸淘金创业投资有限公司。</w:t>
      </w:r>
      <w:r>
        <w:rPr>
          <w:rFonts w:ascii="宋体" w:hAnsi="宋体" w:cs="宋体" w:eastAsia="宋体" w:hint="default"/>
          <w:spacing w:val="-5"/>
        </w:rPr>
        <w:t>2010</w:t>
      </w:r>
      <w:r>
        <w:rPr>
          <w:rFonts w:ascii="宋体" w:hAnsi="宋体" w:cs="宋体" w:eastAsia="宋体" w:hint="default"/>
          <w:spacing w:val="-98"/>
        </w:rPr>
        <w:t> </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日，海岸淘金与北京雪迪龙科技股份有限公司（以下简称：“雪迪龙公司”）签署增</w:t>
      </w:r>
      <w:r>
        <w:rPr/>
        <w:t> </w:t>
      </w:r>
      <w:r>
        <w:rPr>
          <w:spacing w:val="-2"/>
        </w:rPr>
        <w:t>资协议，以货币形式出资</w:t>
      </w:r>
      <w:r>
        <w:rPr>
          <w:rFonts w:ascii="宋体" w:hAnsi="宋体" w:cs="宋体" w:eastAsia="宋体" w:hint="default"/>
          <w:spacing w:val="-2"/>
        </w:rPr>
        <w:t>2,100</w:t>
      </w:r>
      <w:r>
        <w:rPr>
          <w:spacing w:val="-2"/>
        </w:rPr>
        <w:t>万元认购雪迪龙公司新增</w:t>
      </w:r>
      <w:r>
        <w:rPr>
          <w:rFonts w:ascii="宋体" w:hAnsi="宋体" w:cs="宋体" w:eastAsia="宋体" w:hint="default"/>
          <w:spacing w:val="-2"/>
        </w:rPr>
        <w:t>309.28</w:t>
      </w:r>
      <w:r>
        <w:rPr>
          <w:spacing w:val="-2"/>
        </w:rPr>
        <w:t>万股股份，持有雪迪龙公司</w:t>
      </w:r>
      <w:r>
        <w:rPr>
          <w:rFonts w:ascii="宋体" w:hAnsi="宋体" w:cs="宋体" w:eastAsia="宋体" w:hint="default"/>
          <w:spacing w:val="-2"/>
        </w:rPr>
        <w:t>3%</w:t>
      </w:r>
      <w:r>
        <w:rPr>
          <w:rFonts w:ascii="宋体" w:hAnsi="宋体" w:cs="宋体" w:eastAsia="宋体" w:hint="default"/>
          <w:spacing w:val="-106"/>
        </w:rPr>
        <w:t> </w:t>
      </w:r>
      <w:r>
        <w:rPr/>
        <w:t>的股份。北京雪迪龙科技股份有限公司于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26</w:t>
      </w:r>
      <w:r>
        <w:rPr/>
        <w:t>日正式通过了中国证监会主板发行审</w:t>
      </w:r>
      <w:r>
        <w:rPr>
          <w:spacing w:val="-88"/>
        </w:rPr>
        <w:t> </w:t>
      </w:r>
      <w:r>
        <w:rPr>
          <w:spacing w:val="-88"/>
        </w:rPr>
      </w:r>
      <w:r>
        <w:rPr>
          <w:spacing w:val="-5"/>
        </w:rPr>
        <w:t>核委员会的</w:t>
      </w:r>
      <w:r>
        <w:rPr>
          <w:rFonts w:ascii="宋体" w:hAnsi="宋体" w:cs="宋体" w:eastAsia="宋体" w:hint="default"/>
          <w:spacing w:val="-5"/>
        </w:rPr>
        <w:t>IPO</w:t>
      </w:r>
      <w:r>
        <w:rPr>
          <w:spacing w:val="-5"/>
        </w:rPr>
        <w:t>首发申请（具体详见：《发审委</w:t>
      </w:r>
      <w:r>
        <w:rPr>
          <w:rFonts w:ascii="宋体" w:hAnsi="宋体" w:cs="宋体" w:eastAsia="宋体" w:hint="default"/>
          <w:spacing w:val="-5"/>
        </w:rPr>
        <w:t>2011</w:t>
      </w:r>
      <w:r>
        <w:rPr>
          <w:spacing w:val="-5"/>
        </w:rPr>
        <w:t>年第</w:t>
      </w:r>
      <w:r>
        <w:rPr>
          <w:rFonts w:ascii="宋体" w:hAnsi="宋体" w:cs="宋体" w:eastAsia="宋体" w:hint="default"/>
          <w:spacing w:val="-5"/>
        </w:rPr>
        <w:t>288</w:t>
      </w:r>
      <w:r>
        <w:rPr>
          <w:spacing w:val="-5"/>
        </w:rPr>
        <w:t>次会议审核结果公告》）并于</w:t>
      </w:r>
      <w:r>
        <w:rPr>
          <w:rFonts w:ascii="宋体" w:hAnsi="宋体" w:cs="宋体" w:eastAsia="宋体" w:hint="default"/>
          <w:spacing w:val="-5"/>
        </w:rPr>
        <w:t>2012</w:t>
      </w:r>
    </w:p>
    <w:p>
      <w:pPr>
        <w:spacing w:after="0" w:line="357" w:lineRule="auto"/>
        <w:jc w:val="both"/>
        <w:rPr>
          <w:rFonts w:ascii="宋体" w:hAnsi="宋体" w:cs="宋体" w:eastAsia="宋体" w:hint="default"/>
        </w:rPr>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left="0" w:right="229"/>
        <w:jc w:val="right"/>
      </w:pPr>
      <w:r>
        <w:rPr/>
        <w:t>年</w:t>
      </w:r>
      <w:r>
        <w:rPr>
          <w:rFonts w:ascii="宋体" w:hAnsi="宋体" w:cs="宋体" w:eastAsia="宋体" w:hint="default"/>
        </w:rPr>
        <w:t>2</w:t>
      </w:r>
      <w:r>
        <w:rPr/>
        <w:t>月</w:t>
      </w:r>
      <w:r>
        <w:rPr>
          <w:rFonts w:ascii="宋体" w:hAnsi="宋体" w:cs="宋体" w:eastAsia="宋体" w:hint="default"/>
        </w:rPr>
        <w:t>2</w:t>
      </w:r>
      <w:r>
        <w:rPr/>
        <w:t>日正式收到中国证监会批复，《关于核准北京雪迪龙科技股份有限公司首次公开发行</w:t>
      </w:r>
      <w:r>
        <w:rPr>
          <w:spacing w:val="-110"/>
        </w:rPr>
        <w:t> </w:t>
      </w:r>
      <w:r>
        <w:rPr>
          <w:spacing w:val="-110"/>
        </w:rPr>
      </w:r>
      <w:r>
        <w:rPr>
          <w:spacing w:val="-2"/>
        </w:rPr>
        <w:t>股票的批复》（具体详见：证监许可</w:t>
      </w:r>
      <w:r>
        <w:rPr>
          <w:rFonts w:ascii="宋体" w:hAnsi="宋体" w:cs="宋体" w:eastAsia="宋体" w:hint="default"/>
          <w:spacing w:val="-2"/>
        </w:rPr>
        <w:t>[2012]151</w:t>
      </w:r>
      <w:r>
        <w:rPr>
          <w:spacing w:val="-2"/>
        </w:rPr>
        <w:t>号《关于核准北京雪迪龙科技股份有限公司首</w:t>
      </w:r>
      <w:r>
        <w:rPr/>
        <w:t> </w:t>
      </w:r>
      <w:r>
        <w:rPr>
          <w:spacing w:val="-2"/>
        </w:rPr>
        <w:t>次公开发行股票的批复》）。雪迪龙公司股票已于</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9</w:t>
      </w:r>
      <w:r>
        <w:rPr>
          <w:spacing w:val="-2"/>
        </w:rPr>
        <w:t>日上市，</w:t>
      </w:r>
      <w:r>
        <w:rPr>
          <w:rFonts w:ascii="宋体" w:hAnsi="宋体" w:cs="宋体" w:eastAsia="宋体" w:hint="default"/>
          <w:spacing w:val="-2"/>
        </w:rPr>
        <w:t>2013</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27</w:t>
      </w:r>
      <w:r>
        <w:rPr>
          <w:spacing w:val="-2"/>
        </w:rPr>
        <w:t>日雪迪龙</w:t>
      </w:r>
      <w:r>
        <w:rPr/>
        <w:t> 公司公告权益分派实施公告，每</w:t>
      </w:r>
      <w:r>
        <w:rPr>
          <w:rFonts w:ascii="宋体" w:hAnsi="宋体" w:cs="宋体" w:eastAsia="宋体" w:hint="default"/>
        </w:rPr>
        <w:t>10</w:t>
      </w:r>
      <w:r>
        <w:rPr/>
        <w:t>股派现金股利</w:t>
      </w:r>
      <w:r>
        <w:rPr>
          <w:rFonts w:ascii="宋体" w:hAnsi="宋体" w:cs="宋体" w:eastAsia="宋体" w:hint="default"/>
        </w:rPr>
        <w:t>1.60</w:t>
      </w:r>
      <w:r>
        <w:rPr/>
        <w:t>元（含税），派发红利同时以资本公积</w:t>
      </w:r>
      <w:r>
        <w:rPr>
          <w:spacing w:val="-106"/>
        </w:rPr>
        <w:t> </w:t>
      </w:r>
      <w:r>
        <w:rPr>
          <w:spacing w:val="-106"/>
        </w:rPr>
      </w:r>
      <w:r>
        <w:rPr/>
        <w:t>金向全体股东每</w:t>
      </w:r>
      <w:r>
        <w:rPr>
          <w:rFonts w:ascii="宋体" w:hAnsi="宋体" w:cs="宋体" w:eastAsia="宋体" w:hint="default"/>
        </w:rPr>
        <w:t>10</w:t>
      </w:r>
      <w:r>
        <w:rPr/>
        <w:t>股转增</w:t>
      </w:r>
      <w:r>
        <w:rPr>
          <w:rFonts w:ascii="宋体" w:hAnsi="宋体" w:cs="宋体" w:eastAsia="宋体" w:hint="default"/>
        </w:rPr>
        <w:t>10</w:t>
      </w:r>
      <w:r>
        <w:rPr/>
        <w:t>股，转增之后海岸淘金持有其</w:t>
      </w:r>
      <w:r>
        <w:rPr>
          <w:rFonts w:ascii="宋体" w:hAnsi="宋体" w:cs="宋体" w:eastAsia="宋体" w:hint="default"/>
        </w:rPr>
        <w:t>618.56</w:t>
      </w:r>
      <w:r>
        <w:rPr/>
        <w:t>万股。海岸淘金公司所持限</w:t>
      </w:r>
      <w:r>
        <w:rPr>
          <w:spacing w:val="-112"/>
        </w:rPr>
        <w:t> </w:t>
      </w:r>
      <w:r>
        <w:rPr>
          <w:spacing w:val="-112"/>
        </w:rPr>
      </w:r>
      <w:r>
        <w:rPr>
          <w:spacing w:val="-2"/>
        </w:rPr>
        <w:t>售股份</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26</w:t>
      </w:r>
      <w:r>
        <w:rPr>
          <w:spacing w:val="-2"/>
        </w:rPr>
        <w:t>日上市流通。（详情见：《北京雪迪龙科技股份有限公司首次公开发行股</w:t>
      </w:r>
      <w:r>
        <w:rPr/>
        <w:t> 票上市公告书》及《北京雪迪龙科技股份有限公司关于限售股份上市流通的提示性公告》） 截至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日，海岸淘金已全部减持了所持有的雪迪龙股份即</w:t>
      </w:r>
      <w:r>
        <w:rPr>
          <w:rFonts w:ascii="宋体" w:hAnsi="宋体" w:cs="宋体" w:eastAsia="宋体" w:hint="default"/>
        </w:rPr>
        <w:t>618.56</w:t>
      </w:r>
      <w:r>
        <w:rPr/>
        <w:t>万股，并向</w:t>
      </w:r>
      <w:r>
        <w:rPr>
          <w:spacing w:val="2"/>
        </w:rPr>
        <w:t> </w:t>
      </w:r>
      <w:r>
        <w:rPr>
          <w:spacing w:val="-2"/>
        </w:rPr>
        <w:t>公司派发了</w:t>
      </w:r>
      <w:r>
        <w:rPr>
          <w:rFonts w:ascii="宋体" w:hAnsi="宋体" w:cs="宋体" w:eastAsia="宋体" w:hint="default"/>
          <w:spacing w:val="-2"/>
        </w:rPr>
        <w:t>3661.18</w:t>
      </w:r>
      <w:r>
        <w:rPr>
          <w:spacing w:val="-2"/>
        </w:rPr>
        <w:t>万元现金红利，以上现金红利公司已于报告期内全部取得。海岸淘金现金</w:t>
      </w:r>
    </w:p>
    <w:p>
      <w:pPr>
        <w:pStyle w:val="BodyText"/>
        <w:spacing w:line="357" w:lineRule="auto" w:before="37"/>
        <w:ind w:left="578" w:right="96" w:hanging="426"/>
        <w:jc w:val="left"/>
      </w:pPr>
      <w:r>
        <w:rPr/>
        <w:t>分红后整体减资，减资之后公司以</w:t>
      </w:r>
      <w:r>
        <w:rPr>
          <w:rFonts w:ascii="宋体" w:hAnsi="宋体" w:cs="宋体" w:eastAsia="宋体" w:hint="default"/>
        </w:rPr>
        <w:t>732</w:t>
      </w:r>
      <w:r>
        <w:rPr/>
        <w:t>万元持有其</w:t>
      </w:r>
      <w:r>
        <w:rPr>
          <w:rFonts w:ascii="宋体" w:hAnsi="宋体" w:cs="宋体" w:eastAsia="宋体" w:hint="default"/>
        </w:rPr>
        <w:t>29.67%</w:t>
      </w:r>
      <w:r>
        <w:rPr/>
        <w:t>股权。 </w:t>
      </w:r>
      <w:r>
        <w:rPr>
          <w:spacing w:val="2"/>
        </w:rPr>
        <w:t>详见公司在巨潮资讯网披露的公告：《关于公司参股子公司北京海岸淘金创业投资有限</w:t>
      </w:r>
      <w:r>
        <w:rPr/>
      </w:r>
    </w:p>
    <w:p>
      <w:pPr>
        <w:pStyle w:val="BodyText"/>
        <w:spacing w:line="357" w:lineRule="auto"/>
        <w:ind w:right="110"/>
        <w:jc w:val="left"/>
      </w:pPr>
      <w:r>
        <w:rPr/>
        <w:t>公司减持雪迪龙股份的公告》（公告编号：</w:t>
      </w:r>
      <w:r>
        <w:rPr>
          <w:rFonts w:ascii="宋体" w:hAnsi="宋体" w:cs="宋体" w:eastAsia="宋体" w:hint="default"/>
        </w:rPr>
        <w:t>2013-105</w:t>
      </w:r>
      <w:r>
        <w:rPr/>
        <w:t>）；《关于公司取得参股子公司分红的</w:t>
      </w:r>
      <w:r>
        <w:rPr>
          <w:spacing w:val="-89"/>
        </w:rPr>
        <w:t> </w:t>
      </w:r>
      <w:r>
        <w:rPr>
          <w:spacing w:val="-89"/>
        </w:rPr>
      </w:r>
      <w:r>
        <w:rPr>
          <w:spacing w:val="-11"/>
        </w:rPr>
        <w:t>公告》（公告编号：</w:t>
      </w:r>
      <w:r>
        <w:rPr>
          <w:rFonts w:ascii="宋体" w:hAnsi="宋体" w:cs="宋体" w:eastAsia="宋体" w:hint="default"/>
          <w:spacing w:val="-11"/>
        </w:rPr>
        <w:t>2013-115</w:t>
      </w:r>
      <w:r>
        <w:rPr>
          <w:spacing w:val="-11"/>
        </w:rPr>
        <w:t>）；《关于公司对参股子公司减资的公告》（公告编号：</w:t>
      </w:r>
      <w:r>
        <w:rPr>
          <w:rFonts w:ascii="宋体" w:hAnsi="宋体" w:cs="宋体" w:eastAsia="宋体" w:hint="default"/>
          <w:spacing w:val="-11"/>
        </w:rPr>
        <w:t>2013-116</w:t>
      </w:r>
      <w:r>
        <w:rPr>
          <w:spacing w:val="-11"/>
        </w:rPr>
        <w:t>）</w:t>
      </w:r>
    </w:p>
    <w:p>
      <w:pPr>
        <w:spacing w:line="240" w:lineRule="auto" w:before="11"/>
        <w:rPr>
          <w:rFonts w:ascii="宋体" w:hAnsi="宋体" w:cs="宋体" w:eastAsia="宋体" w:hint="default"/>
          <w:sz w:val="19"/>
          <w:szCs w:val="19"/>
        </w:rPr>
      </w:pPr>
    </w:p>
    <w:p>
      <w:pPr>
        <w:pStyle w:val="Heading3"/>
        <w:spacing w:line="240" w:lineRule="auto"/>
        <w:ind w:right="96"/>
        <w:jc w:val="left"/>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1186" w:top="1060" w:bottom="13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96"/>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96"/>
        <w:jc w:val="left"/>
        <w:rPr>
          <w:b w:val="0"/>
          <w:bCs w:val="0"/>
        </w:rPr>
      </w:pPr>
      <w:r>
        <w:rPr/>
        <w:t>一、股份变动情况</w:t>
      </w:r>
      <w:r>
        <w:rPr>
          <w:b w:val="0"/>
          <w:bCs w:val="0"/>
        </w:rPr>
      </w:r>
    </w:p>
    <w:p>
      <w:pPr>
        <w:spacing w:line="240" w:lineRule="auto" w:before="1"/>
        <w:rPr>
          <w:rFonts w:ascii="宋体" w:hAnsi="宋体" w:cs="宋体" w:eastAsia="宋体" w:hint="default"/>
          <w:b/>
          <w:bCs/>
          <w:sz w:val="23"/>
          <w:szCs w:val="23"/>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09"/>
        <w:gridCol w:w="1100"/>
        <w:gridCol w:w="708"/>
        <w:gridCol w:w="566"/>
        <w:gridCol w:w="425"/>
        <w:gridCol w:w="710"/>
        <w:gridCol w:w="1133"/>
        <w:gridCol w:w="1136"/>
        <w:gridCol w:w="991"/>
        <w:gridCol w:w="776"/>
      </w:tblGrid>
      <w:tr>
        <w:trPr>
          <w:trHeight w:val="403"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79"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1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56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0"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99"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10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195,242,711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37.84%</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-163,444,529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-163,444,529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31,798,182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6.16%</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0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15.85%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-52,362,636</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-52,362,636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29,437,364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5.71%</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113,442,711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21.99%</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-111,081,893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-111,081,893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2,360,818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112,846,879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21.87%</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-111,044,529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-111,044,529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1,802,350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0.35%</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595,832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-37,364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558,468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0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0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320,697,289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62.16%</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163,444,529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163,444,529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484,141,818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93.84%</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320,697,289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62.16%</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163,444,529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163,444,529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484,141,818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93.84%</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0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0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515,940,000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515,940,000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96"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96" w:firstLine="425"/>
        <w:jc w:val="left"/>
      </w:pPr>
      <w:r>
        <w:rPr>
          <w:rFonts w:ascii="宋体" w:hAnsi="宋体" w:cs="宋体" w:eastAsia="宋体" w:hint="default"/>
        </w:rPr>
        <w:t>2013</w:t>
      </w:r>
      <w:r>
        <w:rPr/>
        <w:t>年</w:t>
      </w:r>
      <w:r>
        <w:rPr>
          <w:rFonts w:ascii="宋体" w:hAnsi="宋体" w:cs="宋体" w:eastAsia="宋体" w:hint="default"/>
        </w:rPr>
        <w:t>07</w:t>
      </w:r>
      <w:r>
        <w:rPr/>
        <w:t>月</w:t>
      </w:r>
      <w:r>
        <w:rPr>
          <w:rFonts w:ascii="宋体" w:hAnsi="宋体" w:cs="宋体" w:eastAsia="宋体" w:hint="default"/>
        </w:rPr>
        <w:t>18</w:t>
      </w:r>
      <w:r>
        <w:rPr/>
        <w:t>日，公司控股股东电信科学技术研究院认购的公司</w:t>
      </w:r>
      <w:r>
        <w:rPr>
          <w:rFonts w:ascii="宋体" w:hAnsi="宋体" w:cs="宋体" w:eastAsia="宋体" w:hint="default"/>
        </w:rPr>
        <w:t>2009</w:t>
      </w:r>
      <w:r>
        <w:rPr/>
        <w:t>年非公开发行股票</w:t>
      </w:r>
      <w:r>
        <w:rPr>
          <w:spacing w:val="2"/>
        </w:rPr>
        <w:t> </w:t>
      </w:r>
      <w:r>
        <w:rPr/>
        <w:t>的</w:t>
      </w:r>
      <w:r>
        <w:rPr>
          <w:rFonts w:ascii="宋体" w:hAnsi="宋体" w:cs="宋体" w:eastAsia="宋体" w:hint="default"/>
        </w:rPr>
        <w:t>8,600,000</w:t>
      </w:r>
      <w:r>
        <w:rPr/>
        <w:t>股股票上市流通；</w:t>
      </w:r>
    </w:p>
    <w:p>
      <w:pPr>
        <w:pStyle w:val="BodyText"/>
        <w:spacing w:line="357" w:lineRule="auto"/>
        <w:ind w:right="96" w:firstLine="425"/>
        <w:jc w:val="left"/>
      </w:pPr>
      <w:r>
        <w:rPr>
          <w:rFonts w:ascii="宋体" w:hAnsi="宋体" w:cs="宋体" w:eastAsia="宋体" w:hint="default"/>
          <w:spacing w:val="-1"/>
        </w:rPr>
        <w:t>2013</w:t>
      </w:r>
      <w:r>
        <w:rPr>
          <w:spacing w:val="-1"/>
        </w:rPr>
        <w:t>年</w:t>
      </w:r>
      <w:r>
        <w:rPr>
          <w:rFonts w:ascii="宋体" w:hAnsi="宋体" w:cs="宋体" w:eastAsia="宋体" w:hint="default"/>
          <w:spacing w:val="-1"/>
        </w:rPr>
        <w:t>09</w:t>
      </w:r>
      <w:r>
        <w:rPr>
          <w:spacing w:val="-1"/>
        </w:rPr>
        <w:t>月</w:t>
      </w:r>
      <w:r>
        <w:rPr>
          <w:rFonts w:ascii="宋体" w:hAnsi="宋体" w:cs="宋体" w:eastAsia="宋体" w:hint="default"/>
          <w:spacing w:val="-1"/>
        </w:rPr>
        <w:t>16</w:t>
      </w:r>
      <w:r>
        <w:rPr>
          <w:spacing w:val="-1"/>
        </w:rPr>
        <w:t>日，交通银行股份有限公司贵州省分行持有的</w:t>
      </w:r>
      <w:r>
        <w:rPr>
          <w:rFonts w:ascii="宋体" w:hAnsi="宋体" w:cs="宋体" w:eastAsia="宋体" w:hint="default"/>
          <w:spacing w:val="-1"/>
        </w:rPr>
        <w:t>1,204,529</w:t>
      </w:r>
      <w:r>
        <w:rPr>
          <w:spacing w:val="-1"/>
        </w:rPr>
        <w:t>股股权分置改革限</w:t>
      </w:r>
      <w:r>
        <w:rPr/>
        <w:t> 售股份上市流通；</w:t>
      </w:r>
    </w:p>
    <w:p>
      <w:pPr>
        <w:pStyle w:val="BodyText"/>
        <w:spacing w:line="357" w:lineRule="auto"/>
        <w:ind w:right="96" w:firstLine="425"/>
        <w:jc w:val="left"/>
      </w:pP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04</w:t>
      </w:r>
      <w:r>
        <w:rPr/>
        <w:t>日，公司为吕忠智、郭爱伟、李振坤办理了垫付对价偿还手续，共向电信 科学技术研究院偿还</w:t>
      </w:r>
      <w:r>
        <w:rPr>
          <w:rFonts w:ascii="宋体" w:hAnsi="宋体" w:cs="宋体" w:eastAsia="宋体" w:hint="default"/>
        </w:rPr>
        <w:t>37,364</w:t>
      </w:r>
      <w:r>
        <w:rPr/>
        <w:t>股股份，解除限售手续在办理中；</w:t>
      </w:r>
    </w:p>
    <w:p>
      <w:pPr>
        <w:pStyle w:val="BodyText"/>
        <w:spacing w:line="240" w:lineRule="auto"/>
        <w:ind w:left="578" w:right="0"/>
        <w:jc w:val="left"/>
      </w:pP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09</w:t>
      </w:r>
      <w:r>
        <w:rPr/>
        <w:t>日，深圳市平安创新资本投资有限公司、中国华电集团资本控股有限公司、</w:t>
      </w:r>
    </w:p>
    <w:p>
      <w:pPr>
        <w:pStyle w:val="BodyText"/>
        <w:spacing w:line="240" w:lineRule="auto" w:before="154"/>
        <w:ind w:right="96"/>
        <w:jc w:val="left"/>
      </w:pPr>
      <w:r>
        <w:rPr/>
        <w:t>中关村兴业（北京）创业投资有限公司、景顺长城基金管理有限公司、中钢投资有限公司、</w:t>
      </w:r>
    </w:p>
    <w:p>
      <w:pPr>
        <w:spacing w:after="0" w:line="240"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0"/>
        <w:jc w:val="left"/>
      </w:pPr>
      <w:r>
        <w:rPr>
          <w:spacing w:val="3"/>
        </w:rPr>
        <w:t>华安基金管理有限公司、华能资本服务有限公司、泰达宏利基金管理有限公司</w:t>
      </w:r>
      <w:r>
        <w:rPr>
          <w:rFonts w:ascii="宋体" w:hAnsi="宋体" w:cs="宋体" w:eastAsia="宋体" w:hint="default"/>
          <w:spacing w:val="3"/>
        </w:rPr>
        <w:t>,</w:t>
      </w:r>
      <w:r>
        <w:rPr>
          <w:spacing w:val="3"/>
        </w:rPr>
        <w:t>认购的</w:t>
      </w:r>
      <w:r>
        <w:rPr>
          <w:rFonts w:ascii="宋体" w:hAnsi="宋体" w:cs="宋体" w:eastAsia="宋体" w:hint="default"/>
          <w:spacing w:val="3"/>
        </w:rPr>
        <w:t>2012</w:t>
      </w:r>
      <w:r>
        <w:rPr>
          <w:rFonts w:ascii="宋体" w:hAnsi="宋体" w:cs="宋体" w:eastAsia="宋体" w:hint="default"/>
          <w:spacing w:val="-105"/>
        </w:rPr>
        <w:t> </w:t>
      </w:r>
      <w:r>
        <w:rPr/>
        <w:t>年非公开发行</w:t>
      </w:r>
      <w:r>
        <w:rPr>
          <w:rFonts w:ascii="宋体" w:hAnsi="宋体" w:cs="宋体" w:eastAsia="宋体" w:hint="default"/>
        </w:rPr>
        <w:t>153,640,000</w:t>
      </w:r>
      <w:r>
        <w:rPr/>
        <w:t>股限售股上市流通。</w:t>
      </w: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40" w:lineRule="auto" w:before="115"/>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right="151" w:firstLine="545"/>
        <w:jc w:val="left"/>
      </w:pPr>
      <w:r>
        <w:rPr>
          <w:rFonts w:ascii="宋体" w:hAnsi="宋体" w:cs="宋体" w:eastAsia="宋体" w:hint="default"/>
          <w:spacing w:val="-1"/>
        </w:rPr>
        <w:t>2013</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04</w:t>
      </w:r>
      <w:r>
        <w:rPr>
          <w:spacing w:val="-1"/>
        </w:rPr>
        <w:t>日，公司为吕忠智、郭爱伟、李振坤办理了垫付对价偿还手续，共向电信</w:t>
      </w:r>
      <w:r>
        <w:rPr/>
        <w:t> 科学技术研究院偿还</w:t>
      </w:r>
      <w:r>
        <w:rPr>
          <w:rFonts w:ascii="宋体" w:hAnsi="宋体" w:cs="宋体" w:eastAsia="宋体" w:hint="default"/>
        </w:rPr>
        <w:t>37,364</w:t>
      </w:r>
      <w:r>
        <w:rPr/>
        <w:t>股股份，股份过户手续已经办理完毕，解除限售手续在办理中。</w:t>
      </w: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3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5"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50"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183,040,000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183,040,000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957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pStyle w:val="BodyText"/>
        <w:spacing w:line="357" w:lineRule="auto" w:before="145"/>
        <w:ind w:right="150" w:firstLine="425"/>
        <w:jc w:val="both"/>
      </w:pPr>
      <w:r>
        <w:rPr/>
        <w:t>公司根据</w:t>
      </w:r>
      <w:r>
        <w:rPr>
          <w:rFonts w:ascii="宋体" w:hAnsi="宋体" w:cs="宋体" w:eastAsia="宋体" w:hint="default"/>
        </w:rPr>
        <w:t>2011</w:t>
      </w:r>
      <w:r>
        <w:rPr/>
        <w:t>年第三次临时股东大会决议和</w:t>
      </w:r>
      <w:r>
        <w:rPr>
          <w:rFonts w:ascii="宋体" w:hAnsi="宋体" w:cs="宋体" w:eastAsia="宋体" w:hint="default"/>
        </w:rPr>
        <w:t>2012</w:t>
      </w:r>
      <w:r>
        <w:rPr/>
        <w:t>年第二次临时股东大会决议及中国证券</w:t>
      </w:r>
      <w:r>
        <w:rPr>
          <w:spacing w:val="2"/>
        </w:rPr>
        <w:t> </w:t>
      </w:r>
      <w:r>
        <w:rPr>
          <w:spacing w:val="-5"/>
        </w:rPr>
        <w:t>监督管理委员会《关于核准大唐高鸿数据网络技术股份有限公司非公开发行股票的批复》（证</w:t>
      </w:r>
      <w:r>
        <w:rPr>
          <w:spacing w:val="-118"/>
        </w:rPr>
        <w:t> </w:t>
      </w:r>
      <w:r>
        <w:rPr>
          <w:spacing w:val="-118"/>
        </w:rPr>
      </w:r>
      <w:r>
        <w:rPr>
          <w:spacing w:val="-2"/>
        </w:rPr>
        <w:t>监许可</w:t>
      </w:r>
      <w:r>
        <w:rPr>
          <w:rFonts w:ascii="宋体" w:hAnsi="宋体" w:cs="宋体" w:eastAsia="宋体" w:hint="default"/>
          <w:spacing w:val="-2"/>
        </w:rPr>
        <w:t>[2012]690</w:t>
      </w:r>
      <w:r>
        <w:rPr>
          <w:spacing w:val="-2"/>
        </w:rPr>
        <w:t>号）的批复，</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21</w:t>
      </w:r>
      <w:r>
        <w:rPr>
          <w:spacing w:val="-2"/>
        </w:rPr>
        <w:t>日我公司采取非公开发行股票方式向电信科学技</w:t>
      </w:r>
      <w:r>
        <w:rPr>
          <w:spacing w:val="-105"/>
        </w:rPr>
        <w:t> </w:t>
      </w:r>
      <w:r>
        <w:rPr>
          <w:spacing w:val="14"/>
        </w:rPr>
        <w:t>术研究院及其他特定对象发行股份</w:t>
      </w:r>
      <w:r>
        <w:rPr>
          <w:rFonts w:ascii="宋体" w:hAnsi="宋体" w:cs="宋体" w:eastAsia="宋体" w:hint="default"/>
          <w:spacing w:val="14"/>
        </w:rPr>
        <w:t>18,304</w:t>
      </w:r>
      <w:r>
        <w:rPr>
          <w:spacing w:val="14"/>
        </w:rPr>
        <w:t>万股，发行价</w:t>
      </w:r>
      <w:r>
        <w:rPr>
          <w:rFonts w:ascii="宋体" w:hAnsi="宋体" w:cs="宋体" w:eastAsia="宋体" w:hint="default"/>
          <w:spacing w:val="14"/>
        </w:rPr>
        <w:t>6.12</w:t>
      </w:r>
      <w:r>
        <w:rPr>
          <w:spacing w:val="14"/>
        </w:rPr>
        <w:t>元</w:t>
      </w:r>
      <w:r>
        <w:rPr>
          <w:rFonts w:ascii="宋体" w:hAnsi="宋体" w:cs="宋体" w:eastAsia="宋体" w:hint="default"/>
          <w:spacing w:val="14"/>
        </w:rPr>
        <w:t>/</w:t>
      </w:r>
      <w:r>
        <w:rPr>
          <w:spacing w:val="14"/>
        </w:rPr>
        <w:t>股，共募集资金人民币</w:t>
      </w:r>
      <w:r>
        <w:rPr>
          <w:spacing w:val="-95"/>
        </w:rPr>
        <w:t> </w:t>
      </w:r>
      <w:r>
        <w:rPr>
          <w:spacing w:val="-95"/>
        </w:rPr>
      </w:r>
      <w:r>
        <w:rPr>
          <w:rFonts w:ascii="宋体" w:hAnsi="宋体" w:cs="宋体" w:eastAsia="宋体" w:hint="default"/>
        </w:rPr>
        <w:t>1,120,204,800.00</w:t>
      </w:r>
      <w:r>
        <w:rPr/>
        <w:t>元。</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22</w:t>
      </w:r>
      <w:r>
        <w:rPr/>
        <w:t>日，主承销商将上述认购款项扣除承销保荐费后的余额</w:t>
      </w:r>
      <w:r>
        <w:rPr>
          <w:spacing w:val="-85"/>
        </w:rPr>
        <w:t> </w:t>
      </w:r>
      <w:r>
        <w:rPr>
          <w:spacing w:val="-85"/>
        </w:rPr>
      </w:r>
      <w:r>
        <w:rPr/>
        <w:t>划转至公司指定的账户内。</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23</w:t>
      </w:r>
      <w:r>
        <w:rPr/>
        <w:t>日，中瑞岳华会计师事务所（特殊普通合伙）出具</w:t>
      </w:r>
      <w:r>
        <w:rPr>
          <w:spacing w:val="-90"/>
        </w:rPr>
        <w:t> </w:t>
      </w:r>
      <w:r>
        <w:rPr>
          <w:spacing w:val="-90"/>
        </w:rPr>
      </w:r>
      <w:r>
        <w:rPr/>
        <w:t>了中瑞岳华验字</w:t>
      </w:r>
      <w:r>
        <w:rPr>
          <w:rFonts w:ascii="宋体" w:hAnsi="宋体" w:cs="宋体" w:eastAsia="宋体" w:hint="default"/>
        </w:rPr>
        <w:t>[2012]</w:t>
      </w:r>
      <w:r>
        <w:rPr/>
        <w:t>第</w:t>
      </w:r>
      <w:r>
        <w:rPr>
          <w:rFonts w:ascii="宋体" w:hAnsi="宋体" w:cs="宋体" w:eastAsia="宋体" w:hint="default"/>
        </w:rPr>
        <w:t>0335</w:t>
      </w:r>
      <w:r>
        <w:rPr/>
        <w:t>号《验资报告》。根据该验资报告，截至</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23</w:t>
      </w:r>
      <w:r>
        <w:rPr/>
        <w:t>日，本</w:t>
      </w:r>
      <w:r>
        <w:rPr>
          <w:spacing w:val="-85"/>
        </w:rPr>
        <w:t> </w:t>
      </w:r>
      <w:r>
        <w:rPr>
          <w:spacing w:val="-85"/>
        </w:rPr>
      </w:r>
      <w:r>
        <w:rPr>
          <w:spacing w:val="-2"/>
        </w:rPr>
        <w:t>次发行募集资金总额为</w:t>
      </w:r>
      <w:r>
        <w:rPr>
          <w:rFonts w:ascii="宋体" w:hAnsi="宋体" w:cs="宋体" w:eastAsia="宋体" w:hint="default"/>
          <w:spacing w:val="-2"/>
        </w:rPr>
        <w:t>1,120,204,800.00</w:t>
      </w:r>
      <w:r>
        <w:rPr>
          <w:spacing w:val="-2"/>
        </w:rPr>
        <w:t>元，扣除发行费用</w:t>
      </w:r>
      <w:r>
        <w:rPr>
          <w:rFonts w:ascii="宋体" w:hAnsi="宋体" w:cs="宋体" w:eastAsia="宋体" w:hint="default"/>
          <w:spacing w:val="-2"/>
        </w:rPr>
        <w:t>40,770,000.00</w:t>
      </w:r>
      <w:r>
        <w:rPr>
          <w:spacing w:val="-2"/>
        </w:rPr>
        <w:t>元，实际募集资金</w:t>
      </w:r>
      <w:r>
        <w:rPr>
          <w:spacing w:val="-91"/>
        </w:rPr>
        <w:t> </w:t>
      </w:r>
      <w:r>
        <w:rPr>
          <w:spacing w:val="-91"/>
        </w:rPr>
      </w:r>
      <w:r>
        <w:rPr/>
        <w:t>净额为</w:t>
      </w:r>
      <w:r>
        <w:rPr>
          <w:rFonts w:ascii="宋体" w:hAnsi="宋体" w:cs="宋体" w:eastAsia="宋体" w:hint="default"/>
        </w:rPr>
        <w:t>1,079,434,800.00</w:t>
      </w:r>
      <w:r>
        <w:rPr/>
        <w:t>元。</w:t>
      </w:r>
    </w:p>
    <w:p>
      <w:pPr>
        <w:spacing w:after="0" w:line="357" w:lineRule="auto"/>
        <w:jc w:val="both"/>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578" w:right="96"/>
        <w:jc w:val="left"/>
      </w:pPr>
      <w:r>
        <w:rPr/>
        <w:t>报告期内，有限售条件流通股</w:t>
      </w:r>
      <w:r>
        <w:rPr>
          <w:rFonts w:ascii="宋体" w:hAnsi="宋体" w:cs="宋体" w:eastAsia="宋体" w:hint="default"/>
        </w:rPr>
        <w:t>163,444,529</w:t>
      </w:r>
      <w:r>
        <w:rPr/>
        <w:t>股解除限售，具体情况如下： </w:t>
      </w:r>
      <w:r>
        <w:rPr>
          <w:rFonts w:ascii="宋体" w:hAnsi="宋体" w:cs="宋体" w:eastAsia="宋体" w:hint="default"/>
        </w:rPr>
        <w:t>2013</w:t>
      </w:r>
      <w:r>
        <w:rPr/>
        <w:t>年</w:t>
      </w:r>
      <w:r>
        <w:rPr>
          <w:rFonts w:ascii="宋体" w:hAnsi="宋体" w:cs="宋体" w:eastAsia="宋体" w:hint="default"/>
        </w:rPr>
        <w:t>07</w:t>
      </w:r>
      <w:r>
        <w:rPr/>
        <w:t>月</w:t>
      </w:r>
      <w:r>
        <w:rPr>
          <w:rFonts w:ascii="宋体" w:hAnsi="宋体" w:cs="宋体" w:eastAsia="宋体" w:hint="default"/>
        </w:rPr>
        <w:t>18</w:t>
      </w:r>
      <w:r>
        <w:rPr/>
        <w:t>日，公司控股股东电信科学技术研究院认购的公司</w:t>
      </w:r>
      <w:r>
        <w:rPr>
          <w:rFonts w:ascii="宋体" w:hAnsi="宋体" w:cs="宋体" w:eastAsia="宋体" w:hint="default"/>
        </w:rPr>
        <w:t>2009</w:t>
      </w:r>
      <w:r>
        <w:rPr/>
        <w:t>年非公开发行股票</w:t>
      </w:r>
    </w:p>
    <w:p>
      <w:pPr>
        <w:pStyle w:val="BodyText"/>
        <w:spacing w:line="357" w:lineRule="auto"/>
        <w:ind w:left="578" w:right="96" w:hanging="426"/>
        <w:jc w:val="left"/>
      </w:pPr>
      <w:r>
        <w:rPr/>
        <w:t>的</w:t>
      </w:r>
      <w:r>
        <w:rPr>
          <w:rFonts w:ascii="宋体" w:hAnsi="宋体" w:cs="宋体" w:eastAsia="宋体" w:hint="default"/>
        </w:rPr>
        <w:t>8,600,000</w:t>
      </w:r>
      <w:r>
        <w:rPr/>
        <w:t>股股票上市流通； </w:t>
      </w:r>
      <w:r>
        <w:rPr>
          <w:rFonts w:ascii="宋体" w:hAnsi="宋体" w:cs="宋体" w:eastAsia="宋体" w:hint="default"/>
          <w:spacing w:val="-1"/>
        </w:rPr>
        <w:t>2013</w:t>
      </w:r>
      <w:r>
        <w:rPr>
          <w:spacing w:val="-1"/>
        </w:rPr>
        <w:t>年</w:t>
      </w:r>
      <w:r>
        <w:rPr>
          <w:rFonts w:ascii="宋体" w:hAnsi="宋体" w:cs="宋体" w:eastAsia="宋体" w:hint="default"/>
          <w:spacing w:val="-1"/>
        </w:rPr>
        <w:t>09</w:t>
      </w:r>
      <w:r>
        <w:rPr>
          <w:spacing w:val="-1"/>
        </w:rPr>
        <w:t>月</w:t>
      </w:r>
      <w:r>
        <w:rPr>
          <w:rFonts w:ascii="宋体" w:hAnsi="宋体" w:cs="宋体" w:eastAsia="宋体" w:hint="default"/>
          <w:spacing w:val="-1"/>
        </w:rPr>
        <w:t>16</w:t>
      </w:r>
      <w:r>
        <w:rPr>
          <w:spacing w:val="-1"/>
        </w:rPr>
        <w:t>日，交通银行股份有限公司贵州省分行持有的</w:t>
      </w:r>
      <w:r>
        <w:rPr>
          <w:rFonts w:ascii="宋体" w:hAnsi="宋体" w:cs="宋体" w:eastAsia="宋体" w:hint="default"/>
          <w:spacing w:val="-1"/>
        </w:rPr>
        <w:t>1,204,529</w:t>
      </w:r>
      <w:r>
        <w:rPr>
          <w:spacing w:val="-1"/>
        </w:rPr>
        <w:t>股股权分置改革限</w:t>
      </w:r>
    </w:p>
    <w:p>
      <w:pPr>
        <w:pStyle w:val="BodyText"/>
        <w:spacing w:line="357" w:lineRule="auto"/>
        <w:ind w:left="578" w:right="111" w:hanging="426"/>
        <w:jc w:val="left"/>
      </w:pPr>
      <w:r>
        <w:rPr/>
        <w:t>售股份上市流通； </w:t>
      </w:r>
      <w:r>
        <w:rPr>
          <w:rFonts w:ascii="宋体" w:hAnsi="宋体" w:cs="宋体" w:eastAsia="宋体" w:hint="default"/>
          <w:spacing w:val="-1"/>
        </w:rPr>
        <w:t>2013</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09</w:t>
      </w:r>
      <w:r>
        <w:rPr>
          <w:spacing w:val="-1"/>
        </w:rPr>
        <w:t>日，深圳市平安创新资本投资有限公司、中国华电集团资本控股有限公司、</w:t>
      </w:r>
    </w:p>
    <w:p>
      <w:pPr>
        <w:pStyle w:val="BodyText"/>
        <w:spacing w:line="357" w:lineRule="auto"/>
        <w:ind w:right="231"/>
        <w:jc w:val="both"/>
      </w:pPr>
      <w:r>
        <w:rPr/>
        <w:t>中关村兴业（北京）创业投资有限公司、景顺长城基金管理有限公司、中钢投资有限公司、</w:t>
      </w:r>
      <w:r>
        <w:rPr>
          <w:spacing w:val="-91"/>
        </w:rPr>
        <w:t> </w:t>
      </w:r>
      <w:r>
        <w:rPr>
          <w:spacing w:val="-91"/>
        </w:rPr>
      </w:r>
      <w:r>
        <w:rPr>
          <w:spacing w:val="3"/>
        </w:rPr>
        <w:t>华安基金管理有限公司、华能资本服务有限公司、泰达宏利基金管理有限公司</w:t>
      </w:r>
      <w:r>
        <w:rPr>
          <w:rFonts w:ascii="宋体" w:hAnsi="宋体" w:cs="宋体" w:eastAsia="宋体" w:hint="default"/>
          <w:spacing w:val="3"/>
        </w:rPr>
        <w:t>,</w:t>
      </w:r>
      <w:r>
        <w:rPr>
          <w:spacing w:val="3"/>
        </w:rPr>
        <w:t>认购的</w:t>
      </w:r>
      <w:r>
        <w:rPr>
          <w:rFonts w:ascii="宋体" w:hAnsi="宋体" w:cs="宋体" w:eastAsia="宋体" w:hint="default"/>
          <w:spacing w:val="3"/>
        </w:rPr>
        <w:t>2012</w:t>
      </w:r>
      <w:r>
        <w:rPr>
          <w:rFonts w:ascii="宋体" w:hAnsi="宋体" w:cs="宋体" w:eastAsia="宋体" w:hint="default"/>
          <w:spacing w:val="-105"/>
        </w:rPr>
        <w:t> </w:t>
      </w:r>
      <w:r>
        <w:rPr/>
        <w:t>年非公开发行</w:t>
      </w:r>
      <w:r>
        <w:rPr>
          <w:rFonts w:ascii="宋体" w:hAnsi="宋体" w:cs="宋体" w:eastAsia="宋体" w:hint="default"/>
        </w:rPr>
        <w:t>153,640,000</w:t>
      </w:r>
      <w:r>
        <w:rPr/>
        <w:t>股限售股上市流通。</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96"/>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9"/>
        <w:gridCol w:w="1363"/>
        <w:gridCol w:w="867"/>
        <w:gridCol w:w="805"/>
        <w:gridCol w:w="794"/>
        <w:gridCol w:w="797"/>
        <w:gridCol w:w="852"/>
        <w:gridCol w:w="1132"/>
        <w:gridCol w:w="236"/>
        <w:gridCol w:w="1368"/>
      </w:tblGrid>
      <w:tr>
        <w:trPr>
          <w:trHeight w:val="406" w:hRule="exact"/>
        </w:trPr>
        <w:tc>
          <w:tcPr>
            <w:tcW w:w="27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72"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76,655</w:t>
            </w:r>
          </w:p>
        </w:tc>
        <w:tc>
          <w:tcPr>
            <w:tcW w:w="3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0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76,024</w:t>
            </w:r>
          </w:p>
        </w:tc>
      </w:tr>
      <w:tr>
        <w:trPr>
          <w:trHeight w:val="394" w:hRule="exact"/>
        </w:trPr>
        <w:tc>
          <w:tcPr>
            <w:tcW w:w="9574"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59"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9" w:right="3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9" w:right="6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59"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8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7"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6" w:right="3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2737" w:type="dxa"/>
            <w:gridSpan w:val="3"/>
            <w:vMerge/>
            <w:tcBorders>
              <w:left w:val="single" w:sz="4" w:space="0" w:color="000000"/>
              <w:right w:val="single" w:sz="4" w:space="0" w:color="000000"/>
            </w:tcBorders>
            <w:shd w:val="clear" w:color="auto" w:fill="D2D2D2"/>
          </w:tcPr>
          <w:p>
            <w:pPr/>
          </w:p>
        </w:tc>
      </w:tr>
      <w:tr>
        <w:trPr>
          <w:trHeight w:val="140" w:hRule="exact"/>
        </w:trPr>
        <w:tc>
          <w:tcPr>
            <w:tcW w:w="13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7" w:type="dxa"/>
            <w:vMerge/>
            <w:tcBorders>
              <w:left w:val="single" w:sz="4" w:space="0" w:color="000000"/>
              <w:right w:val="single" w:sz="4" w:space="0" w:color="000000"/>
            </w:tcBorders>
            <w:shd w:val="clear" w:color="auto" w:fill="D2D2D2"/>
          </w:tcPr>
          <w:p>
            <w:pPr/>
          </w:p>
        </w:tc>
        <w:tc>
          <w:tcPr>
            <w:tcW w:w="805" w:type="dxa"/>
            <w:vMerge/>
            <w:tcBorders>
              <w:left w:val="single" w:sz="4" w:space="0" w:color="000000"/>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2737"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59"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867" w:type="dxa"/>
            <w:vMerge/>
            <w:tcBorders>
              <w:left w:val="single" w:sz="4" w:space="0" w:color="000000"/>
              <w:right w:val="single" w:sz="4" w:space="0" w:color="000000"/>
            </w:tcBorders>
            <w:shd w:val="clear" w:color="auto" w:fill="D2D2D2"/>
          </w:tcPr>
          <w:p>
            <w:pPr/>
          </w:p>
        </w:tc>
        <w:tc>
          <w:tcPr>
            <w:tcW w:w="805" w:type="dxa"/>
            <w:vMerge/>
            <w:tcBorders>
              <w:left w:val="single" w:sz="4" w:space="0" w:color="000000"/>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59"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867" w:type="dxa"/>
            <w:vMerge/>
            <w:tcBorders>
              <w:left w:val="single" w:sz="4" w:space="0" w:color="000000"/>
              <w:bottom w:val="nil" w:sz="6" w:space="0" w:color="auto"/>
              <w:right w:val="single" w:sz="4" w:space="0" w:color="000000"/>
            </w:tcBorders>
            <w:shd w:val="clear" w:color="auto" w:fill="D2D2D2"/>
          </w:tcPr>
          <w:p>
            <w:pPr/>
          </w:p>
        </w:tc>
        <w:tc>
          <w:tcPr>
            <w:tcW w:w="805"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369" w:type="dxa"/>
            <w:gridSpan w:val="2"/>
            <w:vMerge/>
            <w:tcBorders>
              <w:left w:val="single" w:sz="4" w:space="0" w:color="000000"/>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r>
      <w:tr>
        <w:trPr>
          <w:trHeight w:val="161" w:hRule="exact"/>
        </w:trPr>
        <w:tc>
          <w:tcPr>
            <w:tcW w:w="1359"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电信科学技术研 究院</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13.04%</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67,301,38</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37364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29,437,36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37,864,02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369" w:type="dxa"/>
            <w:gridSpan w:val="2"/>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r>
      <w:tr>
        <w:trPr>
          <w:trHeight w:val="71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泰达宏利基金公 司（信托产品）</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25,045,50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-4364500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华能资本服务有 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16,000,00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景顺长城基金公 司（信托产品）</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15,745,50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-1398450</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中钢投资有限公 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8,718,600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518600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8,718,600</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中国华电集团资</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7,999,900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7" w:right="0"/>
              <w:jc w:val="left"/>
              <w:rPr>
                <w:rFonts w:ascii="Times New Roman" w:hAnsi="Times New Roman" w:cs="Times New Roman" w:eastAsia="Times New Roman" w:hint="default"/>
                <w:sz w:val="18"/>
                <w:szCs w:val="18"/>
              </w:rPr>
            </w:pPr>
            <w:r>
              <w:rPr>
                <w:rFonts w:ascii="Times New Roman"/>
                <w:sz w:val="18"/>
              </w:rPr>
              <w:t>-1160010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7,999,900</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00"/>
        </w:sectPr>
      </w:pPr>
    </w:p>
    <w:p>
      <w:pPr>
        <w:spacing w:line="240" w:lineRule="auto" w:before="6"/>
        <w:rPr>
          <w:rFonts w:ascii="宋体" w:hAnsi="宋体" w:cs="宋体" w:eastAsia="宋体" w:hint="default"/>
          <w:sz w:val="28"/>
          <w:szCs w:val="28"/>
        </w:rPr>
      </w:pPr>
      <w:r>
        <w:rPr/>
        <w:pict>
          <v:group style="position:absolute;margin-left:194.449997pt;margin-top:235.459976pt;width:339.45pt;height:31.2pt;mso-position-horizontal-relative:page;mso-position-vertical-relative:page;z-index:-1331488" coordorigin="3889,4709" coordsize="6789,624">
            <v:group style="position:absolute;left:3889;top:4709;width:6789;height:312" coordorigin="3889,4709" coordsize="6789,312">
              <v:shape style="position:absolute;left:3889;top:4709;width:6789;height:312" coordorigin="3889,4709" coordsize="6789,312" path="m3889,5021l10678,5021,10678,4709,3889,4709,3889,5021xe" filled="true" fillcolor="#ffffff" stroked="false">
                <v:path arrowok="t"/>
                <v:fill type="solid"/>
              </v:shape>
            </v:group>
            <v:group style="position:absolute;left:3889;top:5021;width:6789;height:312" coordorigin="3889,5021" coordsize="6789,312">
              <v:shape style="position:absolute;left:3889;top:5021;width:6789;height:312" coordorigin="3889,5021" coordsize="6789,312" path="m3889,5333l10678,5333,10678,5021,3889,5021,3889,5333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59"/>
        <w:gridCol w:w="1369"/>
        <w:gridCol w:w="862"/>
        <w:gridCol w:w="799"/>
        <w:gridCol w:w="800"/>
        <w:gridCol w:w="797"/>
        <w:gridCol w:w="852"/>
        <w:gridCol w:w="1369"/>
        <w:gridCol w:w="1368"/>
      </w:tblGrid>
      <w:tr>
        <w:trPr>
          <w:trHeight w:val="362"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本控股有限公司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贵州电网公司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4,475,617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4,475,617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
              <w:jc w:val="both"/>
              <w:rPr>
                <w:rFonts w:ascii="宋体" w:hAnsi="宋体" w:cs="宋体" w:eastAsia="宋体" w:hint="default"/>
                <w:sz w:val="18"/>
                <w:szCs w:val="18"/>
              </w:rPr>
            </w:pPr>
            <w:r>
              <w:rPr>
                <w:rFonts w:ascii="宋体" w:hAnsi="宋体" w:cs="宋体" w:eastAsia="宋体" w:hint="default"/>
                <w:sz w:val="18"/>
                <w:szCs w:val="18"/>
              </w:rPr>
              <w:t>中融国际信托有 限公司－诺亚大 成Ａ股精选一号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3,541,600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3541600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3,541,600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3,006,600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3006600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3,006,600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南方工业资产管 理有限责任公司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2680000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2,680,000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727" w:type="dxa"/>
            <w:gridSpan w:val="2"/>
            <w:tcBorders>
              <w:top w:val="single" w:sz="4" w:space="0" w:color="000000"/>
              <w:left w:val="single" w:sz="4" w:space="0" w:color="000000"/>
              <w:bottom w:val="nil" w:sz="6" w:space="0" w:color="auto"/>
              <w:right w:val="single" w:sz="10" w:space="0" w:color="FFFFFF"/>
            </w:tcBorders>
            <w:shd w:val="clear" w:color="auto" w:fill="D2D2D2"/>
          </w:tcPr>
          <w:p>
            <w:pPr/>
          </w:p>
        </w:tc>
        <w:tc>
          <w:tcPr>
            <w:tcW w:w="6846" w:type="dxa"/>
            <w:gridSpan w:val="7"/>
            <w:vMerge w:val="restart"/>
            <w:tcBorders>
              <w:top w:val="single" w:sz="4" w:space="0" w:color="000000"/>
              <w:left w:val="single" w:sz="10" w:space="0" w:color="FFFFFF"/>
              <w:right w:val="single" w:sz="4" w:space="0" w:color="000000"/>
            </w:tcBorders>
          </w:tcPr>
          <w:p>
            <w:pPr>
              <w:pStyle w:val="TableParagraph"/>
              <w:spacing w:line="312" w:lineRule="exact" w:before="9"/>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日，公司非公开发行新股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18,304 </w:t>
            </w:r>
            <w:r>
              <w:rPr>
                <w:rFonts w:ascii="宋体" w:hAnsi="宋体" w:cs="宋体" w:eastAsia="宋体" w:hint="default"/>
                <w:sz w:val="18"/>
                <w:szCs w:val="18"/>
              </w:rPr>
              <w:t>万股，因认购公司非公开发行股份目 </w:t>
            </w:r>
            <w:r>
              <w:rPr>
                <w:rFonts w:ascii="宋体" w:hAnsi="宋体" w:cs="宋体" w:eastAsia="宋体" w:hint="default"/>
                <w:spacing w:val="-2"/>
                <w:sz w:val="18"/>
                <w:szCs w:val="18"/>
              </w:rPr>
              <w:t>前为公司前十名股东的有：景顺长城基金公司、泰达宏利基金公司、中国华电集团资本</w:t>
            </w:r>
          </w:p>
          <w:p>
            <w:pPr>
              <w:pStyle w:val="TableParagraph"/>
              <w:spacing w:line="7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宋体" w:hAnsi="宋体" w:cs="宋体" w:eastAsia="宋体" w:hint="default"/>
                <w:sz w:val="18"/>
                <w:szCs w:val="18"/>
              </w:rPr>
              <w:t>控股有限公司、华能资本服务有限公司、中钢投资有限公司。</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日起，除</w:t>
            </w:r>
          </w:p>
          <w:p>
            <w:pPr>
              <w:pStyle w:val="TableParagraph"/>
              <w:spacing w:line="226" w:lineRule="exact" w:before="63"/>
              <w:ind w:left="16" w:right="0"/>
              <w:jc w:val="left"/>
              <w:rPr>
                <w:rFonts w:ascii="宋体" w:hAnsi="宋体" w:cs="宋体" w:eastAsia="宋体" w:hint="default"/>
                <w:sz w:val="18"/>
                <w:szCs w:val="18"/>
              </w:rPr>
            </w:pPr>
            <w:r>
              <w:rPr>
                <w:rFonts w:ascii="宋体" w:hAnsi="宋体" w:cs="宋体" w:eastAsia="宋体" w:hint="default"/>
                <w:sz w:val="18"/>
                <w:szCs w:val="18"/>
              </w:rPr>
              <w:t>控股股东外其他认购非公开发行新股的股东所持股份可以上市流通。</w:t>
            </w:r>
          </w:p>
        </w:tc>
      </w:tr>
      <w:tr>
        <w:trPr>
          <w:trHeight w:val="1015" w:hRule="exact"/>
        </w:trPr>
        <w:tc>
          <w:tcPr>
            <w:tcW w:w="2727" w:type="dxa"/>
            <w:gridSpan w:val="2"/>
            <w:tcBorders>
              <w:top w:val="nil" w:sz="6" w:space="0" w:color="auto"/>
              <w:left w:val="single" w:sz="4" w:space="0" w:color="000000"/>
              <w:bottom w:val="nil" w:sz="6" w:space="0" w:color="auto"/>
              <w:right w:val="single" w:sz="10" w:space="0" w:color="FFFFFF"/>
            </w:tcBorders>
            <w:shd w:val="clear" w:color="auto" w:fill="D2D2D2"/>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6" w:type="dxa"/>
            <w:gridSpan w:val="7"/>
            <w:vMerge/>
            <w:tcBorders>
              <w:left w:val="single" w:sz="10" w:space="0" w:color="FFFFFF"/>
              <w:bottom w:val="nil" w:sz="6" w:space="0" w:color="auto"/>
              <w:right w:val="single" w:sz="4" w:space="0" w:color="000000"/>
            </w:tcBorders>
          </w:tcPr>
          <w:p>
            <w:pPr/>
          </w:p>
        </w:tc>
      </w:tr>
      <w:tr>
        <w:trPr>
          <w:trHeight w:val="161" w:hRule="exact"/>
        </w:trPr>
        <w:tc>
          <w:tcPr>
            <w:tcW w:w="2727" w:type="dxa"/>
            <w:gridSpan w:val="2"/>
            <w:tcBorders>
              <w:top w:val="nil" w:sz="6" w:space="0" w:color="auto"/>
              <w:left w:val="single" w:sz="4" w:space="0" w:color="000000"/>
              <w:bottom w:val="single" w:sz="4" w:space="0" w:color="000000"/>
              <w:right w:val="single" w:sz="10" w:space="0" w:color="FFFFFF"/>
            </w:tcBorders>
            <w:shd w:val="clear" w:color="auto" w:fill="D2D2D2"/>
          </w:tcPr>
          <w:p>
            <w:pPr/>
          </w:p>
        </w:tc>
        <w:tc>
          <w:tcPr>
            <w:tcW w:w="862" w:type="dxa"/>
            <w:tcBorders>
              <w:top w:val="nil" w:sz="6" w:space="0" w:color="auto"/>
              <w:left w:val="single" w:sz="10" w:space="0" w:color="FFFFFF"/>
              <w:bottom w:val="single" w:sz="4" w:space="0" w:color="000000"/>
              <w:right w:val="nil" w:sz="6" w:space="0" w:color="auto"/>
            </w:tcBorders>
          </w:tcPr>
          <w:p>
            <w:pPr/>
          </w:p>
        </w:tc>
        <w:tc>
          <w:tcPr>
            <w:tcW w:w="799" w:type="dxa"/>
            <w:tcBorders>
              <w:top w:val="nil" w:sz="6" w:space="0" w:color="auto"/>
              <w:left w:val="nil" w:sz="6" w:space="0" w:color="auto"/>
              <w:bottom w:val="single" w:sz="4" w:space="0" w:color="000000"/>
              <w:right w:val="nil" w:sz="6" w:space="0" w:color="auto"/>
            </w:tcBorders>
          </w:tcPr>
          <w:p>
            <w:pPr/>
          </w:p>
        </w:tc>
        <w:tc>
          <w:tcPr>
            <w:tcW w:w="800" w:type="dxa"/>
            <w:tcBorders>
              <w:top w:val="nil" w:sz="6" w:space="0" w:color="auto"/>
              <w:left w:val="nil" w:sz="6" w:space="0" w:color="auto"/>
              <w:bottom w:val="single" w:sz="4" w:space="0" w:color="000000"/>
              <w:right w:val="nil" w:sz="6" w:space="0" w:color="auto"/>
            </w:tcBorders>
          </w:tcPr>
          <w:p>
            <w:pPr/>
          </w:p>
        </w:tc>
        <w:tc>
          <w:tcPr>
            <w:tcW w:w="797" w:type="dxa"/>
            <w:tcBorders>
              <w:top w:val="nil" w:sz="6" w:space="0" w:color="auto"/>
              <w:left w:val="nil" w:sz="6" w:space="0" w:color="auto"/>
              <w:bottom w:val="single" w:sz="4" w:space="0" w:color="000000"/>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
        </w:tc>
        <w:tc>
          <w:tcPr>
            <w:tcW w:w="1369" w:type="dxa"/>
            <w:tcBorders>
              <w:top w:val="nil" w:sz="6" w:space="0" w:color="auto"/>
              <w:left w:val="nil" w:sz="6" w:space="0" w:color="auto"/>
              <w:bottom w:val="single" w:sz="4" w:space="0" w:color="000000"/>
              <w:right w:val="nil" w:sz="6" w:space="0" w:color="auto"/>
            </w:tcBorders>
          </w:tcPr>
          <w:p>
            <w:pPr/>
          </w:p>
        </w:tc>
        <w:tc>
          <w:tcPr>
            <w:tcW w:w="1368" w:type="dxa"/>
            <w:tcBorders>
              <w:top w:val="nil" w:sz="6" w:space="0" w:color="auto"/>
              <w:left w:val="nil" w:sz="6" w:space="0" w:color="auto"/>
              <w:bottom w:val="single" w:sz="4" w:space="0" w:color="000000"/>
              <w:right w:val="single" w:sz="4" w:space="0" w:color="000000"/>
            </w:tcBorders>
          </w:tcPr>
          <w:p>
            <w:pPr/>
          </w:p>
        </w:tc>
      </w:tr>
      <w:tr>
        <w:trPr>
          <w:trHeight w:val="715" w:hRule="exact"/>
        </w:trPr>
        <w:tc>
          <w:tcPr>
            <w:tcW w:w="27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6" w:type="dxa"/>
            <w:gridSpan w:val="7"/>
            <w:tcBorders>
              <w:top w:val="single" w:sz="4" w:space="0" w:color="000000"/>
              <w:left w:val="single" w:sz="9" w:space="0" w:color="D2D2D2"/>
              <w:bottom w:val="single" w:sz="4" w:space="0" w:color="000000"/>
              <w:right w:val="single" w:sz="4" w:space="0" w:color="000000"/>
            </w:tcBorders>
          </w:tcPr>
          <w:p>
            <w:pPr>
              <w:pStyle w:val="TableParagraph"/>
              <w:spacing w:line="300" w:lineRule="auto" w:before="49"/>
              <w:ind w:left="17" w:right="6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名股东中，未知是否存在关联关系，也未知是否属于《上市公司收购管理办法》 中规定的一致行动人。</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2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27" w:type="dxa"/>
            <w:gridSpan w:val="2"/>
            <w:vMerge/>
            <w:tcBorders>
              <w:left w:val="single" w:sz="4" w:space="0" w:color="000000"/>
              <w:bottom w:val="nil" w:sz="6" w:space="0" w:color="auto"/>
              <w:right w:val="single" w:sz="4" w:space="0" w:color="000000"/>
            </w:tcBorders>
            <w:shd w:val="clear" w:color="auto" w:fill="D2D2D2"/>
          </w:tcPr>
          <w:p>
            <w:pPr/>
          </w:p>
        </w:tc>
        <w:tc>
          <w:tcPr>
            <w:tcW w:w="4109" w:type="dxa"/>
            <w:gridSpan w:val="5"/>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72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37,864,023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37,864,023</w:t>
            </w:r>
          </w:p>
        </w:tc>
      </w:tr>
      <w:tr>
        <w:trPr>
          <w:trHeight w:val="401" w:hRule="exact"/>
        </w:trPr>
        <w:tc>
          <w:tcPr>
            <w:tcW w:w="2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泰达宏利基金公司（信托产品）</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25,045,500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25,045,500</w:t>
            </w:r>
          </w:p>
        </w:tc>
      </w:tr>
      <w:tr>
        <w:trPr>
          <w:trHeight w:val="403" w:hRule="exact"/>
        </w:trPr>
        <w:tc>
          <w:tcPr>
            <w:tcW w:w="2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华能资本服务有限公司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01" w:hRule="exact"/>
        </w:trPr>
        <w:tc>
          <w:tcPr>
            <w:tcW w:w="2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景顺长城基金公司（信托产品）</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15,745,500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15,745,500</w:t>
            </w:r>
          </w:p>
        </w:tc>
      </w:tr>
      <w:tr>
        <w:trPr>
          <w:trHeight w:val="404" w:hRule="exact"/>
        </w:trPr>
        <w:tc>
          <w:tcPr>
            <w:tcW w:w="2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中钢投资有限公司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8,718,600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8,718,600</w:t>
            </w:r>
          </w:p>
        </w:tc>
      </w:tr>
      <w:tr>
        <w:trPr>
          <w:trHeight w:val="401" w:hRule="exact"/>
        </w:trPr>
        <w:tc>
          <w:tcPr>
            <w:tcW w:w="2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中国华电集团资本控股有限公司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7,999,900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7,999,900</w:t>
            </w:r>
          </w:p>
        </w:tc>
      </w:tr>
      <w:tr>
        <w:trPr>
          <w:trHeight w:val="403" w:hRule="exact"/>
        </w:trPr>
        <w:tc>
          <w:tcPr>
            <w:tcW w:w="2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贵州电网公司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4,475,617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4,475,617</w:t>
            </w:r>
          </w:p>
        </w:tc>
      </w:tr>
      <w:tr>
        <w:trPr>
          <w:trHeight w:val="713" w:hRule="exact"/>
        </w:trPr>
        <w:tc>
          <w:tcPr>
            <w:tcW w:w="2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中融国际信托有限公司－诺亚大 成Ａ股精选一号</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3,541,600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3,541,600</w:t>
            </w:r>
          </w:p>
        </w:tc>
      </w:tr>
      <w:tr>
        <w:trPr>
          <w:trHeight w:val="403" w:hRule="exact"/>
        </w:trPr>
        <w:tc>
          <w:tcPr>
            <w:tcW w:w="2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王冰</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3,006,600</w:t>
            </w:r>
          </w:p>
        </w:tc>
      </w:tr>
      <w:tr>
        <w:trPr>
          <w:trHeight w:val="401" w:hRule="exact"/>
        </w:trPr>
        <w:tc>
          <w:tcPr>
            <w:tcW w:w="2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南方工业资产管理有限责任公司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2,680,000</w:t>
            </w:r>
          </w:p>
        </w:tc>
      </w:tr>
      <w:tr>
        <w:trPr>
          <w:trHeight w:val="1340" w:hRule="exact"/>
        </w:trPr>
        <w:tc>
          <w:tcPr>
            <w:tcW w:w="27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6"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17" w:right="23"/>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名股东中，未知是否存在关联关系，也未知是否属于《上市公司收购管理办法》 </w:t>
            </w:r>
            <w:r>
              <w:rPr>
                <w:rFonts w:ascii="宋体" w:hAnsi="宋体" w:cs="宋体" w:eastAsia="宋体" w:hint="default"/>
                <w:spacing w:val="-2"/>
                <w:sz w:val="18"/>
                <w:szCs w:val="18"/>
              </w:rPr>
              <w:t>中规定的一致行动人，无限售条件的第一大股东电信科学技术研究院暨全部股东的第一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大股东电信科学技术研究院为公司控股股东。</w:t>
            </w:r>
          </w:p>
        </w:tc>
      </w:tr>
      <w:tr>
        <w:trPr>
          <w:trHeight w:val="713" w:hRule="exact"/>
        </w:trPr>
        <w:tc>
          <w:tcPr>
            <w:tcW w:w="27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前十大股东参与融资融券业务股 </w:t>
            </w:r>
            <w:r>
              <w:rPr>
                <w:rFonts w:ascii="宋体" w:hAnsi="宋体" w:cs="宋体" w:eastAsia="宋体" w:hint="default"/>
                <w:spacing w:val="-8"/>
                <w:sz w:val="18"/>
                <w:szCs w:val="18"/>
              </w:rPr>
              <w:t>东情况说明（如有）（参见注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6"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报告期内，自然人股东王冰通过融资融券账户持有公司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3,006,600 </w:t>
            </w:r>
            <w:r>
              <w:rPr>
                <w:rFonts w:ascii="宋体" w:hAnsi="宋体" w:cs="宋体" w:eastAsia="宋体" w:hint="default"/>
                <w:sz w:val="18"/>
                <w:szCs w:val="18"/>
              </w:rPr>
              <w:t>股股份，共持有公司</w:t>
            </w:r>
          </w:p>
          <w:p>
            <w:pPr>
              <w:pStyle w:val="TableParagraph"/>
              <w:spacing w:line="240" w:lineRule="auto" w:before="6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3,006,600 </w:t>
            </w:r>
            <w:r>
              <w:rPr>
                <w:rFonts w:ascii="宋体" w:hAnsi="宋体" w:cs="宋体" w:eastAsia="宋体" w:hint="default"/>
                <w:sz w:val="18"/>
                <w:szCs w:val="18"/>
              </w:rPr>
              <w:t>股股份。</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81"/>
        <w:gridCol w:w="1095"/>
        <w:gridCol w:w="888"/>
        <w:gridCol w:w="1800"/>
        <w:gridCol w:w="1801"/>
        <w:gridCol w:w="1803"/>
      </w:tblGrid>
      <w:tr>
        <w:trPr>
          <w:trHeight w:val="715"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42"/>
              <w:jc w:val="right"/>
              <w:rPr>
                <w:rFonts w:ascii="宋体" w:hAnsi="宋体" w:cs="宋体" w:eastAsia="宋体" w:hint="default"/>
                <w:sz w:val="18"/>
                <w:szCs w:val="18"/>
              </w:rPr>
            </w:pPr>
            <w:r>
              <w:rPr>
                <w:rFonts w:ascii="宋体" w:hAnsi="宋体" w:cs="宋体" w:eastAsia="宋体" w:hint="default"/>
                <w:sz w:val="18"/>
                <w:szCs w:val="18"/>
              </w:rPr>
              <w:t>控股股东名称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97" w:hRule="exact"/>
        </w:trPr>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525"/>
              <w:jc w:val="righ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真才基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sz w:val="18"/>
              </w:rPr>
              <w:t>40001101-6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7430250000 </w:t>
            </w:r>
            <w:r>
              <w:rPr>
                <w:rFonts w:ascii="宋体" w:hAnsi="宋体" w:cs="宋体" w:eastAsia="宋体" w:hint="default"/>
                <w:sz w:val="18"/>
                <w:szCs w:val="18"/>
              </w:rPr>
              <w:t>元</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4"/>
              <w:jc w:val="left"/>
              <w:rPr>
                <w:rFonts w:ascii="宋体" w:hAnsi="宋体" w:cs="宋体" w:eastAsia="宋体" w:hint="default"/>
                <w:sz w:val="18"/>
                <w:szCs w:val="18"/>
              </w:rPr>
            </w:pPr>
            <w:r>
              <w:rPr>
                <w:rFonts w:ascii="宋体" w:hAnsi="宋体" w:cs="宋体" w:eastAsia="宋体" w:hint="default"/>
                <w:spacing w:val="-6"/>
                <w:sz w:val="18"/>
                <w:szCs w:val="18"/>
              </w:rPr>
              <w:t>通信设备、电子计算机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及外部设备、电子软 </w:t>
            </w:r>
            <w:r>
              <w:rPr>
                <w:rFonts w:ascii="宋体" w:hAnsi="宋体" w:cs="宋体" w:eastAsia="宋体" w:hint="default"/>
                <w:spacing w:val="-6"/>
                <w:sz w:val="18"/>
                <w:szCs w:val="18"/>
              </w:rPr>
              <w:t>件、广播电视设备、光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纤及光电缆、电子元器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件、其他电子设备、仪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器仪表的开发、生产、 </w:t>
            </w:r>
            <w:r>
              <w:rPr>
                <w:rFonts w:ascii="宋体" w:hAnsi="宋体" w:cs="宋体" w:eastAsia="宋体" w:hint="default"/>
                <w:spacing w:val="-6"/>
                <w:sz w:val="18"/>
                <w:szCs w:val="18"/>
              </w:rPr>
              <w:t>销售、系统集成（国家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有专项专营规定的除 外）</w:t>
            </w:r>
          </w:p>
        </w:tc>
      </w:tr>
      <w:tr>
        <w:trPr>
          <w:trHeight w:val="9179"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7" w:type="dxa"/>
            <w:gridSpan w:val="5"/>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控股股东经营成果电信科学技术研究院暨大唐电信集团已成为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市场主流的设备 供应商，中国最大的智能卡芯片及模块供应商之一，国际领先的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终端解决方案提 供商和终端基带芯片供应商。在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系统设备历期招标中，始终保持市场份额第一阵 </w:t>
            </w:r>
            <w:r>
              <w:rPr>
                <w:rFonts w:ascii="宋体" w:hAnsi="宋体" w:cs="宋体" w:eastAsia="宋体" w:hint="default"/>
                <w:spacing w:val="-3"/>
                <w:sz w:val="18"/>
                <w:szCs w:val="18"/>
              </w:rPr>
              <w:t>营的地位，占据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的市场份额；在中国移动</w:t>
            </w:r>
            <w:r>
              <w:rPr>
                <w:rFonts w:ascii="宋体" w:hAnsi="宋体" w:cs="宋体" w:eastAsia="宋体" w:hint="default"/>
                <w:spacing w:val="-54"/>
                <w:sz w:val="18"/>
                <w:szCs w:val="18"/>
              </w:rPr>
              <w:t> </w:t>
            </w:r>
            <w:r>
              <w:rPr>
                <w:rFonts w:ascii="Times New Roman" w:hAnsi="Times New Roman" w:cs="Times New Roman" w:eastAsia="Times New Roman" w:hint="default"/>
                <w:spacing w:val="-4"/>
                <w:sz w:val="18"/>
                <w:szCs w:val="18"/>
              </w:rPr>
              <w:t>TD-LTE</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扩大规模试验网建设中，主要指标名列</w:t>
            </w:r>
            <w:r>
              <w:rPr>
                <w:rFonts w:ascii="宋体" w:hAnsi="宋体" w:cs="宋体" w:eastAsia="宋体" w:hint="default"/>
                <w:w w:val="99"/>
                <w:sz w:val="18"/>
                <w:szCs w:val="18"/>
              </w:rPr>
              <w:t> </w:t>
            </w:r>
            <w:r>
              <w:rPr>
                <w:rFonts w:ascii="宋体" w:hAnsi="宋体" w:cs="宋体" w:eastAsia="宋体" w:hint="default"/>
                <w:spacing w:val="-3"/>
                <w:sz w:val="18"/>
                <w:szCs w:val="18"/>
              </w:rPr>
              <w:t>前茅；业内率先推出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双模测试终端，取得中国移动</w:t>
            </w:r>
            <w:r>
              <w:rPr>
                <w:rFonts w:ascii="宋体" w:hAnsi="宋体" w:cs="宋体" w:eastAsia="宋体" w:hint="default"/>
                <w:spacing w:val="-51"/>
                <w:sz w:val="18"/>
                <w:szCs w:val="18"/>
              </w:rPr>
              <w:t> </w:t>
            </w:r>
            <w:r>
              <w:rPr>
                <w:rFonts w:ascii="Times New Roman" w:hAnsi="Times New Roman" w:cs="Times New Roman" w:eastAsia="Times New Roman" w:hint="default"/>
                <w:spacing w:val="-7"/>
                <w:sz w:val="18"/>
                <w:szCs w:val="18"/>
              </w:rPr>
              <w:t>LTE</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测试终端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72%</w:t>
            </w:r>
            <w:r>
              <w:rPr>
                <w:rFonts w:ascii="宋体" w:hAnsi="宋体" w:cs="宋体" w:eastAsia="宋体" w:hint="default"/>
                <w:sz w:val="18"/>
                <w:szCs w:val="18"/>
              </w:rPr>
              <w:t>的市场份额；占据国 内电信智能卡和社保卡市场各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的份额，是国内唯一一家在银行卡领域完成国际</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EMV</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芯片 安全体系认证的企业；集团所属中芯国际是我国本土唯一一家具有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40nm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高端工艺制程和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英寸晶圆大规模成熟生产能力的集成电路制造企业，为本土设计企业提供未来一系列产品演进</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的持续配套工艺和产能支撑能力。大唐电信集团积极践行创新型国家战略，通过不断增强自主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创新能力，逐步成长为我国移动通信领域自主创新的领军企业和国家科技创新的重要载体。作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TD</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国际标准的提出者、核心专利拥有者、产业化主要推动者和市场领先者，大唐被评为首 </w:t>
            </w:r>
            <w:r>
              <w:rPr>
                <w:rFonts w:ascii="宋体" w:hAnsi="宋体" w:cs="宋体" w:eastAsia="宋体" w:hint="default"/>
                <w:spacing w:val="-1"/>
                <w:sz w:val="18"/>
                <w:szCs w:val="18"/>
              </w:rPr>
              <w:t>批国家</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创新型企业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。集团承担三个国家科技重大专项，并以此为依托，有效整合内外部创新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资源，构建高效协同研发体系，持续提高创新能力，不但推动了集团主业的蓬勃发展，也带动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了产业链上下游民族企业的协同发展。截至目前，大唐电信集团累计拥有国内外专利申请总量</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已超过一万六千件，其中发明专利申请量占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％以上，发明专利授权总量在中央企业中名列 前茅。特别是，</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日，工业和信息化部正式向我国三家电信运营商同时发放三张 </w:t>
            </w:r>
            <w:r>
              <w:rPr>
                <w:rFonts w:ascii="Times New Roman" w:hAnsi="Times New Roman" w:cs="Times New Roman" w:eastAsia="Times New Roman" w:hint="default"/>
                <w:sz w:val="18"/>
                <w:szCs w:val="18"/>
              </w:rPr>
              <w:t>4G </w:t>
            </w:r>
            <w:r>
              <w:rPr>
                <w:rFonts w:ascii="Times New Roman" w:hAnsi="Times New Roman" w:cs="Times New Roman" w:eastAsia="Times New Roman" w:hint="default"/>
                <w:spacing w:val="-4"/>
                <w:sz w:val="18"/>
                <w:szCs w:val="18"/>
              </w:rPr>
              <w:t>TD-LTE </w:t>
            </w:r>
            <w:r>
              <w:rPr>
                <w:rFonts w:ascii="宋体" w:hAnsi="宋体" w:cs="宋体" w:eastAsia="宋体" w:hint="default"/>
                <w:spacing w:val="-4"/>
                <w:sz w:val="18"/>
                <w:szCs w:val="18"/>
              </w:rPr>
              <w:t>牌照。此举充分体现出党中央、国务院，我国电信运营业、我国通信制造业对</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TDD</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技术快速健康发展的信心和决心，奠定了未来十年我国移动通信产业持续创新与产业转型发展</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1"/>
                <w:sz w:val="18"/>
                <w:szCs w:val="18"/>
              </w:rPr>
              <w:t>的基础，是加快推动我国实现从</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通信大国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通信强国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根本性转变的关键一步，是促进信息</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消费服务国民经济持续健康发展的重大举措，是更好地保障国家信息安全的重要措施，必将带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动我国移动通信产业全面步入基于自主创新产业发展的新时代。</w:t>
            </w:r>
          </w:p>
          <w:p>
            <w:pPr>
              <w:pStyle w:val="TableParagraph"/>
              <w:spacing w:line="312" w:lineRule="auto" w:before="67"/>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未来发展战略电信科学技术研究院制定实施企业</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战略规划，以提升企业的核心竞争 </w:t>
            </w:r>
            <w:r>
              <w:rPr>
                <w:rFonts w:ascii="宋体" w:hAnsi="宋体" w:cs="宋体" w:eastAsia="宋体" w:hint="default"/>
                <w:spacing w:val="-2"/>
                <w:sz w:val="18"/>
                <w:szCs w:val="18"/>
              </w:rPr>
              <w:t>力和盈利能力为中心任务，加快发展无线移动通信、集成电路设计与制造等主导产业板块，培</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育战略性新兴产业为代表的先导产业板块，建设完善的高效协同技术创新体系、资本运作体系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和软实力体系，加快实现国际市场重点突破和资本市场有效突破。力争到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年末，将电信 </w:t>
            </w:r>
            <w:r>
              <w:rPr>
                <w:rFonts w:ascii="宋体" w:hAnsi="宋体" w:cs="宋体" w:eastAsia="宋体" w:hint="default"/>
                <w:spacing w:val="-2"/>
                <w:sz w:val="18"/>
                <w:szCs w:val="18"/>
              </w:rPr>
              <w:t>科学技术研究院打造成为我国电子信息通信领域内国家重点培育、拥有自主知识产权、具有综</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合创新能力的大型高科技现代中央企业。</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财务数据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年度营业收入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1,833,559.07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35,622.42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1,383,904.90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年末总资产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3,490,032.96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万元。经营活动产生的现金流净额为</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before="44"/>
        <w:ind w:left="0" w:right="160" w:firstLine="0"/>
        <w:jc w:val="right"/>
        <w:rPr>
          <w:rFonts w:ascii="宋体" w:hAnsi="宋体" w:cs="宋体" w:eastAsia="宋体" w:hint="default"/>
          <w:sz w:val="18"/>
          <w:szCs w:val="18"/>
        </w:rPr>
      </w:pPr>
      <w:r>
        <w:rPr/>
        <w:pict>
          <v:shape style="position:absolute;margin-left:56.459999pt;margin-top:-50.068268pt;width:479.1pt;height:85.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1"/>
                    <w:gridCol w:w="7387"/>
                  </w:tblGrid>
                  <w:tr>
                    <w:trPr>
                      <w:trHeight w:val="675"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-113.92 </w:t>
                        </w:r>
                        <w:r>
                          <w:rPr>
                            <w:rFonts w:ascii="宋体" w:hAnsi="宋体" w:cs="宋体" w:eastAsia="宋体" w:hint="default"/>
                            <w:spacing w:val="-3"/>
                            <w:sz w:val="18"/>
                            <w:szCs w:val="18"/>
                          </w:rPr>
                          <w:t>万元，投资活动产生的现金流量净额为 </w:t>
                        </w:r>
                        <w:r>
                          <w:rPr>
                            <w:rFonts w:ascii="Times New Roman" w:hAnsi="Times New Roman" w:cs="Times New Roman" w:eastAsia="Times New Roman" w:hint="default"/>
                            <w:sz w:val="18"/>
                            <w:szCs w:val="18"/>
                          </w:rPr>
                          <w:t>-443,743.79 </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元，筹资活动产生的现金流量净额</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为 </w:t>
                        </w:r>
                        <w:r>
                          <w:rPr>
                            <w:rFonts w:ascii="Times New Roman" w:hAnsi="Times New Roman" w:cs="Times New Roman" w:eastAsia="Times New Roman" w:hint="default"/>
                            <w:sz w:val="18"/>
                            <w:szCs w:val="18"/>
                          </w:rPr>
                          <w:t>523,432.64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元。以上数据未经审计。</w:t>
                        </w:r>
                      </w:p>
                    </w:tc>
                  </w:tr>
                  <w:tr>
                    <w:trPr>
                      <w:trHeight w:val="1025"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6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电信科学技术研究院直接持有境内上市公司大唐电信科技股份有限公</w:t>
                        </w:r>
                        <w:r>
                          <w:rPr>
                            <w:rFonts w:ascii="宋体" w:hAnsi="宋体" w:cs="宋体" w:eastAsia="宋体" w:hint="default"/>
                            <w:spacing w:val="-77"/>
                            <w:sz w:val="18"/>
                            <w:szCs w:val="18"/>
                          </w:rPr>
                          <w:t>司</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1"/>
                            <w:sz w:val="18"/>
                            <w:szCs w:val="18"/>
                          </w:rPr>
                          <w:t>8</w:t>
                        </w:r>
                        <w:r>
                          <w:rPr>
                            <w:rFonts w:ascii="宋体" w:hAnsi="宋体" w:cs="宋体" w:eastAsia="宋体" w:hint="default"/>
                            <w:spacing w:val="-77"/>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61</w:t>
                        </w:r>
                        <w:r>
                          <w:rPr>
                            <w:rFonts w:ascii="Times New Roman" w:hAnsi="Times New Roman" w:cs="Times New Roman" w:eastAsia="Times New Roman" w:hint="default"/>
                            <w:spacing w:val="-1"/>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t>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544" w:lineRule="auto" w:before="117"/>
        <w:ind w:left="152" w:right="7561" w:firstLine="0"/>
        <w:jc w:val="left"/>
        <w:rPr>
          <w:rFonts w:ascii="宋体" w:hAnsi="宋体" w:cs="宋体" w:eastAsia="宋体" w:hint="default"/>
          <w:sz w:val="18"/>
          <w:szCs w:val="18"/>
        </w:rPr>
      </w:pPr>
      <w:r>
        <w:rPr/>
        <w:pict>
          <v:shape style="position:absolute;margin-left:56.400002pt;margin-top:84.281708pt;width:479.2pt;height:158.950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5"/>
                    <w:gridCol w:w="888"/>
                    <w:gridCol w:w="1800"/>
                    <w:gridCol w:w="1801"/>
                    <w:gridCol w:w="1803"/>
                  </w:tblGrid>
                  <w:tr>
                    <w:trPr>
                      <w:trHeight w:val="716"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国务院国有资产监督管理 委员会</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88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3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公司与实际控制人之间的产权及控制关系的方框图</w:t>
      </w:r>
    </w:p>
    <w:p>
      <w:pPr>
        <w:spacing w:line="240" w:lineRule="auto" w:before="13"/>
        <w:rPr>
          <w:rFonts w:ascii="宋体" w:hAnsi="宋体" w:cs="宋体" w:eastAsia="宋体" w:hint="default"/>
          <w:sz w:val="22"/>
          <w:szCs w:val="22"/>
        </w:rPr>
      </w:pPr>
    </w:p>
    <w:p>
      <w:pPr>
        <w:spacing w:line="2605" w:lineRule="exact"/>
        <w:ind w:left="1338"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4628907" cy="165468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4628907" cy="1654683"/>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11"/>
        <w:rPr>
          <w:rFonts w:ascii="宋体" w:hAnsi="宋体" w:cs="宋体" w:eastAsia="宋体" w:hint="default"/>
          <w:sz w:val="19"/>
          <w:szCs w:val="19"/>
        </w:rPr>
      </w:pPr>
    </w:p>
    <w:p>
      <w:pPr>
        <w:pStyle w:val="BodyText"/>
        <w:spacing w:line="240" w:lineRule="auto" w:before="0"/>
        <w:ind w:right="0"/>
        <w:jc w:val="left"/>
      </w:pPr>
      <w:r>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r>
        <w:rPr/>
        <w:pict>
          <v:group style="position:absolute;margin-left:143.660004pt;margin-top:295.009979pt;width:43pt;height:15.6pt;mso-position-horizontal-relative:page;mso-position-vertical-relative:page;z-index:-1331416" coordorigin="2873,5900" coordsize="860,312">
            <v:shape style="position:absolute;left:2873;top:5900;width:860;height:312" coordorigin="2873,5900" coordsize="860,312" path="m2873,6212l3733,6212,3733,5900,2873,5900,2873,6212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6" w:id="7"/>
      <w:bookmarkEnd w:id="7"/>
      <w:r>
        <w:rPr>
          <w:b w:val="0"/>
          <w:bCs w:val="0"/>
        </w:rPr>
      </w:r>
      <w:r>
        <w:rPr/>
        <w:t>第七节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2"/>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0"/>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70,500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23,509</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23,509</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姚印杰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5"/>
              <w:jc w:val="righ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184,409</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184,409</w:t>
            </w:r>
          </w:p>
        </w:tc>
      </w:tr>
    </w:tbl>
    <w:p>
      <w:pPr>
        <w:spacing w:line="240" w:lineRule="auto" w:before="11"/>
        <w:rPr>
          <w:rFonts w:ascii="宋体" w:hAnsi="宋体" w:cs="宋体" w:eastAsia="宋体" w:hint="default"/>
          <w:b/>
          <w:bCs/>
          <w:sz w:val="24"/>
          <w:szCs w:val="24"/>
        </w:rPr>
      </w:pPr>
    </w:p>
    <w:p>
      <w:pPr>
        <w:pStyle w:val="BodyText"/>
        <w:spacing w:line="240" w:lineRule="auto" w:before="26"/>
        <w:ind w:right="0"/>
        <w:jc w:val="left"/>
      </w:pPr>
      <w:r>
        <w:rPr/>
        <w:t>报告期末至本公告日，公司高管通过二级市场减持情况如下：</w:t>
      </w:r>
    </w:p>
    <w:p>
      <w:pPr>
        <w:spacing w:line="240" w:lineRule="auto" w:before="1"/>
        <w:rPr>
          <w:rFonts w:ascii="宋体" w:hAnsi="宋体" w:cs="宋体" w:eastAsia="宋体" w:hint="default"/>
          <w:sz w:val="6"/>
          <w:szCs w:val="6"/>
        </w:rPr>
      </w:pPr>
    </w:p>
    <w:tbl>
      <w:tblPr>
        <w:tblW w:w="0" w:type="auto"/>
        <w:jc w:val="left"/>
        <w:tblInd w:w="1871" w:type="dxa"/>
        <w:tblLayout w:type="fixed"/>
        <w:tblCellMar>
          <w:top w:w="0" w:type="dxa"/>
          <w:left w:w="0" w:type="dxa"/>
          <w:bottom w:w="0" w:type="dxa"/>
          <w:right w:w="0" w:type="dxa"/>
        </w:tblCellMar>
        <w:tblLook w:val="01E0"/>
      </w:tblPr>
      <w:tblGrid>
        <w:gridCol w:w="1880"/>
        <w:gridCol w:w="1947"/>
        <w:gridCol w:w="2355"/>
      </w:tblGrid>
      <w:tr>
        <w:trPr>
          <w:trHeight w:val="331" w:hRule="exact"/>
        </w:trPr>
        <w:tc>
          <w:tcPr>
            <w:tcW w:w="188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高管姓名</w:t>
            </w:r>
          </w:p>
        </w:tc>
        <w:tc>
          <w:tcPr>
            <w:tcW w:w="1947"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54" w:lineRule="exact"/>
              <w:ind w:left="98" w:right="0"/>
              <w:jc w:val="left"/>
              <w:rPr>
                <w:rFonts w:ascii="宋体" w:hAnsi="宋体" w:cs="宋体" w:eastAsia="宋体" w:hint="default"/>
                <w:sz w:val="20"/>
                <w:szCs w:val="20"/>
              </w:rPr>
            </w:pPr>
            <w:r>
              <w:rPr>
                <w:rFonts w:ascii="宋体" w:hAnsi="宋体" w:cs="宋体" w:eastAsia="宋体" w:hint="default"/>
                <w:sz w:val="20"/>
                <w:szCs w:val="20"/>
              </w:rPr>
              <w:t>减持日期</w:t>
            </w:r>
          </w:p>
        </w:tc>
        <w:tc>
          <w:tcPr>
            <w:tcW w:w="235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54" w:lineRule="exact"/>
              <w:ind w:left="98" w:right="0"/>
              <w:jc w:val="left"/>
              <w:rPr>
                <w:rFonts w:ascii="宋体" w:hAnsi="宋体" w:cs="宋体" w:eastAsia="宋体" w:hint="default"/>
                <w:sz w:val="20"/>
                <w:szCs w:val="20"/>
              </w:rPr>
            </w:pPr>
            <w:r>
              <w:rPr>
                <w:rFonts w:ascii="宋体" w:hAnsi="宋体" w:cs="宋体" w:eastAsia="宋体" w:hint="default"/>
                <w:sz w:val="20"/>
                <w:szCs w:val="20"/>
              </w:rPr>
              <w:t>持股变动情况（股）</w:t>
            </w:r>
          </w:p>
        </w:tc>
      </w:tr>
      <w:tr>
        <w:trPr>
          <w:trHeight w:val="331" w:hRule="exact"/>
        </w:trPr>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付景林</w:t>
            </w:r>
          </w:p>
        </w:tc>
        <w:tc>
          <w:tcPr>
            <w:tcW w:w="1947"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55"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0"/>
                <w:szCs w:val="20"/>
              </w:rPr>
            </w:pPr>
            <w:r>
              <w:rPr>
                <w:rFonts w:ascii="宋体"/>
                <w:w w:val="95"/>
                <w:sz w:val="20"/>
              </w:rPr>
              <w:t>-11,026.00</w:t>
            </w:r>
            <w:r>
              <w:rPr>
                <w:rFonts w:ascii="宋体"/>
                <w:sz w:val="20"/>
              </w:rPr>
            </w:r>
          </w:p>
        </w:tc>
      </w:tr>
      <w:tr>
        <w:trPr>
          <w:trHeight w:val="334" w:hRule="exact"/>
        </w:trPr>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付景林</w:t>
            </w:r>
          </w:p>
        </w:tc>
        <w:tc>
          <w:tcPr>
            <w:tcW w:w="1947"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55"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96"/>
              <w:jc w:val="right"/>
              <w:rPr>
                <w:rFonts w:ascii="宋体" w:hAnsi="宋体" w:cs="宋体" w:eastAsia="宋体" w:hint="default"/>
                <w:sz w:val="20"/>
                <w:szCs w:val="20"/>
              </w:rPr>
            </w:pPr>
            <w:r>
              <w:rPr>
                <w:rFonts w:ascii="宋体"/>
                <w:w w:val="95"/>
                <w:sz w:val="20"/>
              </w:rPr>
              <w:t>-3,599.00</w:t>
            </w:r>
            <w:r>
              <w:rPr>
                <w:rFonts w:ascii="宋体"/>
                <w:sz w:val="20"/>
              </w:rPr>
            </w:r>
          </w:p>
        </w:tc>
      </w:tr>
      <w:tr>
        <w:trPr>
          <w:trHeight w:val="331" w:hRule="exact"/>
        </w:trPr>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侯玉成</w:t>
            </w:r>
          </w:p>
        </w:tc>
        <w:tc>
          <w:tcPr>
            <w:tcW w:w="1947"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55"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0"/>
                <w:szCs w:val="20"/>
              </w:rPr>
            </w:pPr>
            <w:r>
              <w:rPr>
                <w:rFonts w:ascii="宋体"/>
                <w:w w:val="95"/>
                <w:sz w:val="20"/>
              </w:rPr>
              <w:t>-5,000.00</w:t>
            </w:r>
            <w:r>
              <w:rPr>
                <w:rFonts w:ascii="宋体"/>
                <w:sz w:val="20"/>
              </w:rPr>
            </w:r>
          </w:p>
        </w:tc>
      </w:tr>
      <w:tr>
        <w:trPr>
          <w:trHeight w:val="331" w:hRule="exact"/>
        </w:trPr>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王芊</w:t>
            </w:r>
          </w:p>
        </w:tc>
        <w:tc>
          <w:tcPr>
            <w:tcW w:w="1947"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55"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0"/>
                <w:szCs w:val="20"/>
              </w:rPr>
            </w:pPr>
            <w:r>
              <w:rPr>
                <w:rFonts w:ascii="宋体"/>
                <w:w w:val="95"/>
                <w:sz w:val="20"/>
              </w:rPr>
              <w:t>-5,877.00</w:t>
            </w:r>
            <w:r>
              <w:rPr>
                <w:rFonts w:ascii="宋体"/>
                <w:sz w:val="20"/>
              </w:rPr>
            </w:r>
          </w:p>
        </w:tc>
      </w:tr>
      <w:tr>
        <w:trPr>
          <w:trHeight w:val="334" w:hRule="exact"/>
        </w:trPr>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刘雪峰</w:t>
            </w:r>
          </w:p>
        </w:tc>
        <w:tc>
          <w:tcPr>
            <w:tcW w:w="1947"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55"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96"/>
              <w:jc w:val="right"/>
              <w:rPr>
                <w:rFonts w:ascii="宋体" w:hAnsi="宋体" w:cs="宋体" w:eastAsia="宋体" w:hint="default"/>
                <w:sz w:val="20"/>
                <w:szCs w:val="20"/>
              </w:rPr>
            </w:pPr>
            <w:r>
              <w:rPr>
                <w:rFonts w:ascii="宋体"/>
                <w:w w:val="95"/>
                <w:sz w:val="20"/>
              </w:rPr>
              <w:t>-1,500.00</w:t>
            </w:r>
            <w:r>
              <w:rPr>
                <w:rFonts w:ascii="宋体"/>
                <w:sz w:val="20"/>
              </w:rPr>
            </w:r>
          </w:p>
        </w:tc>
      </w:tr>
      <w:tr>
        <w:trPr>
          <w:trHeight w:val="331" w:hRule="exact"/>
        </w:trPr>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刘雪峰</w:t>
            </w:r>
          </w:p>
        </w:tc>
        <w:tc>
          <w:tcPr>
            <w:tcW w:w="1947"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55"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0"/>
                <w:szCs w:val="20"/>
              </w:rPr>
            </w:pPr>
            <w:r>
              <w:rPr>
                <w:rFonts w:ascii="宋体"/>
                <w:w w:val="95"/>
                <w:sz w:val="20"/>
              </w:rPr>
              <w:t>-1,000.00</w:t>
            </w:r>
            <w:r>
              <w:rPr>
                <w:rFonts w:ascii="宋体"/>
                <w:sz w:val="20"/>
              </w:rPr>
            </w:r>
          </w:p>
        </w:tc>
      </w:tr>
      <w:tr>
        <w:trPr>
          <w:trHeight w:val="332" w:hRule="exact"/>
        </w:trPr>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赵德胜</w:t>
            </w:r>
          </w:p>
        </w:tc>
        <w:tc>
          <w:tcPr>
            <w:tcW w:w="1947"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5"/>
                <w:sz w:val="20"/>
                <w:szCs w:val="20"/>
              </w:rPr>
              <w:t>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宋体" w:hAnsi="宋体" w:cs="宋体" w:eastAsia="宋体" w:hint="default"/>
                <w:sz w:val="20"/>
                <w:szCs w:val="20"/>
              </w:rPr>
              <w:t>1</w:t>
            </w:r>
            <w:r>
              <w:rPr>
                <w:rFonts w:ascii="宋体" w:hAnsi="宋体" w:cs="宋体" w:eastAsia="宋体" w:hint="default"/>
                <w:spacing w:val="-55"/>
                <w:sz w:val="20"/>
                <w:szCs w:val="20"/>
              </w:rPr>
              <w:t> </w:t>
            </w:r>
            <w:r>
              <w:rPr>
                <w:rFonts w:ascii="宋体" w:hAnsi="宋体" w:cs="宋体" w:eastAsia="宋体" w:hint="default"/>
                <w:sz w:val="20"/>
                <w:szCs w:val="20"/>
              </w:rPr>
              <w:t>月</w:t>
            </w:r>
            <w:r>
              <w:rPr>
                <w:rFonts w:ascii="宋体" w:hAnsi="宋体" w:cs="宋体" w:eastAsia="宋体" w:hint="default"/>
                <w:spacing w:val="-55"/>
                <w:sz w:val="20"/>
                <w:szCs w:val="20"/>
              </w:rPr>
              <w:t> </w:t>
            </w:r>
            <w:r>
              <w:rPr>
                <w:rFonts w:ascii="宋体" w:hAnsi="宋体" w:cs="宋体" w:eastAsia="宋体" w:hint="default"/>
                <w:sz w:val="20"/>
                <w:szCs w:val="20"/>
              </w:rPr>
              <w:t>23</w:t>
            </w:r>
            <w:r>
              <w:rPr>
                <w:rFonts w:ascii="宋体" w:hAnsi="宋体" w:cs="宋体" w:eastAsia="宋体" w:hint="default"/>
                <w:spacing w:val="-55"/>
                <w:sz w:val="20"/>
                <w:szCs w:val="20"/>
              </w:rPr>
              <w:t> </w:t>
            </w:r>
            <w:r>
              <w:rPr>
                <w:rFonts w:ascii="宋体" w:hAnsi="宋体" w:cs="宋体" w:eastAsia="宋体" w:hint="default"/>
                <w:sz w:val="20"/>
                <w:szCs w:val="20"/>
              </w:rPr>
              <w:t>日</w:t>
            </w:r>
          </w:p>
        </w:tc>
        <w:tc>
          <w:tcPr>
            <w:tcW w:w="2355"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0"/>
                <w:szCs w:val="20"/>
              </w:rPr>
            </w:pPr>
            <w:r>
              <w:rPr>
                <w:rFonts w:ascii="宋体"/>
                <w:w w:val="95"/>
                <w:sz w:val="20"/>
              </w:rPr>
              <w:t>-7,500.00</w:t>
            </w:r>
            <w:r>
              <w:rPr>
                <w:rFonts w:ascii="宋体"/>
                <w:sz w:val="20"/>
              </w:rPr>
            </w:r>
          </w:p>
        </w:tc>
      </w:tr>
      <w:tr>
        <w:trPr>
          <w:trHeight w:val="334" w:hRule="exact"/>
        </w:trPr>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张新中</w:t>
            </w:r>
          </w:p>
        </w:tc>
        <w:tc>
          <w:tcPr>
            <w:tcW w:w="1947"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55"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96"/>
              <w:jc w:val="right"/>
              <w:rPr>
                <w:rFonts w:ascii="宋体" w:hAnsi="宋体" w:cs="宋体" w:eastAsia="宋体" w:hint="default"/>
                <w:sz w:val="20"/>
                <w:szCs w:val="20"/>
              </w:rPr>
            </w:pPr>
            <w:r>
              <w:rPr>
                <w:rFonts w:ascii="宋体"/>
                <w:w w:val="95"/>
                <w:sz w:val="20"/>
              </w:rPr>
              <w:t>-7,575.00</w:t>
            </w:r>
            <w:r>
              <w:rPr>
                <w:rFonts w:ascii="宋体"/>
                <w:sz w:val="20"/>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151" w:firstLine="425"/>
        <w:jc w:val="both"/>
      </w:pPr>
      <w:r>
        <w:rPr>
          <w:rFonts w:ascii="宋体" w:hAnsi="宋体" w:cs="宋体" w:eastAsia="宋体" w:hint="default"/>
        </w:rPr>
        <w:t>1.</w:t>
      </w:r>
      <w:r>
        <w:rPr/>
        <w:t>付景林先生，公司董事长、总经理。</w:t>
      </w:r>
      <w:r>
        <w:rPr>
          <w:rFonts w:ascii="宋体" w:hAnsi="宋体" w:cs="宋体" w:eastAsia="宋体" w:hint="default"/>
        </w:rPr>
        <w:t>1998</w:t>
      </w:r>
      <w:r>
        <w:rPr/>
        <w:t>年</w:t>
      </w:r>
      <w:r>
        <w:rPr>
          <w:rFonts w:ascii="宋体" w:hAnsi="宋体" w:cs="宋体" w:eastAsia="宋体" w:hint="default"/>
        </w:rPr>
        <w:t>4</w:t>
      </w:r>
      <w:r>
        <w:rPr/>
        <w:t>月至</w:t>
      </w:r>
      <w:r>
        <w:rPr>
          <w:rFonts w:ascii="宋体" w:hAnsi="宋体" w:cs="宋体" w:eastAsia="宋体" w:hint="default"/>
        </w:rPr>
        <w:t>1998</w:t>
      </w:r>
      <w:r>
        <w:rPr/>
        <w:t>年</w:t>
      </w:r>
      <w:r>
        <w:rPr>
          <w:rFonts w:ascii="宋体" w:hAnsi="宋体" w:cs="宋体" w:eastAsia="宋体" w:hint="default"/>
        </w:rPr>
        <w:t>9</w:t>
      </w:r>
      <w:r>
        <w:rPr/>
        <w:t>月任邮电部电信科学技术研 究院计财处主管，</w:t>
      </w:r>
      <w:r>
        <w:rPr>
          <w:rFonts w:ascii="宋体" w:hAnsi="宋体" w:cs="宋体" w:eastAsia="宋体" w:hint="default"/>
        </w:rPr>
        <w:t>1998</w:t>
      </w:r>
      <w:r>
        <w:rPr/>
        <w:t>年</w:t>
      </w:r>
      <w:r>
        <w:rPr>
          <w:rFonts w:ascii="宋体" w:hAnsi="宋体" w:cs="宋体" w:eastAsia="宋体" w:hint="default"/>
        </w:rPr>
        <w:t>9</w:t>
      </w:r>
      <w:r>
        <w:rPr/>
        <w:t>月至</w:t>
      </w:r>
      <w:r>
        <w:rPr>
          <w:rFonts w:ascii="宋体" w:hAnsi="宋体" w:cs="宋体" w:eastAsia="宋体" w:hint="default"/>
        </w:rPr>
        <w:t>2003</w:t>
      </w:r>
      <w:r>
        <w:rPr/>
        <w:t>年</w:t>
      </w:r>
      <w:r>
        <w:rPr>
          <w:rFonts w:ascii="宋体" w:hAnsi="宋体" w:cs="宋体" w:eastAsia="宋体" w:hint="default"/>
        </w:rPr>
        <w:t>4</w:t>
      </w:r>
      <w:r>
        <w:rPr/>
        <w:t>月任大唐电信科技股份有限公司投资发展部总经理，</w:t>
      </w:r>
      <w:r>
        <w:rPr>
          <w:spacing w:val="-90"/>
        </w:rPr>
        <w:t> </w:t>
      </w:r>
      <w:r>
        <w:rPr>
          <w:spacing w:val="-90"/>
        </w:rPr>
      </w:r>
      <w:r>
        <w:rPr>
          <w:spacing w:val="-2"/>
        </w:rPr>
        <w:t>其中：</w:t>
      </w:r>
      <w:r>
        <w:rPr>
          <w:rFonts w:ascii="宋体" w:hAnsi="宋体" w:cs="宋体" w:eastAsia="宋体" w:hint="default"/>
          <w:spacing w:val="-2"/>
        </w:rPr>
        <w:t>2001</w:t>
      </w:r>
      <w:r>
        <w:rPr>
          <w:spacing w:val="-2"/>
        </w:rPr>
        <w:t>年</w:t>
      </w:r>
      <w:r>
        <w:rPr>
          <w:rFonts w:ascii="宋体" w:hAnsi="宋体" w:cs="宋体" w:eastAsia="宋体" w:hint="default"/>
          <w:spacing w:val="-2"/>
        </w:rPr>
        <w:t>10</w:t>
      </w:r>
      <w:r>
        <w:rPr>
          <w:spacing w:val="-2"/>
        </w:rPr>
        <w:t>月至</w:t>
      </w:r>
      <w:r>
        <w:rPr>
          <w:rFonts w:ascii="宋体" w:hAnsi="宋体" w:cs="宋体" w:eastAsia="宋体" w:hint="default"/>
          <w:spacing w:val="-2"/>
        </w:rPr>
        <w:t>2003</w:t>
      </w:r>
      <w:r>
        <w:rPr>
          <w:spacing w:val="-2"/>
        </w:rPr>
        <w:t>年</w:t>
      </w:r>
      <w:r>
        <w:rPr>
          <w:rFonts w:ascii="宋体" w:hAnsi="宋体" w:cs="宋体" w:eastAsia="宋体" w:hint="default"/>
          <w:spacing w:val="-2"/>
        </w:rPr>
        <w:t>4</w:t>
      </w:r>
      <w:r>
        <w:rPr>
          <w:spacing w:val="-2"/>
        </w:rPr>
        <w:t>月兼任该公司董事会秘书。目前兼任贵州大唐高鸿电子信息技术</w:t>
      </w:r>
      <w:r>
        <w:rPr>
          <w:spacing w:val="-111"/>
        </w:rPr>
        <w:t> </w:t>
      </w:r>
      <w:r>
        <w:rPr>
          <w:spacing w:val="-111"/>
        </w:rPr>
      </w:r>
      <w:r>
        <w:rPr/>
        <w:t>有限公司董事长。</w:t>
      </w:r>
    </w:p>
    <w:p>
      <w:pPr>
        <w:pStyle w:val="BodyText"/>
        <w:spacing w:line="357" w:lineRule="auto"/>
        <w:ind w:right="154" w:firstLine="425"/>
        <w:jc w:val="both"/>
      </w:pPr>
      <w:r>
        <w:rPr>
          <w:rFonts w:ascii="宋体" w:hAnsi="宋体" w:cs="宋体" w:eastAsia="宋体" w:hint="default"/>
          <w:spacing w:val="-1"/>
        </w:rPr>
        <w:t>2.</w:t>
      </w:r>
      <w:r>
        <w:rPr>
          <w:spacing w:val="-1"/>
        </w:rPr>
        <w:t>郑金良先生，公司副董事长。</w:t>
      </w:r>
      <w:r>
        <w:rPr>
          <w:rFonts w:ascii="宋体" w:hAnsi="宋体" w:cs="宋体" w:eastAsia="宋体" w:hint="default"/>
          <w:spacing w:val="-1"/>
        </w:rPr>
        <w:t>2001</w:t>
      </w:r>
      <w:r>
        <w:rPr>
          <w:spacing w:val="-1"/>
        </w:rPr>
        <w:t>年</w:t>
      </w:r>
      <w:r>
        <w:rPr>
          <w:rFonts w:ascii="宋体" w:hAnsi="宋体" w:cs="宋体" w:eastAsia="宋体" w:hint="default"/>
          <w:spacing w:val="-1"/>
        </w:rPr>
        <w:t>7</w:t>
      </w:r>
      <w:r>
        <w:rPr>
          <w:spacing w:val="-1"/>
        </w:rPr>
        <w:t>月至</w:t>
      </w:r>
      <w:r>
        <w:rPr>
          <w:rFonts w:ascii="宋体" w:hAnsi="宋体" w:cs="宋体" w:eastAsia="宋体" w:hint="default"/>
          <w:spacing w:val="-1"/>
        </w:rPr>
        <w:t>2005</w:t>
      </w:r>
      <w:r>
        <w:rPr>
          <w:spacing w:val="-1"/>
        </w:rPr>
        <w:t>年</w:t>
      </w:r>
      <w:r>
        <w:rPr>
          <w:rFonts w:ascii="宋体" w:hAnsi="宋体" w:cs="宋体" w:eastAsia="宋体" w:hint="default"/>
          <w:spacing w:val="-1"/>
        </w:rPr>
        <w:t>12</w:t>
      </w:r>
      <w:r>
        <w:rPr>
          <w:spacing w:val="-1"/>
        </w:rPr>
        <w:t>月任北京电子控股有限责任公司法</w:t>
      </w:r>
      <w:r>
        <w:rPr/>
        <w:t> 务人员，曾任电信科学技术研究院法律事务部法律事务总经理助理。</w:t>
      </w:r>
      <w:r>
        <w:rPr>
          <w:rFonts w:ascii="宋体" w:hAnsi="宋体" w:cs="宋体" w:eastAsia="宋体" w:hint="default"/>
        </w:rPr>
        <w:t>2008</w:t>
      </w:r>
      <w:r>
        <w:rPr/>
        <w:t>年至今任大唐科技</w:t>
      </w:r>
      <w:r>
        <w:rPr>
          <w:spacing w:val="-88"/>
        </w:rPr>
        <w:t> </w:t>
      </w:r>
      <w:r>
        <w:rPr>
          <w:spacing w:val="-88"/>
        </w:rPr>
      </w:r>
      <w:r>
        <w:rPr/>
        <w:t>产业控股有限公司法律事务部副总经理。</w:t>
      </w:r>
    </w:p>
    <w:p>
      <w:pPr>
        <w:pStyle w:val="BodyText"/>
        <w:spacing w:line="357" w:lineRule="auto"/>
        <w:ind w:right="148" w:firstLine="425"/>
        <w:jc w:val="both"/>
      </w:pPr>
      <w:r>
        <w:rPr>
          <w:rFonts w:ascii="宋体" w:hAnsi="宋体" w:cs="宋体" w:eastAsia="宋体" w:hint="default"/>
          <w:spacing w:val="-4"/>
        </w:rPr>
        <w:t>3.</w:t>
      </w:r>
      <w:r>
        <w:rPr>
          <w:spacing w:val="-4"/>
        </w:rPr>
        <w:t>蔡荣生先生，报告期内为公司独立董事。</w:t>
      </w:r>
      <w:r>
        <w:rPr>
          <w:rFonts w:ascii="宋体" w:hAnsi="宋体" w:cs="宋体" w:eastAsia="宋体" w:hint="default"/>
          <w:spacing w:val="-4"/>
        </w:rPr>
        <w:t>1987</w:t>
      </w:r>
      <w:r>
        <w:rPr>
          <w:spacing w:val="-4"/>
        </w:rPr>
        <w:t>年至</w:t>
      </w:r>
      <w:r>
        <w:rPr>
          <w:rFonts w:ascii="宋体" w:hAnsi="宋体" w:cs="宋体" w:eastAsia="宋体" w:hint="default"/>
          <w:spacing w:val="-4"/>
        </w:rPr>
        <w:t>1989</w:t>
      </w:r>
      <w:r>
        <w:rPr>
          <w:spacing w:val="-4"/>
        </w:rPr>
        <w:t>年任长春一汽助理工程师，</w:t>
      </w:r>
      <w:r>
        <w:rPr>
          <w:rFonts w:ascii="宋体" w:hAnsi="宋体" w:cs="宋体" w:eastAsia="宋体" w:hint="default"/>
          <w:spacing w:val="-4"/>
        </w:rPr>
        <w:t>1992</w:t>
      </w:r>
      <w:r>
        <w:rPr>
          <w:rFonts w:ascii="宋体" w:hAnsi="宋体" w:cs="宋体" w:eastAsia="宋体" w:hint="default"/>
        </w:rPr>
        <w:t> </w:t>
      </w:r>
      <w:r>
        <w:rPr/>
        <w:t>年至</w:t>
      </w:r>
      <w:r>
        <w:rPr>
          <w:rFonts w:ascii="宋体" w:hAnsi="宋体" w:cs="宋体" w:eastAsia="宋体" w:hint="default"/>
        </w:rPr>
        <w:t>2003</w:t>
      </w:r>
      <w:r>
        <w:rPr/>
        <w:t>年任中共中央台湾办公室、国务院台湾事务办公室副处长，</w:t>
      </w:r>
      <w:r>
        <w:rPr>
          <w:rFonts w:ascii="宋体" w:hAnsi="宋体" w:cs="宋体" w:eastAsia="宋体" w:hint="default"/>
        </w:rPr>
        <w:t>2003</w:t>
      </w:r>
      <w:r>
        <w:rPr/>
        <w:t>年至今，任中国人</w:t>
      </w:r>
      <w:r>
        <w:rPr>
          <w:spacing w:val="-89"/>
        </w:rPr>
        <w:t> </w:t>
      </w:r>
      <w:r>
        <w:rPr>
          <w:spacing w:val="-89"/>
        </w:rPr>
      </w:r>
      <w:r>
        <w:rPr/>
        <w:t>民大学教授、博士生导师、处长。</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29</w:t>
      </w:r>
      <w:r>
        <w:rPr/>
        <w:t>日起，不再担任公司独立董事职务。</w:t>
      </w:r>
    </w:p>
    <w:p>
      <w:pPr>
        <w:pStyle w:val="BodyText"/>
        <w:spacing w:line="357" w:lineRule="auto"/>
        <w:ind w:right="148" w:firstLine="425"/>
        <w:jc w:val="both"/>
      </w:pPr>
      <w:r>
        <w:rPr>
          <w:rFonts w:ascii="宋体" w:hAnsi="宋体" w:cs="宋体" w:eastAsia="宋体" w:hint="default"/>
          <w:spacing w:val="2"/>
        </w:rPr>
        <w:t>4.</w:t>
      </w:r>
      <w:r>
        <w:rPr>
          <w:spacing w:val="2"/>
        </w:rPr>
        <w:t>刘剑文先生，公司独立董事。曾任武汉大学法学院副院长、律师进修学院副院长、中 </w:t>
      </w:r>
      <w:r>
        <w:rPr/>
        <w:t>国财税法网创立人等。现任北京大学法学院教授、博士生导师，北京大学财税法研究中心主</w:t>
      </w:r>
      <w:r>
        <w:rPr>
          <w:spacing w:val="-86"/>
        </w:rPr>
        <w:t> </w:t>
      </w:r>
      <w:r>
        <w:rPr>
          <w:spacing w:val="-86"/>
        </w:rPr>
      </w:r>
      <w:r>
        <w:rPr/>
        <w:t>任。</w:t>
      </w:r>
    </w:p>
    <w:p>
      <w:pPr>
        <w:pStyle w:val="BodyText"/>
        <w:spacing w:line="357" w:lineRule="auto"/>
        <w:ind w:right="148" w:firstLine="425"/>
        <w:jc w:val="both"/>
      </w:pPr>
      <w:r>
        <w:rPr>
          <w:rFonts w:ascii="宋体" w:hAnsi="宋体" w:cs="宋体" w:eastAsia="宋体" w:hint="default"/>
          <w:spacing w:val="2"/>
        </w:rPr>
        <w:t>5.</w:t>
      </w:r>
      <w:r>
        <w:rPr>
          <w:spacing w:val="2"/>
        </w:rPr>
        <w:t>吕廷杰先生，公司独立董事。现任北京邮电大学经济管理学院院长；教授、博士生导 </w:t>
      </w:r>
      <w:r>
        <w:rPr/>
        <w:t>师；教育部“信息管理与信息经济学重点实验室”学术委员会主任；北京邮电大学电子商务</w:t>
      </w:r>
      <w:r>
        <w:rPr>
          <w:spacing w:val="-89"/>
        </w:rPr>
        <w:t> </w:t>
      </w:r>
      <w:r>
        <w:rPr>
          <w:spacing w:val="-89"/>
        </w:rPr>
      </w:r>
      <w:r>
        <w:rPr/>
        <w:t>研究中心主任。</w:t>
      </w:r>
    </w:p>
    <w:p>
      <w:pPr>
        <w:pStyle w:val="BodyText"/>
        <w:spacing w:line="240" w:lineRule="auto"/>
        <w:ind w:left="578" w:right="0"/>
        <w:jc w:val="left"/>
      </w:pPr>
      <w:r>
        <w:rPr>
          <w:rFonts w:ascii="宋体" w:hAnsi="宋体" w:cs="宋体" w:eastAsia="宋体" w:hint="default"/>
        </w:rPr>
        <w:t>6.</w:t>
      </w:r>
      <w:r>
        <w:rPr/>
        <w:t>孙琪先生，公司独立董事。北京市纵横律师事务所专职律师。</w:t>
      </w:r>
    </w:p>
    <w:p>
      <w:pPr>
        <w:pStyle w:val="BodyText"/>
        <w:spacing w:line="357" w:lineRule="auto" w:before="154"/>
        <w:ind w:right="154" w:firstLine="425"/>
        <w:jc w:val="both"/>
      </w:pPr>
      <w:r>
        <w:rPr>
          <w:rFonts w:ascii="宋体" w:hAnsi="宋体" w:cs="宋体" w:eastAsia="宋体" w:hint="default"/>
        </w:rPr>
        <w:t>7.</w:t>
      </w:r>
      <w:r>
        <w:rPr/>
        <w:t>张晓岚女士，公司独立董事。曾任陕西财经学院副院长，</w:t>
      </w:r>
      <w:r>
        <w:rPr>
          <w:spacing w:val="-29"/>
        </w:rPr>
        <w:t> </w:t>
      </w:r>
      <w:r>
        <w:rPr/>
        <w:t>西安交通大学副校长、校党</w:t>
      </w:r>
      <w:r>
        <w:rPr/>
        <w:t> 委常委、西安交通大学产业集团董事、董事长、西安交通大学教育投资公司董事、董事长。</w:t>
      </w:r>
      <w:r>
        <w:rPr>
          <w:spacing w:val="-91"/>
        </w:rPr>
        <w:t> </w:t>
      </w:r>
      <w:r>
        <w:rPr>
          <w:spacing w:val="-91"/>
        </w:rPr>
      </w:r>
      <w:r>
        <w:rPr/>
        <w:t>现任上海对外贸易学院会计学教授，兼任西安交通大学会计学教授、博士生导师。</w:t>
      </w:r>
    </w:p>
    <w:p>
      <w:pPr>
        <w:pStyle w:val="BodyText"/>
        <w:spacing w:line="357" w:lineRule="auto"/>
        <w:ind w:right="149" w:firstLine="425"/>
        <w:jc w:val="both"/>
      </w:pPr>
      <w:r>
        <w:rPr>
          <w:rFonts w:ascii="宋体" w:hAnsi="宋体" w:cs="宋体" w:eastAsia="宋体" w:hint="default"/>
        </w:rPr>
        <w:t>8.</w:t>
      </w:r>
      <w:r>
        <w:rPr/>
        <w:t>郭光莉女士，公司监事会主席，</w:t>
      </w:r>
      <w:r>
        <w:rPr>
          <w:rFonts w:ascii="宋体" w:hAnsi="宋体" w:cs="宋体" w:eastAsia="宋体" w:hint="default"/>
        </w:rPr>
        <w:t>2004</w:t>
      </w:r>
      <w:r>
        <w:rPr/>
        <w:t>年至</w:t>
      </w:r>
      <w:r>
        <w:rPr>
          <w:rFonts w:ascii="宋体" w:hAnsi="宋体" w:cs="宋体" w:eastAsia="宋体" w:hint="default"/>
        </w:rPr>
        <w:t>2008</w:t>
      </w:r>
      <w:r>
        <w:rPr/>
        <w:t>年</w:t>
      </w:r>
      <w:r>
        <w:rPr>
          <w:rFonts w:ascii="宋体" w:hAnsi="宋体" w:cs="宋体" w:eastAsia="宋体" w:hint="default"/>
        </w:rPr>
        <w:t>10</w:t>
      </w:r>
      <w:r>
        <w:rPr/>
        <w:t>月，任大唐电信科技股份有限公司 </w:t>
      </w:r>
      <w:r>
        <w:rPr>
          <w:spacing w:val="-2"/>
        </w:rPr>
        <w:t>财务部副总经理，财务部总经理，</w:t>
      </w:r>
      <w:r>
        <w:rPr>
          <w:rFonts w:ascii="宋体" w:hAnsi="宋体" w:cs="宋体" w:eastAsia="宋体" w:hint="default"/>
          <w:spacing w:val="-2"/>
        </w:rPr>
        <w:t>2008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月，任大唐电信科技产业控股有限公司</w:t>
      </w:r>
      <w:r>
        <w:rPr>
          <w:spacing w:val="-108"/>
        </w:rPr>
        <w:t> </w:t>
      </w:r>
      <w:r>
        <w:rPr>
          <w:spacing w:val="-108"/>
        </w:rPr>
      </w:r>
      <w:r>
        <w:rPr>
          <w:spacing w:val="-2"/>
        </w:rPr>
        <w:t>财务资产部副总经理、财务资产部总经理，</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月至今，任电信科学技术研究院副总会计</w:t>
      </w:r>
      <w:r>
        <w:rPr>
          <w:spacing w:val="-114"/>
        </w:rPr>
        <w:t> </w:t>
      </w:r>
      <w:r>
        <w:rPr>
          <w:spacing w:val="-114"/>
        </w:rPr>
      </w:r>
      <w:r>
        <w:rPr/>
        <w:t>师兼大唐电信科技产业控股有限公司财务资产部总经理。</w:t>
      </w:r>
    </w:p>
    <w:p>
      <w:pPr>
        <w:pStyle w:val="BodyText"/>
        <w:spacing w:line="357" w:lineRule="auto"/>
        <w:ind w:right="151" w:firstLine="425"/>
        <w:jc w:val="both"/>
      </w:pPr>
      <w:r>
        <w:rPr>
          <w:rFonts w:ascii="宋体" w:hAnsi="宋体" w:cs="宋体" w:eastAsia="宋体" w:hint="default"/>
        </w:rPr>
        <w:t>9.</w:t>
      </w:r>
      <w:r>
        <w:rPr>
          <w:rFonts w:ascii="宋体" w:hAnsi="宋体" w:cs="宋体" w:eastAsia="宋体" w:hint="default"/>
          <w:spacing w:val="-27"/>
        </w:rPr>
        <w:t> </w:t>
      </w:r>
      <w:r>
        <w:rPr/>
        <w:t>姚印杰先生，公司职工监事，</w:t>
      </w:r>
      <w:r>
        <w:rPr>
          <w:rFonts w:ascii="宋体" w:hAnsi="宋体" w:cs="宋体" w:eastAsia="宋体" w:hint="default"/>
        </w:rPr>
        <w:t>2003</w:t>
      </w:r>
      <w:r>
        <w:rPr/>
        <w:t>年</w:t>
      </w:r>
      <w:r>
        <w:rPr>
          <w:rFonts w:ascii="宋体" w:hAnsi="宋体" w:cs="宋体" w:eastAsia="宋体" w:hint="default"/>
        </w:rPr>
        <w:t>3</w:t>
      </w:r>
      <w:r>
        <w:rPr/>
        <w:t>月至</w:t>
      </w:r>
      <w:r>
        <w:rPr>
          <w:rFonts w:ascii="宋体" w:hAnsi="宋体" w:cs="宋体" w:eastAsia="宋体" w:hint="default"/>
        </w:rPr>
        <w:t>2008</w:t>
      </w:r>
      <w:r>
        <w:rPr/>
        <w:t>年</w:t>
      </w:r>
      <w:r>
        <w:rPr>
          <w:rFonts w:ascii="宋体" w:hAnsi="宋体" w:cs="宋体" w:eastAsia="宋体" w:hint="default"/>
        </w:rPr>
        <w:t>9</w:t>
      </w:r>
      <w:r>
        <w:rPr/>
        <w:t>月任北京宝哲体育用品有限公司财 </w:t>
      </w:r>
      <w:r>
        <w:rPr>
          <w:spacing w:val="-2"/>
        </w:rPr>
        <w:t>务部经理，主持财务部日常工作。</w:t>
      </w:r>
      <w:r>
        <w:rPr>
          <w:rFonts w:ascii="宋体" w:hAnsi="宋体" w:cs="宋体" w:eastAsia="宋体" w:hint="default"/>
          <w:spacing w:val="-2"/>
        </w:rPr>
        <w:t>2008</w:t>
      </w:r>
      <w:r>
        <w:rPr>
          <w:spacing w:val="-2"/>
        </w:rPr>
        <w:t>年</w:t>
      </w:r>
      <w:r>
        <w:rPr>
          <w:rFonts w:ascii="宋体" w:hAnsi="宋体" w:cs="宋体" w:eastAsia="宋体" w:hint="default"/>
          <w:spacing w:val="-2"/>
        </w:rPr>
        <w:t>10</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月任高鸿恒昌科技有限公司北京分公</w:t>
      </w:r>
      <w:r>
        <w:rPr>
          <w:spacing w:val="-109"/>
        </w:rPr>
        <w:t> </w:t>
      </w:r>
      <w:r>
        <w:rPr/>
        <w:t>司财务部经理。</w:t>
      </w:r>
      <w:r>
        <w:rPr>
          <w:rFonts w:ascii="宋体" w:hAnsi="宋体" w:cs="宋体" w:eastAsia="宋体" w:hint="default"/>
        </w:rPr>
        <w:t>2010</w:t>
      </w:r>
      <w:r>
        <w:rPr/>
        <w:t>年</w:t>
      </w:r>
      <w:r>
        <w:rPr>
          <w:rFonts w:ascii="宋体" w:hAnsi="宋体" w:cs="宋体" w:eastAsia="宋体" w:hint="default"/>
        </w:rPr>
        <w:t>3</w:t>
      </w:r>
      <w:r>
        <w:rPr/>
        <w:t>月至</w:t>
      </w:r>
      <w:r>
        <w:rPr>
          <w:rFonts w:ascii="宋体" w:hAnsi="宋体" w:cs="宋体" w:eastAsia="宋体" w:hint="default"/>
        </w:rPr>
        <w:t>2013</w:t>
      </w:r>
      <w:r>
        <w:rPr/>
        <w:t>年</w:t>
      </w:r>
      <w:r>
        <w:rPr>
          <w:rFonts w:ascii="宋体" w:hAnsi="宋体" w:cs="宋体" w:eastAsia="宋体" w:hint="default"/>
        </w:rPr>
        <w:t>5</w:t>
      </w:r>
      <w:r>
        <w:rPr/>
        <w:t>月任公司控股子公司大唐高鸿信息技术有限公司财务部</w:t>
      </w:r>
      <w:r>
        <w:rPr>
          <w:spacing w:val="-90"/>
        </w:rPr>
        <w:t> </w:t>
      </w:r>
      <w:r>
        <w:rPr>
          <w:spacing w:val="-90"/>
        </w:rPr>
      </w:r>
      <w:r>
        <w:rPr>
          <w:spacing w:val="-2"/>
        </w:rPr>
        <w:t>总经理。</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月至今任江苏高鸿鼎恒信息技术有限公司财务部负责人。未在其他单位任职</w:t>
      </w:r>
      <w:r>
        <w:rPr>
          <w:spacing w:val="-115"/>
        </w:rPr>
        <w:t> </w:t>
      </w:r>
      <w:r>
        <w:rPr>
          <w:spacing w:val="-115"/>
        </w:rPr>
      </w:r>
      <w:r>
        <w:rPr/>
        <w:t>或兼职。</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96" w:firstLine="425"/>
        <w:jc w:val="left"/>
      </w:pPr>
      <w:r>
        <w:rPr>
          <w:rFonts w:ascii="宋体" w:hAnsi="宋体" w:cs="宋体" w:eastAsia="宋体" w:hint="default"/>
        </w:rPr>
        <w:t>10.</w:t>
      </w:r>
      <w:r>
        <w:rPr/>
        <w:t>翁冠男先生，公司职工监事，先后任公司产品中心软件工程师、产品中心副总经理、 </w:t>
      </w:r>
      <w:r>
        <w:rPr>
          <w:spacing w:val="-2"/>
        </w:rPr>
        <w:t>产品发展部副总经理、视讯产品事业部副总经理、宽带产品事业部副总经理、国际部总经理、</w:t>
      </w:r>
      <w:r>
        <w:rPr/>
        <w:t> 电子商务事业部总经理，现任公司总经理助理兼任公司全资子大唐高鸿通信技术有限公司总</w:t>
      </w:r>
      <w:r>
        <w:rPr>
          <w:spacing w:val="-91"/>
        </w:rPr>
        <w:t> </w:t>
      </w:r>
      <w:r>
        <w:rPr>
          <w:spacing w:val="-91"/>
        </w:rPr>
      </w:r>
      <w:r>
        <w:rPr/>
        <w:t>经理及其子公司深圳大唐高鸿互动科技有限公司的董事长。未在其他单位任职或兼职。</w:t>
      </w:r>
    </w:p>
    <w:p>
      <w:pPr>
        <w:pStyle w:val="BodyText"/>
        <w:spacing w:line="357" w:lineRule="auto"/>
        <w:ind w:right="231" w:firstLine="425"/>
        <w:jc w:val="both"/>
      </w:pPr>
      <w:r>
        <w:rPr>
          <w:rFonts w:ascii="宋体" w:hAnsi="宋体" w:cs="宋体" w:eastAsia="宋体" w:hint="default"/>
        </w:rPr>
        <w:t>11.</w:t>
      </w:r>
      <w:r>
        <w:rPr>
          <w:rFonts w:ascii="宋体" w:hAnsi="宋体" w:cs="宋体" w:eastAsia="宋体" w:hint="default"/>
          <w:spacing w:val="5"/>
        </w:rPr>
        <w:t> </w:t>
      </w:r>
      <w:r>
        <w:rPr>
          <w:spacing w:val="2"/>
        </w:rPr>
        <w:t>侯玉成先生，公司副总经理，教授级高级工程师。曾任大唐电信科技股份有限公司</w:t>
      </w:r>
      <w:r>
        <w:rPr/>
        <w:t> 产品管理部副总经理、投资与技术发展部副总经理、产品规划与技术管理部副总经理，大唐</w:t>
      </w:r>
      <w:r>
        <w:rPr>
          <w:spacing w:val="-91"/>
        </w:rPr>
        <w:t> </w:t>
      </w:r>
      <w:r>
        <w:rPr>
          <w:spacing w:val="-91"/>
        </w:rPr>
      </w:r>
      <w:r>
        <w:rPr>
          <w:spacing w:val="-2"/>
        </w:rPr>
        <w:t>高鸿数据网络技术股份有限公司总经理助理，经营规划委员会主任。</w:t>
      </w:r>
      <w:r>
        <w:rPr>
          <w:rFonts w:ascii="宋体" w:hAnsi="宋体" w:cs="宋体" w:eastAsia="宋体" w:hint="default"/>
          <w:spacing w:val="-2"/>
        </w:rPr>
        <w:t>2009</w:t>
      </w:r>
      <w:r>
        <w:rPr>
          <w:spacing w:val="-2"/>
        </w:rPr>
        <w:t>年</w:t>
      </w:r>
      <w:r>
        <w:rPr>
          <w:rFonts w:ascii="宋体" w:hAnsi="宋体" w:cs="宋体" w:eastAsia="宋体" w:hint="default"/>
          <w:spacing w:val="-2"/>
        </w:rPr>
        <w:t>5</w:t>
      </w:r>
      <w:r>
        <w:rPr>
          <w:spacing w:val="-2"/>
        </w:rPr>
        <w:t>月至今公司副总</w:t>
      </w:r>
      <w:r>
        <w:rPr>
          <w:spacing w:val="-114"/>
        </w:rPr>
        <w:t> </w:t>
      </w:r>
      <w:r>
        <w:rPr/>
        <w:t>经理兼任公司全资子公司北京大唐高鸿软件技术有限公司董事长、全资子公司北京大唐高鸿</w:t>
      </w:r>
      <w:r>
        <w:rPr>
          <w:spacing w:val="-91"/>
        </w:rPr>
        <w:t> </w:t>
      </w:r>
      <w:r>
        <w:rPr>
          <w:spacing w:val="-91"/>
        </w:rPr>
      </w:r>
      <w:r>
        <w:rPr/>
        <w:t>数据网络技术有限公司执行董事、公司控股子公司北京大唐融合通信技术有限公司董事长。</w:t>
      </w:r>
      <w:r>
        <w:rPr>
          <w:spacing w:val="-91"/>
        </w:rPr>
        <w:t> </w:t>
      </w:r>
      <w:r>
        <w:rPr>
          <w:spacing w:val="-91"/>
        </w:rPr>
      </w:r>
      <w:r>
        <w:rPr/>
        <w:t>未在其它单位任职或兼职。</w:t>
      </w:r>
    </w:p>
    <w:p>
      <w:pPr>
        <w:pStyle w:val="BodyText"/>
        <w:spacing w:line="357" w:lineRule="auto"/>
        <w:ind w:right="231" w:firstLine="425"/>
        <w:jc w:val="both"/>
      </w:pPr>
      <w:r>
        <w:rPr>
          <w:rFonts w:ascii="宋体" w:hAnsi="宋体" w:cs="宋体" w:eastAsia="宋体" w:hint="default"/>
          <w:spacing w:val="-1"/>
        </w:rPr>
        <w:t>12.</w:t>
      </w:r>
      <w:r>
        <w:rPr>
          <w:spacing w:val="-1"/>
        </w:rPr>
        <w:t>王芊先生，公司副总经理、董事会秘书。</w:t>
      </w:r>
      <w:r>
        <w:rPr>
          <w:rFonts w:ascii="宋体" w:hAnsi="宋体" w:cs="宋体" w:eastAsia="宋体" w:hint="default"/>
          <w:spacing w:val="-1"/>
        </w:rPr>
        <w:t>2001</w:t>
      </w:r>
      <w:r>
        <w:rPr>
          <w:spacing w:val="-1"/>
        </w:rPr>
        <w:t>年至</w:t>
      </w:r>
      <w:r>
        <w:rPr>
          <w:rFonts w:ascii="宋体" w:hAnsi="宋体" w:cs="宋体" w:eastAsia="宋体" w:hint="default"/>
          <w:spacing w:val="-1"/>
        </w:rPr>
        <w:t>2003</w:t>
      </w:r>
      <w:r>
        <w:rPr>
          <w:spacing w:val="-1"/>
        </w:rPr>
        <w:t>年大唐电信科技股份有限公司</w:t>
      </w:r>
      <w:r>
        <w:rPr/>
        <w:t> 投资部经理。</w:t>
      </w:r>
      <w:r>
        <w:rPr>
          <w:rFonts w:ascii="宋体" w:hAnsi="宋体" w:cs="宋体" w:eastAsia="宋体" w:hint="default"/>
        </w:rPr>
        <w:t>2003</w:t>
      </w:r>
      <w:r>
        <w:rPr/>
        <w:t>年任公司投资发展部总经理。</w:t>
      </w:r>
      <w:r>
        <w:rPr>
          <w:rFonts w:ascii="宋体" w:hAnsi="宋体" w:cs="宋体" w:eastAsia="宋体" w:hint="default"/>
        </w:rPr>
        <w:t>2004</w:t>
      </w:r>
      <w:r>
        <w:rPr/>
        <w:t>年至</w:t>
      </w:r>
      <w:r>
        <w:rPr>
          <w:rFonts w:ascii="宋体" w:hAnsi="宋体" w:cs="宋体" w:eastAsia="宋体" w:hint="default"/>
        </w:rPr>
        <w:t>2005</w:t>
      </w:r>
      <w:r>
        <w:rPr/>
        <w:t>年任公司董事会秘书兼投资发</w:t>
      </w:r>
      <w:r>
        <w:rPr>
          <w:spacing w:val="-89"/>
        </w:rPr>
        <w:t> </w:t>
      </w:r>
      <w:r>
        <w:rPr>
          <w:spacing w:val="-89"/>
        </w:rPr>
      </w:r>
      <w:r>
        <w:rPr/>
        <w:t>展部总经理，</w:t>
      </w:r>
      <w:r>
        <w:rPr>
          <w:rFonts w:ascii="宋体" w:hAnsi="宋体" w:cs="宋体" w:eastAsia="宋体" w:hint="default"/>
        </w:rPr>
        <w:t>2006</w:t>
      </w:r>
      <w:r>
        <w:rPr/>
        <w:t>年至</w:t>
      </w:r>
      <w:r>
        <w:rPr>
          <w:rFonts w:ascii="宋体" w:hAnsi="宋体" w:cs="宋体" w:eastAsia="宋体" w:hint="default"/>
        </w:rPr>
        <w:t>2008</w:t>
      </w:r>
      <w:r>
        <w:rPr/>
        <w:t>年</w:t>
      </w:r>
      <w:r>
        <w:rPr>
          <w:rFonts w:ascii="宋体" w:hAnsi="宋体" w:cs="宋体" w:eastAsia="宋体" w:hint="default"/>
        </w:rPr>
        <w:t>8</w:t>
      </w:r>
      <w:r>
        <w:rPr/>
        <w:t>月任公司董事会秘书，</w:t>
      </w:r>
      <w:r>
        <w:rPr>
          <w:rFonts w:ascii="宋体" w:hAnsi="宋体" w:cs="宋体" w:eastAsia="宋体" w:hint="default"/>
        </w:rPr>
        <w:t>2008</w:t>
      </w:r>
      <w:r>
        <w:rPr/>
        <w:t>年</w:t>
      </w:r>
      <w:r>
        <w:rPr>
          <w:rFonts w:ascii="宋体" w:hAnsi="宋体" w:cs="宋体" w:eastAsia="宋体" w:hint="default"/>
        </w:rPr>
        <w:t>8</w:t>
      </w:r>
      <w:r>
        <w:rPr/>
        <w:t>月至</w:t>
      </w:r>
      <w:r>
        <w:rPr>
          <w:rFonts w:ascii="宋体" w:hAnsi="宋体" w:cs="宋体" w:eastAsia="宋体" w:hint="default"/>
        </w:rPr>
        <w:t>2010</w:t>
      </w:r>
      <w:r>
        <w:rPr/>
        <w:t>年任公司董事会秘书</w:t>
      </w:r>
      <w:r>
        <w:rPr>
          <w:spacing w:val="-87"/>
        </w:rPr>
        <w:t> </w:t>
      </w:r>
      <w:r>
        <w:rPr>
          <w:spacing w:val="-87"/>
        </w:rPr>
      </w:r>
      <w:r>
        <w:rPr/>
        <w:t>兼财务负责人。</w:t>
      </w:r>
      <w:r>
        <w:rPr>
          <w:rFonts w:ascii="宋体" w:hAnsi="宋体" w:cs="宋体" w:eastAsia="宋体" w:hint="default"/>
        </w:rPr>
        <w:t>2011</w:t>
      </w:r>
      <w:r>
        <w:rPr/>
        <w:t>年至</w:t>
      </w:r>
      <w:r>
        <w:rPr>
          <w:rFonts w:ascii="宋体" w:hAnsi="宋体" w:cs="宋体" w:eastAsia="宋体" w:hint="default"/>
        </w:rPr>
        <w:t>2012</w:t>
      </w:r>
      <w:r>
        <w:rPr/>
        <w:t>年任公司副总经理、董事会秘书兼财务负责人，兼任控股子公</w:t>
      </w:r>
      <w:r>
        <w:rPr>
          <w:spacing w:val="-91"/>
        </w:rPr>
        <w:t> </w:t>
      </w:r>
      <w:r>
        <w:rPr>
          <w:spacing w:val="-91"/>
        </w:rPr>
      </w:r>
      <w:r>
        <w:rPr/>
        <w:t>司大唐高鸿通信技术有限公司董事长，大唐高鸿信息技术有限公司董事长、江苏高鸿鼎恒信</w:t>
      </w:r>
      <w:r>
        <w:rPr>
          <w:spacing w:val="-91"/>
        </w:rPr>
        <w:t> </w:t>
      </w:r>
      <w:r>
        <w:rPr>
          <w:spacing w:val="-91"/>
        </w:rPr>
      </w:r>
      <w:r>
        <w:rPr/>
        <w:t>息技术有限公司董事长。未在其它单位任职或兼职。</w:t>
      </w:r>
    </w:p>
    <w:p>
      <w:pPr>
        <w:pStyle w:val="BodyText"/>
        <w:spacing w:line="357" w:lineRule="auto"/>
        <w:ind w:right="228" w:firstLine="425"/>
        <w:jc w:val="both"/>
      </w:pPr>
      <w:r>
        <w:rPr>
          <w:rFonts w:ascii="宋体" w:hAnsi="宋体" w:cs="宋体" w:eastAsia="宋体" w:hint="default"/>
          <w:spacing w:val="-1"/>
        </w:rPr>
        <w:t>13.</w:t>
      </w:r>
      <w:r>
        <w:rPr>
          <w:spacing w:val="-1"/>
        </w:rPr>
        <w:t>刘雪峰先生，公司副总经理。</w:t>
      </w:r>
      <w:r>
        <w:rPr>
          <w:rFonts w:ascii="宋体" w:hAnsi="宋体" w:cs="宋体" w:eastAsia="宋体" w:hint="default"/>
          <w:spacing w:val="-1"/>
        </w:rPr>
        <w:t>1998</w:t>
      </w:r>
      <w:r>
        <w:rPr>
          <w:spacing w:val="-1"/>
        </w:rPr>
        <w:t>年</w:t>
      </w:r>
      <w:r>
        <w:rPr>
          <w:rFonts w:ascii="宋体" w:hAnsi="宋体" w:cs="宋体" w:eastAsia="宋体" w:hint="default"/>
          <w:spacing w:val="-1"/>
        </w:rPr>
        <w:t>7</w:t>
      </w:r>
      <w:r>
        <w:rPr>
          <w:spacing w:val="-1"/>
        </w:rPr>
        <w:t>月至</w:t>
      </w:r>
      <w:r>
        <w:rPr>
          <w:rFonts w:ascii="宋体" w:hAnsi="宋体" w:cs="宋体" w:eastAsia="宋体" w:hint="default"/>
          <w:spacing w:val="-1"/>
        </w:rPr>
        <w:t>2003</w:t>
      </w:r>
      <w:r>
        <w:rPr>
          <w:spacing w:val="-1"/>
        </w:rPr>
        <w:t>年</w:t>
      </w:r>
      <w:r>
        <w:rPr>
          <w:rFonts w:ascii="宋体" w:hAnsi="宋体" w:cs="宋体" w:eastAsia="宋体" w:hint="default"/>
          <w:spacing w:val="-1"/>
        </w:rPr>
        <w:t>5</w:t>
      </w:r>
      <w:r>
        <w:rPr>
          <w:spacing w:val="-1"/>
        </w:rPr>
        <w:t>月，大唐电信科技股份有限公司市</w:t>
      </w:r>
      <w:r>
        <w:rPr/>
        <w:t> </w:t>
      </w:r>
      <w:r>
        <w:rPr>
          <w:spacing w:val="-2"/>
        </w:rPr>
        <w:t>场部副总经理，</w:t>
      </w:r>
      <w:r>
        <w:rPr>
          <w:rFonts w:ascii="宋体" w:hAnsi="宋体" w:cs="宋体" w:eastAsia="宋体" w:hint="default"/>
          <w:spacing w:val="-2"/>
        </w:rPr>
        <w:t>2003</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2005</w:t>
      </w:r>
      <w:r>
        <w:rPr>
          <w:spacing w:val="-2"/>
        </w:rPr>
        <w:t>年</w:t>
      </w:r>
      <w:r>
        <w:rPr>
          <w:rFonts w:ascii="宋体" w:hAnsi="宋体" w:cs="宋体" w:eastAsia="宋体" w:hint="default"/>
          <w:spacing w:val="-2"/>
        </w:rPr>
        <w:t>9</w:t>
      </w:r>
      <w:r>
        <w:rPr>
          <w:spacing w:val="-2"/>
        </w:rPr>
        <w:t>月，任本公司总经理助理，</w:t>
      </w:r>
      <w:r>
        <w:rPr>
          <w:rFonts w:ascii="宋体" w:hAnsi="宋体" w:cs="宋体" w:eastAsia="宋体" w:hint="default"/>
          <w:spacing w:val="-2"/>
        </w:rPr>
        <w:t>2005</w:t>
      </w:r>
      <w:r>
        <w:rPr>
          <w:spacing w:val="-2"/>
        </w:rPr>
        <w:t>年</w:t>
      </w:r>
      <w:r>
        <w:rPr>
          <w:rFonts w:ascii="宋体" w:hAnsi="宋体" w:cs="宋体" w:eastAsia="宋体" w:hint="default"/>
          <w:spacing w:val="-2"/>
        </w:rPr>
        <w:t>9</w:t>
      </w:r>
      <w:r>
        <w:rPr>
          <w:spacing w:val="-2"/>
        </w:rPr>
        <w:t>月至今，任本公司副</w:t>
      </w:r>
      <w:r>
        <w:rPr>
          <w:spacing w:val="-103"/>
        </w:rPr>
        <w:t> </w:t>
      </w:r>
      <w:r>
        <w:rPr>
          <w:spacing w:val="-103"/>
        </w:rPr>
      </w:r>
      <w:r>
        <w:rPr/>
        <w:t>总经理，兼任控股子公司北京大唐高鸿科技发展有限公司董事长、大唐高鸿济宁电子信息技</w:t>
      </w:r>
      <w:r>
        <w:rPr>
          <w:spacing w:val="-91"/>
        </w:rPr>
        <w:t> </w:t>
      </w:r>
      <w:r>
        <w:rPr>
          <w:spacing w:val="-91"/>
        </w:rPr>
      </w:r>
      <w:r>
        <w:rPr/>
        <w:t>术有限公司董事长。未在其它单位任职或兼职。</w:t>
      </w:r>
    </w:p>
    <w:p>
      <w:pPr>
        <w:pStyle w:val="BodyText"/>
        <w:spacing w:line="357" w:lineRule="auto"/>
        <w:ind w:right="234" w:firstLine="425"/>
        <w:jc w:val="both"/>
      </w:pPr>
      <w:r>
        <w:rPr>
          <w:rFonts w:ascii="宋体" w:hAnsi="宋体" w:cs="宋体" w:eastAsia="宋体" w:hint="default"/>
          <w:spacing w:val="-1"/>
        </w:rPr>
        <w:t>14.</w:t>
      </w:r>
      <w:r>
        <w:rPr>
          <w:spacing w:val="-1"/>
        </w:rPr>
        <w:t>赵德胜先生，公司副总经理。</w:t>
      </w:r>
      <w:r>
        <w:rPr>
          <w:rFonts w:ascii="宋体" w:hAnsi="宋体" w:cs="宋体" w:eastAsia="宋体" w:hint="default"/>
          <w:spacing w:val="-1"/>
        </w:rPr>
        <w:t>2002</w:t>
      </w:r>
      <w:r>
        <w:rPr>
          <w:spacing w:val="-1"/>
        </w:rPr>
        <w:t>年至</w:t>
      </w:r>
      <w:r>
        <w:rPr>
          <w:rFonts w:ascii="宋体" w:hAnsi="宋体" w:cs="宋体" w:eastAsia="宋体" w:hint="default"/>
          <w:spacing w:val="-1"/>
        </w:rPr>
        <w:t>2003</w:t>
      </w:r>
      <w:r>
        <w:rPr>
          <w:spacing w:val="-1"/>
        </w:rPr>
        <w:t>年，任北京大唐高鸿数据网络技术有限公</w:t>
      </w:r>
      <w:r>
        <w:rPr/>
        <w:t> 司副总经理，</w:t>
      </w:r>
      <w:r>
        <w:rPr>
          <w:rFonts w:ascii="宋体" w:hAnsi="宋体" w:cs="宋体" w:eastAsia="宋体" w:hint="default"/>
        </w:rPr>
        <w:t>2003</w:t>
      </w:r>
      <w:r>
        <w:rPr/>
        <w:t>年至今任本公司副总经理。未在其它单位任职或兼职。</w:t>
      </w:r>
    </w:p>
    <w:p>
      <w:pPr>
        <w:pStyle w:val="BodyText"/>
        <w:spacing w:line="357" w:lineRule="auto"/>
        <w:ind w:right="228" w:firstLine="425"/>
        <w:jc w:val="both"/>
      </w:pPr>
      <w:r>
        <w:rPr>
          <w:rFonts w:ascii="宋体" w:hAnsi="宋体" w:cs="宋体" w:eastAsia="宋体" w:hint="default"/>
        </w:rPr>
        <w:t>15.</w:t>
      </w:r>
      <w:r>
        <w:rPr/>
        <w:t>张新中先生，公司副总经理。</w:t>
      </w:r>
      <w:r>
        <w:rPr>
          <w:rFonts w:ascii="宋体" w:hAnsi="宋体" w:cs="宋体" w:eastAsia="宋体" w:hint="default"/>
        </w:rPr>
        <w:t>2000</w:t>
      </w:r>
      <w:r>
        <w:rPr/>
        <w:t>年</w:t>
      </w:r>
      <w:r>
        <w:rPr>
          <w:rFonts w:ascii="宋体" w:hAnsi="宋体" w:cs="宋体" w:eastAsia="宋体" w:hint="default"/>
        </w:rPr>
        <w:t>6</w:t>
      </w:r>
      <w:r>
        <w:rPr/>
        <w:t>月至</w:t>
      </w:r>
      <w:r>
        <w:rPr>
          <w:rFonts w:ascii="宋体" w:hAnsi="宋体" w:cs="宋体" w:eastAsia="宋体" w:hint="default"/>
        </w:rPr>
        <w:t>2003</w:t>
      </w:r>
      <w:r>
        <w:rPr/>
        <w:t>年</w:t>
      </w:r>
      <w:r>
        <w:rPr>
          <w:rFonts w:ascii="宋体" w:hAnsi="宋体" w:cs="宋体" w:eastAsia="宋体" w:hint="default"/>
        </w:rPr>
        <w:t>12</w:t>
      </w:r>
      <w:r>
        <w:rPr/>
        <w:t>月先后担任公司测试部测试工程 师、部门总经理。</w:t>
      </w:r>
      <w:r>
        <w:rPr>
          <w:rFonts w:ascii="宋体" w:hAnsi="宋体" w:cs="宋体" w:eastAsia="宋体" w:hint="default"/>
        </w:rPr>
        <w:t>2003</w:t>
      </w:r>
      <w:r>
        <w:rPr/>
        <w:t>年</w:t>
      </w:r>
      <w:r>
        <w:rPr>
          <w:rFonts w:ascii="宋体" w:hAnsi="宋体" w:cs="宋体" w:eastAsia="宋体" w:hint="default"/>
        </w:rPr>
        <w:t>12</w:t>
      </w:r>
      <w:r>
        <w:rPr/>
        <w:t>月至</w:t>
      </w:r>
      <w:r>
        <w:rPr>
          <w:rFonts w:ascii="宋体" w:hAnsi="宋体" w:cs="宋体" w:eastAsia="宋体" w:hint="default"/>
        </w:rPr>
        <w:t>2004</w:t>
      </w:r>
      <w:r>
        <w:rPr/>
        <w:t>年</w:t>
      </w:r>
      <w:r>
        <w:rPr>
          <w:rFonts w:ascii="宋体" w:hAnsi="宋体" w:cs="宋体" w:eastAsia="宋体" w:hint="default"/>
        </w:rPr>
        <w:t>12</w:t>
      </w:r>
      <w:r>
        <w:rPr/>
        <w:t>月担任公司工程服务部总经理。</w:t>
      </w:r>
      <w:r>
        <w:rPr>
          <w:rFonts w:ascii="宋体" w:hAnsi="宋体" w:cs="宋体" w:eastAsia="宋体" w:hint="default"/>
        </w:rPr>
        <w:t>2004</w:t>
      </w:r>
      <w:r>
        <w:rPr/>
        <w:t>年</w:t>
      </w:r>
      <w:r>
        <w:rPr>
          <w:rFonts w:ascii="宋体" w:hAnsi="宋体" w:cs="宋体" w:eastAsia="宋体" w:hint="default"/>
        </w:rPr>
        <w:t>12</w:t>
      </w:r>
      <w:r>
        <w:rPr/>
        <w:t>月至</w:t>
      </w:r>
      <w:r>
        <w:rPr>
          <w:rFonts w:ascii="宋体" w:hAnsi="宋体" w:cs="宋体" w:eastAsia="宋体" w:hint="default"/>
        </w:rPr>
        <w:t>2007</w:t>
      </w:r>
      <w:r>
        <w:rPr>
          <w:rFonts w:ascii="宋体" w:hAnsi="宋体" w:cs="宋体" w:eastAsia="宋体" w:hint="default"/>
          <w:spacing w:val="-87"/>
        </w:rPr>
        <w:t> </w:t>
      </w:r>
      <w:r>
        <w:rPr/>
        <w:t>年</w:t>
      </w:r>
      <w:r>
        <w:rPr>
          <w:rFonts w:ascii="宋体" w:hAnsi="宋体" w:cs="宋体" w:eastAsia="宋体" w:hint="default"/>
        </w:rPr>
        <w:t>12</w:t>
      </w:r>
      <w:r>
        <w:rPr/>
        <w:t>月，先后担任公司宽带产品事业部部门副总经理、部门执行总经理和部门总经理。</w:t>
      </w:r>
      <w:r>
        <w:rPr>
          <w:rFonts w:ascii="宋体" w:hAnsi="宋体" w:cs="宋体" w:eastAsia="宋体" w:hint="default"/>
        </w:rPr>
        <w:t>2007</w:t>
      </w:r>
      <w:r>
        <w:rPr>
          <w:rFonts w:ascii="宋体" w:hAnsi="宋体" w:cs="宋体" w:eastAsia="宋体" w:hint="default"/>
          <w:spacing w:val="-89"/>
        </w:rPr>
        <w:t> </w:t>
      </w:r>
      <w:r>
        <w:rPr/>
        <w:t>年</w:t>
      </w:r>
      <w:r>
        <w:rPr>
          <w:rFonts w:ascii="宋体" w:hAnsi="宋体" w:cs="宋体" w:eastAsia="宋体" w:hint="default"/>
        </w:rPr>
        <w:t>12</w:t>
      </w:r>
      <w:r>
        <w:rPr/>
        <w:t>月至</w:t>
      </w:r>
      <w:r>
        <w:rPr>
          <w:rFonts w:ascii="宋体" w:hAnsi="宋体" w:cs="宋体" w:eastAsia="宋体" w:hint="default"/>
        </w:rPr>
        <w:t>2011</w:t>
      </w:r>
      <w:r>
        <w:rPr/>
        <w:t>年</w:t>
      </w:r>
      <w:r>
        <w:rPr>
          <w:rFonts w:ascii="宋体" w:hAnsi="宋体" w:cs="宋体" w:eastAsia="宋体" w:hint="default"/>
        </w:rPr>
        <w:t>7</w:t>
      </w:r>
      <w:r>
        <w:rPr/>
        <w:t>月，先后担任公司市场营销部部门执行总经理和部门总经理。</w:t>
      </w:r>
      <w:r>
        <w:rPr>
          <w:rFonts w:ascii="宋体" w:hAnsi="宋体" w:cs="宋体" w:eastAsia="宋体" w:hint="default"/>
        </w:rPr>
        <w:t>2011</w:t>
      </w:r>
      <w:r>
        <w:rPr/>
        <w:t>年</w:t>
      </w:r>
      <w:r>
        <w:rPr>
          <w:rFonts w:ascii="宋体" w:hAnsi="宋体" w:cs="宋体" w:eastAsia="宋体" w:hint="default"/>
        </w:rPr>
        <w:t>8</w:t>
      </w:r>
      <w:r>
        <w:rPr/>
        <w:t>月至</w:t>
      </w:r>
      <w:r>
        <w:rPr>
          <w:spacing w:val="-84"/>
        </w:rPr>
        <w:t> </w:t>
      </w:r>
      <w:r>
        <w:rPr>
          <w:spacing w:val="3"/>
        </w:rPr>
        <w:t>今，担任公司电子商务事业部总经理。</w:t>
      </w: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月至</w:t>
      </w:r>
      <w:r>
        <w:rPr>
          <w:rFonts w:ascii="宋体" w:hAnsi="宋体" w:cs="宋体" w:eastAsia="宋体" w:hint="default"/>
          <w:spacing w:val="3"/>
        </w:rPr>
        <w:t>2012</w:t>
      </w:r>
      <w:r>
        <w:rPr>
          <w:spacing w:val="3"/>
        </w:rPr>
        <w:t>年</w:t>
      </w:r>
      <w:r>
        <w:rPr>
          <w:rFonts w:ascii="宋体" w:hAnsi="宋体" w:cs="宋体" w:eastAsia="宋体" w:hint="default"/>
          <w:spacing w:val="3"/>
        </w:rPr>
        <w:t>5</w:t>
      </w:r>
      <w:r>
        <w:rPr>
          <w:spacing w:val="3"/>
        </w:rPr>
        <w:t>月任公司总经理助理。</w:t>
      </w:r>
      <w:r>
        <w:rPr>
          <w:rFonts w:ascii="宋体" w:hAnsi="宋体" w:cs="宋体" w:eastAsia="宋体" w:hint="default"/>
          <w:spacing w:val="3"/>
        </w:rPr>
        <w:t>2012</w:t>
      </w:r>
      <w:r>
        <w:rPr>
          <w:spacing w:val="3"/>
        </w:rPr>
        <w:t>年</w:t>
      </w:r>
      <w:r>
        <w:rPr>
          <w:rFonts w:ascii="宋体" w:hAnsi="宋体" w:cs="宋体" w:eastAsia="宋体" w:hint="default"/>
          <w:spacing w:val="3"/>
        </w:rPr>
        <w:t>5</w:t>
      </w:r>
      <w:r>
        <w:rPr>
          <w:rFonts w:ascii="宋体" w:hAnsi="宋体" w:cs="宋体" w:eastAsia="宋体" w:hint="default"/>
        </w:rPr>
        <w:t> </w:t>
      </w:r>
      <w:r>
        <w:rPr/>
        <w:t>月至今任公司副总经理、目前兼任公司下属公司北京大唐高鸿电子商贸有限公司董事长，控</w:t>
      </w:r>
      <w:r>
        <w:rPr>
          <w:spacing w:val="-88"/>
        </w:rPr>
        <w:t> </w:t>
      </w:r>
      <w:r>
        <w:rPr>
          <w:spacing w:val="-88"/>
        </w:rPr>
      </w:r>
      <w:r>
        <w:rPr/>
        <w:t>股子公司大唐高鸿信息技术有限公司之子公司大唐高鸿中网科技有限公司（原名：高鸿恒昌</w:t>
      </w:r>
    </w:p>
    <w:p>
      <w:pPr>
        <w:spacing w:after="0" w:line="357" w:lineRule="auto"/>
        <w:jc w:val="both"/>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left="578" w:right="96" w:hanging="426"/>
        <w:jc w:val="left"/>
      </w:pPr>
      <w:r>
        <w:rPr/>
        <w:t>科技有限公司）执行董事。未在其它单位任职或兼职。 </w:t>
      </w:r>
      <w:r>
        <w:rPr>
          <w:rFonts w:ascii="宋体" w:hAnsi="宋体" w:cs="宋体" w:eastAsia="宋体" w:hint="default"/>
        </w:rPr>
        <w:t>16.</w:t>
      </w:r>
      <w:r>
        <w:rPr/>
        <w:t>李士昌先生，公司副总经理（</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10</w:t>
      </w:r>
      <w:r>
        <w:rPr/>
        <w:t>日起至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10</w:t>
      </w:r>
      <w:r>
        <w:rPr/>
        <w:t>日止）。</w:t>
      </w:r>
      <w:r>
        <w:rPr>
          <w:rFonts w:ascii="宋体" w:hAnsi="宋体" w:cs="宋体" w:eastAsia="宋体" w:hint="default"/>
        </w:rPr>
        <w:t>2004</w:t>
      </w:r>
      <w:r>
        <w:rPr/>
        <w:t>年</w:t>
      </w:r>
      <w:r>
        <w:rPr>
          <w:rFonts w:ascii="宋体" w:hAnsi="宋体" w:cs="宋体" w:eastAsia="宋体" w:hint="default"/>
        </w:rPr>
        <w:t>5</w:t>
      </w:r>
      <w:r>
        <w:rPr/>
        <w:t>月至</w:t>
      </w:r>
    </w:p>
    <w:p>
      <w:pPr>
        <w:pStyle w:val="BodyText"/>
        <w:spacing w:line="357" w:lineRule="auto"/>
        <w:ind w:right="230"/>
        <w:jc w:val="both"/>
      </w:pPr>
      <w:r>
        <w:rPr>
          <w:rFonts w:ascii="宋体" w:hAnsi="宋体" w:cs="宋体" w:eastAsia="宋体" w:hint="default"/>
        </w:rPr>
        <w:t>2006</w:t>
      </w:r>
      <w:r>
        <w:rPr/>
        <w:t>年</w:t>
      </w:r>
      <w:r>
        <w:rPr>
          <w:rFonts w:ascii="宋体" w:hAnsi="宋体" w:cs="宋体" w:eastAsia="宋体" w:hint="default"/>
        </w:rPr>
        <w:t>8</w:t>
      </w:r>
      <w:r>
        <w:rPr/>
        <w:t>月任北京七星华电科技产业集团战略发展部，战略规划项目经理；</w:t>
      </w:r>
      <w:r>
        <w:rPr>
          <w:rFonts w:ascii="宋体" w:hAnsi="宋体" w:cs="宋体" w:eastAsia="宋体" w:hint="default"/>
        </w:rPr>
        <w:t>2006</w:t>
      </w:r>
      <w:r>
        <w:rPr/>
        <w:t>年</w:t>
      </w:r>
      <w:r>
        <w:rPr>
          <w:rFonts w:ascii="宋体" w:hAnsi="宋体" w:cs="宋体" w:eastAsia="宋体" w:hint="default"/>
        </w:rPr>
        <w:t>9</w:t>
      </w:r>
      <w:r>
        <w:rPr/>
        <w:t>月至</w:t>
      </w:r>
      <w:r>
        <w:rPr>
          <w:rFonts w:ascii="宋体" w:hAnsi="宋体" w:cs="宋体" w:eastAsia="宋体" w:hint="default"/>
        </w:rPr>
        <w:t>2011</w:t>
      </w:r>
      <w:r>
        <w:rPr>
          <w:rFonts w:ascii="宋体" w:hAnsi="宋体" w:cs="宋体" w:eastAsia="宋体" w:hint="default"/>
          <w:spacing w:val="-87"/>
        </w:rPr>
        <w:t> </w:t>
      </w:r>
      <w:r>
        <w:rPr>
          <w:rFonts w:ascii="宋体" w:hAnsi="宋体" w:cs="宋体" w:eastAsia="宋体" w:hint="default"/>
          <w:spacing w:val="-87"/>
        </w:rPr>
      </w:r>
      <w:r>
        <w:rPr>
          <w:spacing w:val="3"/>
        </w:rPr>
        <w:t>年</w:t>
      </w:r>
      <w:r>
        <w:rPr>
          <w:rFonts w:ascii="宋体" w:hAnsi="宋体" w:cs="宋体" w:eastAsia="宋体" w:hint="default"/>
          <w:spacing w:val="3"/>
        </w:rPr>
        <w:t>4</w:t>
      </w:r>
      <w:r>
        <w:rPr>
          <w:spacing w:val="3"/>
        </w:rPr>
        <w:t>月任大唐电信科技产业控股有限公司战略发展部，战略规划经理、对外合作经理；</w:t>
      </w:r>
      <w:r>
        <w:rPr>
          <w:rFonts w:ascii="宋体" w:hAnsi="宋体" w:cs="宋体" w:eastAsia="宋体" w:hint="default"/>
          <w:spacing w:val="3"/>
        </w:rPr>
        <w:t>2011</w:t>
      </w:r>
      <w:r>
        <w:rPr>
          <w:rFonts w:ascii="宋体" w:hAnsi="宋体" w:cs="宋体" w:eastAsia="宋体" w:hint="default"/>
          <w:spacing w:val="-104"/>
        </w:rPr>
        <w:t> </w:t>
      </w:r>
      <w:r>
        <w:rPr>
          <w:spacing w:val="3"/>
        </w:rPr>
        <w:t>年</w:t>
      </w:r>
      <w:r>
        <w:rPr>
          <w:rFonts w:ascii="宋体" w:hAnsi="宋体" w:cs="宋体" w:eastAsia="宋体" w:hint="default"/>
          <w:spacing w:val="3"/>
        </w:rPr>
        <w:t>4</w:t>
      </w:r>
      <w:r>
        <w:rPr>
          <w:spacing w:val="3"/>
        </w:rPr>
        <w:t>月至</w:t>
      </w:r>
      <w:r>
        <w:rPr>
          <w:rFonts w:ascii="宋体" w:hAnsi="宋体" w:cs="宋体" w:eastAsia="宋体" w:hint="default"/>
          <w:spacing w:val="3"/>
        </w:rPr>
        <w:t>2012</w:t>
      </w:r>
      <w:r>
        <w:rPr>
          <w:spacing w:val="3"/>
        </w:rPr>
        <w:t>年</w:t>
      </w:r>
      <w:r>
        <w:rPr>
          <w:rFonts w:ascii="宋体" w:hAnsi="宋体" w:cs="宋体" w:eastAsia="宋体" w:hint="default"/>
          <w:spacing w:val="3"/>
        </w:rPr>
        <w:t>9</w:t>
      </w:r>
      <w:r>
        <w:rPr>
          <w:spacing w:val="3"/>
        </w:rPr>
        <w:t>月任大唐电信科技产业控股有限公司战略发展部总经理助理。</w:t>
      </w:r>
      <w:r>
        <w:rPr>
          <w:rFonts w:ascii="宋体" w:hAnsi="宋体" w:cs="宋体" w:eastAsia="宋体" w:hint="default"/>
          <w:spacing w:val="3"/>
        </w:rPr>
        <w:t>2012</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10</w:t>
      </w:r>
      <w:r>
        <w:rPr>
          <w:rFonts w:ascii="宋体" w:hAnsi="宋体" w:cs="宋体" w:eastAsia="宋体" w:hint="default"/>
          <w:spacing w:val="-117"/>
        </w:rPr>
        <w:t> </w:t>
      </w:r>
      <w:r>
        <w:rPr/>
        <w:t>日起至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10</w:t>
      </w:r>
      <w:r>
        <w:rPr/>
        <w:t>日任公司副总经理，未在其它单位任职或兼职。</w:t>
      </w:r>
    </w:p>
    <w:p>
      <w:pPr>
        <w:pStyle w:val="BodyText"/>
        <w:spacing w:line="357" w:lineRule="auto"/>
        <w:ind w:right="96" w:firstLine="425"/>
        <w:jc w:val="left"/>
      </w:pPr>
      <w:r>
        <w:rPr>
          <w:rFonts w:ascii="宋体" w:hAnsi="宋体" w:cs="宋体" w:eastAsia="宋体" w:hint="default"/>
        </w:rPr>
        <w:t>17.</w:t>
      </w:r>
      <w:r>
        <w:rPr/>
        <w:t>丁明锋先生，公司财务负责人。</w:t>
      </w:r>
      <w:r>
        <w:rPr>
          <w:rFonts w:ascii="宋体" w:hAnsi="宋体" w:cs="宋体" w:eastAsia="宋体" w:hint="default"/>
        </w:rPr>
        <w:t>2003</w:t>
      </w:r>
      <w:r>
        <w:rPr/>
        <w:t>年</w:t>
      </w:r>
      <w:r>
        <w:rPr>
          <w:rFonts w:ascii="宋体" w:hAnsi="宋体" w:cs="宋体" w:eastAsia="宋体" w:hint="default"/>
        </w:rPr>
        <w:t>6</w:t>
      </w:r>
      <w:r>
        <w:rPr/>
        <w:t>月至</w:t>
      </w:r>
      <w:r>
        <w:rPr>
          <w:rFonts w:ascii="宋体" w:hAnsi="宋体" w:cs="宋体" w:eastAsia="宋体" w:hint="default"/>
        </w:rPr>
        <w:t>2007</w:t>
      </w:r>
      <w:r>
        <w:rPr/>
        <w:t>年</w:t>
      </w:r>
      <w:r>
        <w:rPr>
          <w:rFonts w:ascii="宋体" w:hAnsi="宋体" w:cs="宋体" w:eastAsia="宋体" w:hint="default"/>
        </w:rPr>
        <w:t>12</w:t>
      </w:r>
      <w:r>
        <w:rPr/>
        <w:t>月，历任公司财务部总经理助</w:t>
      </w:r>
      <w:r>
        <w:rPr>
          <w:spacing w:val="2"/>
        </w:rPr>
        <w:t> </w:t>
      </w:r>
      <w:r>
        <w:rPr>
          <w:spacing w:val="-5"/>
        </w:rPr>
        <w:t>理、财务部副总经理、财务部总经理，</w:t>
      </w:r>
      <w:r>
        <w:rPr>
          <w:rFonts w:ascii="宋体" w:hAnsi="宋体" w:cs="宋体" w:eastAsia="宋体" w:hint="default"/>
          <w:spacing w:val="-5"/>
        </w:rPr>
        <w:t>2008</w:t>
      </w:r>
      <w:r>
        <w:rPr>
          <w:spacing w:val="-5"/>
        </w:rPr>
        <w:t>年至</w:t>
      </w:r>
      <w:r>
        <w:rPr>
          <w:rFonts w:ascii="宋体" w:hAnsi="宋体" w:cs="宋体" w:eastAsia="宋体" w:hint="default"/>
          <w:spacing w:val="-5"/>
        </w:rPr>
        <w:t>2013</w:t>
      </w:r>
      <w:r>
        <w:rPr>
          <w:spacing w:val="-5"/>
        </w:rPr>
        <w:t>年</w:t>
      </w:r>
      <w:r>
        <w:rPr>
          <w:rFonts w:ascii="宋体" w:hAnsi="宋体" w:cs="宋体" w:eastAsia="宋体" w:hint="default"/>
          <w:spacing w:val="-5"/>
        </w:rPr>
        <w:t>3</w:t>
      </w:r>
      <w:r>
        <w:rPr>
          <w:spacing w:val="-5"/>
        </w:rPr>
        <w:t>月任公司总经理助理兼财务部总经理。</w:t>
      </w:r>
      <w:r>
        <w:rPr>
          <w:spacing w:val="-93"/>
        </w:rPr>
        <w:t> </w:t>
      </w:r>
      <w:r>
        <w:rPr>
          <w:rFonts w:ascii="宋体" w:hAnsi="宋体" w:cs="宋体" w:eastAsia="宋体" w:hint="default"/>
        </w:rPr>
        <w:t>2013</w:t>
      </w:r>
      <w:r>
        <w:rPr/>
        <w:t>年</w:t>
      </w:r>
      <w:r>
        <w:rPr>
          <w:rFonts w:ascii="宋体" w:hAnsi="宋体" w:cs="宋体" w:eastAsia="宋体" w:hint="default"/>
        </w:rPr>
        <w:t>3</w:t>
      </w:r>
      <w:r>
        <w:rPr/>
        <w:t>月至今任公司财务负责人。未在其它单位任职或兼职。</w:t>
      </w:r>
    </w:p>
    <w:p>
      <w:pPr>
        <w:spacing w:before="47"/>
        <w:ind w:left="152"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9"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郑金良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92"/>
              <w:jc w:val="both"/>
              <w:rPr>
                <w:rFonts w:ascii="宋体" w:hAnsi="宋体" w:cs="宋体" w:eastAsia="宋体" w:hint="default"/>
                <w:sz w:val="18"/>
                <w:szCs w:val="18"/>
              </w:rPr>
            </w:pPr>
            <w:r>
              <w:rPr>
                <w:rFonts w:ascii="宋体" w:hAnsi="宋体" w:cs="宋体" w:eastAsia="宋体" w:hint="default"/>
                <w:sz w:val="18"/>
                <w:szCs w:val="18"/>
              </w:rPr>
              <w:t>大唐电信科技产业控股有限公司（公司 控股股东电信科学技术研究院的控股子 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30"/>
              <w:jc w:val="left"/>
              <w:rPr>
                <w:rFonts w:ascii="宋体" w:hAnsi="宋体" w:cs="宋体" w:eastAsia="宋体" w:hint="default"/>
                <w:sz w:val="18"/>
                <w:szCs w:val="18"/>
              </w:rPr>
            </w:pPr>
            <w:r>
              <w:rPr>
                <w:rFonts w:ascii="宋体" w:hAnsi="宋体" w:cs="宋体" w:eastAsia="宋体" w:hint="default"/>
                <w:sz w:val="18"/>
                <w:szCs w:val="18"/>
              </w:rPr>
              <w:t>法律事务部 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郭光莉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副总会计师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1"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52"/>
              <w:jc w:val="both"/>
              <w:rPr>
                <w:rFonts w:ascii="宋体" w:hAnsi="宋体" w:cs="宋体" w:eastAsia="宋体" w:hint="default"/>
                <w:sz w:val="18"/>
                <w:szCs w:val="18"/>
              </w:rPr>
            </w:pPr>
            <w:r>
              <w:rPr>
                <w:rFonts w:ascii="宋体" w:hAnsi="宋体" w:cs="宋体" w:eastAsia="宋体" w:hint="default"/>
                <w:sz w:val="18"/>
                <w:szCs w:val="18"/>
              </w:rPr>
              <w:t>公司副董事长郑金良先生在公司控股股东电信科学技术研究院控股子公司大唐电信科技产业控股有限公司 任法律事务部副总经理；公司监事会主席郭光莉女士在公司控股股东电信科学技术研究院控股子公司大唐 电信科技产业控股有限公司任公司财务资产部总经理、电信科学技术研究院副总会计师。</w:t>
            </w:r>
          </w:p>
        </w:tc>
      </w:tr>
    </w:tbl>
    <w:p>
      <w:pPr>
        <w:spacing w:before="49"/>
        <w:ind w:left="152" w:right="96"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2629"/>
        <w:gridCol w:w="1628"/>
        <w:gridCol w:w="1491"/>
        <w:gridCol w:w="1560"/>
        <w:gridCol w:w="1162"/>
      </w:tblGrid>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7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8" w:right="87"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34"/>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北京大学</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法学院教授</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浙江海亮股份有限公司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积成电子股份有限公司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南通富士通微电子股份有限公司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经济管理学院院长</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北京纵横律师事务所</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专职律师</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上海对外贸易学院</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西安交通大学</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会计学教授博士生 导师</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2629"/>
        <w:gridCol w:w="1628"/>
        <w:gridCol w:w="1491"/>
        <w:gridCol w:w="1560"/>
        <w:gridCol w:w="1162"/>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蔡荣生</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中国人民大学</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蔡荣生</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黑龙江交通发展股份有限公司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4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报告期内，以上人员均为公司独立董事；蔡荣生先生自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日起不再担任公司独立董事。</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357" w:lineRule="auto" w:before="148"/>
        <w:ind w:right="153" w:firstLine="425"/>
        <w:jc w:val="both"/>
      </w:pPr>
      <w:r>
        <w:rPr/>
        <w:t>董事、监事和高级管理人员报酬确定依据：经公司</w:t>
      </w:r>
      <w:r>
        <w:rPr>
          <w:rFonts w:ascii="宋体" w:hAnsi="宋体" w:cs="宋体" w:eastAsia="宋体" w:hint="default"/>
        </w:rPr>
        <w:t>2012</w:t>
      </w:r>
      <w:r>
        <w:rPr/>
        <w:t>年度股东大会批准，同意自</w:t>
      </w:r>
      <w:r>
        <w:rPr>
          <w:rFonts w:ascii="宋体" w:hAnsi="宋体" w:cs="宋体" w:eastAsia="宋体" w:hint="default"/>
        </w:rPr>
        <w:t>2013 </w:t>
      </w:r>
      <w:r>
        <w:rPr/>
        <w:t>年起，将独立董事薪酬调整为</w:t>
      </w:r>
      <w:r>
        <w:rPr>
          <w:rFonts w:ascii="宋体" w:hAnsi="宋体" w:cs="宋体" w:eastAsia="宋体" w:hint="default"/>
        </w:rPr>
        <w:t>8.4</w:t>
      </w:r>
      <w:r>
        <w:rPr/>
        <w:t>万元</w:t>
      </w:r>
      <w:r>
        <w:rPr>
          <w:rFonts w:ascii="宋体" w:hAnsi="宋体" w:cs="宋体" w:eastAsia="宋体" w:hint="default"/>
        </w:rPr>
        <w:t>/</w:t>
      </w:r>
      <w:r>
        <w:rPr/>
        <w:t>年。在公司任职的高管人员的报酬按岗位及公司经营</w:t>
      </w:r>
      <w:r>
        <w:rPr>
          <w:spacing w:val="-90"/>
        </w:rPr>
        <w:t> </w:t>
      </w:r>
      <w:r>
        <w:rPr>
          <w:spacing w:val="-90"/>
        </w:rPr>
      </w:r>
      <w:r>
        <w:rPr/>
        <w:t>情况确定。确定依据：《董事会薪酬与考核委员会实施细则》，公司根据经营业绩、职位贡</w:t>
      </w:r>
      <w:r>
        <w:rPr>
          <w:spacing w:val="-91"/>
        </w:rPr>
        <w:t> </w:t>
      </w:r>
      <w:r>
        <w:rPr>
          <w:spacing w:val="-91"/>
        </w:rPr>
      </w:r>
      <w:r>
        <w:rPr/>
        <w:t>献等因素确定公司董事、监事、高级管理人员的报酬。公司董事、监事、高级管理人员报酬</w:t>
      </w:r>
      <w:r>
        <w:rPr>
          <w:spacing w:val="-91"/>
        </w:rPr>
        <w:t> </w:t>
      </w:r>
      <w:r>
        <w:rPr>
          <w:spacing w:val="-91"/>
        </w:rPr>
      </w:r>
      <w:r>
        <w:rPr/>
        <w:t>按月支付。</w:t>
      </w: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0"/>
              <w:jc w:val="left"/>
              <w:rPr>
                <w:rFonts w:ascii="宋体" w:hAnsi="宋体" w:cs="宋体" w:eastAsia="宋体" w:hint="default"/>
                <w:sz w:val="18"/>
                <w:szCs w:val="18"/>
              </w:rPr>
            </w:pPr>
            <w:r>
              <w:rPr>
                <w:rFonts w:ascii="宋体" w:hAnsi="宋体" w:cs="宋体" w:eastAsia="宋体" w:hint="default"/>
                <w:sz w:val="18"/>
                <w:szCs w:val="18"/>
              </w:rPr>
              <w:t>董事长兼总经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郑金良</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蔡荣生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郭光莉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35.21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35.21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姚印杰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58.4</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副总经理兼董 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李士昌</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542.9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542.9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四、公司董事、监事、高级管理人员变动情况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52" w:right="6894" w:firstLine="0"/>
        <w:jc w:val="left"/>
        <w:rPr>
          <w:rFonts w:ascii="宋体" w:hAnsi="宋体" w:cs="宋体" w:eastAsia="宋体" w:hint="default"/>
          <w:sz w:val="18"/>
          <w:szCs w:val="18"/>
        </w:rPr>
      </w:pPr>
      <w:r>
        <w:rPr>
          <w:rFonts w:ascii="宋体" w:hAnsi="宋体" w:cs="宋体" w:eastAsia="宋体" w:hint="default"/>
          <w:sz w:val="18"/>
          <w:szCs w:val="18"/>
        </w:rPr>
        <w:t>报告期内无变动 报告期末至本公告日变动情况如下：</w:t>
      </w: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431"/>
        <w:gridCol w:w="424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蔡荣生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股东大会免去其独立董事职务</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李士昌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孟汉峰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line="240" w:lineRule="auto" w:before="5"/>
        <w:rPr>
          <w:rFonts w:ascii="宋体" w:hAnsi="宋体" w:cs="宋体" w:eastAsia="宋体" w:hint="default"/>
          <w:sz w:val="19"/>
          <w:szCs w:val="19"/>
        </w:rPr>
      </w:pPr>
    </w:p>
    <w:p>
      <w:pPr>
        <w:pStyle w:val="Heading3"/>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pStyle w:val="BodyText"/>
        <w:spacing w:line="692" w:lineRule="exact" w:before="57"/>
        <w:ind w:left="578" w:right="0" w:hanging="426"/>
        <w:jc w:val="left"/>
        <w:rPr>
          <w:rFonts w:ascii="宋体" w:hAnsi="宋体" w:cs="宋体" w:eastAsia="宋体" w:hint="default"/>
        </w:rPr>
      </w:pPr>
      <w:r>
        <w:rPr>
          <w:rFonts w:ascii="宋体" w:hAnsi="宋体" w:cs="宋体" w:eastAsia="宋体" w:hint="default"/>
          <w:b/>
          <w:bCs/>
        </w:rPr>
        <w:t>六、公司员工情况</w:t>
      </w:r>
      <w:r>
        <w:rPr>
          <w:rFonts w:ascii="宋体" w:hAnsi="宋体" w:cs="宋体" w:eastAsia="宋体" w:hint="default"/>
          <w:b/>
          <w:bCs/>
          <w:w w:val="99"/>
        </w:rPr>
        <w:t> </w:t>
      </w:r>
      <w:r>
        <w:rPr/>
        <w:t>截至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日，公司本部及各控股子公司共有在册员工</w:t>
      </w:r>
      <w:r>
        <w:rPr>
          <w:rFonts w:ascii="宋体" w:hAnsi="宋体" w:cs="宋体" w:eastAsia="宋体" w:hint="default"/>
        </w:rPr>
        <w:t>1103</w:t>
      </w:r>
      <w:r>
        <w:rPr/>
        <w:t>人，其中财务人员</w:t>
      </w:r>
      <w:r>
        <w:rPr>
          <w:rFonts w:ascii="宋体" w:hAnsi="宋体" w:cs="宋体" w:eastAsia="宋体" w:hint="default"/>
        </w:rPr>
        <w:t>77</w:t>
      </w:r>
    </w:p>
    <w:p>
      <w:pPr>
        <w:pStyle w:val="BodyText"/>
        <w:spacing w:line="357" w:lineRule="auto" w:before="49"/>
        <w:ind w:right="146"/>
        <w:jc w:val="left"/>
      </w:pPr>
      <w:r>
        <w:rPr>
          <w:spacing w:val="-2"/>
        </w:rPr>
        <w:t>人，行政人员</w:t>
      </w:r>
      <w:r>
        <w:rPr>
          <w:rFonts w:ascii="宋体" w:hAnsi="宋体" w:cs="宋体" w:eastAsia="宋体" w:hint="default"/>
          <w:spacing w:val="-2"/>
        </w:rPr>
        <w:t>176</w:t>
      </w:r>
      <w:r>
        <w:rPr>
          <w:spacing w:val="-2"/>
        </w:rPr>
        <w:t>人，销售人员</w:t>
      </w:r>
      <w:r>
        <w:rPr>
          <w:rFonts w:ascii="宋体" w:hAnsi="宋体" w:cs="宋体" w:eastAsia="宋体" w:hint="default"/>
          <w:spacing w:val="-2"/>
        </w:rPr>
        <w:t>418</w:t>
      </w:r>
      <w:r>
        <w:rPr>
          <w:spacing w:val="-2"/>
        </w:rPr>
        <w:t>人，技术人员</w:t>
      </w:r>
      <w:r>
        <w:rPr>
          <w:rFonts w:ascii="宋体" w:hAnsi="宋体" w:cs="宋体" w:eastAsia="宋体" w:hint="default"/>
          <w:spacing w:val="-2"/>
        </w:rPr>
        <w:t>359</w:t>
      </w:r>
      <w:r>
        <w:rPr>
          <w:spacing w:val="-2"/>
        </w:rPr>
        <w:t>人，生产人员</w:t>
      </w:r>
      <w:r>
        <w:rPr>
          <w:rFonts w:ascii="宋体" w:hAnsi="宋体" w:cs="宋体" w:eastAsia="宋体" w:hint="default"/>
          <w:spacing w:val="-2"/>
        </w:rPr>
        <w:t>73</w:t>
      </w:r>
      <w:r>
        <w:rPr>
          <w:spacing w:val="-2"/>
        </w:rPr>
        <w:t>人。员工薪酬采取基薪加</w:t>
      </w:r>
      <w:r>
        <w:rPr>
          <w:spacing w:val="-113"/>
        </w:rPr>
        <w:t> </w:t>
      </w:r>
      <w:r>
        <w:rPr>
          <w:spacing w:val="-113"/>
        </w:rPr>
      </w:r>
      <w:r>
        <w:rPr/>
        <w:t>绩效考核方式，公司没有需要承担费用的离退休人员。</w:t>
      </w:r>
    </w:p>
    <w:p>
      <w:pPr>
        <w:pStyle w:val="BodyText"/>
        <w:spacing w:line="240" w:lineRule="auto"/>
        <w:ind w:left="578" w:right="0"/>
        <w:jc w:val="left"/>
      </w:pPr>
      <w:r>
        <w:rPr/>
        <w:t>公司员工专业构成饼状图：</w:t>
      </w:r>
    </w:p>
    <w:p>
      <w:pPr>
        <w:spacing w:line="240" w:lineRule="auto" w:before="1"/>
        <w:rPr>
          <w:rFonts w:ascii="宋体" w:hAnsi="宋体" w:cs="宋体" w:eastAsia="宋体" w:hint="default"/>
          <w:sz w:val="13"/>
          <w:szCs w:val="13"/>
        </w:rPr>
      </w:pPr>
    </w:p>
    <w:p>
      <w:pPr>
        <w:spacing w:line="2691" w:lineRule="exact"/>
        <w:ind w:left="153"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3818889" cy="170878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3818889" cy="1708785"/>
                    </a:xfrm>
                    <a:prstGeom prst="rect">
                      <a:avLst/>
                    </a:prstGeom>
                  </pic:spPr>
                </pic:pic>
              </a:graphicData>
            </a:graphic>
          </wp:inline>
        </w:drawing>
      </w:r>
      <w:r>
        <w:rPr>
          <w:rFonts w:ascii="宋体" w:hAnsi="宋体" w:cs="宋体" w:eastAsia="宋体" w:hint="default"/>
          <w:position w:val="-53"/>
          <w:sz w:val="20"/>
          <w:szCs w:val="20"/>
        </w:rPr>
      </w:r>
    </w:p>
    <w:p>
      <w:pPr>
        <w:pStyle w:val="BodyText"/>
        <w:spacing w:line="240" w:lineRule="auto" w:before="100"/>
        <w:ind w:left="578" w:right="0"/>
        <w:jc w:val="left"/>
      </w:pPr>
      <w:r>
        <w:rPr/>
        <w:t>公司员工教育程度饼状图：</w:t>
      </w:r>
    </w:p>
    <w:p>
      <w:pPr>
        <w:spacing w:after="0" w:line="240" w:lineRule="auto"/>
        <w:jc w:val="left"/>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165" w:lineRule="exact"/>
        <w:ind w:left="153"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942739" cy="20097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3942739" cy="2009775"/>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spacing w:line="240" w:lineRule="auto"/>
        <w:ind w:left="3751" w:right="3826"/>
        <w:jc w:val="center"/>
        <w:rPr>
          <w:b w:val="0"/>
          <w:bCs w:val="0"/>
        </w:rPr>
      </w:pPr>
      <w:bookmarkStart w:name="_bookmark7" w:id="8"/>
      <w:bookmarkEnd w:id="8"/>
      <w:r>
        <w:rPr>
          <w:b w:val="0"/>
          <w:bCs w:val="0"/>
        </w:rPr>
      </w:r>
      <w:r>
        <w:rPr/>
        <w:t>第八节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left="578" w:right="96" w:hanging="426"/>
        <w:jc w:val="left"/>
        <w:rPr>
          <w:b w:val="0"/>
          <w:bCs w:val="0"/>
        </w:rPr>
      </w:pP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left="578" w:right="96"/>
        <w:jc w:val="left"/>
      </w:pPr>
      <w:r>
        <w:rPr>
          <w:rFonts w:ascii="宋体" w:hAnsi="宋体" w:cs="宋体" w:eastAsia="宋体" w:hint="default"/>
        </w:rPr>
        <w:t>1.</w:t>
      </w:r>
      <w:r>
        <w:rPr/>
        <w:t>内控工作情况 </w:t>
      </w:r>
      <w:r>
        <w:rPr>
          <w:spacing w:val="-1"/>
        </w:rPr>
        <w:t>公司于</w:t>
      </w:r>
      <w:r>
        <w:rPr>
          <w:rFonts w:ascii="宋体" w:hAnsi="宋体" w:cs="宋体" w:eastAsia="宋体" w:hint="default"/>
          <w:spacing w:val="-1"/>
        </w:rPr>
        <w:t>1998</w:t>
      </w:r>
      <w:r>
        <w:rPr>
          <w:spacing w:val="-1"/>
        </w:rPr>
        <w:t>年在深圳证券交易所上市，</w:t>
      </w:r>
      <w:r>
        <w:rPr>
          <w:rFonts w:ascii="宋体" w:hAnsi="宋体" w:cs="宋体" w:eastAsia="宋体" w:hint="default"/>
          <w:spacing w:val="-1"/>
        </w:rPr>
        <w:t>2003</w:t>
      </w:r>
      <w:r>
        <w:rPr>
          <w:spacing w:val="-1"/>
        </w:rPr>
        <w:t>年</w:t>
      </w:r>
      <w:r>
        <w:rPr>
          <w:rFonts w:ascii="宋体" w:hAnsi="宋体" w:cs="宋体" w:eastAsia="宋体" w:hint="default"/>
          <w:spacing w:val="-1"/>
        </w:rPr>
        <w:t>5</w:t>
      </w:r>
      <w:r>
        <w:rPr>
          <w:spacing w:val="-1"/>
        </w:rPr>
        <w:t>月实施完成了以股权转让和资产整体置换</w:t>
      </w:r>
    </w:p>
    <w:p>
      <w:pPr>
        <w:pStyle w:val="BodyText"/>
        <w:spacing w:line="240" w:lineRule="auto"/>
        <w:ind w:right="0"/>
        <w:jc w:val="left"/>
      </w:pPr>
      <w:r>
        <w:rPr>
          <w:spacing w:val="-5"/>
        </w:rPr>
        <w:t>为主要内容的重大资产重组，</w:t>
      </w:r>
      <w:r>
        <w:rPr>
          <w:rFonts w:ascii="宋体" w:hAnsi="宋体" w:cs="宋体" w:eastAsia="宋体" w:hint="default"/>
          <w:spacing w:val="-5"/>
        </w:rPr>
        <w:t>2006</w:t>
      </w:r>
      <w:r>
        <w:rPr>
          <w:spacing w:val="-5"/>
        </w:rPr>
        <w:t>年</w:t>
      </w:r>
      <w:r>
        <w:rPr>
          <w:rFonts w:ascii="宋体" w:hAnsi="宋体" w:cs="宋体" w:eastAsia="宋体" w:hint="default"/>
          <w:spacing w:val="-5"/>
        </w:rPr>
        <w:t>6</w:t>
      </w:r>
      <w:r>
        <w:rPr>
          <w:spacing w:val="-5"/>
        </w:rPr>
        <w:t>月实施完成了股权分置改革。公司严格按照《公司法》、</w:t>
      </w:r>
    </w:p>
    <w:p>
      <w:pPr>
        <w:pStyle w:val="BodyText"/>
        <w:spacing w:line="357" w:lineRule="auto" w:before="154"/>
        <w:ind w:right="96"/>
        <w:jc w:val="left"/>
      </w:pPr>
      <w:r>
        <w:rPr/>
        <w:t>《证券法》和中国证监会有关规章、规范的要求，完善公司法人治理结构，健全现代企业制</w:t>
      </w:r>
      <w:r>
        <w:rPr>
          <w:spacing w:val="-91"/>
        </w:rPr>
        <w:t> </w:t>
      </w:r>
      <w:r>
        <w:rPr>
          <w:spacing w:val="-91"/>
        </w:rPr>
      </w:r>
      <w:r>
        <w:rPr/>
        <w:t>度，规范公司运作。</w:t>
      </w:r>
    </w:p>
    <w:p>
      <w:pPr>
        <w:pStyle w:val="BodyText"/>
        <w:spacing w:line="357" w:lineRule="auto"/>
        <w:ind w:right="96" w:firstLine="425"/>
        <w:jc w:val="left"/>
      </w:pPr>
      <w:r>
        <w:rPr>
          <w:spacing w:val="2"/>
        </w:rPr>
        <w:t>公司董事会下设专门委员会正常运作，就公司重大事项进行讨论与研究，为董事会决策</w:t>
      </w:r>
      <w:r>
        <w:rPr/>
        <w:t> 提供了专业支持。</w:t>
      </w:r>
    </w:p>
    <w:p>
      <w:pPr>
        <w:pStyle w:val="BodyText"/>
        <w:spacing w:line="357" w:lineRule="auto"/>
        <w:ind w:right="96" w:firstLine="425"/>
        <w:jc w:val="left"/>
      </w:pPr>
      <w:r>
        <w:rPr>
          <w:spacing w:val="2"/>
        </w:rPr>
        <w:t>公司董事会和监事会严格按照法律法规和公司章程履行职权。董事会和监事会历次会议 </w:t>
      </w:r>
      <w:r>
        <w:rPr>
          <w:spacing w:val="-2"/>
        </w:rPr>
        <w:t>的通知、决议和信息披露等工作均按照法定程序完成。公司董事和监事勤勉尽责地履行职责，</w:t>
      </w:r>
      <w:r>
        <w:rPr/>
        <w:t> 维护了公司和全体股东的合法权益。</w:t>
      </w:r>
    </w:p>
    <w:p>
      <w:pPr>
        <w:pStyle w:val="BodyText"/>
        <w:spacing w:line="357" w:lineRule="auto"/>
        <w:ind w:left="578" w:right="232"/>
        <w:jc w:val="left"/>
      </w:pPr>
      <w:r>
        <w:rPr>
          <w:rFonts w:ascii="宋体" w:hAnsi="宋体" w:cs="宋体" w:eastAsia="宋体" w:hint="default"/>
        </w:rPr>
        <w:t>2.</w:t>
      </w:r>
      <w:r>
        <w:rPr/>
        <w:t>《公司章程》修订情况 </w:t>
      </w:r>
      <w:r>
        <w:rPr>
          <w:spacing w:val="-1"/>
        </w:rPr>
        <w:t>经</w:t>
      </w:r>
      <w:r>
        <w:rPr>
          <w:rFonts w:ascii="宋体" w:hAnsi="宋体" w:cs="宋体" w:eastAsia="宋体" w:hint="default"/>
          <w:spacing w:val="-1"/>
        </w:rPr>
        <w:t>2013</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15</w:t>
      </w:r>
      <w:r>
        <w:rPr>
          <w:spacing w:val="-1"/>
        </w:rPr>
        <w:t>日召开的</w:t>
      </w:r>
      <w:r>
        <w:rPr>
          <w:rFonts w:ascii="宋体" w:hAnsi="宋体" w:cs="宋体" w:eastAsia="宋体" w:hint="default"/>
          <w:spacing w:val="-1"/>
        </w:rPr>
        <w:t>2012</w:t>
      </w:r>
      <w:r>
        <w:rPr>
          <w:spacing w:val="-1"/>
        </w:rPr>
        <w:t>年度股东大会审议通过，变更公司注册地址，同时修改公司</w:t>
      </w:r>
    </w:p>
    <w:p>
      <w:pPr>
        <w:pStyle w:val="BodyText"/>
        <w:tabs>
          <w:tab w:pos="7114" w:val="left" w:leader="none"/>
        </w:tabs>
        <w:spacing w:line="357" w:lineRule="auto"/>
        <w:ind w:left="578" w:right="804" w:hanging="426"/>
        <w:jc w:val="left"/>
      </w:pPr>
      <w:r>
        <w:rPr/>
        <w:t>章程第一章总则，第五条为</w:t>
      </w:r>
      <w:r>
        <w:rPr>
          <w:spacing w:val="1"/>
        </w:rPr>
        <w:t> </w:t>
      </w:r>
      <w:r>
        <w:rPr/>
        <w:t>公司住所：贵阳市花溪区磊花路口</w:t>
        <w:tab/>
        <w:t>邮政编码：</w:t>
      </w:r>
      <w:r>
        <w:rPr>
          <w:rFonts w:ascii="宋体" w:hAnsi="宋体" w:cs="宋体" w:eastAsia="宋体" w:hint="default"/>
        </w:rPr>
        <w:t>550025 3.</w:t>
      </w:r>
      <w:r>
        <w:rPr/>
        <w:t>制度制定和修订情况 报告期内，公司为完善治理结构，修订了《募集资金专项存储与使用管理办法》。</w:t>
      </w:r>
    </w:p>
    <w:p>
      <w:pPr>
        <w:spacing w:before="46"/>
        <w:ind w:left="152" w:right="96"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公司治理专项活动开展情况以及内幕信息知情人登记管理制度的制定、实施情况</w:t>
      </w:r>
    </w:p>
    <w:p>
      <w:pPr>
        <w:spacing w:after="0" w:line="340" w:lineRule="auto"/>
        <w:jc w:val="left"/>
        <w:rPr>
          <w:rFonts w:ascii="宋体" w:hAnsi="宋体" w:cs="宋体" w:eastAsia="宋体" w:hint="default"/>
          <w:sz w:val="18"/>
          <w:szCs w:val="18"/>
        </w:rPr>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156" w:firstLine="502"/>
        <w:jc w:val="both"/>
      </w:pPr>
      <w:r>
        <w:rPr/>
        <w:t>报告期内，公司持续开展公司治理专项活动，根据公司实际情况对公司基本管理制度体 系进一步进行了完善。公司已经建立《内幕信息知情人登记管理制度》，公司严格执行《内</w:t>
      </w:r>
      <w:r>
        <w:rPr>
          <w:spacing w:val="-91"/>
        </w:rPr>
        <w:t> </w:t>
      </w:r>
      <w:r>
        <w:rPr>
          <w:spacing w:val="-91"/>
        </w:rPr>
      </w:r>
      <w:r>
        <w:rPr/>
        <w:t>幕信息知情人登记管理制度》，经公司自查，没有利用内幕信息买卖公司股份的情形。</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52"/>
        <w:gridCol w:w="1416"/>
        <w:gridCol w:w="3971"/>
        <w:gridCol w:w="850"/>
        <w:gridCol w:w="1277"/>
        <w:gridCol w:w="1203"/>
      </w:tblGrid>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64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97" w:lineRule="auto"/>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年度报告及摘要》</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年度董事会报</w:t>
            </w:r>
            <w:r>
              <w:rPr>
                <w:rFonts w:ascii="宋体" w:hAnsi="宋体" w:cs="宋体" w:eastAsia="宋体" w:hint="default"/>
                <w:spacing w:val="-88"/>
                <w:sz w:val="18"/>
                <w:szCs w:val="18"/>
              </w:rPr>
              <w:t> </w:t>
            </w:r>
            <w:r>
              <w:rPr>
                <w:rFonts w:ascii="宋体" w:hAnsi="宋体" w:cs="宋体" w:eastAsia="宋体" w:hint="default"/>
                <w:spacing w:val="-3"/>
                <w:sz w:val="18"/>
                <w:szCs w:val="18"/>
              </w:rPr>
              <w:t>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 </w:t>
            </w:r>
            <w:r>
              <w:rPr>
                <w:rFonts w:ascii="宋体" w:hAnsi="宋体" w:cs="宋体" w:eastAsia="宋体" w:hint="default"/>
                <w:sz w:val="18"/>
                <w:szCs w:val="18"/>
              </w:rPr>
              <w:t>年度监事会报告》</w:t>
            </w:r>
            <w:r>
              <w:rPr>
                <w:rFonts w:ascii="Times New Roman" w:hAnsi="Times New Roman" w:cs="Times New Roman" w:eastAsia="Times New Roman" w:hint="default"/>
                <w:sz w:val="18"/>
                <w:szCs w:val="18"/>
              </w:rPr>
              <w:t>4.</w:t>
            </w:r>
            <w:r>
              <w:rPr>
                <w:rFonts w:ascii="宋体" w:hAnsi="宋体" w:cs="宋体" w:eastAsia="宋体" w:hint="default"/>
                <w:sz w:val="18"/>
                <w:szCs w:val="18"/>
              </w:rPr>
              <w:t>《关于公司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2012</w:t>
            </w:r>
          </w:p>
          <w:p>
            <w:pPr>
              <w:pStyle w:val="TableParagraph"/>
              <w:spacing w:line="300" w:lineRule="auto" w:before="15"/>
              <w:ind w:left="23" w:right="22"/>
              <w:jc w:val="left"/>
              <w:rPr>
                <w:rFonts w:ascii="宋体" w:hAnsi="宋体" w:cs="宋体" w:eastAsia="宋体" w:hint="default"/>
                <w:sz w:val="18"/>
                <w:szCs w:val="18"/>
              </w:rPr>
            </w:pPr>
            <w:r>
              <w:rPr>
                <w:rFonts w:ascii="宋体" w:hAnsi="宋体" w:cs="宋体" w:eastAsia="宋体" w:hint="default"/>
                <w:sz w:val="18"/>
                <w:szCs w:val="18"/>
              </w:rPr>
              <w:t>年度财务决算的报告》</w:t>
            </w:r>
            <w:r>
              <w:rPr>
                <w:rFonts w:ascii="Times New Roman" w:hAnsi="Times New Roman" w:cs="Times New Roman" w:eastAsia="Times New Roman" w:hint="default"/>
                <w:sz w:val="18"/>
                <w:szCs w:val="18"/>
              </w:rPr>
              <w:t>5.</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 润分配方案》</w:t>
            </w:r>
            <w:r>
              <w:rPr>
                <w:rFonts w:ascii="Times New Roman" w:hAnsi="Times New Roman" w:cs="Times New Roman" w:eastAsia="Times New Roman" w:hint="default"/>
                <w:sz w:val="18"/>
                <w:szCs w:val="18"/>
              </w:rPr>
              <w:t>6.</w:t>
            </w:r>
            <w:r>
              <w:rPr>
                <w:rFonts w:ascii="宋体" w:hAnsi="宋体" w:cs="宋体" w:eastAsia="宋体" w:hint="default"/>
                <w:sz w:val="18"/>
                <w:szCs w:val="18"/>
              </w:rPr>
              <w:t>《关于聘任中瑞岳华会计师事务所</w:t>
            </w:r>
          </w:p>
          <w:p>
            <w:pPr>
              <w:pStyle w:val="TableParagraph"/>
              <w:spacing w:line="300" w:lineRule="auto" w:before="13"/>
              <w:ind w:left="23" w:right="19"/>
              <w:jc w:val="both"/>
              <w:rPr>
                <w:rFonts w:ascii="宋体" w:hAnsi="宋体" w:cs="宋体" w:eastAsia="宋体" w:hint="default"/>
                <w:sz w:val="18"/>
                <w:szCs w:val="18"/>
              </w:rPr>
            </w:pPr>
            <w:r>
              <w:rPr>
                <w:rFonts w:ascii="宋体" w:hAnsi="宋体" w:cs="宋体" w:eastAsia="宋体" w:hint="default"/>
                <w:sz w:val="18"/>
                <w:szCs w:val="18"/>
              </w:rPr>
              <w:t>（特殊普通合伙）为公司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年度财务审计机构 的议案》</w:t>
            </w:r>
            <w:r>
              <w:rPr>
                <w:rFonts w:ascii="Times New Roman" w:hAnsi="Times New Roman" w:cs="Times New Roman" w:eastAsia="Times New Roman" w:hint="default"/>
                <w:sz w:val="18"/>
                <w:szCs w:val="18"/>
              </w:rPr>
              <w:t>7.</w:t>
            </w:r>
            <w:r>
              <w:rPr>
                <w:rFonts w:ascii="宋体" w:hAnsi="宋体" w:cs="宋体" w:eastAsia="宋体" w:hint="default"/>
                <w:sz w:val="18"/>
                <w:szCs w:val="18"/>
              </w:rPr>
              <w:t>《关于聘任中瑞岳华会计师事务所（特 殊普通合伙）为公司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年度内控审计机构的议</w:t>
            </w:r>
          </w:p>
          <w:p>
            <w:pPr>
              <w:pStyle w:val="TableParagraph"/>
              <w:spacing w:line="304" w:lineRule="auto" w:before="13"/>
              <w:ind w:left="23" w:right="16"/>
              <w:jc w:val="left"/>
              <w:rPr>
                <w:rFonts w:ascii="Times New Roman" w:hAnsi="Times New Roman" w:cs="Times New Roman" w:eastAsia="Times New Roman" w:hint="default"/>
                <w:sz w:val="18"/>
                <w:szCs w:val="18"/>
              </w:rPr>
            </w:pPr>
            <w:r>
              <w:rPr>
                <w:rFonts w:ascii="宋体" w:hAnsi="宋体" w:cs="宋体" w:eastAsia="宋体" w:hint="default"/>
                <w:sz w:val="18"/>
                <w:szCs w:val="18"/>
              </w:rPr>
              <w:t>案》</w:t>
            </w:r>
            <w:r>
              <w:rPr>
                <w:rFonts w:ascii="Times New Roman" w:hAnsi="Times New Roman" w:cs="Times New Roman" w:eastAsia="Times New Roman" w:hint="default"/>
                <w:sz w:val="18"/>
                <w:szCs w:val="18"/>
              </w:rPr>
              <w:t>8.</w:t>
            </w:r>
            <w:r>
              <w:rPr>
                <w:rFonts w:ascii="宋体" w:hAnsi="宋体" w:cs="宋体" w:eastAsia="宋体" w:hint="default"/>
                <w:sz w:val="18"/>
                <w:szCs w:val="18"/>
              </w:rPr>
              <w:t>《关于预计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年度日常经营关联交易的 </w:t>
            </w:r>
            <w:r>
              <w:rPr>
                <w:rFonts w:ascii="宋体" w:hAnsi="宋体" w:cs="宋体" w:eastAsia="宋体" w:hint="default"/>
                <w:spacing w:val="-2"/>
                <w:sz w:val="18"/>
                <w:szCs w:val="18"/>
              </w:rPr>
              <w:t>议案》</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《关于变更公司注册地址的议案》</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《关</w:t>
            </w:r>
            <w:r>
              <w:rPr>
                <w:rFonts w:ascii="宋体" w:hAnsi="宋体" w:cs="宋体" w:eastAsia="宋体" w:hint="default"/>
                <w:spacing w:val="-85"/>
                <w:sz w:val="18"/>
                <w:szCs w:val="18"/>
              </w:rPr>
              <w:t> </w:t>
            </w:r>
            <w:r>
              <w:rPr>
                <w:rFonts w:ascii="宋体" w:hAnsi="宋体" w:cs="宋体" w:eastAsia="宋体" w:hint="default"/>
                <w:sz w:val="18"/>
                <w:szCs w:val="18"/>
              </w:rPr>
              <w:t>于公司及下属公司租用控股股东及其下属单位房 </w:t>
            </w:r>
            <w:r>
              <w:rPr>
                <w:rFonts w:ascii="宋体" w:hAnsi="宋体" w:cs="宋体" w:eastAsia="宋体" w:hint="default"/>
                <w:spacing w:val="-4"/>
                <w:sz w:val="18"/>
                <w:szCs w:val="18"/>
              </w:rPr>
              <w:t>产作为办公场所的议案》</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《关于调整公司独立董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事薪酬的议案》</w:t>
            </w:r>
            <w:r>
              <w:rPr>
                <w:rFonts w:ascii="Times New Roman" w:hAnsi="Times New Roman" w:cs="Times New Roman" w:eastAsia="Times New Roman" w:hint="default"/>
                <w:sz w:val="18"/>
                <w:szCs w:val="18"/>
              </w:rPr>
              <w:t>12.</w:t>
            </w:r>
            <w:r>
              <w:rPr>
                <w:rFonts w:ascii="宋体" w:hAnsi="宋体" w:cs="宋体" w:eastAsia="宋体" w:hint="default"/>
                <w:sz w:val="18"/>
                <w:szCs w:val="18"/>
              </w:rPr>
              <w:t>《关于公司及下属公司租用控 股股东及其下属单位房产作为办公场所的议案》 </w:t>
            </w:r>
            <w:r>
              <w:rPr>
                <w:rFonts w:ascii="Times New Roman" w:hAnsi="Times New Roman" w:cs="Times New Roman" w:eastAsia="Times New Roman" w:hint="default"/>
                <w:sz w:val="18"/>
                <w:szCs w:val="18"/>
              </w:rPr>
              <w:t>13.</w:t>
            </w:r>
            <w:r>
              <w:rPr>
                <w:rFonts w:ascii="宋体" w:hAnsi="宋体" w:cs="宋体" w:eastAsia="宋体" w:hint="default"/>
                <w:sz w:val="18"/>
                <w:szCs w:val="18"/>
              </w:rPr>
              <w:t>《关于调整公司独立董事薪酬的议案》</w:t>
            </w:r>
            <w:r>
              <w:rPr>
                <w:rFonts w:ascii="Times New Roman" w:hAnsi="Times New Roman" w:cs="Times New Roman" w:eastAsia="Times New Roman" w:hint="default"/>
                <w:sz w:val="18"/>
                <w:szCs w:val="18"/>
              </w:rPr>
              <w:t>14.</w:t>
            </w:r>
            <w:r>
              <w:rPr>
                <w:rFonts w:ascii="宋体" w:hAnsi="宋体" w:cs="宋体" w:eastAsia="宋体" w:hint="default"/>
                <w:sz w:val="18"/>
                <w:szCs w:val="18"/>
              </w:rPr>
              <w:t>《关 于与大唐电信集团财务有限公司签订</w:t>
            </w:r>
            <w:r>
              <w:rPr>
                <w:rFonts w:ascii="Times New Roman" w:hAnsi="Times New Roman" w:cs="Times New Roman" w:eastAsia="Times New Roman" w:hint="default"/>
                <w:sz w:val="18"/>
                <w:szCs w:val="18"/>
              </w:rPr>
              <w:t>&lt;</w:t>
            </w:r>
            <w:r>
              <w:rPr>
                <w:rFonts w:ascii="宋体" w:hAnsi="宋体" w:cs="宋体" w:eastAsia="宋体" w:hint="default"/>
                <w:sz w:val="18"/>
                <w:szCs w:val="18"/>
              </w:rPr>
              <w:t>金融服务协 </w:t>
            </w:r>
            <w:r>
              <w:rPr>
                <w:rFonts w:ascii="宋体" w:hAnsi="宋体" w:cs="宋体" w:eastAsia="宋体" w:hint="default"/>
                <w:spacing w:val="-1"/>
                <w:sz w:val="18"/>
                <w:szCs w:val="18"/>
              </w:rPr>
              <w:t>议</w:t>
            </w:r>
            <w:r>
              <w:rPr>
                <w:rFonts w:ascii="Times New Roman" w:hAnsi="Times New Roman" w:cs="Times New Roman" w:eastAsia="Times New Roman" w:hint="default"/>
                <w:spacing w:val="-1"/>
                <w:sz w:val="18"/>
                <w:szCs w:val="18"/>
              </w:rPr>
              <w:t>&gt;</w:t>
            </w:r>
            <w:r>
              <w:rPr>
                <w:rFonts w:ascii="宋体" w:hAnsi="宋体" w:cs="宋体" w:eastAsia="宋体" w:hint="default"/>
                <w:spacing w:val="-1"/>
                <w:sz w:val="18"/>
                <w:szCs w:val="18"/>
              </w:rPr>
              <w:t>的议案》</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《关于公司全资子公司向大唐电信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科技产业控股有限公司借款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z w:val="18"/>
                <w:szCs w:val="18"/>
              </w:rPr>
              <w:t>万元的议案》</w:t>
            </w:r>
            <w:r>
              <w:rPr>
                <w:rFonts w:ascii="Times New Roman" w:hAnsi="Times New Roman" w:cs="Times New Roman" w:eastAsia="Times New Roman" w:hint="default"/>
                <w:sz w:val="18"/>
                <w:szCs w:val="18"/>
              </w:rPr>
              <w:t>16.</w:t>
            </w:r>
          </w:p>
          <w:p>
            <w:pPr>
              <w:pStyle w:val="TableParagraph"/>
              <w:spacing w:line="307" w:lineRule="auto" w:before="9"/>
              <w:ind w:left="23" w:right="-24"/>
              <w:jc w:val="left"/>
              <w:rPr>
                <w:rFonts w:ascii="宋体" w:hAnsi="宋体" w:cs="宋体" w:eastAsia="宋体" w:hint="default"/>
                <w:sz w:val="18"/>
                <w:szCs w:val="18"/>
              </w:rPr>
            </w:pPr>
            <w:r>
              <w:rPr>
                <w:rFonts w:ascii="宋体" w:hAnsi="宋体" w:cs="宋体" w:eastAsia="宋体" w:hint="default"/>
                <w:sz w:val="18"/>
                <w:szCs w:val="18"/>
              </w:rPr>
              <w:t>《关于变更部分募集资金投向的议案》</w:t>
            </w:r>
            <w:r>
              <w:rPr>
                <w:rFonts w:ascii="Times New Roman" w:hAnsi="Times New Roman" w:cs="Times New Roman" w:eastAsia="Times New Roman" w:hint="default"/>
                <w:sz w:val="18"/>
                <w:szCs w:val="18"/>
              </w:rPr>
              <w:t>17.</w:t>
            </w:r>
            <w:r>
              <w:rPr>
                <w:rFonts w:ascii="宋体" w:hAnsi="宋体" w:cs="宋体" w:eastAsia="宋体" w:hint="default"/>
                <w:sz w:val="18"/>
                <w:szCs w:val="18"/>
              </w:rPr>
              <w:t>《关于</w:t>
            </w:r>
            <w:r>
              <w:rPr>
                <w:rFonts w:ascii="宋体" w:hAnsi="宋体" w:cs="宋体" w:eastAsia="宋体" w:hint="default"/>
                <w:spacing w:val="-87"/>
                <w:sz w:val="18"/>
                <w:szCs w:val="18"/>
              </w:rPr>
              <w:t> </w:t>
            </w:r>
            <w:r>
              <w:rPr>
                <w:rFonts w:ascii="宋体" w:hAnsi="宋体" w:cs="宋体" w:eastAsia="宋体" w:hint="default"/>
                <w:sz w:val="18"/>
                <w:szCs w:val="18"/>
              </w:rPr>
              <w:t>公司全资子公司向商业银行申请综合授信的议案》 </w:t>
            </w:r>
            <w:r>
              <w:rPr>
                <w:rFonts w:ascii="Times New Roman" w:hAnsi="Times New Roman" w:cs="Times New Roman" w:eastAsia="Times New Roman" w:hint="default"/>
                <w:sz w:val="18"/>
                <w:szCs w:val="18"/>
              </w:rPr>
              <w:t>18.</w:t>
            </w:r>
            <w:r>
              <w:rPr>
                <w:rFonts w:ascii="宋体" w:hAnsi="宋体" w:cs="宋体" w:eastAsia="宋体" w:hint="default"/>
                <w:sz w:val="18"/>
                <w:szCs w:val="18"/>
              </w:rPr>
              <w:t>《关于公司为全资子公司向大唐电信科技产业 控股有限公司借款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z w:val="18"/>
                <w:szCs w:val="18"/>
              </w:rPr>
              <w:t>万元提供担保的议案》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全部通过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详见公司于</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p>
          <w:p>
            <w:pPr>
              <w:pStyle w:val="TableParagraph"/>
              <w:spacing w:line="312" w:lineRule="auto" w:before="63"/>
              <w:ind w:left="23"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日在《证券 </w:t>
            </w:r>
            <w:r>
              <w:rPr>
                <w:rFonts w:ascii="宋体" w:hAnsi="宋体" w:cs="宋体" w:eastAsia="宋体" w:hint="default"/>
                <w:spacing w:val="-17"/>
                <w:sz w:val="18"/>
                <w:szCs w:val="18"/>
              </w:rPr>
              <w:t>时报》、和巨潮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资讯网上披露 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028</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956"/>
        <w:gridCol w:w="3545"/>
        <w:gridCol w:w="1275"/>
        <w:gridCol w:w="994"/>
        <w:gridCol w:w="1203"/>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3"/>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60"/>
                <w:sz w:val="18"/>
                <w:szCs w:val="18"/>
              </w:rPr>
              <w:t>1</w:t>
            </w:r>
            <w:r>
              <w:rPr>
                <w:rFonts w:ascii="宋体" w:hAnsi="宋体" w:cs="宋体" w:eastAsia="宋体" w:hint="default"/>
                <w:spacing w:val="-60"/>
                <w:sz w:val="18"/>
                <w:szCs w:val="18"/>
              </w:rPr>
              <w:t>《</w:t>
            </w:r>
            <w:r>
              <w:rPr>
                <w:rFonts w:ascii="Times New Roman" w:hAnsi="Times New Roman" w:cs="Times New Roman" w:eastAsia="Times New Roman" w:hint="default"/>
                <w:spacing w:val="-60"/>
                <w:sz w:val="18"/>
                <w:szCs w:val="18"/>
              </w:rPr>
              <w:t>.</w:t>
            </w:r>
            <w:r>
              <w:rPr>
                <w:rFonts w:ascii="Times New Roman" w:hAnsi="Times New Roman" w:cs="Times New Roman" w:eastAsia="Times New Roman" w:hint="default"/>
                <w:spacing w:val="35"/>
                <w:sz w:val="18"/>
                <w:szCs w:val="18"/>
              </w:rPr>
              <w:t> </w:t>
            </w:r>
            <w:r>
              <w:rPr>
                <w:rFonts w:ascii="宋体" w:hAnsi="宋体" w:cs="宋体" w:eastAsia="宋体" w:hint="default"/>
                <w:spacing w:val="-1"/>
                <w:sz w:val="18"/>
                <w:szCs w:val="18"/>
              </w:rPr>
              <w:t>关于公司向大唐电信科技产业控股有限公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司申请贰亿陆仟万元委托借款的议案》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《关</w:t>
            </w:r>
            <w:r>
              <w:rPr>
                <w:rFonts w:ascii="宋体" w:hAnsi="宋体" w:cs="宋体" w:eastAsia="宋体" w:hint="default"/>
                <w:spacing w:val="-72"/>
                <w:sz w:val="18"/>
                <w:szCs w:val="18"/>
              </w:rPr>
              <w:t> </w:t>
            </w:r>
            <w:r>
              <w:rPr>
                <w:rFonts w:ascii="宋体" w:hAnsi="宋体" w:cs="宋体" w:eastAsia="宋体" w:hint="default"/>
                <w:sz w:val="18"/>
                <w:szCs w:val="18"/>
              </w:rPr>
              <w:t>于全资子公司北京大唐高鸿数据网络技术有 限公司向控股股东电信科学技术研究院申请 </w:t>
            </w:r>
            <w:r>
              <w:rPr>
                <w:rFonts w:ascii="宋体" w:hAnsi="宋体" w:cs="宋体" w:eastAsia="宋体" w:hint="default"/>
                <w:spacing w:val="-4"/>
                <w:sz w:val="18"/>
                <w:szCs w:val="18"/>
              </w:rPr>
              <w:t>肆仟万元委托借款的议案》</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《关于公司为全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资子公司向电信科学技术研究院申请委托借 款提供担保的议案》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3" w:right="87"/>
              <w:jc w:val="left"/>
              <w:rPr>
                <w:rFonts w:ascii="宋体" w:hAnsi="宋体" w:cs="宋体" w:eastAsia="宋体" w:hint="default"/>
                <w:sz w:val="18"/>
                <w:szCs w:val="18"/>
              </w:rPr>
            </w:pPr>
            <w:r>
              <w:rPr>
                <w:rFonts w:ascii="宋体" w:hAnsi="宋体" w:cs="宋体" w:eastAsia="宋体" w:hint="default"/>
                <w:sz w:val="18"/>
                <w:szCs w:val="18"/>
              </w:rPr>
              <w:t>《证券时报》 和巨潮资讯网 上披露的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bl>
    <w:p>
      <w:pPr>
        <w:spacing w:after="0" w:line="235" w:lineRule="exact"/>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956"/>
        <w:gridCol w:w="3545"/>
        <w:gridCol w:w="1275"/>
        <w:gridCol w:w="994"/>
        <w:gridCol w:w="1203"/>
      </w:tblGrid>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3" w:right="3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募集资金专项存储与使用管理 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《关于使用部分闲置募集资 金补充流动资金的议案》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《证券时报》 和巨潮资讯网 上披露的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570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60"/>
                <w:sz w:val="18"/>
                <w:szCs w:val="18"/>
              </w:rPr>
              <w:t>1</w:t>
            </w:r>
            <w:r>
              <w:rPr>
                <w:rFonts w:ascii="宋体" w:hAnsi="宋体" w:cs="宋体" w:eastAsia="宋体" w:hint="default"/>
                <w:spacing w:val="-60"/>
                <w:sz w:val="18"/>
                <w:szCs w:val="18"/>
              </w:rPr>
              <w:t>《</w:t>
            </w:r>
            <w:r>
              <w:rPr>
                <w:rFonts w:ascii="Times New Roman" w:hAnsi="Times New Roman" w:cs="Times New Roman" w:eastAsia="Times New Roman" w:hint="default"/>
                <w:spacing w:val="-60"/>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14"/>
                <w:sz w:val="18"/>
                <w:szCs w:val="18"/>
              </w:rPr>
              <w:t>关于变更部分募集资金投向的议案》</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关 于公司全资子公司北京大唐高鸿数据网络技 术有限公司向电信科学技术研究院申请委托 </w:t>
            </w:r>
            <w:r>
              <w:rPr>
                <w:rFonts w:ascii="宋体" w:hAnsi="宋体" w:cs="宋体" w:eastAsia="宋体" w:hint="default"/>
                <w:spacing w:val="-4"/>
                <w:sz w:val="18"/>
                <w:szCs w:val="18"/>
              </w:rPr>
              <w:t>贷款的议案》</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《关于公司控股子公司大唐高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鸿信息技术有限公司向电信科学技术研究院 </w:t>
            </w:r>
            <w:r>
              <w:rPr>
                <w:rFonts w:ascii="宋体" w:hAnsi="宋体" w:cs="宋体" w:eastAsia="宋体" w:hint="default"/>
                <w:spacing w:val="-4"/>
                <w:sz w:val="18"/>
                <w:szCs w:val="18"/>
              </w:rPr>
              <w:t>申请委托贷款的议案》</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《关于公司控股子公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司北京大唐融合通信技术有限公司向大唐电 信集团财务有限公司申请综合授信的议案》 </w:t>
            </w:r>
            <w:r>
              <w:rPr>
                <w:rFonts w:ascii="Times New Roman" w:hAnsi="Times New Roman" w:cs="Times New Roman" w:eastAsia="Times New Roman" w:hint="default"/>
                <w:spacing w:val="-60"/>
                <w:sz w:val="18"/>
                <w:szCs w:val="18"/>
              </w:rPr>
              <w:t>5</w:t>
            </w:r>
            <w:r>
              <w:rPr>
                <w:rFonts w:ascii="宋体" w:hAnsi="宋体" w:cs="宋体" w:eastAsia="宋体" w:hint="default"/>
                <w:spacing w:val="-60"/>
                <w:sz w:val="18"/>
                <w:szCs w:val="18"/>
              </w:rPr>
              <w:t>《</w:t>
            </w:r>
            <w:r>
              <w:rPr>
                <w:rFonts w:ascii="Times New Roman" w:hAnsi="Times New Roman" w:cs="Times New Roman" w:eastAsia="Times New Roman" w:hint="default"/>
                <w:spacing w:val="-60"/>
                <w:sz w:val="18"/>
                <w:szCs w:val="18"/>
              </w:rPr>
              <w:t>.</w:t>
            </w:r>
            <w:r>
              <w:rPr>
                <w:rFonts w:ascii="Times New Roman" w:hAnsi="Times New Roman" w:cs="Times New Roman" w:eastAsia="Times New Roman" w:hint="default"/>
                <w:spacing w:val="35"/>
                <w:sz w:val="18"/>
                <w:szCs w:val="18"/>
              </w:rPr>
              <w:t> </w:t>
            </w:r>
            <w:r>
              <w:rPr>
                <w:rFonts w:ascii="宋体" w:hAnsi="宋体" w:cs="宋体" w:eastAsia="宋体" w:hint="default"/>
                <w:spacing w:val="-1"/>
                <w:sz w:val="18"/>
                <w:szCs w:val="18"/>
              </w:rPr>
              <w:t>关于公司控股子公司江苏高鸿鼎恒信息技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术有限公司向大唐电信集团财务有限公司申 </w:t>
            </w:r>
            <w:r>
              <w:rPr>
                <w:rFonts w:ascii="宋体" w:hAnsi="宋体" w:cs="宋体" w:eastAsia="宋体" w:hint="default"/>
                <w:spacing w:val="-4"/>
                <w:sz w:val="18"/>
                <w:szCs w:val="18"/>
              </w:rPr>
              <w:t>请综合授信的议案》</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《关于公司下属公司向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商业银行申请综合授信额度的议案》</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《关于</w:t>
            </w:r>
            <w:r>
              <w:rPr>
                <w:rFonts w:ascii="宋体" w:hAnsi="宋体" w:cs="宋体" w:eastAsia="宋体" w:hint="default"/>
                <w:spacing w:val="-72"/>
                <w:sz w:val="18"/>
                <w:szCs w:val="18"/>
              </w:rPr>
              <w:t> </w:t>
            </w:r>
            <w:r>
              <w:rPr>
                <w:rFonts w:ascii="宋体" w:hAnsi="宋体" w:cs="宋体" w:eastAsia="宋体" w:hint="default"/>
                <w:sz w:val="18"/>
                <w:szCs w:val="18"/>
              </w:rPr>
              <w:t>为公司下属公司向商业银行申请综合授信的 </w:t>
            </w:r>
            <w:r>
              <w:rPr>
                <w:rFonts w:ascii="宋体" w:hAnsi="宋体" w:cs="宋体" w:eastAsia="宋体" w:hint="default"/>
                <w:spacing w:val="-4"/>
                <w:sz w:val="18"/>
                <w:szCs w:val="18"/>
              </w:rPr>
              <w:t>提供担保的议案》</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《关于公司为全资子公司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及控股子公司向电信科学技术研究院申请委 </w:t>
            </w:r>
            <w:r>
              <w:rPr>
                <w:rFonts w:ascii="宋体" w:hAnsi="宋体" w:cs="宋体" w:eastAsia="宋体" w:hint="default"/>
                <w:spacing w:val="-4"/>
                <w:sz w:val="18"/>
                <w:szCs w:val="18"/>
              </w:rPr>
              <w:t>托贷款提供担保的议案》</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《关于公司为控股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子公司向大唐电信集团财务有限公司申请综 合授信提供担保的议案》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23" w:right="87"/>
              <w:jc w:val="left"/>
              <w:rPr>
                <w:rFonts w:ascii="宋体" w:hAnsi="宋体" w:cs="宋体" w:eastAsia="宋体" w:hint="default"/>
                <w:sz w:val="18"/>
                <w:szCs w:val="18"/>
              </w:rPr>
            </w:pPr>
            <w:r>
              <w:rPr>
                <w:rFonts w:ascii="宋体" w:hAnsi="宋体" w:cs="宋体" w:eastAsia="宋体" w:hint="default"/>
                <w:sz w:val="18"/>
                <w:szCs w:val="18"/>
              </w:rPr>
              <w:t>《证券时报》 和巨潮资讯网 上披露的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6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《关于与大唐电信集团财务有限公司签订</w:t>
            </w:r>
            <w:r>
              <w:rPr>
                <w:rFonts w:ascii="Times New Roman" w:hAnsi="Times New Roman" w:cs="Times New Roman" w:eastAsia="Times New Roman" w:hint="default"/>
                <w:sz w:val="18"/>
                <w:szCs w:val="18"/>
              </w:rPr>
              <w:t>&lt; </w:t>
            </w:r>
            <w:r>
              <w:rPr>
                <w:rFonts w:ascii="宋体" w:hAnsi="宋体" w:cs="宋体" w:eastAsia="宋体" w:hint="default"/>
                <w:sz w:val="18"/>
                <w:szCs w:val="18"/>
              </w:rPr>
              <w:t>金融服务协议补充协议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《关于公 司下属公司向商业银行申请综合授信的议 </w:t>
            </w:r>
            <w:r>
              <w:rPr>
                <w:rFonts w:ascii="宋体" w:hAnsi="宋体" w:cs="宋体" w:eastAsia="宋体" w:hint="default"/>
                <w:spacing w:val="-4"/>
                <w:sz w:val="18"/>
                <w:szCs w:val="18"/>
              </w:rPr>
              <w:t>案》</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《关于公司为下属公司向商业银行申请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综合授信提供担保的议案》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《证券时报》 和巨潮资讯网 上披露的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3"/>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7"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蔡荣生</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936"/>
        <w:gridCol w:w="6634"/>
      </w:tblGrid>
      <w:tr>
        <w:trPr>
          <w:trHeight w:val="403"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before="49"/>
        <w:ind w:left="152" w:right="96"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pStyle w:val="BodyText"/>
        <w:spacing w:line="357" w:lineRule="auto" w:before="145"/>
        <w:ind w:right="374" w:firstLine="360"/>
        <w:jc w:val="left"/>
      </w:pPr>
      <w:r>
        <w:rPr/>
        <w:t>独立董事蔡荣生先生未出席公司召开的第七届第二十二次董事会和第七届第二十三次董 事会，且经公司多次尝试均无法取得联系。</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6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5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357" w:lineRule="auto" w:before="70"/>
        <w:ind w:right="228" w:firstLine="425"/>
        <w:jc w:val="both"/>
      </w:pPr>
      <w:r>
        <w:rPr>
          <w:spacing w:val="2"/>
        </w:rPr>
        <w:t>公司独立董事认真行使法律所赋予的权利，及时了解公司的生产经营信息，全面关注公 </w:t>
      </w:r>
      <w:r>
        <w:rPr/>
        <w:t>司的发展状况，积极出席公司</w:t>
      </w:r>
      <w:r>
        <w:rPr>
          <w:rFonts w:ascii="宋体" w:hAnsi="宋体" w:cs="宋体" w:eastAsia="宋体" w:hint="default"/>
        </w:rPr>
        <w:t>2013</w:t>
      </w:r>
      <w:r>
        <w:rPr/>
        <w:t>年召开的相关会议，对公司董事会审议的相关事项发表了</w:t>
      </w:r>
      <w:r>
        <w:rPr>
          <w:spacing w:val="-90"/>
        </w:rPr>
        <w:t> </w:t>
      </w:r>
      <w:r>
        <w:rPr>
          <w:spacing w:val="-90"/>
        </w:rPr>
      </w:r>
      <w:r>
        <w:rPr/>
        <w:t>独立客观的意见，忠实履行职责，充分发挥独立董事的独立作用，维护了公司整体利益，维</w:t>
      </w:r>
      <w:r>
        <w:rPr>
          <w:spacing w:val="-91"/>
        </w:rPr>
        <w:t> </w:t>
      </w:r>
      <w:r>
        <w:rPr>
          <w:spacing w:val="-91"/>
        </w:rPr>
      </w:r>
      <w:r>
        <w:rPr/>
        <w:t>护了全体股东尤其是中小股东的合法权益。公司对独立董事关于经营发展及公司治理等各方</w:t>
      </w:r>
      <w:r>
        <w:rPr>
          <w:spacing w:val="-91"/>
        </w:rPr>
        <w:t> </w:t>
      </w:r>
      <w:r>
        <w:rPr>
          <w:spacing w:val="-91"/>
        </w:rPr>
      </w:r>
      <w:r>
        <w:rPr/>
        <w:t>面意见均积极听取，并予以采纳。</w:t>
      </w:r>
    </w:p>
    <w:p>
      <w:pPr>
        <w:spacing w:line="240" w:lineRule="auto" w:before="11"/>
        <w:rPr>
          <w:rFonts w:ascii="宋体" w:hAnsi="宋体" w:cs="宋体" w:eastAsia="宋体" w:hint="default"/>
          <w:sz w:val="19"/>
          <w:szCs w:val="19"/>
        </w:rPr>
      </w:pPr>
    </w:p>
    <w:p>
      <w:pPr>
        <w:pStyle w:val="Heading3"/>
        <w:spacing w:line="240" w:lineRule="auto"/>
        <w:ind w:right="96"/>
        <w:jc w:val="left"/>
        <w:rPr>
          <w:b w:val="0"/>
          <w:bCs w:val="0"/>
        </w:rPr>
      </w:pPr>
      <w:r>
        <w:rPr/>
        <w:t>四、董事会下设专门委员会在报告期内履行职责情况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left="578" w:right="96"/>
        <w:jc w:val="left"/>
      </w:pPr>
      <w:r>
        <w:rPr>
          <w:rFonts w:ascii="宋体" w:hAnsi="宋体" w:cs="宋体" w:eastAsia="宋体" w:hint="default"/>
        </w:rPr>
        <w:t>1.</w:t>
      </w:r>
      <w:r>
        <w:rPr/>
        <w:t>董事会薪酬与考核委员会工作情况 </w:t>
      </w:r>
      <w:r>
        <w:rPr>
          <w:spacing w:val="2"/>
        </w:rPr>
        <w:t>公司董事会薪酬与考核委员会根据上级监管部门及公司章程的有关规定，认真履行了工</w:t>
      </w:r>
      <w:r>
        <w:rPr/>
      </w:r>
    </w:p>
    <w:p>
      <w:pPr>
        <w:pStyle w:val="BodyText"/>
        <w:spacing w:line="357" w:lineRule="auto"/>
        <w:ind w:right="100"/>
        <w:jc w:val="left"/>
      </w:pPr>
      <w:r>
        <w:rPr>
          <w:spacing w:val="-2"/>
        </w:rPr>
        <w:t>作职责。董事会薪酬与考核委员认真审核了</w:t>
      </w:r>
      <w:r>
        <w:rPr>
          <w:rFonts w:ascii="宋体" w:hAnsi="宋体" w:cs="宋体" w:eastAsia="宋体" w:hint="default"/>
          <w:spacing w:val="-2"/>
        </w:rPr>
        <w:t>2013</w:t>
      </w:r>
      <w:r>
        <w:rPr>
          <w:spacing w:val="-2"/>
        </w:rPr>
        <w:t>年度公司实际生产经营业绩后，对公司董事、</w:t>
      </w:r>
      <w:r>
        <w:rPr>
          <w:spacing w:val="-115"/>
        </w:rPr>
        <w:t> </w:t>
      </w:r>
      <w:r>
        <w:rPr>
          <w:spacing w:val="-115"/>
        </w:rPr>
      </w:r>
      <w:r>
        <w:rPr/>
        <w:t>监事及高管人员所披露的薪酬进行了审核并出具了核实意见</w:t>
      </w:r>
      <w:r>
        <w:rPr>
          <w:rFonts w:ascii="宋体" w:hAnsi="宋体" w:cs="宋体" w:eastAsia="宋体" w:hint="default"/>
        </w:rPr>
        <w:t>: </w:t>
      </w:r>
      <w:r>
        <w:rPr/>
        <w:t>根据中国证监会、深交所有关</w:t>
      </w:r>
      <w:r>
        <w:rPr>
          <w:spacing w:val="-88"/>
        </w:rPr>
        <w:t> </w:t>
      </w:r>
      <w:r>
        <w:rPr>
          <w:spacing w:val="-88"/>
        </w:rPr>
      </w:r>
      <w:r>
        <w:rPr/>
        <w:t>法律、法规和公司内部控制制度、公司《董事会薪酬与考核委员会实施细则》的有关规定，</w:t>
      </w:r>
      <w:r>
        <w:rPr>
          <w:spacing w:val="-91"/>
        </w:rPr>
        <w:t> </w:t>
      </w:r>
      <w:r>
        <w:rPr>
          <w:spacing w:val="-91"/>
        </w:rPr>
      </w:r>
      <w:r>
        <w:rPr/>
        <w:t>薪酬与考核委员会对</w:t>
      </w:r>
      <w:r>
        <w:rPr>
          <w:rFonts w:ascii="宋体" w:hAnsi="宋体" w:cs="宋体" w:eastAsia="宋体" w:hint="default"/>
        </w:rPr>
        <w:t>2013</w:t>
      </w:r>
      <w:r>
        <w:rPr/>
        <w:t>年度公司董事、监事及高管人员所披露的薪酬情况进行了审核并发</w:t>
      </w:r>
      <w:r>
        <w:rPr>
          <w:spacing w:val="-90"/>
        </w:rPr>
        <w:t> </w:t>
      </w:r>
      <w:r>
        <w:rPr>
          <w:spacing w:val="-90"/>
        </w:rPr>
      </w:r>
      <w:r>
        <w:rPr/>
        <w:t>表审核意见如下：公司董事会薪酬与考核委员会根据董事、监事及高管人员管理岗位的主要</w:t>
      </w:r>
      <w:r>
        <w:rPr>
          <w:spacing w:val="-91"/>
        </w:rPr>
        <w:t> </w:t>
      </w:r>
      <w:r>
        <w:rPr>
          <w:spacing w:val="-91"/>
        </w:rPr>
      </w:r>
      <w:r>
        <w:rPr/>
        <w:t>范围、职责、重要性及行业相关岗位的薪酬水平，负责制订、审查公司薪酬计划与方案，主</w:t>
      </w:r>
      <w:r>
        <w:rPr>
          <w:spacing w:val="-91"/>
        </w:rPr>
        <w:t> </w:t>
      </w:r>
      <w:r>
        <w:rPr>
          <w:spacing w:val="-91"/>
        </w:rPr>
      </w:r>
      <w:r>
        <w:rPr/>
        <w:t>要包括绩效评价标准、程序及主要评价体系、奖励和惩罚的主要方案和制度等，制定公司董</w:t>
      </w:r>
      <w:r>
        <w:rPr>
          <w:spacing w:val="-91"/>
        </w:rPr>
        <w:t> </w:t>
      </w:r>
      <w:r>
        <w:rPr>
          <w:spacing w:val="-91"/>
        </w:rPr>
      </w:r>
      <w:r>
        <w:rPr/>
        <w:t>事（不含独立董事）、监事及高管人员的考核标准，审查公司董事、监事及高管人员履行职</w:t>
      </w:r>
    </w:p>
    <w:p>
      <w:pPr>
        <w:spacing w:after="0" w:line="357"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234"/>
        <w:jc w:val="both"/>
      </w:pPr>
      <w:r>
        <w:rPr/>
        <w:t>责的情况，并依照考核标准及薪酬政策与方案进行年度绩效考核。</w:t>
      </w:r>
      <w:r>
        <w:rPr>
          <w:rFonts w:ascii="宋体" w:hAnsi="宋体" w:cs="宋体" w:eastAsia="宋体" w:hint="default"/>
        </w:rPr>
        <w:t>2013</w:t>
      </w:r>
      <w:r>
        <w:rPr/>
        <w:t>年度，公司董事、监</w:t>
      </w:r>
      <w:r>
        <w:rPr>
          <w:spacing w:val="-87"/>
        </w:rPr>
        <w:t> </w:t>
      </w:r>
      <w:r>
        <w:rPr>
          <w:spacing w:val="-87"/>
        </w:rPr>
      </w:r>
      <w:r>
        <w:rPr/>
        <w:t>事及高管人员披露的薪酬情况符合公司薪酬管理制度，未有违反公司薪酬管理制度及与公司</w:t>
      </w:r>
      <w:r>
        <w:rPr>
          <w:spacing w:val="-91"/>
        </w:rPr>
        <w:t> </w:t>
      </w:r>
      <w:r>
        <w:rPr>
          <w:spacing w:val="-91"/>
        </w:rPr>
      </w:r>
      <w:r>
        <w:rPr/>
        <w:t>薪酬管理制度不一致的情形发生。</w:t>
      </w:r>
    </w:p>
    <w:p>
      <w:pPr>
        <w:pStyle w:val="BodyText"/>
        <w:spacing w:line="357" w:lineRule="auto"/>
        <w:ind w:left="578" w:right="108" w:firstLine="120"/>
        <w:jc w:val="left"/>
      </w:pPr>
      <w:r>
        <w:rPr>
          <w:rFonts w:ascii="宋体" w:hAnsi="宋体" w:cs="宋体" w:eastAsia="宋体" w:hint="default"/>
        </w:rPr>
        <w:t>2.</w:t>
      </w:r>
      <w:r>
        <w:rPr/>
        <w:t>董事会审计委员会工作情况 </w:t>
      </w:r>
      <w:r>
        <w:rPr>
          <w:spacing w:val="-4"/>
        </w:rPr>
        <w:t>公司董事会审计委员会成员共</w:t>
      </w:r>
      <w:r>
        <w:rPr>
          <w:rFonts w:ascii="宋体" w:hAnsi="宋体" w:cs="宋体" w:eastAsia="宋体" w:hint="default"/>
          <w:spacing w:val="-4"/>
        </w:rPr>
        <w:t>3</w:t>
      </w:r>
      <w:r>
        <w:rPr>
          <w:spacing w:val="-4"/>
        </w:rPr>
        <w:t>人，全部由独立董事组成，主任委员为专业会计人士担任。</w:t>
      </w:r>
    </w:p>
    <w:p>
      <w:pPr>
        <w:pStyle w:val="BodyText"/>
        <w:spacing w:line="357" w:lineRule="auto"/>
        <w:ind w:right="96"/>
        <w:jc w:val="left"/>
      </w:pPr>
      <w:r>
        <w:rPr/>
        <w:t>根据中国证监会、深交所有关规定及公司董事会审计委员会工作细则、公司董事会审计委员</w:t>
      </w:r>
      <w:r>
        <w:rPr>
          <w:spacing w:val="-91"/>
        </w:rPr>
        <w:t> </w:t>
      </w:r>
      <w:r>
        <w:rPr>
          <w:spacing w:val="-91"/>
        </w:rPr>
      </w:r>
      <w:r>
        <w:rPr/>
        <w:t>会年报工作制度，公司董事会审计委员会本着勤勉尽责的原则，履行了以下工作职责：</w:t>
      </w:r>
    </w:p>
    <w:p>
      <w:pPr>
        <w:pStyle w:val="BodyText"/>
        <w:spacing w:line="240" w:lineRule="auto"/>
        <w:ind w:left="578" w:right="96"/>
        <w:jc w:val="left"/>
      </w:pPr>
      <w:r>
        <w:rPr/>
        <w:t>（</w:t>
      </w:r>
      <w:r>
        <w:rPr>
          <w:rFonts w:ascii="宋体" w:hAnsi="宋体" w:cs="宋体" w:eastAsia="宋体" w:hint="default"/>
        </w:rPr>
        <w:t>1</w:t>
      </w:r>
      <w:r>
        <w:rPr/>
        <w:t>）审计委员会认真审阅了公司</w:t>
      </w:r>
      <w:r>
        <w:rPr>
          <w:rFonts w:ascii="宋体" w:hAnsi="宋体" w:cs="宋体" w:eastAsia="宋体" w:hint="default"/>
        </w:rPr>
        <w:t>2013</w:t>
      </w:r>
      <w:r>
        <w:rPr/>
        <w:t>年度编制的定期报告；</w:t>
      </w:r>
    </w:p>
    <w:p>
      <w:pPr>
        <w:pStyle w:val="BodyText"/>
        <w:spacing w:line="357" w:lineRule="auto" w:before="154"/>
        <w:ind w:right="112" w:firstLine="425"/>
        <w:jc w:val="left"/>
      </w:pPr>
      <w:r>
        <w:rPr/>
        <w:t>（</w:t>
      </w:r>
      <w:r>
        <w:rPr>
          <w:rFonts w:ascii="宋体" w:hAnsi="宋体" w:cs="宋体" w:eastAsia="宋体" w:hint="default"/>
        </w:rPr>
        <w:t>2</w:t>
      </w:r>
      <w:r>
        <w:rPr/>
        <w:t>）在年审注册会计师进场前认真审阅了公司初步编制的财务会计报表，并出具了书面 审议意见；</w:t>
      </w:r>
      <w:r>
        <w:rPr>
          <w:spacing w:val="12"/>
        </w:rPr>
        <w:t> </w:t>
      </w:r>
      <w:r>
        <w:rPr/>
        <w:t>我们审阅了公司财务部</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7</w:t>
      </w:r>
      <w:r>
        <w:rPr/>
        <w:t>日提交的财务报表，包括</w:t>
      </w:r>
      <w:r>
        <w:rPr>
          <w:rFonts w:ascii="宋体" w:hAnsi="宋体" w:cs="宋体" w:eastAsia="宋体" w:hint="default"/>
        </w:rPr>
        <w:t>2013</w:t>
      </w:r>
      <w:r>
        <w:rPr/>
        <w:t>年</w:t>
      </w:r>
      <w:r>
        <w:rPr>
          <w:rFonts w:ascii="宋体" w:hAnsi="宋体" w:cs="宋体" w:eastAsia="宋体" w:hint="default"/>
        </w:rPr>
        <w:t>12</w:t>
      </w:r>
      <w:r>
        <w:rPr>
          <w:rFonts w:ascii="宋体" w:hAnsi="宋体" w:cs="宋体" w:eastAsia="宋体" w:hint="default"/>
          <w:spacing w:val="11"/>
        </w:rPr>
        <w:t> </w:t>
      </w:r>
      <w:r>
        <w:rPr/>
        <w:t>月</w:t>
      </w:r>
      <w:r>
        <w:rPr>
          <w:rFonts w:ascii="宋体" w:hAnsi="宋体" w:cs="宋体" w:eastAsia="宋体" w:hint="default"/>
        </w:rPr>
        <w:t>31</w:t>
      </w:r>
      <w:r>
        <w:rPr/>
        <w:t>日的</w:t>
      </w:r>
      <w:r>
        <w:rPr>
          <w:spacing w:val="-111"/>
        </w:rPr>
        <w:t> </w:t>
      </w:r>
      <w:r>
        <w:rPr>
          <w:spacing w:val="-2"/>
        </w:rPr>
        <w:t>资产负债表，</w:t>
      </w:r>
      <w:r>
        <w:rPr>
          <w:rFonts w:ascii="宋体" w:hAnsi="宋体" w:cs="宋体" w:eastAsia="宋体" w:hint="default"/>
          <w:spacing w:val="-2"/>
        </w:rPr>
        <w:t>2013</w:t>
      </w:r>
      <w:r>
        <w:rPr>
          <w:spacing w:val="-2"/>
        </w:rPr>
        <w:t>年度的利润表、股东权益变动表和现金流量表以及部分财务报表附注资料。</w:t>
      </w:r>
      <w:r>
        <w:rPr>
          <w:spacing w:val="-116"/>
        </w:rPr>
        <w:t> </w:t>
      </w:r>
      <w:r>
        <w:rPr>
          <w:spacing w:val="-116"/>
        </w:rPr>
      </w:r>
      <w:r>
        <w:rPr/>
        <w:t>我们按照《企业会计准则</w:t>
      </w:r>
      <w:r>
        <w:rPr>
          <w:rFonts w:ascii="宋体" w:hAnsi="宋体" w:cs="宋体" w:eastAsia="宋体" w:hint="default"/>
        </w:rPr>
        <w:t>--</w:t>
      </w:r>
      <w:r>
        <w:rPr/>
        <w:t>基本准则》、《企业会计准则第</w:t>
      </w:r>
      <w:r>
        <w:rPr>
          <w:rFonts w:ascii="宋体" w:hAnsi="宋体" w:cs="宋体" w:eastAsia="宋体" w:hint="default"/>
        </w:rPr>
        <w:t>1 </w:t>
      </w:r>
      <w:r>
        <w:rPr/>
        <w:t>号</w:t>
      </w:r>
      <w:r>
        <w:rPr>
          <w:rFonts w:ascii="宋体" w:hAnsi="宋体" w:cs="宋体" w:eastAsia="宋体" w:hint="default"/>
        </w:rPr>
        <w:t>--</w:t>
      </w:r>
      <w:r>
        <w:rPr/>
        <w:t>存货》等具体准则以及公</w:t>
      </w:r>
      <w:r>
        <w:rPr>
          <w:spacing w:val="-89"/>
        </w:rPr>
        <w:t> </w:t>
      </w:r>
      <w:r>
        <w:rPr>
          <w:spacing w:val="-89"/>
        </w:rPr>
      </w:r>
      <w:r>
        <w:rPr/>
        <w:t>司有关财务制度规定，对会计资料的真实性、完整性，财务报表是否严格按照新企业会计准</w:t>
      </w:r>
      <w:r>
        <w:rPr>
          <w:spacing w:val="-91"/>
        </w:rPr>
        <w:t> </w:t>
      </w:r>
      <w:r>
        <w:rPr>
          <w:spacing w:val="-91"/>
        </w:rPr>
      </w:r>
      <w:r>
        <w:rPr/>
        <w:t>则及公司有关财务制度规定编制予以了重点关注。</w:t>
      </w:r>
      <w:r>
        <w:rPr>
          <w:spacing w:val="-35"/>
        </w:rPr>
        <w:t> </w:t>
      </w:r>
      <w:r>
        <w:rPr>
          <w:spacing w:val="-3"/>
        </w:rPr>
        <w:t>通过询问公司内部审计人员、财务人员及</w:t>
      </w:r>
      <w:r>
        <w:rPr>
          <w:spacing w:val="-113"/>
        </w:rPr>
        <w:t> </w:t>
      </w:r>
      <w:r>
        <w:rPr>
          <w:spacing w:val="-113"/>
        </w:rPr>
      </w:r>
      <w:r>
        <w:rPr/>
        <w:t>管理人员、查阅股东大会、监事会、董事会及相关委员会会议纪要、公司相关账册及凭证、</w:t>
      </w:r>
      <w:r>
        <w:rPr>
          <w:spacing w:val="-90"/>
        </w:rPr>
        <w:t> </w:t>
      </w:r>
      <w:r>
        <w:rPr>
          <w:spacing w:val="-90"/>
        </w:rPr>
      </w:r>
      <w:r>
        <w:rPr/>
        <w:t>以及对重大财务数据实施分析程序，我们认为：公司所有交易均已记录，交易事项真实，资</w:t>
      </w:r>
      <w:r>
        <w:rPr>
          <w:spacing w:val="-91"/>
        </w:rPr>
        <w:t> </w:t>
      </w:r>
      <w:r>
        <w:rPr>
          <w:spacing w:val="-91"/>
        </w:rPr>
      </w:r>
      <w:r>
        <w:rPr/>
        <w:t>料完整，会计政策选用恰当，会计估计合理，未发现有重大错报、漏报情况；未发现有大股</w:t>
      </w:r>
      <w:r>
        <w:rPr>
          <w:spacing w:val="-91"/>
        </w:rPr>
        <w:t> </w:t>
      </w:r>
      <w:r>
        <w:rPr>
          <w:spacing w:val="-91"/>
        </w:rPr>
      </w:r>
      <w:r>
        <w:rPr/>
        <w:t>东占用公司资金情况；未发现公司有对外违规担保情况及异常关联交易情况。</w:t>
      </w:r>
      <w:r>
        <w:rPr>
          <w:spacing w:val="-56"/>
        </w:rPr>
        <w:t> </w:t>
      </w:r>
      <w:r>
        <w:rPr/>
        <w:t>基于本次财务</w:t>
      </w:r>
      <w:r>
        <w:rPr/>
        <w:t> 报表的审阅时间距离审计报告日及财务报表报出日尚有一段期间，提请公司财务部重点关注</w:t>
      </w:r>
      <w:r>
        <w:rPr>
          <w:spacing w:val="-91"/>
        </w:rPr>
        <w:t> </w:t>
      </w:r>
      <w:r>
        <w:rPr>
          <w:spacing w:val="-91"/>
        </w:rPr>
      </w:r>
      <w:r>
        <w:rPr/>
        <w:t>并严格按照新企业会计准则处理好资产负债日期后事项，以保证财务报表的公允性、真实性</w:t>
      </w:r>
      <w:r>
        <w:rPr>
          <w:spacing w:val="-89"/>
        </w:rPr>
        <w:t> </w:t>
      </w:r>
      <w:r>
        <w:rPr>
          <w:spacing w:val="-89"/>
        </w:rPr>
      </w:r>
      <w:r>
        <w:rPr/>
        <w:t>及完整性。</w:t>
      </w:r>
    </w:p>
    <w:p>
      <w:pPr>
        <w:pStyle w:val="BodyText"/>
        <w:spacing w:line="357" w:lineRule="auto"/>
        <w:ind w:right="215" w:firstLine="425"/>
        <w:jc w:val="left"/>
      </w:pPr>
      <w:r>
        <w:rPr>
          <w:spacing w:val="-1"/>
        </w:rPr>
        <w:t>（</w:t>
      </w:r>
      <w:r>
        <w:rPr>
          <w:rFonts w:ascii="宋体" w:hAnsi="宋体" w:cs="宋体" w:eastAsia="宋体" w:hint="default"/>
          <w:spacing w:val="-1"/>
        </w:rPr>
        <w:t>3</w:t>
      </w:r>
      <w:r>
        <w:rPr>
          <w:spacing w:val="-1"/>
        </w:rPr>
        <w:t>）公司年审注册会计师进场后，董事会审计委员会与公司年审注册会计师就审计过程</w:t>
      </w:r>
      <w:r>
        <w:rPr/>
        <w:t> 中发现的问题以及审计报告提交时间进行了沟通和交流。</w:t>
      </w:r>
      <w:r>
        <w:rPr>
          <w:spacing w:val="-81"/>
        </w:rPr>
        <w:t> </w:t>
      </w:r>
      <w:r>
        <w:rPr/>
        <w:t>审计委员会关于立信会计师事务所</w:t>
      </w:r>
    </w:p>
    <w:p>
      <w:pPr>
        <w:pStyle w:val="BodyText"/>
        <w:spacing w:line="357" w:lineRule="auto"/>
        <w:ind w:right="134"/>
        <w:jc w:val="left"/>
      </w:pPr>
      <w:r>
        <w:rPr/>
        <w:t>（特殊普通合伙）从事本年度审计工作的总结报告：我们审阅了公司财务部</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30</w:t>
      </w:r>
      <w:r>
        <w:rPr/>
        <w:t>日</w:t>
      </w:r>
      <w:r>
        <w:rPr>
          <w:spacing w:val="-89"/>
        </w:rPr>
        <w:t> </w:t>
      </w:r>
      <w:r>
        <w:rPr>
          <w:spacing w:val="-2"/>
        </w:rPr>
        <w:t>提交的《</w:t>
      </w:r>
      <w:r>
        <w:rPr>
          <w:rFonts w:ascii="宋体" w:hAnsi="宋体" w:cs="宋体" w:eastAsia="宋体" w:hint="default"/>
          <w:spacing w:val="-2"/>
        </w:rPr>
        <w:t>2013</w:t>
      </w:r>
      <w:r>
        <w:rPr>
          <w:spacing w:val="-2"/>
        </w:rPr>
        <w:t>年度审计工作计划》后，于</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w:t>
      </w:r>
      <w:r>
        <w:rPr>
          <w:spacing w:val="-2"/>
        </w:rPr>
        <w:t>日就上述审计工作计划与立信会计师事</w:t>
      </w:r>
      <w:r>
        <w:rPr>
          <w:spacing w:val="-111"/>
        </w:rPr>
        <w:t> </w:t>
      </w:r>
      <w:r>
        <w:rPr/>
        <w:t>务所（特殊普通合伙）项目负责人作了充分沟通，并达成一致意见，认为该计划制订详细、</w:t>
      </w:r>
      <w:r>
        <w:rPr>
          <w:spacing w:val="-91"/>
        </w:rPr>
        <w:t> </w:t>
      </w:r>
      <w:r>
        <w:rPr>
          <w:spacing w:val="-91"/>
        </w:rPr>
      </w:r>
      <w:r>
        <w:rPr/>
        <w:t>责任到人，可有力保障</w:t>
      </w:r>
      <w:r>
        <w:rPr>
          <w:rFonts w:ascii="宋体" w:hAnsi="宋体" w:cs="宋体" w:eastAsia="宋体" w:hint="default"/>
        </w:rPr>
        <w:t>2013</w:t>
      </w:r>
      <w:r>
        <w:rPr/>
        <w:t>年度审计工作的顺利完成。 立信会计师事务所（特殊普通合伙） 审计人员共</w:t>
      </w:r>
      <w:r>
        <w:rPr>
          <w:spacing w:val="-47"/>
        </w:rPr>
        <w:t> </w:t>
      </w:r>
      <w:r>
        <w:rPr>
          <w:rFonts w:ascii="宋体" w:hAnsi="宋体" w:cs="宋体" w:eastAsia="宋体" w:hint="default"/>
        </w:rPr>
        <w:t>15</w:t>
      </w:r>
      <w:r>
        <w:rPr/>
        <w:t>人（含项目负责人）按照上述审计工作计划约定，于</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9</w:t>
      </w:r>
      <w:r>
        <w:rPr/>
        <w:t>日</w:t>
      </w:r>
      <w:r>
        <w:rPr>
          <w:rFonts w:ascii="宋体" w:hAnsi="宋体" w:cs="宋体" w:eastAsia="宋体" w:hint="default"/>
        </w:rPr>
        <w:t>-2013</w:t>
      </w:r>
      <w:r>
        <w:rPr/>
        <w:t>年</w:t>
      </w:r>
      <w:r>
        <w:rPr>
          <w:rFonts w:ascii="宋体" w:hAnsi="宋体" w:cs="宋体" w:eastAsia="宋体" w:hint="default"/>
        </w:rPr>
        <w:t>12 </w:t>
      </w:r>
      <w:r>
        <w:rPr/>
        <w:t>月</w:t>
      </w:r>
      <w:r>
        <w:rPr>
          <w:rFonts w:ascii="宋体" w:hAnsi="宋体" w:cs="宋体" w:eastAsia="宋体" w:hint="default"/>
        </w:rPr>
        <w:t>31</w:t>
      </w:r>
      <w:r>
        <w:rPr/>
        <w:t>日进行现场内控审计，</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8</w:t>
      </w:r>
      <w:r>
        <w:rPr/>
        <w:t>日—</w:t>
      </w:r>
      <w:r>
        <w:rPr>
          <w:rFonts w:ascii="宋体" w:hAnsi="宋体" w:cs="宋体" w:eastAsia="宋体" w:hint="default"/>
        </w:rPr>
        <w:t>2</w:t>
      </w:r>
      <w:r>
        <w:rPr/>
        <w:t>月</w:t>
      </w:r>
      <w:r>
        <w:rPr>
          <w:rFonts w:ascii="宋体" w:hAnsi="宋体" w:cs="宋体" w:eastAsia="宋体" w:hint="default"/>
        </w:rPr>
        <w:t>28</w:t>
      </w:r>
      <w:r>
        <w:rPr/>
        <w:t>日进场对公司进行现场审计。其中，</w:t>
      </w:r>
      <w:r>
        <w:rPr>
          <w:rFonts w:ascii="宋体" w:hAnsi="宋体" w:cs="宋体" w:eastAsia="宋体" w:hint="default"/>
        </w:rPr>
        <w:t>4</w:t>
      </w:r>
      <w:r>
        <w:rPr/>
        <w:t>位审</w:t>
      </w:r>
    </w:p>
    <w:p>
      <w:pPr>
        <w:spacing w:after="0" w:line="357"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232"/>
        <w:jc w:val="both"/>
      </w:pPr>
      <w:r>
        <w:rPr>
          <w:spacing w:val="-2"/>
        </w:rPr>
        <w:t>计人员于</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17</w:t>
      </w:r>
      <w:r>
        <w:rPr>
          <w:spacing w:val="-2"/>
        </w:rPr>
        <w:t>日完成纳入合并报表范围的各公司的现场审计工作。项目负责人就报表</w:t>
      </w:r>
      <w:r>
        <w:rPr>
          <w:spacing w:val="-114"/>
        </w:rPr>
        <w:t> </w:t>
      </w:r>
      <w:r>
        <w:rPr>
          <w:spacing w:val="-114"/>
        </w:rPr>
      </w:r>
      <w:r>
        <w:rPr/>
        <w:t>合并、会计政策运用、以及审计中发现的有待完善的会计工作等情况与企业及我们审计委员</w:t>
      </w:r>
      <w:r>
        <w:rPr>
          <w:spacing w:val="-91"/>
        </w:rPr>
        <w:t> </w:t>
      </w:r>
      <w:r>
        <w:rPr>
          <w:spacing w:val="-91"/>
        </w:rPr>
      </w:r>
      <w:r>
        <w:rPr/>
        <w:t>会各委员作了持续、充分的沟通，使得各方对公司经营情况、财务处理情况以及新企业会计</w:t>
      </w:r>
      <w:r>
        <w:rPr>
          <w:spacing w:val="-91"/>
        </w:rPr>
        <w:t> </w:t>
      </w:r>
      <w:r>
        <w:rPr>
          <w:spacing w:val="-91"/>
        </w:rPr>
      </w:r>
      <w:r>
        <w:rPr/>
        <w:t>准则的运用与实施等方面有了更加深入的了解。我们认为，年审注册会计师已严格按照中国</w:t>
      </w:r>
      <w:r>
        <w:rPr>
          <w:spacing w:val="-89"/>
        </w:rPr>
        <w:t> </w:t>
      </w:r>
      <w:r>
        <w:rPr>
          <w:spacing w:val="-89"/>
        </w:rPr>
      </w:r>
      <w:r>
        <w:rPr/>
        <w:t>注册会计师独立审计准则的规定执行了审计工作，审计人员配置合理，出具的审计报表反映</w:t>
      </w:r>
      <w:r>
        <w:rPr>
          <w:spacing w:val="-91"/>
        </w:rPr>
        <w:t> </w:t>
      </w:r>
      <w:r>
        <w:rPr>
          <w:spacing w:val="-91"/>
        </w:rPr>
      </w:r>
      <w:r>
        <w:rPr/>
        <w:t>公司</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2013</w:t>
      </w:r>
      <w:r>
        <w:rPr/>
        <w:t>年度的经营成果和现金流量，出具的审计结论符合</w:t>
      </w:r>
      <w:r>
        <w:rPr>
          <w:spacing w:val="-90"/>
        </w:rPr>
        <w:t> </w:t>
      </w:r>
      <w:r>
        <w:rPr>
          <w:spacing w:val="-90"/>
        </w:rPr>
      </w:r>
      <w:r>
        <w:rPr/>
        <w:t>公司的实际情况。</w:t>
      </w:r>
    </w:p>
    <w:p>
      <w:pPr>
        <w:pStyle w:val="BodyText"/>
        <w:spacing w:line="357" w:lineRule="auto"/>
        <w:ind w:left="578" w:right="96"/>
        <w:jc w:val="left"/>
      </w:pPr>
      <w:r>
        <w:rPr>
          <w:rFonts w:ascii="宋体" w:hAnsi="宋体" w:cs="宋体" w:eastAsia="宋体" w:hint="default"/>
        </w:rPr>
        <w:t>3.</w:t>
      </w:r>
      <w:r>
        <w:rPr/>
        <w:t>董事会提名委员会工作情况 </w:t>
      </w:r>
      <w:r>
        <w:rPr>
          <w:spacing w:val="2"/>
        </w:rPr>
        <w:t>公司提名委员会由三位独立董事组成，委员会召集人由独立董事担任。报告期内，提名</w:t>
      </w:r>
      <w:r>
        <w:rPr/>
      </w:r>
    </w:p>
    <w:p>
      <w:pPr>
        <w:pStyle w:val="BodyText"/>
        <w:spacing w:line="357" w:lineRule="auto" w:before="37"/>
        <w:ind w:left="578" w:right="96" w:hanging="426"/>
        <w:jc w:val="left"/>
      </w:pPr>
      <w:r>
        <w:rPr/>
        <w:t>委员会召开会议</w:t>
      </w:r>
      <w:r>
        <w:rPr>
          <w:rFonts w:ascii="宋体" w:hAnsi="宋体" w:cs="宋体" w:eastAsia="宋体" w:hint="default"/>
        </w:rPr>
        <w:t>1</w:t>
      </w:r>
      <w:r>
        <w:rPr/>
        <w:t>次，对公司更换财务负责人事项进行了审议。 </w:t>
      </w:r>
      <w:r>
        <w:rPr>
          <w:rFonts w:ascii="宋体" w:hAnsi="宋体" w:cs="宋体" w:eastAsia="宋体" w:hint="default"/>
        </w:rPr>
        <w:t>4</w:t>
      </w:r>
      <w:r>
        <w:rPr/>
        <w:t>、董事会战略委员会履职情况 </w:t>
      </w:r>
      <w:r>
        <w:rPr>
          <w:spacing w:val="2"/>
        </w:rPr>
        <w:t>报告期，董事会战略委员会根据有关规定积极开展工作，认真履行职责。报告期内，战</w:t>
      </w:r>
      <w:r>
        <w:rPr/>
      </w:r>
    </w:p>
    <w:p>
      <w:pPr>
        <w:spacing w:line="528" w:lineRule="auto" w:before="36"/>
        <w:ind w:left="152" w:right="2414" w:firstLine="0"/>
        <w:jc w:val="left"/>
        <w:rPr>
          <w:rFonts w:ascii="宋体" w:hAnsi="宋体" w:cs="宋体" w:eastAsia="宋体" w:hint="default"/>
          <w:sz w:val="24"/>
          <w:szCs w:val="24"/>
        </w:rPr>
      </w:pPr>
      <w:r>
        <w:rPr>
          <w:rFonts w:ascii="宋体" w:hAnsi="宋体" w:cs="宋体" w:eastAsia="宋体" w:hint="default"/>
          <w:sz w:val="24"/>
          <w:szCs w:val="24"/>
        </w:rPr>
        <w:t>略委员会讨论了公司的未来发展，为公司下一步发展做出指示和要求。 </w:t>
      </w:r>
      <w:r>
        <w:rPr>
          <w:rFonts w:ascii="宋体" w:hAnsi="宋体" w:cs="宋体" w:eastAsia="宋体" w:hint="default"/>
          <w:b/>
          <w:bCs/>
          <w:sz w:val="24"/>
          <w:szCs w:val="24"/>
        </w:rPr>
        <w:t>五、监事会工作情况</w:t>
      </w:r>
      <w:r>
        <w:rPr>
          <w:rFonts w:ascii="宋体" w:hAnsi="宋体" w:cs="宋体" w:eastAsia="宋体" w:hint="default"/>
          <w:sz w:val="24"/>
          <w:szCs w:val="24"/>
        </w:rPr>
      </w:r>
    </w:p>
    <w:p>
      <w:pPr>
        <w:spacing w:before="58"/>
        <w:ind w:left="152" w:right="96"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4"/>
        <w:rPr>
          <w:rFonts w:ascii="宋体" w:hAnsi="宋体" w:cs="宋体" w:eastAsia="宋体" w:hint="default"/>
          <w:sz w:val="19"/>
          <w:szCs w:val="19"/>
        </w:rPr>
      </w:pPr>
    </w:p>
    <w:p>
      <w:pPr>
        <w:pStyle w:val="Heading3"/>
        <w:spacing w:line="240" w:lineRule="auto"/>
        <w:ind w:right="96"/>
        <w:jc w:val="left"/>
        <w:rPr>
          <w:b w:val="0"/>
          <w:bCs w:val="0"/>
        </w:rPr>
      </w:pPr>
      <w:r>
        <w:rPr/>
        <w:t>六、公司相对于控股股东在业务、人员、资产、机构、财务等方面的独立完整情况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96" w:firstLine="425"/>
        <w:jc w:val="left"/>
      </w:pPr>
      <w:r>
        <w:rPr>
          <w:spacing w:val="2"/>
        </w:rPr>
        <w:t>报告期内，公司与控股股东在业务、人员、资产、机构、财务等方面完全分开，具有独 </w:t>
      </w:r>
      <w:r>
        <w:rPr/>
        <w:t>立完整的业务及自主经营能力。</w:t>
      </w:r>
    </w:p>
    <w:p>
      <w:pPr>
        <w:pStyle w:val="BodyText"/>
        <w:spacing w:line="357" w:lineRule="auto"/>
        <w:ind w:right="109" w:firstLine="425"/>
        <w:jc w:val="left"/>
      </w:pPr>
      <w:r>
        <w:rPr>
          <w:rFonts w:ascii="宋体" w:hAnsi="宋体" w:cs="宋体" w:eastAsia="宋体" w:hint="default"/>
          <w:spacing w:val="-1"/>
        </w:rPr>
        <w:t>1.</w:t>
      </w:r>
      <w:r>
        <w:rPr>
          <w:spacing w:val="-1"/>
        </w:rPr>
        <w:t>业务独立情况：公司独立从事生产经营，对控股股东和其他关联企业不存在依赖关系。</w:t>
      </w:r>
      <w:r>
        <w:rPr/>
        <w:t> 公司拥有独立的原材料采购和产品的生产、销售系统，不依赖控股股东和其它关联企业。</w:t>
      </w:r>
    </w:p>
    <w:p>
      <w:pPr>
        <w:pStyle w:val="BodyText"/>
        <w:spacing w:line="357" w:lineRule="auto"/>
        <w:ind w:right="235" w:firstLine="545"/>
        <w:jc w:val="both"/>
      </w:pPr>
      <w:r>
        <w:rPr>
          <w:rFonts w:ascii="宋体" w:hAnsi="宋体" w:cs="宋体" w:eastAsia="宋体" w:hint="default"/>
          <w:spacing w:val="-1"/>
        </w:rPr>
        <w:t>2.</w:t>
      </w:r>
      <w:r>
        <w:rPr>
          <w:spacing w:val="-1"/>
        </w:rPr>
        <w:t>人员分开情况：公司设有专门负责公司劳动人事及工资管理的工作部门，并制定了对</w:t>
      </w:r>
      <w:r>
        <w:rPr/>
        <w:t> 员工进行考核管理的有关规章制度。除部分董事、监事以外，公司其它高管人员未在股东单</w:t>
      </w:r>
      <w:r>
        <w:rPr>
          <w:spacing w:val="-91"/>
        </w:rPr>
        <w:t> </w:t>
      </w:r>
      <w:r>
        <w:rPr>
          <w:spacing w:val="-91"/>
        </w:rPr>
      </w:r>
      <w:r>
        <w:rPr/>
        <w:t>位双重任职。</w:t>
      </w:r>
    </w:p>
    <w:p>
      <w:pPr>
        <w:pStyle w:val="BodyText"/>
        <w:spacing w:line="357" w:lineRule="auto"/>
        <w:ind w:right="96" w:firstLine="425"/>
        <w:jc w:val="left"/>
      </w:pPr>
      <w:r>
        <w:rPr>
          <w:rFonts w:ascii="宋体" w:hAnsi="宋体" w:cs="宋体" w:eastAsia="宋体" w:hint="default"/>
          <w:spacing w:val="2"/>
        </w:rPr>
        <w:t>3.</w:t>
      </w:r>
      <w:r>
        <w:rPr>
          <w:spacing w:val="2"/>
        </w:rPr>
        <w:t>机构独立情况：公司的内设机构完全独立于控股股东，与控股股东的内设机构之间没 </w:t>
      </w:r>
      <w:r>
        <w:rPr/>
        <w:t>有直接的隶属关系。</w:t>
      </w:r>
    </w:p>
    <w:p>
      <w:pPr>
        <w:pStyle w:val="BodyText"/>
        <w:spacing w:line="240" w:lineRule="auto"/>
        <w:ind w:left="578" w:right="96"/>
        <w:jc w:val="left"/>
      </w:pPr>
      <w:r>
        <w:rPr>
          <w:rFonts w:ascii="宋体" w:hAnsi="宋体" w:cs="宋体" w:eastAsia="宋体" w:hint="default"/>
          <w:spacing w:val="2"/>
        </w:rPr>
        <w:t>4.</w:t>
      </w:r>
      <w:r>
        <w:rPr>
          <w:spacing w:val="2"/>
        </w:rPr>
        <w:t>资产完整情况：公司拥有独立完整的研究开发支撑系统、配套设施，非专利技术等资</w:t>
      </w:r>
      <w:r>
        <w:rPr/>
      </w:r>
    </w:p>
    <w:p>
      <w:pPr>
        <w:spacing w:after="0" w:line="240"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240" w:lineRule="auto" w:before="26"/>
        <w:ind w:right="96"/>
        <w:jc w:val="left"/>
      </w:pPr>
      <w:r>
        <w:rPr/>
        <w:t>产。</w:t>
      </w:r>
    </w:p>
    <w:p>
      <w:pPr>
        <w:pStyle w:val="BodyText"/>
        <w:spacing w:line="357" w:lineRule="auto" w:before="154"/>
        <w:ind w:right="228" w:firstLine="425"/>
        <w:jc w:val="both"/>
      </w:pPr>
      <w:r>
        <w:rPr>
          <w:rFonts w:ascii="宋体" w:hAnsi="宋体" w:cs="宋体" w:eastAsia="宋体" w:hint="default"/>
          <w:spacing w:val="2"/>
        </w:rPr>
        <w:t>5.</w:t>
      </w:r>
      <w:r>
        <w:rPr>
          <w:spacing w:val="2"/>
        </w:rPr>
        <w:t>财务独立情况：公司设立了独立的财务部门作为公司的财务管理机构，建立了独立的 </w:t>
      </w:r>
      <w:r>
        <w:rPr/>
        <w:t>会计核算体系和财务管理制度，并根据上市公司有关会计制度的要求，独立进行财务决策；</w:t>
      </w:r>
      <w:r>
        <w:rPr>
          <w:spacing w:val="-88"/>
        </w:rPr>
        <w:t> </w:t>
      </w:r>
      <w:r>
        <w:rPr>
          <w:spacing w:val="-88"/>
        </w:rPr>
      </w:r>
      <w:r>
        <w:rPr/>
        <w:t>同时对分、子公司的财务实行垂直管理；公司在银行设立了独立账号，依法独立纳税。</w:t>
      </w:r>
    </w:p>
    <w:p>
      <w:pPr>
        <w:spacing w:line="240" w:lineRule="auto" w:before="11"/>
        <w:rPr>
          <w:rFonts w:ascii="宋体" w:hAnsi="宋体" w:cs="宋体" w:eastAsia="宋体" w:hint="default"/>
          <w:sz w:val="19"/>
          <w:szCs w:val="19"/>
        </w:rPr>
      </w:pPr>
    </w:p>
    <w:p>
      <w:pPr>
        <w:pStyle w:val="Heading3"/>
        <w:spacing w:line="240" w:lineRule="auto"/>
        <w:ind w:right="96"/>
        <w:jc w:val="left"/>
        <w:rPr>
          <w:b w:val="0"/>
          <w:bCs w:val="0"/>
        </w:rPr>
      </w:pPr>
      <w:r>
        <w:rPr/>
        <w:t>七、同业竞争情况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230" w:firstLine="425"/>
        <w:jc w:val="both"/>
      </w:pPr>
      <w:r>
        <w:rPr/>
        <w:t>公司控股股东电信科学技术研究院分别于</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31</w:t>
      </w:r>
      <w:r>
        <w:rPr/>
        <w:t>日、</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1</w:t>
      </w:r>
      <w:r>
        <w:rPr/>
        <w:t>日和</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30 </w:t>
      </w:r>
      <w:r>
        <w:rPr/>
        <w:t>日出具了《关于避免与大唐高鸿数据网络技术股份有限公司存在同业竞争关系的承诺函》，</w:t>
      </w:r>
      <w:r>
        <w:rPr>
          <w:spacing w:val="-91"/>
        </w:rPr>
        <w:t> </w:t>
      </w:r>
      <w:r>
        <w:rPr>
          <w:spacing w:val="-91"/>
        </w:rPr>
      </w:r>
      <w:r>
        <w:rPr/>
        <w:t>承诺：目前电信院及下属除发行人外的其它企业与发行人不存在同业竞争关系；同时电信院</w:t>
      </w:r>
      <w:r>
        <w:rPr>
          <w:spacing w:val="-91"/>
        </w:rPr>
        <w:t> </w:t>
      </w:r>
      <w:r>
        <w:rPr>
          <w:spacing w:val="-91"/>
        </w:rPr>
      </w:r>
      <w:r>
        <w:rPr>
          <w:spacing w:val="-2"/>
        </w:rPr>
        <w:t>承诺：</w:t>
      </w:r>
      <w:r>
        <w:rPr>
          <w:rFonts w:ascii="宋体" w:hAnsi="宋体" w:cs="宋体" w:eastAsia="宋体" w:hint="default"/>
          <w:spacing w:val="-2"/>
        </w:rPr>
        <w:t>"</w:t>
      </w:r>
      <w:r>
        <w:rPr>
          <w:spacing w:val="-2"/>
        </w:rPr>
        <w:t>在本院作为发行人控股股东或第一大股东期间，本院及下属除发行人以外的其他企业</w:t>
      </w:r>
      <w:r>
        <w:rPr/>
        <w:t> 将不会直接或间接参与经营任何与发行人及其控股子公司有竞争的业务，也不会利用对发行</w:t>
      </w:r>
      <w:r>
        <w:rPr>
          <w:spacing w:val="-88"/>
        </w:rPr>
        <w:t> </w:t>
      </w:r>
      <w:r>
        <w:rPr>
          <w:spacing w:val="-88"/>
        </w:rPr>
      </w:r>
      <w:r>
        <w:rPr/>
        <w:t>人的控股关系做出任何有损发行人及其控股子公司利益的行为。</w:t>
      </w:r>
      <w:r>
        <w:rPr>
          <w:rFonts w:ascii="宋体" w:hAnsi="宋体" w:cs="宋体" w:eastAsia="宋体" w:hint="default"/>
        </w:rPr>
        <w:t>"</w:t>
      </w:r>
      <w:r>
        <w:rPr>
          <w:rFonts w:ascii="宋体" w:hAnsi="宋体" w:cs="宋体" w:eastAsia="宋体" w:hint="default"/>
          <w:spacing w:val="30"/>
        </w:rPr>
        <w:t> </w:t>
      </w:r>
      <w:r>
        <w:rPr/>
        <w:t>报告期内，公司控股股东</w:t>
      </w:r>
      <w:r>
        <w:rPr>
          <w:spacing w:val="-117"/>
        </w:rPr>
        <w:t> </w:t>
      </w:r>
      <w:r>
        <w:rPr>
          <w:spacing w:val="-117"/>
        </w:rPr>
      </w:r>
      <w:r>
        <w:rPr/>
        <w:t>电信研究院严格履行其承诺，不存在同业竞争行为。</w:t>
      </w:r>
    </w:p>
    <w:p>
      <w:pPr>
        <w:spacing w:line="240" w:lineRule="auto" w:before="11"/>
        <w:rPr>
          <w:rFonts w:ascii="宋体" w:hAnsi="宋体" w:cs="宋体" w:eastAsia="宋体" w:hint="default"/>
          <w:sz w:val="19"/>
          <w:szCs w:val="19"/>
        </w:rPr>
      </w:pPr>
    </w:p>
    <w:p>
      <w:pPr>
        <w:pStyle w:val="Heading3"/>
        <w:spacing w:line="240" w:lineRule="auto"/>
        <w:ind w:right="96"/>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228" w:firstLine="425"/>
        <w:jc w:val="both"/>
      </w:pPr>
      <w:r>
        <w:rPr>
          <w:rFonts w:ascii="宋体" w:hAnsi="宋体" w:cs="宋体" w:eastAsia="宋体" w:hint="default"/>
          <w:spacing w:val="2"/>
        </w:rPr>
        <w:t>1.</w:t>
      </w:r>
      <w:r>
        <w:rPr>
          <w:spacing w:val="2"/>
        </w:rPr>
        <w:t>根据公司高层管理人员薪酬管理制度，公司对高级管理人员的考评是以经济效益为主 </w:t>
      </w:r>
      <w:r>
        <w:rPr/>
        <w:t>要考核指标，并与绩效工资挂钩，通过董事会（包括董事会专门委员会）、监事会评价的方</w:t>
      </w:r>
      <w:r>
        <w:rPr>
          <w:spacing w:val="-91"/>
        </w:rPr>
        <w:t> </w:t>
      </w:r>
      <w:r>
        <w:rPr>
          <w:spacing w:val="-91"/>
        </w:rPr>
      </w:r>
      <w:r>
        <w:rPr/>
        <w:t>式进行。</w:t>
      </w:r>
    </w:p>
    <w:p>
      <w:pPr>
        <w:pStyle w:val="BodyText"/>
        <w:spacing w:line="357" w:lineRule="auto"/>
        <w:ind w:right="109" w:firstLine="425"/>
        <w:jc w:val="left"/>
      </w:pPr>
      <w:r>
        <w:rPr>
          <w:rFonts w:ascii="宋体" w:hAnsi="宋体" w:cs="宋体" w:eastAsia="宋体" w:hint="default"/>
          <w:spacing w:val="-1"/>
        </w:rPr>
        <w:t>2.</w:t>
      </w:r>
      <w:r>
        <w:rPr>
          <w:spacing w:val="-1"/>
        </w:rPr>
        <w:t>为建立、健全更为有效的激励与约束机制，充分调动公司激励对象的积极性与创造性，</w:t>
      </w:r>
      <w:r>
        <w:rPr/>
        <w:t> 提高经营效率，报告期公司实施了股权激励计划。通过实施股权激励计划公司预实现股东、</w:t>
      </w:r>
      <w:r>
        <w:rPr>
          <w:spacing w:val="-86"/>
        </w:rPr>
        <w:t> </w:t>
      </w:r>
      <w:r>
        <w:rPr>
          <w:spacing w:val="-86"/>
        </w:rPr>
      </w:r>
      <w:r>
        <w:rPr/>
        <w:t>公司、管理层等各方的利益统一，避免过度追求短期利益利于公司长远健康的发展。</w:t>
      </w:r>
    </w:p>
    <w:p>
      <w:pPr>
        <w:spacing w:after="0" w:line="357" w:lineRule="auto"/>
        <w:jc w:val="left"/>
        <w:sectPr>
          <w:pgSz w:w="11910" w:h="16840"/>
          <w:pgMar w:header="745" w:footer="1186" w:top="1060" w:bottom="13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059"/>
        <w:jc w:val="center"/>
        <w:rPr>
          <w:b w:val="0"/>
          <w:bCs w:val="0"/>
        </w:rPr>
      </w:pPr>
      <w:bookmarkStart w:name="_bookmark8" w:id="9"/>
      <w:bookmarkEnd w:id="9"/>
      <w:r>
        <w:rPr>
          <w:b w:val="0"/>
          <w:bCs w:val="0"/>
        </w:rPr>
      </w:r>
      <w:r>
        <w:rPr/>
        <w:t>第九节</w:t>
      </w:r>
      <w:r>
        <w:rPr>
          <w:spacing w:val="-1"/>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left"/>
        <w:rPr>
          <w:b w:val="0"/>
          <w:bCs w:val="0"/>
        </w:rPr>
      </w:pPr>
      <w:r>
        <w:rPr/>
        <w:t>一、内部控制建设情况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48" w:firstLine="425"/>
        <w:jc w:val="both"/>
      </w:pPr>
      <w:r>
        <w:rPr>
          <w:spacing w:val="2"/>
        </w:rPr>
        <w:t>为了加强和规范公司内部控制，提高企业经营管理水平和风险防范能力，促进企业可持 </w:t>
      </w:r>
      <w:r>
        <w:rPr/>
        <w:t>续发展，保障公司经营战略目标的实现，根据财政部、证监会、审计署、银监会、保监会联</w:t>
      </w:r>
      <w:r>
        <w:rPr>
          <w:spacing w:val="-91"/>
        </w:rPr>
        <w:t> </w:t>
      </w:r>
      <w:r>
        <w:rPr>
          <w:spacing w:val="-91"/>
        </w:rPr>
      </w:r>
      <w:r>
        <w:rPr/>
        <w:t>合下发的《企业内部控制基本规范》及相关配套指引，公司建立了基本规范的公司治理结构</w:t>
      </w:r>
      <w:r>
        <w:rPr>
          <w:spacing w:val="-91"/>
        </w:rPr>
        <w:t> </w:t>
      </w:r>
      <w:r>
        <w:rPr>
          <w:spacing w:val="-91"/>
        </w:rPr>
      </w:r>
      <w:r>
        <w:rPr/>
        <w:t>和内部控制体系，制订了内部控制手册，明确了决策、执行、监督等方面的职责权限，形成</w:t>
      </w:r>
      <w:r>
        <w:rPr>
          <w:spacing w:val="-89"/>
        </w:rPr>
        <w:t> </w:t>
      </w:r>
      <w:r>
        <w:rPr>
          <w:spacing w:val="-89"/>
        </w:rPr>
      </w:r>
      <w:r>
        <w:rPr/>
        <w:t>了科学有效的职责分工和制衡机制，</w:t>
      </w:r>
      <w:r>
        <w:rPr>
          <w:rFonts w:ascii="宋体" w:hAnsi="宋体" w:cs="宋体" w:eastAsia="宋体" w:hint="default"/>
        </w:rPr>
        <w:t>2013</w:t>
      </w:r>
      <w:r>
        <w:rPr/>
        <w:t>年公司根据内控工作计划，一方面根据内控测试的</w:t>
      </w:r>
      <w:r>
        <w:rPr>
          <w:spacing w:val="-89"/>
        </w:rPr>
        <w:t> </w:t>
      </w:r>
      <w:r>
        <w:rPr>
          <w:spacing w:val="-89"/>
        </w:rPr>
      </w:r>
      <w:r>
        <w:rPr/>
        <w:t>结果，公司及时更新了内部控制手册；另一方面，公司组织对内部控制相关工作人员进行了</w:t>
      </w:r>
      <w:r>
        <w:rPr>
          <w:spacing w:val="-91"/>
        </w:rPr>
        <w:t> </w:t>
      </w:r>
      <w:r>
        <w:rPr>
          <w:spacing w:val="-91"/>
        </w:rPr>
      </w:r>
      <w:r>
        <w:rPr/>
        <w:t>系统性的内控体系建设、内控测试方面的专业培训，取得了显著的效果。公司已聘请立信会</w:t>
      </w:r>
      <w:r>
        <w:rPr>
          <w:spacing w:val="-91"/>
        </w:rPr>
        <w:t> </w:t>
      </w:r>
      <w:r>
        <w:rPr>
          <w:spacing w:val="-91"/>
        </w:rPr>
      </w:r>
      <w:r>
        <w:rPr/>
        <w:t>计师事务所（特殊普通合伙）对公司内部控制进行独立审计。</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二、董事会关于内部控制责任的声明</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48" w:firstLine="425"/>
        <w:jc w:val="both"/>
      </w:pPr>
      <w:r>
        <w:rPr>
          <w:spacing w:val="2"/>
        </w:rPr>
        <w:t>按照企业内部控制规范体系的规定，建立健全和有效实施内部控制，评价其有效性，并 </w:t>
      </w:r>
      <w:r>
        <w:rPr/>
        <w:t>如实披露内部控制评价报告是公司董事会的责任。监事会对董事会建立和实施内部控制进行</w:t>
      </w:r>
      <w:r>
        <w:rPr>
          <w:spacing w:val="-87"/>
        </w:rPr>
        <w:t> </w:t>
      </w:r>
      <w:r>
        <w:rPr>
          <w:spacing w:val="-87"/>
        </w:rPr>
      </w:r>
      <w:r>
        <w:rPr/>
        <w:t>监督。经理层负责组织领导企业内部控制的日常运行。公司董事会、监事会及董事、监事、</w:t>
      </w:r>
      <w:r>
        <w:rPr>
          <w:spacing w:val="-91"/>
        </w:rPr>
        <w:t> </w:t>
      </w:r>
      <w:r>
        <w:rPr>
          <w:spacing w:val="-91"/>
        </w:rPr>
      </w:r>
      <w:r>
        <w:rPr/>
        <w:t>高级管理人员保证本报告内容不存在任何虚假记载、误导性陈述或重大遗漏，并对报告内容</w:t>
      </w:r>
      <w:r>
        <w:rPr>
          <w:spacing w:val="-91"/>
        </w:rPr>
        <w:t> </w:t>
      </w:r>
      <w:r>
        <w:rPr>
          <w:spacing w:val="-91"/>
        </w:rPr>
      </w:r>
      <w:r>
        <w:rPr/>
        <w:t>的真实性、准确性和完整性承担个别及连带法律责任。公司内部控制的目标是合理保证经营</w:t>
      </w:r>
      <w:r>
        <w:rPr>
          <w:spacing w:val="-91"/>
        </w:rPr>
        <w:t> </w:t>
      </w:r>
      <w:r>
        <w:rPr>
          <w:spacing w:val="-91"/>
        </w:rPr>
      </w:r>
      <w:r>
        <w:rPr/>
        <w:t>管理合法合规、资产安全、财务报告及相关信息真实完整，提高经营效率和效果，促进实现</w:t>
      </w:r>
      <w:r>
        <w:rPr>
          <w:spacing w:val="-91"/>
        </w:rPr>
        <w:t> </w:t>
      </w:r>
      <w:r>
        <w:rPr>
          <w:spacing w:val="-91"/>
        </w:rPr>
      </w:r>
      <w:r>
        <w:rPr/>
        <w:t>发展战略。由于内部控制存在的固有局限性，故仅能为实现上述目标提供合理保证。此外，</w:t>
      </w:r>
      <w:r>
        <w:rPr>
          <w:spacing w:val="-91"/>
        </w:rPr>
        <w:t> </w:t>
      </w:r>
      <w:r>
        <w:rPr>
          <w:spacing w:val="-91"/>
        </w:rPr>
      </w:r>
      <w:r>
        <w:rPr/>
        <w:t>由于情况的变化可能导致内部控制变得不恰当，或对控制政策和程序遵循的程度降低，根据</w:t>
      </w:r>
      <w:r>
        <w:rPr>
          <w:spacing w:val="-91"/>
        </w:rPr>
        <w:t> </w:t>
      </w:r>
      <w:r>
        <w:rPr>
          <w:spacing w:val="-91"/>
        </w:rPr>
      </w:r>
      <w:r>
        <w:rPr/>
        <w:t>内部控制评价结果推测未来内部控制的有效性具有一定的风险。</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三、建立财务报告内部控制的依据</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52" w:firstLine="785"/>
        <w:jc w:val="both"/>
      </w:pPr>
      <w:r>
        <w:rPr>
          <w:spacing w:val="-1"/>
        </w:rPr>
        <w:t>公司建立的财务报告内部控制是根据国家财政部等五部委联合发布的《企业内部控制</w:t>
      </w:r>
      <w:r>
        <w:rPr/>
        <w:t> 基本规范》及《企业内部控制应用指引》、《企业内部控制评价指引》以及《深交所主板上</w:t>
      </w:r>
      <w:r>
        <w:rPr>
          <w:spacing w:val="-91"/>
        </w:rPr>
        <w:t> </w:t>
      </w:r>
      <w:r>
        <w:rPr>
          <w:spacing w:val="-91"/>
        </w:rPr>
      </w:r>
      <w:r>
        <w:rPr/>
        <w:t>市公司规范运作指引》等法律法规的要求，在内部控制日常监督的基础上，对公司截止</w:t>
      </w:r>
      <w:r>
        <w:rPr>
          <w:rFonts w:ascii="宋体" w:hAnsi="宋体" w:cs="宋体" w:eastAsia="宋体" w:hint="default"/>
        </w:rPr>
        <w:t>2013</w:t>
      </w:r>
      <w:r>
        <w:rPr>
          <w:rFonts w:ascii="宋体" w:hAnsi="宋体" w:cs="宋体" w:eastAsia="宋体" w:hint="default"/>
          <w:spacing w:val="-88"/>
        </w:rPr>
        <w:t> </w:t>
      </w:r>
      <w:r>
        <w:rPr/>
        <w:t>年</w:t>
      </w:r>
      <w:r>
        <w:rPr>
          <w:rFonts w:ascii="宋体" w:hAnsi="宋体" w:cs="宋体" w:eastAsia="宋体" w:hint="default"/>
        </w:rPr>
        <w:t>12</w:t>
      </w:r>
      <w:r>
        <w:rPr/>
        <w:t>月</w:t>
      </w:r>
      <w:r>
        <w:rPr>
          <w:rFonts w:ascii="宋体" w:hAnsi="宋体" w:cs="宋体" w:eastAsia="宋体" w:hint="default"/>
        </w:rPr>
        <w:t>31</w:t>
      </w:r>
      <w:r>
        <w:rPr/>
        <w:t>日内部控制设计与运行的有效性进行评价。</w:t>
      </w:r>
    </w:p>
    <w:p>
      <w:pPr>
        <w:spacing w:after="0" w:line="357" w:lineRule="auto"/>
        <w:jc w:val="both"/>
        <w:sectPr>
          <w:pgSz w:w="11910" w:h="16840"/>
          <w:pgMar w:header="745" w:footer="1186" w:top="1060" w:bottom="13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96"/>
        <w:jc w:val="left"/>
        <w:rPr>
          <w:b w:val="0"/>
          <w:bCs w:val="0"/>
        </w:rPr>
      </w:pPr>
      <w:r>
        <w:rPr/>
        <w:t>四、内部控制评价报告</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52"/>
        <w:gridCol w:w="6919"/>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0"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1"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96"/>
        <w:jc w:val="left"/>
        <w:rPr>
          <w:b w:val="0"/>
          <w:bCs w:val="0"/>
        </w:rPr>
      </w:pPr>
      <w:r>
        <w:rPr/>
        <w:t>五、内部控制审计报告</w:t>
      </w:r>
      <w:r>
        <w:rPr>
          <w:b w:val="0"/>
          <w:bCs w:val="0"/>
        </w:rPr>
      </w:r>
    </w:p>
    <w:p>
      <w:pPr>
        <w:spacing w:line="240" w:lineRule="auto" w:before="4"/>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52"/>
        <w:gridCol w:w="6919"/>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我们认为，贵公司于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 告内部控制。</w:t>
            </w:r>
          </w:p>
        </w:tc>
      </w:tr>
      <w:tr>
        <w:trPr>
          <w:trHeight w:val="401"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before="49"/>
        <w:ind w:left="152" w:right="96"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5"/>
        <w:ind w:left="152" w:right="37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1"/>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692" w:lineRule="exact" w:before="41"/>
        <w:ind w:left="578" w:right="96" w:hanging="426"/>
        <w:jc w:val="left"/>
        <w:rPr>
          <w:rFonts w:ascii="宋体" w:hAnsi="宋体" w:cs="宋体" w:eastAsia="宋体" w:hint="default"/>
          <w:sz w:val="24"/>
          <w:szCs w:val="24"/>
        </w:rPr>
      </w:pPr>
      <w:r>
        <w:rPr>
          <w:rFonts w:ascii="宋体" w:hAnsi="宋体" w:cs="宋体" w:eastAsia="宋体" w:hint="default"/>
          <w:b/>
          <w:bCs/>
          <w:sz w:val="24"/>
          <w:szCs w:val="24"/>
        </w:rPr>
        <w:t>六、年度报告重大差错责任追究制度的建立与执行情况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公司制定了《年报信息披露重大差错责任追究制度》，并经第六届第九次董事会审议通</w:t>
      </w:r>
      <w:r>
        <w:rPr>
          <w:rFonts w:ascii="宋体" w:hAnsi="宋体" w:cs="宋体" w:eastAsia="宋体" w:hint="default"/>
          <w:sz w:val="24"/>
          <w:szCs w:val="24"/>
        </w:rPr>
      </w:r>
    </w:p>
    <w:p>
      <w:pPr>
        <w:pStyle w:val="BodyText"/>
        <w:spacing w:line="357" w:lineRule="auto" w:before="49"/>
        <w:ind w:right="96"/>
        <w:jc w:val="left"/>
      </w:pPr>
      <w:r>
        <w:rPr/>
        <w:t>过实施。对于在年报信息披露工作中有关人员因不履行或者不正确履行职责、义务等原因造</w:t>
      </w:r>
      <w:r>
        <w:rPr>
          <w:spacing w:val="-91"/>
        </w:rPr>
        <w:t> </w:t>
      </w:r>
      <w:r>
        <w:rPr>
          <w:spacing w:val="-91"/>
        </w:rPr>
      </w:r>
      <w:r>
        <w:rPr>
          <w:spacing w:val="-2"/>
        </w:rPr>
        <w:t>成年报披露重大差错的，公司将按制度严格追究责任，切实提高年报信息披露质量和透明度。</w:t>
      </w:r>
      <w:r>
        <w:rPr/>
        <w:t> 报告期内，公司年报信息披露未发生重大差错、重大遗漏信息补充等情况。</w:t>
      </w:r>
    </w:p>
    <w:p>
      <w:pPr>
        <w:spacing w:after="0" w:line="357" w:lineRule="auto"/>
        <w:jc w:val="left"/>
        <w:sectPr>
          <w:pgSz w:w="11910" w:h="16840"/>
          <w:pgMar w:header="745" w:footer="1186" w:top="1060" w:bottom="13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826"/>
        <w:jc w:val="center"/>
        <w:rPr>
          <w:b w:val="0"/>
          <w:bCs w:val="0"/>
        </w:rPr>
      </w:pPr>
      <w:bookmarkStart w:name="_bookmark9" w:id="10"/>
      <w:bookmarkEnd w:id="10"/>
      <w:r>
        <w:rPr>
          <w:b w:val="0"/>
          <w:bCs w:val="0"/>
        </w:rPr>
      </w:r>
      <w:r>
        <w:rPr/>
        <w:t>第十节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96"/>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710218 </w:t>
            </w:r>
            <w:r>
              <w:rPr>
                <w:rFonts w:ascii="宋体" w:hAnsi="宋体" w:cs="宋体" w:eastAsia="宋体" w:hint="default"/>
                <w:sz w:val="18"/>
                <w:szCs w:val="18"/>
              </w:rPr>
              <w:t>号</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郭健</w:t>
            </w:r>
            <w:r>
              <w:rPr>
                <w:rFonts w:ascii="宋体" w:hAnsi="宋体" w:cs="宋体" w:eastAsia="宋体" w:hint="default"/>
                <w:spacing w:val="1"/>
                <w:sz w:val="18"/>
                <w:szCs w:val="18"/>
              </w:rPr>
              <w:t> </w:t>
            </w:r>
            <w:r>
              <w:rPr>
                <w:rFonts w:ascii="宋体" w:hAnsi="宋体" w:cs="宋体" w:eastAsia="宋体" w:hint="default"/>
                <w:sz w:val="18"/>
                <w:szCs w:val="18"/>
              </w:rPr>
              <w:t>范鹏飞</w:t>
            </w:r>
          </w:p>
        </w:tc>
      </w:tr>
    </w:tbl>
    <w:p>
      <w:pPr>
        <w:pStyle w:val="BodyText"/>
        <w:spacing w:line="240" w:lineRule="auto" w:before="1"/>
        <w:ind w:left="3748" w:right="3826"/>
        <w:jc w:val="center"/>
      </w:pPr>
      <w:r>
        <w:rPr/>
        <w:t>审计报告正文</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0"/>
          <w:szCs w:val="30"/>
        </w:rPr>
      </w:pPr>
    </w:p>
    <w:p>
      <w:pPr>
        <w:spacing w:before="0"/>
        <w:ind w:left="3748" w:right="3826"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5"/>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92"/>
        <w:ind w:left="6672" w:right="96"/>
        <w:jc w:val="left"/>
      </w:pPr>
      <w:r>
        <w:rPr/>
        <w:t>信会师报字</w:t>
      </w:r>
      <w:r>
        <w:rPr>
          <w:rFonts w:ascii="宋体" w:hAnsi="宋体" w:cs="宋体" w:eastAsia="宋体" w:hint="default"/>
        </w:rPr>
        <w:t>[2014]</w:t>
      </w:r>
      <w:r>
        <w:rPr/>
        <w:t>第</w:t>
      </w:r>
      <w:r>
        <w:rPr>
          <w:rFonts w:ascii="宋体" w:hAnsi="宋体" w:cs="宋体" w:eastAsia="宋体" w:hint="default"/>
        </w:rPr>
        <w:t>710218</w:t>
      </w:r>
      <w:r>
        <w:rPr/>
        <w:t>号</w:t>
      </w:r>
    </w:p>
    <w:p>
      <w:pPr>
        <w:spacing w:line="240" w:lineRule="auto" w:before="0"/>
        <w:rPr>
          <w:rFonts w:ascii="宋体" w:hAnsi="宋体" w:cs="宋体" w:eastAsia="宋体" w:hint="default"/>
          <w:sz w:val="20"/>
          <w:szCs w:val="20"/>
        </w:rPr>
      </w:pPr>
    </w:p>
    <w:p>
      <w:pPr>
        <w:pStyle w:val="Heading2"/>
        <w:spacing w:line="240" w:lineRule="auto" w:before="174"/>
        <w:ind w:right="96"/>
        <w:jc w:val="left"/>
        <w:rPr>
          <w:b w:val="0"/>
          <w:bCs w:val="0"/>
        </w:rPr>
      </w:pPr>
      <w:r>
        <w:rPr/>
        <w:t>大唐高鸿数据网络技术股份有限公司全体股东：</w:t>
      </w:r>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35"/>
          <w:szCs w:val="35"/>
        </w:rPr>
      </w:pPr>
    </w:p>
    <w:p>
      <w:pPr>
        <w:pStyle w:val="BodyText"/>
        <w:spacing w:line="357" w:lineRule="auto" w:before="0"/>
        <w:ind w:right="108" w:firstLine="425"/>
        <w:jc w:val="left"/>
      </w:pPr>
      <w:r>
        <w:rPr>
          <w:spacing w:val="2"/>
        </w:rPr>
        <w:t>我们审计了后附的大唐高鸿数据网络技术股份有限公司（以下简称“贵公司”）财务报 </w:t>
      </w:r>
      <w:r>
        <w:rPr>
          <w:spacing w:val="-2"/>
        </w:rPr>
        <w:t>表，包括</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日的资产负债表和合并资产负债表、</w:t>
      </w:r>
      <w:r>
        <w:rPr>
          <w:rFonts w:ascii="宋体" w:hAnsi="宋体" w:cs="宋体" w:eastAsia="宋体" w:hint="default"/>
          <w:spacing w:val="-2"/>
        </w:rPr>
        <w:t>2013</w:t>
      </w:r>
      <w:r>
        <w:rPr>
          <w:spacing w:val="-2"/>
        </w:rPr>
        <w:t>年度的利润表和合并利润表、</w:t>
      </w:r>
      <w:r>
        <w:rPr>
          <w:spacing w:val="-108"/>
        </w:rPr>
        <w:t> </w:t>
      </w:r>
      <w:r>
        <w:rPr>
          <w:rFonts w:ascii="宋体" w:hAnsi="宋体" w:cs="宋体" w:eastAsia="宋体" w:hint="default"/>
        </w:rPr>
        <w:t>2013</w:t>
      </w:r>
      <w:r>
        <w:rPr/>
        <w:t>年度的现金流量表和合并现金流量表、</w:t>
      </w:r>
      <w:r>
        <w:rPr>
          <w:rFonts w:ascii="宋体" w:hAnsi="宋体" w:cs="宋体" w:eastAsia="宋体" w:hint="default"/>
        </w:rPr>
        <w:t>2013</w:t>
      </w:r>
      <w:r>
        <w:rPr/>
        <w:t>年度的所有者权益变动表和合并所有者权益</w:t>
      </w:r>
      <w:r>
        <w:rPr>
          <w:spacing w:val="-89"/>
        </w:rPr>
        <w:t> </w:t>
      </w:r>
      <w:r>
        <w:rPr>
          <w:spacing w:val="-89"/>
        </w:rPr>
      </w:r>
      <w:r>
        <w:rPr/>
        <w:t>变动表以及财务报表附注。</w:t>
      </w:r>
    </w:p>
    <w:p>
      <w:pPr>
        <w:pStyle w:val="Heading2"/>
        <w:spacing w:line="240" w:lineRule="auto" w:before="83"/>
        <w:ind w:left="873" w:right="96"/>
        <w:jc w:val="left"/>
        <w:rPr>
          <w:b w:val="0"/>
          <w:bCs w:val="0"/>
        </w:rPr>
      </w:pPr>
      <w:r>
        <w:rPr/>
        <w:t>一、管理层对财务报表的责任</w:t>
      </w:r>
      <w:r>
        <w:rPr>
          <w:b w:val="0"/>
          <w:bCs w:val="0"/>
        </w:rPr>
      </w:r>
    </w:p>
    <w:p>
      <w:pPr>
        <w:pStyle w:val="BodyText"/>
        <w:spacing w:line="357" w:lineRule="auto" w:before="211"/>
        <w:ind w:right="231" w:firstLine="425"/>
        <w:jc w:val="both"/>
      </w:pPr>
      <w:r>
        <w:rPr>
          <w:spacing w:val="-1"/>
        </w:rPr>
        <w:t>编制和公允列报财务报表是贵公司管理层的责任。这种责任包括：（</w:t>
      </w:r>
      <w:r>
        <w:rPr>
          <w:rFonts w:ascii="宋体" w:hAnsi="宋体" w:cs="宋体" w:eastAsia="宋体" w:hint="default"/>
          <w:spacing w:val="-1"/>
        </w:rPr>
        <w:t>1</w:t>
      </w:r>
      <w:r>
        <w:rPr>
          <w:spacing w:val="-1"/>
        </w:rPr>
        <w:t>）按照企业会计准</w:t>
      </w:r>
      <w:r>
        <w:rPr/>
        <w:t> </w:t>
      </w:r>
      <w:r>
        <w:rPr>
          <w:spacing w:val="-3"/>
        </w:rPr>
        <w:t>则的规定编制财务报表，并使其实现公允反映；（</w:t>
      </w:r>
      <w:r>
        <w:rPr>
          <w:rFonts w:ascii="宋体" w:hAnsi="宋体" w:cs="宋体" w:eastAsia="宋体" w:hint="default"/>
          <w:spacing w:val="-3"/>
        </w:rPr>
        <w:t>2</w:t>
      </w:r>
      <w:r>
        <w:rPr>
          <w:spacing w:val="-3"/>
        </w:rPr>
        <w:t>）设计、执行和维护必要的内部控制，以</w:t>
      </w:r>
      <w:r>
        <w:rPr>
          <w:spacing w:val="-83"/>
        </w:rPr>
        <w:t> </w:t>
      </w:r>
      <w:r>
        <w:rPr>
          <w:spacing w:val="-83"/>
        </w:rPr>
      </w:r>
      <w:r>
        <w:rPr/>
        <w:t>使财务报表不存在由于舞弊或错误导致的重大错报。</w:t>
      </w:r>
    </w:p>
    <w:p>
      <w:pPr>
        <w:spacing w:after="0" w:line="357" w:lineRule="auto"/>
        <w:jc w:val="both"/>
        <w:sectPr>
          <w:pgSz w:w="11910" w:h="16840"/>
          <w:pgMar w:header="745" w:footer="1186" w:top="1060" w:bottom="13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14"/>
        <w:ind w:left="873" w:right="96"/>
        <w:jc w:val="left"/>
        <w:rPr>
          <w:b w:val="0"/>
          <w:bCs w:val="0"/>
        </w:rPr>
      </w:pPr>
      <w:r>
        <w:rPr/>
        <w:t>二、注册会计师的责任</w:t>
      </w:r>
      <w:r>
        <w:rPr>
          <w:b w:val="0"/>
          <w:bCs w:val="0"/>
        </w:rPr>
      </w:r>
    </w:p>
    <w:p>
      <w:pPr>
        <w:pStyle w:val="BodyText"/>
        <w:spacing w:line="357" w:lineRule="auto" w:before="211"/>
        <w:ind w:right="228" w:firstLine="425"/>
        <w:jc w:val="both"/>
      </w:pPr>
      <w:r>
        <w:rPr>
          <w:spacing w:val="2"/>
        </w:rPr>
        <w:t>我们的责任是在执行审计工作的基础上对财务报表发表审计意见。我们按照中国注册会 </w:t>
      </w:r>
      <w:r>
        <w:rPr/>
        <w:t>计师审计准则的规定执行了审计工作。中国注册会计师审计准则要求我们遵守中国注册会计</w:t>
      </w:r>
      <w:r>
        <w:rPr>
          <w:spacing w:val="-91"/>
        </w:rPr>
        <w:t> </w:t>
      </w:r>
      <w:r>
        <w:rPr>
          <w:spacing w:val="-91"/>
        </w:rPr>
      </w:r>
      <w:r>
        <w:rPr/>
        <w:t>师职业道德守则，计划和执行审计工作以对财务报表是否不存在重大错报获取合理保证。</w:t>
      </w:r>
    </w:p>
    <w:p>
      <w:pPr>
        <w:pStyle w:val="BodyText"/>
        <w:spacing w:line="357" w:lineRule="auto"/>
        <w:ind w:right="96" w:firstLine="425"/>
        <w:jc w:val="left"/>
      </w:pPr>
      <w:r>
        <w:rPr>
          <w:spacing w:val="2"/>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91"/>
        </w:rPr>
        <w:t> </w:t>
      </w:r>
      <w:r>
        <w:rPr>
          <w:spacing w:val="-91"/>
        </w:rPr>
      </w:r>
      <w:r>
        <w:rPr>
          <w:spacing w:val="-2"/>
        </w:rPr>
        <w:t>当的审计程序。审计工作还包括评价管理层选用会计政策的恰当性和作出会计估计的合理性，</w:t>
      </w:r>
      <w:r>
        <w:rPr/>
        <w:t> 以及评价财务报表的总体列报。</w:t>
      </w:r>
    </w:p>
    <w:p>
      <w:pPr>
        <w:pStyle w:val="BodyText"/>
        <w:spacing w:line="240" w:lineRule="auto" w:before="37"/>
        <w:ind w:left="578" w:right="96"/>
        <w:jc w:val="left"/>
      </w:pPr>
      <w:r>
        <w:rPr/>
        <w:t>我们相信，我们获取的审计证据是充分、适当的，为发表审计意见提供了基础。</w:t>
      </w:r>
    </w:p>
    <w:p>
      <w:pPr>
        <w:pStyle w:val="Heading2"/>
        <w:spacing w:line="240" w:lineRule="auto" w:before="201"/>
        <w:ind w:left="873" w:right="96"/>
        <w:jc w:val="left"/>
        <w:rPr>
          <w:b w:val="0"/>
          <w:bCs w:val="0"/>
        </w:rPr>
      </w:pPr>
      <w:r>
        <w:rPr/>
        <w:t>三、审计意见</w:t>
      </w:r>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35"/>
          <w:szCs w:val="35"/>
        </w:rPr>
      </w:pPr>
    </w:p>
    <w:p>
      <w:pPr>
        <w:pStyle w:val="BodyText"/>
        <w:spacing w:line="357" w:lineRule="auto" w:before="0"/>
        <w:ind w:right="96" w:firstLine="425"/>
        <w:jc w:val="left"/>
      </w:pPr>
      <w:r>
        <w:rPr>
          <w:spacing w:val="2"/>
        </w:rPr>
        <w:t>我们认为，贵公司财务报表在所有重大方面按照企业会计准则的规定编制，公允反映了 </w:t>
      </w:r>
      <w:r>
        <w:rPr/>
        <w:t>贵公司</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2013</w:t>
      </w:r>
      <w:r>
        <w:rPr/>
        <w:t>年度的经营成果和现金流量。</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0"/>
          <w:szCs w:val="30"/>
        </w:rPr>
      </w:pPr>
    </w:p>
    <w:p>
      <w:pPr>
        <w:pStyle w:val="Heading2"/>
        <w:spacing w:line="240" w:lineRule="auto"/>
        <w:ind w:right="96"/>
        <w:jc w:val="left"/>
        <w:rPr>
          <w:b w:val="0"/>
          <w:bCs w:val="0"/>
        </w:rPr>
      </w:pPr>
      <w:r>
        <w:rPr/>
        <w:t>立信会计师事务所（特殊普通合伙）</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5614" w:right="96"/>
        <w:jc w:val="left"/>
        <w:rPr>
          <w:b w:val="0"/>
          <w:bCs w:val="0"/>
        </w:rPr>
      </w:pPr>
      <w:r>
        <w:rPr/>
        <w:t>中国注册会计师：郭健</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right="96"/>
        <w:jc w:val="left"/>
        <w:rPr>
          <w:b w:val="0"/>
          <w:bCs w:val="0"/>
        </w:rPr>
      </w:pPr>
      <w:r>
        <w:rPr/>
        <w:t>中国</w:t>
      </w:r>
      <w:r>
        <w:rPr>
          <w:rFonts w:ascii="Times New Roman" w:hAnsi="Times New Roman" w:cs="Times New Roman" w:eastAsia="Times New Roman" w:hint="default"/>
        </w:rPr>
        <w:t>·</w:t>
      </w:r>
      <w:r>
        <w:rPr/>
        <w:t>上海</w:t>
      </w:r>
      <w:r>
        <w:rPr>
          <w:b w:val="0"/>
          <w:bCs w:val="0"/>
        </w:rPr>
      </w:r>
    </w:p>
    <w:p>
      <w:pPr>
        <w:pStyle w:val="Heading2"/>
        <w:spacing w:line="240" w:lineRule="auto" w:before="236"/>
        <w:ind w:left="5633" w:right="96"/>
        <w:jc w:val="left"/>
        <w:rPr>
          <w:b w:val="0"/>
          <w:bCs w:val="0"/>
        </w:rPr>
      </w:pPr>
      <w:r>
        <w:rPr/>
        <w:t>中国注册会计师：</w:t>
      </w:r>
      <w:r>
        <w:rPr>
          <w:spacing w:val="1"/>
        </w:rPr>
        <w:t> </w:t>
      </w:r>
      <w:r>
        <w:rPr/>
        <w:t>范鹏飞</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spacing w:line="240" w:lineRule="auto"/>
        <w:ind w:left="0" w:right="231"/>
        <w:jc w:val="right"/>
        <w:rPr>
          <w:b w:val="0"/>
          <w:bCs w:val="0"/>
        </w:rPr>
      </w:pPr>
      <w:r>
        <w:rPr>
          <w:w w:val="95"/>
        </w:rPr>
        <w:t>二〇一四年三月十四日</w:t>
      </w:r>
      <w:r>
        <w:rPr>
          <w:b w:val="0"/>
          <w:bCs w:val="0"/>
        </w:rPr>
      </w:r>
    </w:p>
    <w:p>
      <w:pPr>
        <w:spacing w:after="0" w:line="240" w:lineRule="auto"/>
        <w:jc w:val="right"/>
        <w:sectPr>
          <w:pgSz w:w="11910" w:h="16840"/>
          <w:pgMar w:header="745" w:footer="1186" w:top="1060" w:bottom="1380" w:left="98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62"/>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1,145,784,103.83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1,189,015,013.11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1,107,457,975.83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864,517,887.31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1,059,169,694.35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601,504,596.59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132,045.86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106,757,952.81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125,468,109.38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682,171,855.66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275,557,720.55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550,155,456.42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43,025,668.15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4,652,414,084.76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3,099,208,995.09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94,451,391.69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58,982,892.50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134,995,504.78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138,432,233.22</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150,266,287.61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160,100,294.45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10,993,609.34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138,991,089.07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81,952,529.38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56,156,549.01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37,697,612.20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194,420,526.00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5,623,267.70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4,801,035.42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10,445,610.05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8,466,349.67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58,587,300.00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854,931,135.25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491,274,946.84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5,507,345,220.01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3,590,483,941.93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451,157,064.00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551,813,116.42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284,754,060.36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567,926,414.70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197,594,747.50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14,362,478.74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3,797,532.62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-16,915,206.20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-12,051,626.62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189,679.13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273,071,336.37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180,158,294.76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3,132,004,883.16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1,404,253,008.62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9,395,833.58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12,848,333.50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38,575,833.58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36,748,333.50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3,170,580,716.74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1,441,001,342.12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515,940,000.00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515,940,000.00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1,495,466,013.31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1,489,734,501.74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11,635,547.40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11,635,547.40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120,730,280.93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99,510,284.99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2,143,771,841.64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2,116,820,334.13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192,992,661.63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32,662,265.68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2,336,764,503.27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2,149,482,599.81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5,507,345,220.01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3,590,483,941.93</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主管会计工作负责人：丁明锋</w:t>
        <w:tab/>
      </w:r>
      <w:r>
        <w:rPr>
          <w:rFonts w:ascii="宋体" w:hAnsi="宋体" w:cs="宋体" w:eastAsia="宋体" w:hint="default"/>
          <w:sz w:val="18"/>
          <w:szCs w:val="18"/>
        </w:rPr>
        <w:t>会计机构负责人：张锐</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190,812,037.41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667,618,815.23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15,520,635.81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23,115,854.76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19,715,408.75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23,105,452.40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132,045.86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445,545,694.32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590,348,806.57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5,227,999.97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14,154,797.13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262,218,000.00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939,171,822.12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1,563,343,726.09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1,584,820,670.95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798,942,371.76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1,269,519.59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938,645.92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36,505,327.39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26,049,920.88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685,734.84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39,857.24</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1,623,281,252.77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825,970,795.80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2,562,453,074.89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2,389,314,521.89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3,626,365.92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4,297,126.36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1,607,627.30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1,688,829.80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511,337.84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495,492.59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255,432.99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630,574.88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189,679.13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43,889,805.67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58,439,373.41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510,080,248.85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325,551,397.04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3,687,500.21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4,187,500.13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15,987,500.21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16,487,500.13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526,067,749.06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342,038,897.17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515,940,000.00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515,940,000.00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1,484,458,701.63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1,484,458,701.63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11,635,547.40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11,635,547.40</w:t>
            </w:r>
            <w:r>
              <w:rPr>
                <w:rFonts w:ascii="Times New Roman"/>
                <w:sz w:val="18"/>
              </w:rPr>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24,351,076.80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35,241,375.69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2,036,385,325.83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2,047,275,624.72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2,562,453,074.89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2,389,314,521.89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3"/>
      </w:tblGrid>
      <w:tr>
        <w:trPr>
          <w:trHeight w:val="362"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主管会计工作负责人：丁明锋</w:t>
        <w:tab/>
      </w:r>
      <w:r>
        <w:rPr>
          <w:rFonts w:ascii="宋体" w:hAnsi="宋体" w:cs="宋体" w:eastAsia="宋体" w:hint="default"/>
          <w:sz w:val="18"/>
          <w:szCs w:val="18"/>
        </w:rPr>
        <w:t>会计机构负责人：张锐</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6,198,358,597.83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4,616,859,715.76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6,198,358,597.83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4,616,859,715.76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6,189,497,456.70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4,585,906,272.20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5,885,282,681.14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4,331,854,396.10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13,496,838.87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10,439,763.96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81,276,959.63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67,686,796.80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118,674,864.97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84,739,194.35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64,702,019.49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56,942,652.46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26,064,092.60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34,243,468.53</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43,651,884.40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2,816,346.84</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 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37,801,865.05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602,854.42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52,513,025.53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33,769,790.40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55,970,348.16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8,953,547.54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1,965,866.23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2,266,155.45</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1,616,099.70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581,375.93</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106,517,507.46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40,457,182.49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30,943,778.31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17,958,147.38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75,573,729.15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22,499,035.11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52,176,395.94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25,005,713.64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23,397,333.21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-2,506,678.53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0.0718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0.0718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75,573,729.15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22,499,035.11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52,176,395.94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25,005,713.64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23,397,333.21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-2,506,678.53</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主管会计工作负责人：丁明锋</w:t>
        <w:tab/>
      </w:r>
      <w:r>
        <w:rPr>
          <w:rFonts w:ascii="宋体" w:hAnsi="宋体" w:cs="宋体" w:eastAsia="宋体" w:hint="default"/>
          <w:sz w:val="18"/>
          <w:szCs w:val="18"/>
        </w:rPr>
        <w:t>会计机构负责人：张锐</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10,033,695.44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10,657,759.81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1,753,160.84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7,768,246.46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499,139.29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485,789.19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475,701.58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1,690,329.51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15,167,660.97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14,861,305.14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7,927,764.20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12,123,935.79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8,308,803.79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12,135,998.08</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43,590,577.38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247,816,346.84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37,801,865.05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602,854.42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19,492,042.15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209,408,502.48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583,004.92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500,499.92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8,945.96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4,932.86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20,066,101.11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209,904,069.54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20,066,101.11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209,904,069.54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0.603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20,066,101.11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209,904,069.54</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主管会计工作负责人：丁明锋</w:t>
        <w:tab/>
      </w:r>
      <w:r>
        <w:rPr>
          <w:rFonts w:ascii="宋体" w:hAnsi="宋体" w:cs="宋体" w:eastAsia="宋体" w:hint="default"/>
          <w:sz w:val="18"/>
          <w:szCs w:val="18"/>
        </w:rPr>
        <w:t>会计机构负责人：张锐</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7,261,313,388.74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5,168,160,198.31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13,737,694.95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3,826,504.65</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10,123,408,911.96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121,664,382.82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17,398,459,995.65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5,293,651,085.78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6,902,434,528.05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5,059,299,158.99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84,964,570.72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61,915,909.56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70,065,224.16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66,840,730.15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10,190,574,245.68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142,167,518.97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17,248,038,568.61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5,330,223,317.67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150,421,427.04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-36,572,231.89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1,473,485,080.70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5,525,700.00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42,400,532.33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260,000.00</w:t>
            </w: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173,605.00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104,085.00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1,516,067,218.03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5,889,785.00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144,937,626.58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80,099,925.64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1,741,970,800.00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144,701,727.77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2,033,270,154.35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125,599,925.64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-517,202,936.32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-119,710,140.64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1,084,204,800.00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2,018,920,000.00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1,370,000,000.00</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2,045,320,000.00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2,454,204,800.00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1,620,339,000.00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1,350,000,000.00</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102,647,547.58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64,239,683.64</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299,924.14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8,579,775.00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1,723,286,471.72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1,422,819,458.64</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322,033,528.28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1,031,385,341.36</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-44,747,981.00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875,102,968.83</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1,189,015,013.11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313,912,044.28</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1,144,267,032.11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1,189,015,013.11</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主管会计工作负责人：丁明锋</w:t>
        <w:tab/>
      </w:r>
      <w:r>
        <w:rPr>
          <w:rFonts w:ascii="宋体" w:hAnsi="宋体" w:cs="宋体" w:eastAsia="宋体" w:hint="default"/>
          <w:sz w:val="18"/>
          <w:szCs w:val="18"/>
        </w:rPr>
        <w:t>会计机构负责人：张锐</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15,855,647.66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18,310,552.00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291,293,044.16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167,373,532.36</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307,148,691.82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185,684,084.36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6,149,359.76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18,955,206.64</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1,572,383.35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1,349,489.07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1,192,444.31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969,534.57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161,205,866.82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373,974,510.28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170,120,054.24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395,248,740.56</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137,028,637.58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-209,564,656.20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1,466,363,800.00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5,525,700.00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287,400,532.33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1,753,784,332.33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5,785,700.00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58,506,698.21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317,349.00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2,209,059,800.00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74,900,000.00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255,253,390.00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2,524,479,888.21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75,217,349.00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-770,695,555.88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-69,431,649.00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1,084,204,800.00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1,344,204,800.00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42,886,935.38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24,798,030.00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252,924.14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8,579,775.00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703,139,859.52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483,377,805.00</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156,860,140.48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860,826,995.00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-476,806,777.82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581,830,689.80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667,618,815.23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85,788,125.43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190,812,037.41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667,618,815.23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3"/>
        <w:rPr>
          <w:rFonts w:ascii="Times New Roman" w:hAnsi="Times New Roman" w:cs="Times New Roman" w:eastAsia="Times New Roman" w:hint="default"/>
          <w:sz w:val="29"/>
          <w:szCs w:val="29"/>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主管会计工作负责人：丁明锋</w:t>
        <w:tab/>
      </w:r>
      <w:r>
        <w:rPr>
          <w:rFonts w:ascii="宋体" w:hAnsi="宋体" w:cs="宋体" w:eastAsia="宋体" w:hint="default"/>
          <w:sz w:val="18"/>
          <w:szCs w:val="18"/>
        </w:rPr>
        <w:t>会计机构负责人：张锐</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7"/>
        <w:gridCol w:w="686"/>
        <w:gridCol w:w="686"/>
        <w:gridCol w:w="687"/>
        <w:gridCol w:w="684"/>
        <w:gridCol w:w="583"/>
        <w:gridCol w:w="992"/>
        <w:gridCol w:w="286"/>
        <w:gridCol w:w="1015"/>
        <w:gridCol w:w="893"/>
      </w:tblGrid>
      <w:tr>
        <w:trPr>
          <w:trHeight w:val="403"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6"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30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5"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77" w:right="6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412" w:right="5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172" w:right="81"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0" w:right="65"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58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2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015"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76"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6" w:type="dxa"/>
            <w:vMerge/>
            <w:tcBorders>
              <w:left w:val="single" w:sz="4" w:space="0" w:color="000000"/>
              <w:right w:val="single" w:sz="4" w:space="0" w:color="000000"/>
            </w:tcBorders>
            <w:shd w:val="clear" w:color="auto" w:fill="D2D2D2"/>
          </w:tcPr>
          <w:p>
            <w:pPr/>
          </w:p>
        </w:tc>
        <w:tc>
          <w:tcPr>
            <w:tcW w:w="1015"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344" w:type="dxa"/>
            <w:vMerge/>
            <w:tcBorders>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286" w:type="dxa"/>
            <w:vMerge/>
            <w:tcBorders>
              <w:left w:val="single" w:sz="4" w:space="0" w:color="000000"/>
              <w:bottom w:val="nil" w:sz="6" w:space="0" w:color="auto"/>
              <w:right w:val="single" w:sz="4" w:space="0" w:color="000000"/>
            </w:tcBorders>
            <w:shd w:val="clear" w:color="auto" w:fill="D2D2D2"/>
          </w:tcPr>
          <w:p>
            <w:pPr/>
          </w:p>
        </w:tc>
        <w:tc>
          <w:tcPr>
            <w:tcW w:w="1015"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5"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515,940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1,489,73</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4,501.74</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47.40</w:t>
            </w:r>
          </w:p>
        </w:tc>
        <w:tc>
          <w:tcPr>
            <w:tcW w:w="58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99,510,284.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286" w:type="dxa"/>
            <w:vMerge w:val="restart"/>
            <w:tcBorders>
              <w:top w:val="single" w:sz="4" w:space="0" w:color="000000"/>
              <w:left w:val="single" w:sz="4" w:space="0" w:color="000000"/>
              <w:right w:val="single" w:sz="4" w:space="0" w:color="000000"/>
            </w:tcBorders>
          </w:tcPr>
          <w:p>
            <w:pP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32,662,265.6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2,149,482,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599.81</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286"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515,940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1,489,73</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4,501.74</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47.40</w:t>
            </w:r>
          </w:p>
        </w:tc>
        <w:tc>
          <w:tcPr>
            <w:tcW w:w="58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99,510,284.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286" w:type="dxa"/>
            <w:vMerge w:val="restart"/>
            <w:tcBorders>
              <w:top w:val="single" w:sz="4" w:space="0" w:color="000000"/>
              <w:left w:val="single" w:sz="4" w:space="0" w:color="000000"/>
              <w:right w:val="single" w:sz="4" w:space="0" w:color="000000"/>
            </w:tcBorders>
          </w:tcPr>
          <w:p>
            <w:pP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32,662,265.6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2,149,482,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599.81</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286"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5,731,51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1.57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21,219,995.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160,330,395.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187,281,90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3.46</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52,176,395.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286" w:type="dxa"/>
            <w:vMerge w:val="restart"/>
            <w:tcBorders>
              <w:top w:val="single" w:sz="4" w:space="0" w:color="000000"/>
              <w:left w:val="single" w:sz="4" w:space="0" w:color="000000"/>
              <w:right w:val="single" w:sz="4" w:space="0" w:color="000000"/>
            </w:tcBorders>
          </w:tcPr>
          <w:p>
            <w:pP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23,397,333.2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75,573,729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286"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52,176,395.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286" w:type="dxa"/>
            <w:vMerge w:val="restart"/>
            <w:tcBorders>
              <w:top w:val="single" w:sz="4" w:space="0" w:color="000000"/>
              <w:left w:val="single" w:sz="4" w:space="0" w:color="000000"/>
              <w:right w:val="single" w:sz="4" w:space="0" w:color="000000"/>
            </w:tcBorders>
          </w:tcPr>
          <w:p>
            <w:pP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23,397,333.2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75,573,729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286"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5,731,51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1.57</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286" w:type="dxa"/>
            <w:vMerge w:val="restart"/>
            <w:tcBorders>
              <w:top w:val="single" w:sz="4" w:space="0" w:color="000000"/>
              <w:left w:val="single" w:sz="4" w:space="0" w:color="000000"/>
              <w:right w:val="single" w:sz="4" w:space="0" w:color="000000"/>
            </w:tcBorders>
          </w:tcPr>
          <w:p>
            <w:pP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136,933,062.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142,664,57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4.31</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286"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286" w:type="dxa"/>
            <w:vMerge w:val="restart"/>
            <w:tcBorders>
              <w:top w:val="single" w:sz="4" w:space="0" w:color="000000"/>
              <w:left w:val="single" w:sz="4" w:space="0" w:color="000000"/>
              <w:right w:val="single" w:sz="4" w:space="0" w:color="000000"/>
            </w:tcBorders>
          </w:tcPr>
          <w:p>
            <w:pP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142,664,574.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142,664,57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4.31</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286"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5,731,51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1.57</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286" w:type="dxa"/>
            <w:vMerge w:val="restart"/>
            <w:tcBorders>
              <w:top w:val="single" w:sz="4" w:space="0" w:color="000000"/>
              <w:left w:val="single" w:sz="4" w:space="0" w:color="000000"/>
              <w:right w:val="single" w:sz="4" w:space="0" w:color="000000"/>
            </w:tcBorders>
          </w:tcPr>
          <w:p>
            <w:pP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-5,731,511.5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286"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-30,956,400.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286" w:type="dxa"/>
            <w:vMerge w:val="restart"/>
            <w:tcBorders>
              <w:top w:val="single" w:sz="4" w:space="0" w:color="000000"/>
              <w:left w:val="single" w:sz="4" w:space="0" w:color="000000"/>
              <w:right w:val="single" w:sz="4" w:space="0" w:color="000000"/>
            </w:tcBorders>
          </w:tcPr>
          <w:p>
            <w:pPr/>
          </w:p>
        </w:tc>
        <w:tc>
          <w:tcPr>
            <w:tcW w:w="1015"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-30,956,40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286"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6"/>
        <w:gridCol w:w="686"/>
        <w:gridCol w:w="686"/>
        <w:gridCol w:w="687"/>
        <w:gridCol w:w="684"/>
        <w:gridCol w:w="583"/>
        <w:gridCol w:w="992"/>
        <w:gridCol w:w="286"/>
        <w:gridCol w:w="1015"/>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-30,956,400.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1" w:right="0"/>
              <w:jc w:val="left"/>
              <w:rPr>
                <w:rFonts w:ascii="Times New Roman" w:hAnsi="Times New Roman" w:cs="Times New Roman" w:eastAsia="Times New Roman" w:hint="default"/>
                <w:sz w:val="18"/>
                <w:szCs w:val="18"/>
              </w:rPr>
            </w:pPr>
            <w:r>
              <w:rPr>
                <w:rFonts w:ascii="Times New Roman"/>
                <w:sz w:val="18"/>
              </w:rPr>
              <w:t>-30,956,40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515,940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1,495,46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6,013.31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47.40</w:t>
            </w:r>
          </w:p>
        </w:tc>
        <w:tc>
          <w:tcPr>
            <w:tcW w:w="5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120,730,280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c>
          <w:tcPr>
            <w:tcW w:w="28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192,992,661.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2,336,764,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503.27</w:t>
            </w:r>
          </w:p>
        </w:tc>
      </w:tr>
    </w:tbl>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55"/>
        <w:gridCol w:w="686"/>
        <w:gridCol w:w="686"/>
        <w:gridCol w:w="686"/>
        <w:gridCol w:w="687"/>
        <w:gridCol w:w="684"/>
        <w:gridCol w:w="684"/>
        <w:gridCol w:w="687"/>
        <w:gridCol w:w="686"/>
        <w:gridCol w:w="818"/>
        <w:gridCol w:w="893"/>
      </w:tblGrid>
      <w:tr>
        <w:trPr>
          <w:trHeight w:val="403"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4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67" w:right="6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172" w:right="81"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0" w:right="65"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55"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10"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332,900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600,117,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436.47</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47.40</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74,504,5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71.35</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98,391,20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9.48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1,117,548,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764.70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6"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6"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6"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6"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10"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332,900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600,117,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436.47</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47.40</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74,504,5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71.35</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98,391,20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9.48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1,117,548,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764.70</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6"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183,040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889,617,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065.27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25,005,7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13.64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-65,728,9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43.80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1,031,933,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835.11</w:t>
            </w: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6"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 w:right="0"/>
              <w:jc w:val="left"/>
              <w:rPr>
                <w:rFonts w:ascii="Times New Roman" w:hAnsi="Times New Roman" w:cs="Times New Roman" w:eastAsia="Times New Roman" w:hint="default"/>
                <w:sz w:val="18"/>
                <w:szCs w:val="18"/>
              </w:rPr>
            </w:pPr>
            <w:r>
              <w:rPr>
                <w:rFonts w:ascii="Times New Roman"/>
                <w:sz w:val="18"/>
              </w:rPr>
              <w:t>25,005,7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5" w:right="0"/>
              <w:jc w:val="left"/>
              <w:rPr>
                <w:rFonts w:ascii="Times New Roman" w:hAnsi="Times New Roman" w:cs="Times New Roman" w:eastAsia="Times New Roman" w:hint="default"/>
                <w:sz w:val="18"/>
                <w:szCs w:val="18"/>
              </w:rPr>
            </w:pPr>
            <w:r>
              <w:rPr>
                <w:rFonts w:ascii="Times New Roman"/>
                <w:sz w:val="18"/>
              </w:rPr>
              <w:t>-2,506,67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22,499,035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6"/>
        <w:gridCol w:w="686"/>
        <w:gridCol w:w="686"/>
        <w:gridCol w:w="687"/>
        <w:gridCol w:w="684"/>
        <w:gridCol w:w="684"/>
        <w:gridCol w:w="687"/>
        <w:gridCol w:w="686"/>
        <w:gridCol w:w="818"/>
        <w:gridCol w:w="893"/>
      </w:tblGrid>
      <w:tr>
        <w:trPr>
          <w:trHeight w:val="36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1" w:right="0"/>
              <w:jc w:val="left"/>
              <w:rPr>
                <w:rFonts w:ascii="Times New Roman" w:hAnsi="Times New Roman" w:cs="Times New Roman" w:eastAsia="Times New Roman" w:hint="default"/>
                <w:sz w:val="18"/>
                <w:szCs w:val="18"/>
              </w:rPr>
            </w:pPr>
            <w:r>
              <w:rPr>
                <w:rFonts w:ascii="Times New Roman"/>
                <w:sz w:val="18"/>
              </w:rPr>
              <w:t>13.64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0" w:right="0"/>
              <w:jc w:val="left"/>
              <w:rPr>
                <w:rFonts w:ascii="Times New Roman" w:hAnsi="Times New Roman" w:cs="Times New Roman" w:eastAsia="Times New Roman" w:hint="default"/>
                <w:sz w:val="18"/>
                <w:szCs w:val="18"/>
              </w:rPr>
            </w:pPr>
            <w:r>
              <w:rPr>
                <w:rFonts w:ascii="Times New Roman"/>
                <w:sz w:val="18"/>
              </w:rPr>
              <w:t>8.53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25,005,7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13.64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-2,506,67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22,499,035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183,040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889,617,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065.27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-63,222,2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65.27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1,009,434,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800.00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183,040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896,394,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1,079,434,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800.00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-6,777,7</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34.73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-63,222,2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65.27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515,940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1,489,73</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4,501.74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47.40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99,510,2</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84.99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32,662,26</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5.68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2,149,482,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599.81</w:t>
            </w:r>
          </w:p>
        </w:tc>
      </w:tr>
    </w:tbl>
    <w:p>
      <w:pPr>
        <w:spacing w:line="240" w:lineRule="auto" w:before="3"/>
        <w:rPr>
          <w:rFonts w:ascii="宋体" w:hAnsi="宋体" w:cs="宋体" w:eastAsia="宋体" w:hint="default"/>
          <w:sz w:val="20"/>
          <w:szCs w:val="20"/>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主管会计工作负责人：丁明锋</w:t>
        <w:tab/>
      </w:r>
      <w:r>
        <w:rPr>
          <w:rFonts w:ascii="宋体" w:hAnsi="宋体" w:cs="宋体" w:eastAsia="宋体" w:hint="default"/>
          <w:sz w:val="18"/>
          <w:szCs w:val="18"/>
        </w:rPr>
        <w:t>会计机构负责人：张锐</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r>
        <w:rPr/>
        <w:pict>
          <v:group style="position:absolute;margin-left:180.770004pt;margin-top:748.536011pt;width:42.6pt;height:20.8pt;mso-position-horizontal-relative:page;mso-position-vertical-relative:page;z-index:-1331392" coordorigin="3615,14971" coordsize="852,416">
            <v:group style="position:absolute;left:3627;top:14983;width:2;height:392" coordorigin="3627,14983" coordsize="2,392">
              <v:shape style="position:absolute;left:3627;top:14983;width:2;height:392" coordorigin="3627,14983" coordsize="0,392" path="m3627,14983l3627,15374e" filled="false" stroked="true" strokeweight="1.2pt" strokecolor="#ffffff">
                <v:path arrowok="t"/>
              </v:shape>
            </v:group>
            <v:group style="position:absolute;left:3639;top:14983;width:828;height:392" coordorigin="3639,14983" coordsize="828,392">
              <v:shape style="position:absolute;left:3639;top:14983;width:828;height:392" coordorigin="3639,14983" coordsize="828,392" path="m3639,15374l4467,15374,4467,14983,3639,14983,3639,15374xe" filled="true" fillcolor="#ffffff" stroked="false">
                <v:path arrowok="t"/>
                <v:fill type="solid"/>
              </v:shape>
            </v:group>
            <w10:wrap type="none"/>
          </v:group>
        </w:pict>
      </w:r>
    </w:p>
    <w:p>
      <w:pPr>
        <w:spacing w:line="240" w:lineRule="auto" w:before="8"/>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4"/>
        <w:gridCol w:w="895"/>
        <w:gridCol w:w="886"/>
        <w:gridCol w:w="886"/>
        <w:gridCol w:w="886"/>
        <w:gridCol w:w="886"/>
        <w:gridCol w:w="886"/>
        <w:gridCol w:w="888"/>
        <w:gridCol w:w="891"/>
      </w:tblGrid>
      <w:tr>
        <w:trPr>
          <w:trHeight w:val="396" w:hRule="exact"/>
        </w:trPr>
        <w:tc>
          <w:tcPr>
            <w:tcW w:w="2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6"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4"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r>
      <w:tr>
        <w:trPr>
          <w:trHeight w:val="202" w:hRule="exact"/>
        </w:trPr>
        <w:tc>
          <w:tcPr>
            <w:tcW w:w="2454" w:type="dxa"/>
            <w:vMerge w:val="restart"/>
            <w:tcBorders>
              <w:top w:val="nil" w:sz="6" w:space="0" w:color="auto"/>
              <w:left w:val="single" w:sz="4" w:space="0" w:color="000000"/>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r>
      <w:tr>
        <w:trPr>
          <w:trHeight w:val="161" w:hRule="exact"/>
        </w:trPr>
        <w:tc>
          <w:tcPr>
            <w:tcW w:w="2454"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515,940,00</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1,484,458,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701.63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11,635,547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35,241,375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.69</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2,047,275,</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624.72</w:t>
            </w:r>
          </w:p>
        </w:tc>
      </w:tr>
      <w:tr>
        <w:trPr>
          <w:trHeight w:val="391" w:hRule="exact"/>
        </w:trPr>
        <w:tc>
          <w:tcPr>
            <w:tcW w:w="2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r>
      <w:tr>
        <w:trPr>
          <w:trHeight w:val="161" w:hRule="exact"/>
        </w:trPr>
        <w:tc>
          <w:tcPr>
            <w:tcW w:w="2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r>
      <w:tr>
        <w:trPr>
          <w:trHeight w:val="404"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5"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5"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515,940,00</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1,484,458,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701.63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11,635,547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35,241,375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.69</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2,047,275,</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624.72</w:t>
            </w:r>
          </w:p>
        </w:tc>
      </w:tr>
      <w:tr>
        <w:trPr>
          <w:trHeight w:val="391" w:hRule="exact"/>
        </w:trPr>
        <w:tc>
          <w:tcPr>
            <w:tcW w:w="2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r>
      <w:tr>
        <w:trPr>
          <w:trHeight w:val="161" w:hRule="exact"/>
        </w:trPr>
        <w:tc>
          <w:tcPr>
            <w:tcW w:w="2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r>
      <w:tr>
        <w:trPr>
          <w:trHeight w:val="715"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5"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-10,890,29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8.89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-10,890,29</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8.89</w:t>
            </w:r>
          </w:p>
        </w:tc>
      </w:tr>
      <w:tr>
        <w:trPr>
          <w:trHeight w:val="161" w:hRule="exact"/>
        </w:trPr>
        <w:tc>
          <w:tcPr>
            <w:tcW w:w="2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20,066,101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20,066,101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391" w:hRule="exact"/>
        </w:trPr>
        <w:tc>
          <w:tcPr>
            <w:tcW w:w="2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r>
      <w:tr>
        <w:trPr>
          <w:trHeight w:val="161" w:hRule="exact"/>
        </w:trPr>
        <w:tc>
          <w:tcPr>
            <w:tcW w:w="2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r>
      <w:tr>
        <w:trPr>
          <w:trHeight w:val="403"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5"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20,066,101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20,066,101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392" w:hRule="exact"/>
        </w:trPr>
        <w:tc>
          <w:tcPr>
            <w:tcW w:w="2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r>
      <w:tr>
        <w:trPr>
          <w:trHeight w:val="161" w:hRule="exact"/>
        </w:trPr>
        <w:tc>
          <w:tcPr>
            <w:tcW w:w="2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r>
      <w:tr>
        <w:trPr>
          <w:trHeight w:val="403"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5"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5"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5"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5"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-30,956,40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-30,956,40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r>
      <w:tr>
        <w:trPr>
          <w:trHeight w:val="161" w:hRule="exact"/>
        </w:trPr>
        <w:tc>
          <w:tcPr>
            <w:tcW w:w="2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r>
      <w:tr>
        <w:trPr>
          <w:trHeight w:val="401"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5"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5"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-30,956,40</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0.00</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-30,956,40</w:t>
            </w:r>
          </w:p>
          <w:p>
            <w:pPr>
              <w:pStyle w:val="TableParagraph"/>
              <w:spacing w:line="240" w:lineRule="auto" w:before="102"/>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r>
      <w:tr>
        <w:trPr>
          <w:trHeight w:val="161" w:hRule="exact"/>
        </w:trPr>
        <w:tc>
          <w:tcPr>
            <w:tcW w:w="2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r>
      <w:tr>
        <w:trPr>
          <w:trHeight w:val="401"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5"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5"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r>
        <w:rPr/>
        <w:pict>
          <v:group style="position:absolute;margin-left:180.770004pt;margin-top:71.879982pt;width:42.6pt;height:20.8pt;mso-position-horizontal-relative:page;mso-position-vertical-relative:page;z-index:-1331368" coordorigin="3615,1438" coordsize="852,416">
            <v:group style="position:absolute;left:3627;top:1450;width:2;height:392" coordorigin="3627,1450" coordsize="2,392">
              <v:shape style="position:absolute;left:3627;top:1450;width:2;height:392" coordorigin="3627,1450" coordsize="0,392" path="m3627,1450l3627,1841e" filled="false" stroked="true" strokeweight="1.2pt" strokecolor="#ffffff">
                <v:path arrowok="t"/>
              </v:shape>
            </v:group>
            <v:group style="position:absolute;left:3639;top:1450;width:828;height:392" coordorigin="3639,1450" coordsize="828,392">
              <v:shape style="position:absolute;left:3639;top:1450;width:828;height:392" coordorigin="3639,1450" coordsize="828,392" path="m3639,1841l4467,1841,4467,1450,3639,1450,3639,184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7"/>
        <w:gridCol w:w="883"/>
        <w:gridCol w:w="886"/>
        <w:gridCol w:w="886"/>
        <w:gridCol w:w="886"/>
        <w:gridCol w:w="886"/>
        <w:gridCol w:w="886"/>
        <w:gridCol w:w="888"/>
        <w:gridCol w:w="891"/>
      </w:tblGrid>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515,940,00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1,484,458,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701.63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11,635,547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24,351,076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2,036,385,</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325.83</w:t>
            </w:r>
          </w:p>
        </w:tc>
      </w:tr>
    </w:tbl>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3"/>
        <w:gridCol w:w="895"/>
        <w:gridCol w:w="886"/>
        <w:gridCol w:w="886"/>
        <w:gridCol w:w="883"/>
        <w:gridCol w:w="886"/>
        <w:gridCol w:w="883"/>
        <w:gridCol w:w="883"/>
        <w:gridCol w:w="884"/>
      </w:tblGrid>
      <w:tr>
        <w:trPr>
          <w:trHeight w:val="396"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6"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8"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5" w:right="75"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3"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r>
      <w:tr>
        <w:trPr>
          <w:trHeight w:val="202" w:hRule="exact"/>
        </w:trPr>
        <w:tc>
          <w:tcPr>
            <w:tcW w:w="2473" w:type="dxa"/>
            <w:vMerge w:val="restart"/>
            <w:tcBorders>
              <w:top w:val="nil" w:sz="6" w:space="0" w:color="auto"/>
              <w:left w:val="single" w:sz="4" w:space="0" w:color="000000"/>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r>
      <w:tr>
        <w:trPr>
          <w:trHeight w:val="161" w:hRule="exact"/>
        </w:trPr>
        <w:tc>
          <w:tcPr>
            <w:tcW w:w="2473"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332,900,00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588,063,90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1.63</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11,635,547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-174,662,6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93.85</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757,936,75</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5.18</w:t>
            </w:r>
          </w:p>
        </w:tc>
      </w:tr>
      <w:tr>
        <w:trPr>
          <w:trHeight w:val="391"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332,900,00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588,063,90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1.63</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11,635,547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-174,662,6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93.85</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757,936,75</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5.18</w:t>
            </w:r>
          </w:p>
        </w:tc>
      </w:tr>
      <w:tr>
        <w:trPr>
          <w:trHeight w:val="392"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715"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183,040,00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896,394,80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209,904,06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9.54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1,289,338,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869.54</w:t>
            </w: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209,904,06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9.54</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209,904,06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9.54</w:t>
            </w:r>
          </w:p>
        </w:tc>
      </w:tr>
      <w:tr>
        <w:trPr>
          <w:trHeight w:val="391"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209,904,06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9.54</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209,904,06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9.54</w:t>
            </w:r>
          </w:p>
        </w:tc>
      </w:tr>
      <w:tr>
        <w:trPr>
          <w:trHeight w:val="391"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183,040,00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896,394,80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1,079,434,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800.00</w:t>
            </w:r>
          </w:p>
        </w:tc>
      </w:tr>
      <w:tr>
        <w:trPr>
          <w:trHeight w:val="394"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183,040,00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896,394,80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1,079,434,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800.00</w:t>
            </w:r>
          </w:p>
        </w:tc>
      </w:tr>
      <w:tr>
        <w:trPr>
          <w:trHeight w:val="392"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715"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r>
        <w:rPr/>
        <w:pict>
          <v:group style="position:absolute;margin-left:182.929993pt;margin-top:173.059982pt;width:41.4pt;height:39.6pt;mso-position-horizontal-relative:page;mso-position-vertical-relative:page;z-index:-1331344" coordorigin="3659,3461" coordsize="828,792">
            <v:group style="position:absolute;left:3659;top:3461;width:828;height:392" coordorigin="3659,3461" coordsize="828,392">
              <v:shape style="position:absolute;left:3659;top:3461;width:828;height:392" coordorigin="3659,3461" coordsize="828,392" path="m3659,3852l4487,3852,4487,3461,3659,3461,3659,3852xe" filled="true" fillcolor="#ffffff" stroked="false">
                <v:path arrowok="t"/>
                <v:fill type="solid"/>
              </v:shape>
            </v:group>
            <v:group style="position:absolute;left:3659;top:3862;width:828;height:392" coordorigin="3659,3862" coordsize="828,392">
              <v:shape style="position:absolute;left:3659;top:3862;width:828;height:392" coordorigin="3659,3862" coordsize="828,392" path="m3659,4253l4487,4253,4487,3862,3659,3862,3659,425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6"/>
        <w:gridCol w:w="883"/>
        <w:gridCol w:w="886"/>
        <w:gridCol w:w="886"/>
        <w:gridCol w:w="883"/>
        <w:gridCol w:w="886"/>
        <w:gridCol w:w="883"/>
        <w:gridCol w:w="883"/>
        <w:gridCol w:w="884"/>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515,940,00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1,484,458,</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701.63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11,635,547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35,241,375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2,047,275,</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624.72</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主管会计工作负责人：丁明锋</w:t>
        <w:tab/>
      </w:r>
      <w:r>
        <w:rPr>
          <w:rFonts w:ascii="宋体" w:hAnsi="宋体" w:cs="宋体" w:eastAsia="宋体" w:hint="default"/>
          <w:sz w:val="18"/>
          <w:szCs w:val="18"/>
        </w:rPr>
        <w:t>会计机构负责人：张锐</w:t>
      </w:r>
    </w:p>
    <w:p>
      <w:pPr>
        <w:pStyle w:val="BodyText"/>
        <w:spacing w:line="692" w:lineRule="exact" w:before="57"/>
        <w:ind w:left="578" w:right="0" w:hanging="426"/>
        <w:jc w:val="left"/>
      </w:pPr>
      <w:r>
        <w:rPr>
          <w:rFonts w:ascii="宋体" w:hAnsi="宋体" w:cs="宋体" w:eastAsia="宋体" w:hint="default"/>
          <w:b/>
          <w:bCs/>
        </w:rPr>
        <w:t>三、公司基本情况</w:t>
      </w:r>
      <w:r>
        <w:rPr>
          <w:rFonts w:ascii="宋体" w:hAnsi="宋体" w:cs="宋体" w:eastAsia="宋体" w:hint="default"/>
          <w:b/>
          <w:bCs/>
          <w:w w:val="99"/>
        </w:rPr>
        <w:t> </w:t>
      </w:r>
      <w:r>
        <w:rPr>
          <w:spacing w:val="2"/>
        </w:rPr>
        <w:t>大唐高鸿数据网络技术股份有限公司（以下简称“本公司”或“公司”）原名贵州中国</w:t>
      </w:r>
      <w:r>
        <w:rPr/>
      </w:r>
    </w:p>
    <w:p>
      <w:pPr>
        <w:pStyle w:val="BodyText"/>
        <w:spacing w:line="240" w:lineRule="auto" w:before="49"/>
        <w:ind w:right="0"/>
        <w:jc w:val="both"/>
      </w:pPr>
      <w:r>
        <w:rPr>
          <w:spacing w:val="6"/>
        </w:rPr>
        <w:t>第七砂轮股份有限公司，系经贵州省经济体制改革委员会于</w:t>
      </w:r>
      <w:r>
        <w:rPr>
          <w:rFonts w:ascii="宋体" w:hAnsi="宋体" w:cs="宋体" w:eastAsia="宋体" w:hint="default"/>
          <w:spacing w:val="6"/>
        </w:rPr>
        <w:t>1992</w:t>
      </w:r>
      <w:r>
        <w:rPr>
          <w:spacing w:val="6"/>
        </w:rPr>
        <w:t>年</w:t>
      </w:r>
      <w:r>
        <w:rPr>
          <w:rFonts w:ascii="宋体" w:hAnsi="宋体" w:cs="宋体" w:eastAsia="宋体" w:hint="default"/>
          <w:spacing w:val="6"/>
        </w:rPr>
        <w:t>10</w:t>
      </w:r>
      <w:r>
        <w:rPr>
          <w:spacing w:val="6"/>
        </w:rPr>
        <w:t>月</w:t>
      </w:r>
      <w:r>
        <w:rPr>
          <w:rFonts w:ascii="宋体" w:hAnsi="宋体" w:cs="宋体" w:eastAsia="宋体" w:hint="default"/>
          <w:spacing w:val="6"/>
        </w:rPr>
        <w:t>28</w:t>
      </w:r>
      <w:r>
        <w:rPr>
          <w:spacing w:val="6"/>
        </w:rPr>
        <w:t>日以黔体改股字</w:t>
      </w:r>
    </w:p>
    <w:p>
      <w:pPr>
        <w:pStyle w:val="BodyText"/>
        <w:spacing w:line="357" w:lineRule="auto" w:before="154"/>
        <w:ind w:right="153"/>
        <w:jc w:val="both"/>
      </w:pPr>
      <w:r>
        <w:rPr/>
        <w:t>（</w:t>
      </w:r>
      <w:r>
        <w:rPr>
          <w:rFonts w:ascii="宋体" w:hAnsi="宋体" w:cs="宋体" w:eastAsia="宋体" w:hint="default"/>
        </w:rPr>
        <w:t>1992</w:t>
      </w:r>
      <w:r>
        <w:rPr/>
        <w:t>）</w:t>
      </w:r>
      <w:r>
        <w:rPr>
          <w:rFonts w:ascii="宋体" w:hAnsi="宋体" w:cs="宋体" w:eastAsia="宋体" w:hint="default"/>
        </w:rPr>
        <w:t>26</w:t>
      </w:r>
      <w:r>
        <w:rPr/>
        <w:t>号文批准，由中国七砂集团有限责任公司（原中国第七砂轮厂，以下简称“七砂</w:t>
      </w:r>
      <w:r>
        <w:rPr>
          <w:spacing w:val="-88"/>
        </w:rPr>
        <w:t> </w:t>
      </w:r>
      <w:r>
        <w:rPr>
          <w:spacing w:val="-88"/>
        </w:rPr>
      </w:r>
      <w:r>
        <w:rPr/>
        <w:t>集团”）、中国第六砂轮厂（现已并入“七砂集团”）及贵州省电力局共同发起，以定向募</w:t>
      </w:r>
      <w:r>
        <w:rPr>
          <w:spacing w:val="-90"/>
        </w:rPr>
        <w:t> </w:t>
      </w:r>
      <w:r>
        <w:rPr>
          <w:spacing w:val="-90"/>
        </w:rPr>
      </w:r>
      <w:r>
        <w:rPr>
          <w:spacing w:val="14"/>
        </w:rPr>
        <w:t>集方式设立的股份有限公司，于</w:t>
      </w:r>
      <w:r>
        <w:rPr>
          <w:rFonts w:ascii="宋体" w:hAnsi="宋体" w:cs="宋体" w:eastAsia="宋体" w:hint="default"/>
          <w:spacing w:val="14"/>
        </w:rPr>
        <w:t>1994</w:t>
      </w:r>
      <w:r>
        <w:rPr>
          <w:spacing w:val="14"/>
        </w:rPr>
        <w:t>年</w:t>
      </w:r>
      <w:r>
        <w:rPr>
          <w:rFonts w:ascii="宋体" w:hAnsi="宋体" w:cs="宋体" w:eastAsia="宋体" w:hint="default"/>
          <w:spacing w:val="14"/>
        </w:rPr>
        <w:t>1</w:t>
      </w:r>
      <w:r>
        <w:rPr>
          <w:spacing w:val="14"/>
        </w:rPr>
        <w:t>月</w:t>
      </w:r>
      <w:r>
        <w:rPr>
          <w:rFonts w:ascii="宋体" w:hAnsi="宋体" w:cs="宋体" w:eastAsia="宋体" w:hint="default"/>
          <w:spacing w:val="14"/>
        </w:rPr>
        <w:t>20</w:t>
      </w:r>
      <w:r>
        <w:rPr>
          <w:spacing w:val="14"/>
        </w:rPr>
        <w:t>日正式成立，企业法人营业执照注册号为</w:t>
      </w:r>
      <w:r>
        <w:rPr>
          <w:spacing w:val="-82"/>
        </w:rPr>
        <w:t> </w:t>
      </w:r>
      <w:r>
        <w:rPr>
          <w:spacing w:val="-82"/>
        </w:rPr>
      </w:r>
      <w:r>
        <w:rPr>
          <w:rFonts w:ascii="宋体" w:hAnsi="宋体" w:cs="宋体" w:eastAsia="宋体" w:hint="default"/>
        </w:rPr>
        <w:t>21443062</w:t>
      </w:r>
      <w:r>
        <w:rPr/>
        <w:t>，本公司设立时的股本为人民币</w:t>
      </w:r>
      <w:r>
        <w:rPr>
          <w:rFonts w:ascii="宋体" w:hAnsi="宋体" w:cs="宋体" w:eastAsia="宋体" w:hint="default"/>
        </w:rPr>
        <w:t>6,252</w:t>
      </w:r>
      <w:r>
        <w:rPr/>
        <w:t>万元。</w:t>
      </w:r>
    </w:p>
    <w:p>
      <w:pPr>
        <w:pStyle w:val="BodyText"/>
        <w:spacing w:line="357" w:lineRule="auto"/>
        <w:ind w:right="152" w:firstLine="425"/>
        <w:jc w:val="both"/>
      </w:pPr>
      <w:r>
        <w:rPr>
          <w:rFonts w:ascii="宋体" w:hAnsi="宋体" w:cs="宋体" w:eastAsia="宋体" w:hint="default"/>
        </w:rPr>
        <w:t>1995</w:t>
      </w:r>
      <w:r>
        <w:rPr/>
        <w:t>年</w:t>
      </w:r>
      <w:r>
        <w:rPr>
          <w:rFonts w:ascii="宋体" w:hAnsi="宋体" w:cs="宋体" w:eastAsia="宋体" w:hint="default"/>
        </w:rPr>
        <w:t>9</w:t>
      </w:r>
      <w:r>
        <w:rPr/>
        <w:t>月</w:t>
      </w:r>
      <w:r>
        <w:rPr>
          <w:rFonts w:ascii="宋体" w:hAnsi="宋体" w:cs="宋体" w:eastAsia="宋体" w:hint="default"/>
        </w:rPr>
        <w:t>6</w:t>
      </w:r>
      <w:r>
        <w:rPr/>
        <w:t>日，经本公司临时股东大会特别会议决议，并经贵州省体改委以黔体改企字 </w:t>
      </w:r>
      <w:r>
        <w:rPr>
          <w:rFonts w:ascii="宋体" w:hAnsi="宋体" w:cs="宋体" w:eastAsia="宋体" w:hint="default"/>
        </w:rPr>
        <w:t>[1995]9</w:t>
      </w:r>
      <w:r>
        <w:rPr/>
        <w:t>号文批准、贵州省国有资产管理办公室以黔国资综评确</w:t>
      </w:r>
      <w:r>
        <w:rPr>
          <w:rFonts w:ascii="宋体" w:hAnsi="宋体" w:cs="宋体" w:eastAsia="宋体" w:hint="default"/>
        </w:rPr>
        <w:t>[1995]103</w:t>
      </w:r>
      <w:r>
        <w:rPr/>
        <w:t>号文确认，本公司</w:t>
      </w:r>
      <w:r>
        <w:rPr>
          <w:spacing w:val="-86"/>
        </w:rPr>
        <w:t> </w:t>
      </w:r>
      <w:r>
        <w:rPr>
          <w:spacing w:val="-86"/>
        </w:rPr>
      </w:r>
      <w:r>
        <w:rPr/>
        <w:t>以增资扩股方式吸收了七砂集团下属的磨料生产线等经营性资产及第七砂轮厂进出口公司的</w:t>
      </w:r>
      <w:r>
        <w:rPr>
          <w:spacing w:val="-91"/>
        </w:rPr>
        <w:t> </w:t>
      </w:r>
      <w:r>
        <w:rPr>
          <w:spacing w:val="-91"/>
        </w:rPr>
      </w:r>
      <w:r>
        <w:rPr/>
        <w:t>全部资产及相关负债，从而扩大本公司的经营规模。经此次增资后，本公司股本增加为人民</w:t>
      </w:r>
      <w:r>
        <w:rPr>
          <w:spacing w:val="-91"/>
        </w:rPr>
        <w:t> </w:t>
      </w:r>
      <w:r>
        <w:rPr>
          <w:spacing w:val="-91"/>
        </w:rPr>
      </w:r>
      <w:r>
        <w:rPr/>
        <w:t>币</w:t>
      </w:r>
      <w:r>
        <w:rPr>
          <w:rFonts w:ascii="宋体" w:hAnsi="宋体" w:cs="宋体" w:eastAsia="宋体" w:hint="default"/>
        </w:rPr>
        <w:t>12,800</w:t>
      </w:r>
      <w:r>
        <w:rPr/>
        <w:t>万元。</w:t>
      </w:r>
    </w:p>
    <w:p>
      <w:pPr>
        <w:pStyle w:val="BodyText"/>
        <w:spacing w:line="357" w:lineRule="auto"/>
        <w:ind w:right="146" w:firstLine="425"/>
        <w:jc w:val="both"/>
      </w:pPr>
      <w:r>
        <w:rPr>
          <w:rFonts w:ascii="宋体" w:hAnsi="宋体" w:cs="宋体" w:eastAsia="宋体" w:hint="default"/>
        </w:rPr>
        <w:t>1997</w:t>
      </w:r>
      <w:r>
        <w:rPr/>
        <w:t>年</w:t>
      </w:r>
      <w:r>
        <w:rPr>
          <w:rFonts w:ascii="宋体" w:hAnsi="宋体" w:cs="宋体" w:eastAsia="宋体" w:hint="default"/>
        </w:rPr>
        <w:t>7</w:t>
      </w:r>
      <w:r>
        <w:rPr/>
        <w:t>月</w:t>
      </w:r>
      <w:r>
        <w:rPr>
          <w:rFonts w:ascii="宋体" w:hAnsi="宋体" w:cs="宋体" w:eastAsia="宋体" w:hint="default"/>
        </w:rPr>
        <w:t>18</w:t>
      </w:r>
      <w:r>
        <w:rPr/>
        <w:t>日，本公司经贵州省人民政府以黔府函</w:t>
      </w:r>
      <w:r>
        <w:rPr>
          <w:rFonts w:ascii="宋体" w:hAnsi="宋体" w:cs="宋体" w:eastAsia="宋体" w:hint="default"/>
        </w:rPr>
        <w:t>[1997]151</w:t>
      </w:r>
      <w:r>
        <w:rPr/>
        <w:t>号文审核批准，并于</w:t>
      </w:r>
      <w:r>
        <w:rPr>
          <w:rFonts w:ascii="宋体" w:hAnsi="宋体" w:cs="宋体" w:eastAsia="宋体" w:hint="default"/>
        </w:rPr>
        <w:t>1998 </w:t>
      </w:r>
      <w:r>
        <w:rPr/>
        <w:t>年</w:t>
      </w:r>
      <w:r>
        <w:rPr>
          <w:rFonts w:ascii="宋体" w:hAnsi="宋体" w:cs="宋体" w:eastAsia="宋体" w:hint="default"/>
        </w:rPr>
        <w:t>4</w:t>
      </w:r>
      <w:r>
        <w:rPr/>
        <w:t>月</w:t>
      </w:r>
      <w:r>
        <w:rPr>
          <w:rFonts w:ascii="宋体" w:hAnsi="宋体" w:cs="宋体" w:eastAsia="宋体" w:hint="default"/>
        </w:rPr>
        <w:t>21</w:t>
      </w:r>
      <w:r>
        <w:rPr/>
        <w:t>日经中国证券监督管理委员会以证监发字</w:t>
      </w:r>
      <w:r>
        <w:rPr>
          <w:rFonts w:ascii="宋体" w:hAnsi="宋体" w:cs="宋体" w:eastAsia="宋体" w:hint="default"/>
        </w:rPr>
        <w:t>[1998]75</w:t>
      </w:r>
      <w:r>
        <w:rPr/>
        <w:t>号文审核批复，于</w:t>
      </w:r>
      <w:r>
        <w:rPr>
          <w:rFonts w:ascii="宋体" w:hAnsi="宋体" w:cs="宋体" w:eastAsia="宋体" w:hint="default"/>
        </w:rPr>
        <w:t>1998</w:t>
      </w:r>
      <w:r>
        <w:rPr/>
        <w:t>年</w:t>
      </w:r>
      <w:r>
        <w:rPr>
          <w:rFonts w:ascii="宋体" w:hAnsi="宋体" w:cs="宋体" w:eastAsia="宋体" w:hint="default"/>
        </w:rPr>
        <w:t>4</w:t>
      </w:r>
      <w:r>
        <w:rPr/>
        <w:t>月</w:t>
      </w:r>
      <w:r>
        <w:rPr>
          <w:rFonts w:ascii="宋体" w:hAnsi="宋体" w:cs="宋体" w:eastAsia="宋体" w:hint="default"/>
        </w:rPr>
        <w:t>27</w:t>
      </w:r>
      <w:r>
        <w:rPr/>
        <w:t>日</w:t>
      </w:r>
    </w:p>
    <w:p>
      <w:pPr>
        <w:pStyle w:val="BodyText"/>
        <w:spacing w:line="240" w:lineRule="auto"/>
        <w:ind w:right="0"/>
        <w:jc w:val="both"/>
      </w:pPr>
      <w:r>
        <w:rPr/>
        <w:t>向社会公开发行人民币普通股</w:t>
      </w:r>
      <w:r>
        <w:rPr>
          <w:rFonts w:ascii="宋体" w:hAnsi="宋体" w:cs="宋体" w:eastAsia="宋体" w:hint="default"/>
        </w:rPr>
        <w:t>4,500</w:t>
      </w:r>
      <w:r>
        <w:rPr/>
        <w:t>万股，股本总额增加为</w:t>
      </w:r>
      <w:r>
        <w:rPr>
          <w:rFonts w:ascii="宋体" w:hAnsi="宋体" w:cs="宋体" w:eastAsia="宋体" w:hint="default"/>
        </w:rPr>
        <w:t>17,300</w:t>
      </w:r>
      <w:r>
        <w:rPr/>
        <w:t>万元。本公司</w:t>
      </w:r>
      <w:r>
        <w:rPr>
          <w:rFonts w:ascii="宋体" w:hAnsi="宋体" w:cs="宋体" w:eastAsia="宋体" w:hint="default"/>
        </w:rPr>
        <w:t>4,500</w:t>
      </w:r>
      <w:r>
        <w:rPr/>
        <w:t>万股人</w:t>
      </w:r>
    </w:p>
    <w:p>
      <w:pPr>
        <w:spacing w:after="0" w:line="240" w:lineRule="auto"/>
        <w:jc w:val="both"/>
        <w:sectPr>
          <w:footerReference w:type="default" r:id="rId19"/>
          <w:pgSz w:w="11910" w:h="16840"/>
          <w:pgMar w:footer="1186" w:header="745"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left="578" w:right="0" w:hanging="426"/>
        <w:jc w:val="left"/>
      </w:pPr>
      <w:r>
        <w:rPr/>
        <w:t>民币普通股于</w:t>
      </w:r>
      <w:r>
        <w:rPr>
          <w:rFonts w:ascii="宋体" w:hAnsi="宋体" w:cs="宋体" w:eastAsia="宋体" w:hint="default"/>
        </w:rPr>
        <w:t>1998</w:t>
      </w:r>
      <w:r>
        <w:rPr/>
        <w:t>年</w:t>
      </w:r>
      <w:r>
        <w:rPr>
          <w:rFonts w:ascii="宋体" w:hAnsi="宋体" w:cs="宋体" w:eastAsia="宋体" w:hint="default"/>
        </w:rPr>
        <w:t>6</w:t>
      </w:r>
      <w:r>
        <w:rPr/>
        <w:t>月</w:t>
      </w:r>
      <w:r>
        <w:rPr>
          <w:rFonts w:ascii="宋体" w:hAnsi="宋体" w:cs="宋体" w:eastAsia="宋体" w:hint="default"/>
        </w:rPr>
        <w:t>9</w:t>
      </w:r>
      <w:r>
        <w:rPr/>
        <w:t>日在深圳证券交易所挂牌上市交易。 本公司于</w:t>
      </w:r>
      <w:r>
        <w:rPr>
          <w:rFonts w:ascii="宋体" w:hAnsi="宋体" w:cs="宋体" w:eastAsia="宋体" w:hint="default"/>
        </w:rPr>
        <w:t>2000</w:t>
      </w:r>
      <w:r>
        <w:rPr/>
        <w:t>年向所有股东按每</w:t>
      </w:r>
      <w:r>
        <w:rPr>
          <w:rFonts w:ascii="宋体" w:hAnsi="宋体" w:cs="宋体" w:eastAsia="宋体" w:hint="default"/>
        </w:rPr>
        <w:t>10</w:t>
      </w:r>
      <w:r>
        <w:rPr/>
        <w:t>股送</w:t>
      </w:r>
      <w:r>
        <w:rPr>
          <w:rFonts w:ascii="宋体" w:hAnsi="宋体" w:cs="宋体" w:eastAsia="宋体" w:hint="default"/>
        </w:rPr>
        <w:t>3</w:t>
      </w:r>
      <w:r>
        <w:rPr/>
        <w:t>股红股，共送出</w:t>
      </w:r>
      <w:r>
        <w:rPr>
          <w:rFonts w:ascii="宋体" w:hAnsi="宋体" w:cs="宋体" w:eastAsia="宋体" w:hint="default"/>
        </w:rPr>
        <w:t>5,190</w:t>
      </w:r>
      <w:r>
        <w:rPr/>
        <w:t>万股，经此次送股后，本</w:t>
      </w:r>
    </w:p>
    <w:p>
      <w:pPr>
        <w:pStyle w:val="BodyText"/>
        <w:spacing w:line="357" w:lineRule="auto"/>
        <w:ind w:left="578" w:right="153" w:hanging="426"/>
        <w:jc w:val="left"/>
      </w:pPr>
      <w:r>
        <w:rPr/>
        <w:t>公司股本增至</w:t>
      </w:r>
      <w:r>
        <w:rPr>
          <w:rFonts w:ascii="宋体" w:hAnsi="宋体" w:cs="宋体" w:eastAsia="宋体" w:hint="default"/>
        </w:rPr>
        <w:t>22,490</w:t>
      </w:r>
      <w:r>
        <w:rPr/>
        <w:t>万元。 </w:t>
      </w:r>
      <w:r>
        <w:rPr>
          <w:rFonts w:ascii="宋体" w:hAnsi="宋体" w:cs="宋体" w:eastAsia="宋体" w:hint="default"/>
          <w:spacing w:val="-1"/>
        </w:rPr>
        <w:t>2003</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3</w:t>
      </w:r>
      <w:r>
        <w:rPr>
          <w:spacing w:val="-1"/>
        </w:rPr>
        <w:t>日，经财政部财企（</w:t>
      </w:r>
      <w:r>
        <w:rPr>
          <w:rFonts w:ascii="宋体" w:hAnsi="宋体" w:cs="宋体" w:eastAsia="宋体" w:hint="default"/>
          <w:spacing w:val="-1"/>
        </w:rPr>
        <w:t>2002</w:t>
      </w:r>
      <w:r>
        <w:rPr>
          <w:spacing w:val="-1"/>
        </w:rPr>
        <w:t>）</w:t>
      </w:r>
      <w:r>
        <w:rPr>
          <w:rFonts w:ascii="宋体" w:hAnsi="宋体" w:cs="宋体" w:eastAsia="宋体" w:hint="default"/>
          <w:spacing w:val="-1"/>
        </w:rPr>
        <w:t>532</w:t>
      </w:r>
      <w:r>
        <w:rPr>
          <w:spacing w:val="-1"/>
        </w:rPr>
        <w:t>号文件批准，贵州达众磨料磨具有限责任公司</w:t>
      </w:r>
    </w:p>
    <w:p>
      <w:pPr>
        <w:pStyle w:val="BodyText"/>
        <w:spacing w:line="357" w:lineRule="auto"/>
        <w:ind w:left="578" w:right="0" w:hanging="426"/>
        <w:jc w:val="left"/>
      </w:pPr>
      <w:r>
        <w:rPr/>
        <w:t>（以下简称“达众公司”）受让七砂集团持有的本公司国家股</w:t>
      </w:r>
      <w:r>
        <w:rPr>
          <w:rFonts w:ascii="宋体" w:hAnsi="宋体" w:cs="宋体" w:eastAsia="宋体" w:hint="default"/>
        </w:rPr>
        <w:t>6,728.341</w:t>
      </w:r>
      <w:r>
        <w:rPr/>
        <w:t>万股。 </w:t>
      </w:r>
      <w:r>
        <w:rPr>
          <w:rFonts w:ascii="宋体" w:hAnsi="宋体" w:cs="宋体" w:eastAsia="宋体" w:hint="default"/>
          <w:spacing w:val="-1"/>
        </w:rPr>
        <w:t>2003</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27</w:t>
      </w:r>
      <w:r>
        <w:rPr>
          <w:spacing w:val="-1"/>
        </w:rPr>
        <w:t>日，经财政部财企（</w:t>
      </w:r>
      <w:r>
        <w:rPr>
          <w:rFonts w:ascii="宋体" w:hAnsi="宋体" w:cs="宋体" w:eastAsia="宋体" w:hint="default"/>
          <w:spacing w:val="-1"/>
        </w:rPr>
        <w:t>2003</w:t>
      </w:r>
      <w:r>
        <w:rPr>
          <w:spacing w:val="-1"/>
        </w:rPr>
        <w:t>）</w:t>
      </w:r>
      <w:r>
        <w:rPr>
          <w:rFonts w:ascii="宋体" w:hAnsi="宋体" w:cs="宋体" w:eastAsia="宋体" w:hint="default"/>
          <w:spacing w:val="-1"/>
        </w:rPr>
        <w:t>127</w:t>
      </w:r>
      <w:r>
        <w:rPr>
          <w:spacing w:val="-1"/>
        </w:rPr>
        <w:t>号文件批准，达众公司拟将持有</w:t>
      </w:r>
      <w:r>
        <w:rPr>
          <w:rFonts w:ascii="宋体" w:hAnsi="宋体" w:cs="宋体" w:eastAsia="宋体" w:hint="default"/>
          <w:spacing w:val="-1"/>
        </w:rPr>
        <w:t>6,728.341</w:t>
      </w:r>
      <w:r>
        <w:rPr>
          <w:spacing w:val="-1"/>
        </w:rPr>
        <w:t>万</w:t>
      </w:r>
    </w:p>
    <w:p>
      <w:pPr>
        <w:pStyle w:val="BodyText"/>
        <w:spacing w:line="357" w:lineRule="auto"/>
        <w:ind w:right="150"/>
        <w:jc w:val="both"/>
      </w:pPr>
      <w:r>
        <w:rPr/>
        <w:t>股国家股中的</w:t>
      </w:r>
      <w:r>
        <w:rPr>
          <w:rFonts w:ascii="宋体" w:hAnsi="宋体" w:cs="宋体" w:eastAsia="宋体" w:hint="default"/>
        </w:rPr>
        <w:t>5,282.8491</w:t>
      </w:r>
      <w:r>
        <w:rPr/>
        <w:t>万股转让给电信科学技术研究院（以下简称“电信院”），占总股</w:t>
      </w:r>
      <w:r>
        <w:rPr>
          <w:spacing w:val="-86"/>
        </w:rPr>
        <w:t> </w:t>
      </w:r>
      <w:r>
        <w:rPr>
          <w:spacing w:val="-86"/>
        </w:rPr>
      </w:r>
      <w:r>
        <w:rPr/>
        <w:t>本的</w:t>
      </w:r>
      <w:r>
        <w:rPr>
          <w:rFonts w:ascii="宋体" w:hAnsi="宋体" w:cs="宋体" w:eastAsia="宋体" w:hint="default"/>
        </w:rPr>
        <w:t>23.49%</w:t>
      </w:r>
      <w:r>
        <w:rPr/>
        <w:t>，股份性质为国有法人股；拟将</w:t>
      </w:r>
      <w:r>
        <w:rPr>
          <w:rFonts w:ascii="宋体" w:hAnsi="宋体" w:cs="宋体" w:eastAsia="宋体" w:hint="default"/>
        </w:rPr>
        <w:t>1,445.4919</w:t>
      </w:r>
      <w:r>
        <w:rPr/>
        <w:t>万股转让给大唐电信科技股份有限公</w:t>
      </w:r>
      <w:r>
        <w:rPr>
          <w:spacing w:val="-91"/>
        </w:rPr>
        <w:t> </w:t>
      </w:r>
      <w:r>
        <w:rPr>
          <w:spacing w:val="-91"/>
        </w:rPr>
      </w:r>
      <w:r>
        <w:rPr>
          <w:spacing w:val="-2"/>
        </w:rPr>
        <w:t>司，占总股本的</w:t>
      </w:r>
      <w:r>
        <w:rPr>
          <w:rFonts w:ascii="宋体" w:hAnsi="宋体" w:cs="宋体" w:eastAsia="宋体" w:hint="default"/>
          <w:spacing w:val="-2"/>
        </w:rPr>
        <w:t>6.43%</w:t>
      </w:r>
      <w:r>
        <w:rPr>
          <w:spacing w:val="-2"/>
        </w:rPr>
        <w:t>，股份性质为社会法人股。但在批准文件有效期内未能完成股权过户手</w:t>
      </w:r>
      <w:r>
        <w:rPr>
          <w:spacing w:val="-115"/>
        </w:rPr>
        <w:t> </w:t>
      </w:r>
      <w:r>
        <w:rPr>
          <w:spacing w:val="-115"/>
        </w:rPr>
      </w:r>
      <w:r>
        <w:rPr/>
        <w:t>续。</w:t>
      </w:r>
    </w:p>
    <w:p>
      <w:pPr>
        <w:pStyle w:val="BodyText"/>
        <w:spacing w:line="357" w:lineRule="auto"/>
        <w:ind w:right="155" w:firstLine="425"/>
        <w:jc w:val="both"/>
      </w:pPr>
      <w:r>
        <w:rPr>
          <w:rFonts w:ascii="宋体" w:hAnsi="宋体" w:cs="宋体" w:eastAsia="宋体" w:hint="default"/>
          <w:spacing w:val="-1"/>
        </w:rPr>
        <w:t>2003</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12</w:t>
      </w:r>
      <w:r>
        <w:rPr>
          <w:spacing w:val="-1"/>
        </w:rPr>
        <w:t>日，经股东大会批准，本公司以所拥有的从事磨料磨具业务的资产（包含相</w:t>
      </w:r>
      <w:r>
        <w:rPr/>
        <w:t> 关负债）对达众公司投资，投资额为</w:t>
      </w:r>
      <w:r>
        <w:rPr>
          <w:rFonts w:ascii="宋体" w:hAnsi="宋体" w:cs="宋体" w:eastAsia="宋体" w:hint="default"/>
        </w:rPr>
        <w:t>6,171.99</w:t>
      </w:r>
      <w:r>
        <w:rPr/>
        <w:t>万元，占达众公司注册资本的</w:t>
      </w:r>
      <w:r>
        <w:rPr>
          <w:rFonts w:ascii="宋体" w:hAnsi="宋体" w:cs="宋体" w:eastAsia="宋体" w:hint="default"/>
        </w:rPr>
        <w:t>17.79%</w:t>
      </w:r>
      <w:r>
        <w:rPr/>
        <w:t>。</w:t>
      </w:r>
    </w:p>
    <w:p>
      <w:pPr>
        <w:pStyle w:val="BodyText"/>
        <w:spacing w:line="357" w:lineRule="auto"/>
        <w:ind w:right="151" w:firstLine="425"/>
        <w:jc w:val="both"/>
      </w:pPr>
      <w:r>
        <w:rPr>
          <w:rFonts w:ascii="宋体" w:hAnsi="宋体" w:cs="宋体" w:eastAsia="宋体" w:hint="default"/>
          <w:spacing w:val="-1"/>
        </w:rPr>
        <w:t>2003</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19</w:t>
      </w:r>
      <w:r>
        <w:rPr>
          <w:spacing w:val="-1"/>
        </w:rPr>
        <w:t>日，经股东大会批准，本公司进行重大资产置换。本公司将所拥有的贵州七</w:t>
      </w:r>
      <w:r>
        <w:rPr/>
        <w:t> 砂进出口公司（以下简称“七砂进出口公司”）</w:t>
      </w:r>
      <w:r>
        <w:rPr>
          <w:rFonts w:ascii="宋体" w:hAnsi="宋体" w:cs="宋体" w:eastAsia="宋体" w:hint="default"/>
        </w:rPr>
        <w:t>100%</w:t>
      </w:r>
      <w:r>
        <w:rPr/>
        <w:t>权益及从事磨料磨具业务的资产（包含</w:t>
      </w:r>
      <w:r>
        <w:rPr>
          <w:spacing w:val="-90"/>
        </w:rPr>
        <w:t> </w:t>
      </w:r>
      <w:r>
        <w:rPr>
          <w:spacing w:val="-90"/>
        </w:rPr>
      </w:r>
      <w:r>
        <w:rPr>
          <w:spacing w:val="-13"/>
        </w:rPr>
        <w:t>相关负债）换出，并换入北京大唐高鸿数据网络技术有限公司（以下简称“高鸿数据”）</w:t>
      </w:r>
      <w:r>
        <w:rPr>
          <w:rFonts w:ascii="宋体" w:hAnsi="宋体" w:cs="宋体" w:eastAsia="宋体" w:hint="default"/>
          <w:spacing w:val="-13"/>
        </w:rPr>
        <w:t>83.165%</w:t>
      </w:r>
      <w:r>
        <w:rPr>
          <w:rFonts w:ascii="宋体" w:hAnsi="宋体" w:cs="宋体" w:eastAsia="宋体" w:hint="default"/>
          <w:spacing w:val="-84"/>
        </w:rPr>
        <w:t> </w:t>
      </w:r>
      <w:r>
        <w:rPr/>
        <w:t>的股权。</w:t>
      </w:r>
    </w:p>
    <w:p>
      <w:pPr>
        <w:pStyle w:val="BodyText"/>
        <w:spacing w:line="357" w:lineRule="auto"/>
        <w:ind w:right="153" w:firstLine="425"/>
        <w:jc w:val="both"/>
      </w:pPr>
      <w:r>
        <w:rPr>
          <w:rFonts w:ascii="宋体" w:hAnsi="宋体" w:cs="宋体" w:eastAsia="宋体" w:hint="default"/>
          <w:spacing w:val="-7"/>
        </w:rPr>
        <w:t>2003</w:t>
      </w:r>
      <w:r>
        <w:rPr>
          <w:spacing w:val="-7"/>
        </w:rPr>
        <w:t>年</w:t>
      </w:r>
      <w:r>
        <w:rPr>
          <w:rFonts w:ascii="宋体" w:hAnsi="宋体" w:cs="宋体" w:eastAsia="宋体" w:hint="default"/>
          <w:spacing w:val="-7"/>
        </w:rPr>
        <w:t>5</w:t>
      </w:r>
      <w:r>
        <w:rPr>
          <w:spacing w:val="-7"/>
        </w:rPr>
        <w:t>月资产重组完成后，本公司名称由“贵州中国第七砂轮股份有限公司”变更为“大</w:t>
      </w:r>
      <w:r>
        <w:rPr/>
        <w:t> 唐高鸿数据网络技术股份有限公司”。</w:t>
      </w:r>
      <w:r>
        <w:rPr>
          <w:rFonts w:ascii="宋体" w:hAnsi="宋体" w:cs="宋体" w:eastAsia="宋体" w:hint="default"/>
        </w:rPr>
        <w:t>2003</w:t>
      </w:r>
      <w:r>
        <w:rPr/>
        <w:t>年</w:t>
      </w:r>
      <w:r>
        <w:rPr>
          <w:rFonts w:ascii="宋体" w:hAnsi="宋体" w:cs="宋体" w:eastAsia="宋体" w:hint="default"/>
        </w:rPr>
        <w:t>11</w:t>
      </w:r>
      <w:r>
        <w:rPr/>
        <w:t>月</w:t>
      </w:r>
      <w:r>
        <w:rPr>
          <w:rFonts w:ascii="宋体" w:hAnsi="宋体" w:cs="宋体" w:eastAsia="宋体" w:hint="default"/>
        </w:rPr>
        <w:t>27</w:t>
      </w:r>
      <w:r>
        <w:rPr/>
        <w:t>日贵州省工商行政管理局换发了《企业</w:t>
      </w:r>
      <w:r>
        <w:rPr>
          <w:spacing w:val="-89"/>
        </w:rPr>
        <w:t> </w:t>
      </w:r>
      <w:r>
        <w:rPr>
          <w:spacing w:val="-89"/>
        </w:rPr>
      </w:r>
      <w:r>
        <w:rPr/>
        <w:t>法人营业执照》，注册号：</w:t>
      </w:r>
      <w:r>
        <w:rPr>
          <w:rFonts w:ascii="宋体" w:hAnsi="宋体" w:cs="宋体" w:eastAsia="宋体" w:hint="default"/>
        </w:rPr>
        <w:t>5200001202072</w:t>
      </w:r>
      <w:r>
        <w:rPr/>
        <w:t>。</w:t>
      </w:r>
    </w:p>
    <w:p>
      <w:pPr>
        <w:pStyle w:val="BodyText"/>
        <w:spacing w:line="357" w:lineRule="auto"/>
        <w:ind w:right="151" w:firstLine="425"/>
        <w:jc w:val="both"/>
      </w:pPr>
      <w:r>
        <w:rPr>
          <w:rFonts w:ascii="宋体" w:hAnsi="宋体" w:cs="宋体" w:eastAsia="宋体" w:hint="default"/>
        </w:rPr>
        <w:t>2005</w:t>
      </w:r>
      <w:r>
        <w:rPr/>
        <w:t>年</w:t>
      </w:r>
      <w:r>
        <w:rPr>
          <w:rFonts w:ascii="宋体" w:hAnsi="宋体" w:cs="宋体" w:eastAsia="宋体" w:hint="default"/>
        </w:rPr>
        <w:t>3</w:t>
      </w:r>
      <w:r>
        <w:rPr/>
        <w:t>月经国务院国有资产监督管理委员会国资产权</w:t>
      </w:r>
      <w:r>
        <w:rPr>
          <w:rFonts w:ascii="宋体" w:hAnsi="宋体" w:cs="宋体" w:eastAsia="宋体" w:hint="default"/>
        </w:rPr>
        <w:t>[2005]351</w:t>
      </w:r>
      <w:r>
        <w:rPr/>
        <w:t>号文《关于大唐高鸿数 据网络技术股份有限公司国有股转让的有关问题的批复》批准，达众公司将其持有的本公司</w:t>
      </w:r>
      <w:r>
        <w:rPr>
          <w:spacing w:val="-91"/>
        </w:rPr>
        <w:t> </w:t>
      </w:r>
      <w:r>
        <w:rPr>
          <w:spacing w:val="-91"/>
        </w:rPr>
      </w:r>
      <w:r>
        <w:rPr>
          <w:spacing w:val="-2"/>
        </w:rPr>
        <w:t>的</w:t>
      </w:r>
      <w:r>
        <w:rPr>
          <w:rFonts w:ascii="宋体" w:hAnsi="宋体" w:cs="宋体" w:eastAsia="宋体" w:hint="default"/>
          <w:spacing w:val="-2"/>
        </w:rPr>
        <w:t>6,728.341</w:t>
      </w:r>
      <w:r>
        <w:rPr>
          <w:spacing w:val="-2"/>
        </w:rPr>
        <w:t>万股国家股中</w:t>
      </w:r>
      <w:r>
        <w:rPr>
          <w:rFonts w:ascii="宋体" w:hAnsi="宋体" w:cs="宋体" w:eastAsia="宋体" w:hint="default"/>
          <w:spacing w:val="-2"/>
        </w:rPr>
        <w:t>5,282.8491</w:t>
      </w:r>
      <w:r>
        <w:rPr>
          <w:spacing w:val="-2"/>
        </w:rPr>
        <w:t>万股转让给电信科学技术研究院、</w:t>
      </w:r>
      <w:r>
        <w:rPr>
          <w:rFonts w:ascii="宋体" w:hAnsi="宋体" w:cs="宋体" w:eastAsia="宋体" w:hint="default"/>
          <w:spacing w:val="-2"/>
        </w:rPr>
        <w:t>1,445.4919</w:t>
      </w:r>
      <w:r>
        <w:rPr>
          <w:spacing w:val="-2"/>
        </w:rPr>
        <w:t>万股转让</w:t>
      </w:r>
      <w:r>
        <w:rPr>
          <w:spacing w:val="-92"/>
        </w:rPr>
        <w:t> </w:t>
      </w:r>
      <w:r>
        <w:rPr>
          <w:spacing w:val="14"/>
        </w:rPr>
        <w:t>给大唐电信科技股份有限公司。转让后电信院持有本公司</w:t>
      </w:r>
      <w:r>
        <w:rPr>
          <w:spacing w:val="-85"/>
        </w:rPr>
        <w:t> </w:t>
      </w:r>
      <w:r>
        <w:rPr>
          <w:rFonts w:ascii="宋体" w:hAnsi="宋体" w:cs="宋体" w:eastAsia="宋体" w:hint="default"/>
          <w:spacing w:val="6"/>
        </w:rPr>
        <w:t>5,282.8491</w:t>
      </w:r>
      <w:r>
        <w:rPr>
          <w:spacing w:val="6"/>
        </w:rPr>
        <w:t>万股，占总股本的</w:t>
      </w:r>
      <w:r>
        <w:rPr>
          <w:spacing w:val="-109"/>
        </w:rPr>
        <w:t> </w:t>
      </w:r>
      <w:r>
        <w:rPr>
          <w:spacing w:val="-109"/>
        </w:rPr>
      </w:r>
      <w:r>
        <w:rPr>
          <w:rFonts w:ascii="宋体" w:hAnsi="宋体" w:cs="宋体" w:eastAsia="宋体" w:hint="default"/>
        </w:rPr>
        <w:t>23.49%</w:t>
      </w:r>
      <w:r>
        <w:rPr/>
        <w:t>，股份性质为国有法人股；大唐电信科技股份有限公司持有本公司</w:t>
      </w:r>
      <w:r>
        <w:rPr>
          <w:rFonts w:ascii="宋体" w:hAnsi="宋体" w:cs="宋体" w:eastAsia="宋体" w:hint="default"/>
        </w:rPr>
        <w:t>1,445.4919</w:t>
      </w:r>
      <w:r>
        <w:rPr/>
        <w:t>万股，</w:t>
      </w:r>
      <w:r>
        <w:rPr>
          <w:spacing w:val="-87"/>
        </w:rPr>
        <w:t> </w:t>
      </w:r>
      <w:r>
        <w:rPr/>
        <w:t>占总股本的</w:t>
      </w:r>
      <w:r>
        <w:rPr>
          <w:rFonts w:ascii="宋体" w:hAnsi="宋体" w:cs="宋体" w:eastAsia="宋体" w:hint="default"/>
        </w:rPr>
        <w:t>6.43%</w:t>
      </w:r>
      <w:r>
        <w:rPr/>
        <w:t>。</w:t>
      </w:r>
    </w:p>
    <w:p>
      <w:pPr>
        <w:pStyle w:val="BodyText"/>
        <w:spacing w:line="357" w:lineRule="auto" w:before="37"/>
        <w:ind w:right="148" w:firstLine="425"/>
        <w:jc w:val="both"/>
      </w:pPr>
      <w:r>
        <w:rPr>
          <w:rFonts w:ascii="宋体" w:hAnsi="宋体" w:cs="宋体" w:eastAsia="宋体" w:hint="default"/>
          <w:spacing w:val="2"/>
        </w:rPr>
        <w:t>2005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31</w:t>
      </w:r>
      <w:r>
        <w:rPr>
          <w:spacing w:val="2"/>
        </w:rPr>
        <w:t>日，电信院与北京奈特高科科技有限公司（以下简称“奈特高科”）签署 </w:t>
      </w:r>
      <w:r>
        <w:rPr>
          <w:spacing w:val="-2"/>
        </w:rPr>
        <w:t>了《股份转让协议》，并于</w:t>
      </w:r>
      <w:r>
        <w:rPr>
          <w:rFonts w:ascii="宋体" w:hAnsi="宋体" w:cs="宋体" w:eastAsia="宋体" w:hint="default"/>
          <w:spacing w:val="-2"/>
        </w:rPr>
        <w:t>2005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8</w:t>
      </w:r>
      <w:r>
        <w:rPr>
          <w:spacing w:val="-2"/>
        </w:rPr>
        <w:t>日签署了《关于转让价款的补充协议》。根据协议及</w:t>
      </w:r>
      <w:r>
        <w:rPr>
          <w:spacing w:val="-116"/>
        </w:rPr>
        <w:t> </w:t>
      </w:r>
      <w:r>
        <w:rPr>
          <w:spacing w:val="-116"/>
        </w:rPr>
      </w:r>
      <w:r>
        <w:rPr>
          <w:spacing w:val="8"/>
        </w:rPr>
        <w:t>其补充协议，电信院将其持有的本公司</w:t>
      </w:r>
      <w:r>
        <w:rPr>
          <w:rFonts w:ascii="宋体" w:hAnsi="宋体" w:cs="宋体" w:eastAsia="宋体" w:hint="default"/>
          <w:spacing w:val="8"/>
        </w:rPr>
        <w:t>1,241.5</w:t>
      </w:r>
      <w:r>
        <w:rPr>
          <w:spacing w:val="8"/>
        </w:rPr>
        <w:t>万股转让给奈特高科，占本公司总股本的</w:t>
      </w:r>
      <w:r>
        <w:rPr>
          <w:spacing w:val="-83"/>
        </w:rPr>
        <w:t> </w:t>
      </w:r>
      <w:r>
        <w:rPr>
          <w:spacing w:val="-83"/>
        </w:rPr>
      </w:r>
      <w:r>
        <w:rPr>
          <w:rFonts w:ascii="宋体" w:hAnsi="宋体" w:cs="宋体" w:eastAsia="宋体" w:hint="default"/>
          <w:spacing w:val="-2"/>
        </w:rPr>
        <w:t>5.52%</w:t>
      </w:r>
      <w:r>
        <w:rPr>
          <w:spacing w:val="-2"/>
        </w:rPr>
        <w:t>。本次转让已经国务院国有资产监督管理委员会（国资产权</w:t>
      </w:r>
      <w:r>
        <w:rPr>
          <w:rFonts w:ascii="宋体" w:hAnsi="宋体" w:cs="宋体" w:eastAsia="宋体" w:hint="default"/>
          <w:spacing w:val="-2"/>
        </w:rPr>
        <w:t>[2005]1548</w:t>
      </w:r>
      <w:r>
        <w:rPr>
          <w:spacing w:val="-2"/>
        </w:rPr>
        <w:t>号）“关于大唐</w:t>
      </w:r>
    </w:p>
    <w:p>
      <w:pPr>
        <w:spacing w:after="0" w:line="357" w:lineRule="auto"/>
        <w:jc w:val="both"/>
        <w:sectPr>
          <w:footerReference w:type="default" r:id="rId20"/>
          <w:pgSz w:w="11910" w:h="16840"/>
          <w:pgMar w:footer="1186" w:header="745" w:top="1060" w:bottom="1380" w:left="980" w:right="980"/>
          <w:pgNumType w:start="101"/>
        </w:sectPr>
      </w:pPr>
    </w:p>
    <w:p>
      <w:pPr>
        <w:spacing w:line="240" w:lineRule="auto" w:before="6"/>
        <w:rPr>
          <w:rFonts w:ascii="宋体" w:hAnsi="宋体" w:cs="宋体" w:eastAsia="宋体" w:hint="default"/>
          <w:sz w:val="29"/>
          <w:szCs w:val="29"/>
        </w:rPr>
      </w:pPr>
    </w:p>
    <w:p>
      <w:pPr>
        <w:pStyle w:val="BodyText"/>
        <w:spacing w:line="357" w:lineRule="auto" w:before="26"/>
        <w:ind w:right="231"/>
        <w:jc w:val="both"/>
      </w:pPr>
      <w:r>
        <w:rPr/>
        <w:t>高鸿数据网络技术股份有限公司国有股权转让有关问题的批复”批准。本次转让完成后，电</w:t>
      </w:r>
      <w:r>
        <w:rPr>
          <w:spacing w:val="-88"/>
        </w:rPr>
        <w:t> </w:t>
      </w:r>
      <w:r>
        <w:rPr>
          <w:spacing w:val="-88"/>
        </w:rPr>
      </w:r>
      <w:r>
        <w:rPr/>
        <w:t>信院持有本公司</w:t>
      </w:r>
      <w:r>
        <w:rPr>
          <w:rFonts w:ascii="宋体" w:hAnsi="宋体" w:cs="宋体" w:eastAsia="宋体" w:hint="default"/>
        </w:rPr>
        <w:t>4,041.3491</w:t>
      </w:r>
      <w:r>
        <w:rPr/>
        <w:t>万股，占本公司总股本的</w:t>
      </w:r>
      <w:r>
        <w:rPr>
          <w:rFonts w:ascii="宋体" w:hAnsi="宋体" w:cs="宋体" w:eastAsia="宋体" w:hint="default"/>
        </w:rPr>
        <w:t>17.97%</w:t>
      </w:r>
      <w:r>
        <w:rPr/>
        <w:t>，股份性质仍为国有法人股；奈</w:t>
      </w:r>
      <w:r>
        <w:rPr>
          <w:spacing w:val="-92"/>
        </w:rPr>
        <w:t> </w:t>
      </w:r>
      <w:r>
        <w:rPr>
          <w:spacing w:val="-92"/>
        </w:rPr>
      </w:r>
      <w:r>
        <w:rPr/>
        <w:t>特高科持有本公司</w:t>
      </w:r>
      <w:r>
        <w:rPr>
          <w:rFonts w:ascii="宋体" w:hAnsi="宋体" w:cs="宋体" w:eastAsia="宋体" w:hint="default"/>
        </w:rPr>
        <w:t>1,241.5</w:t>
      </w:r>
      <w:r>
        <w:rPr/>
        <w:t>万股，占本公司总股本的</w:t>
      </w:r>
      <w:r>
        <w:rPr>
          <w:rFonts w:ascii="宋体" w:hAnsi="宋体" w:cs="宋体" w:eastAsia="宋体" w:hint="default"/>
        </w:rPr>
        <w:t>5.52%</w:t>
      </w:r>
      <w:r>
        <w:rPr/>
        <w:t>，股份性质为非国有股，股权过户</w:t>
      </w:r>
      <w:r>
        <w:rPr>
          <w:spacing w:val="-85"/>
        </w:rPr>
        <w:t> </w:t>
      </w:r>
      <w:r>
        <w:rPr>
          <w:spacing w:val="-85"/>
        </w:rPr>
      </w:r>
      <w:r>
        <w:rPr/>
        <w:t>已于</w:t>
      </w:r>
      <w:r>
        <w:rPr>
          <w:rFonts w:ascii="宋体" w:hAnsi="宋体" w:cs="宋体" w:eastAsia="宋体" w:hint="default"/>
        </w:rPr>
        <w:t>2006</w:t>
      </w:r>
      <w:r>
        <w:rPr/>
        <w:t>年</w:t>
      </w:r>
      <w:r>
        <w:rPr>
          <w:rFonts w:ascii="宋体" w:hAnsi="宋体" w:cs="宋体" w:eastAsia="宋体" w:hint="default"/>
        </w:rPr>
        <w:t>6</w:t>
      </w:r>
      <w:r>
        <w:rPr/>
        <w:t>月</w:t>
      </w:r>
      <w:r>
        <w:rPr>
          <w:rFonts w:ascii="宋体" w:hAnsi="宋体" w:cs="宋体" w:eastAsia="宋体" w:hint="default"/>
        </w:rPr>
        <w:t>20</w:t>
      </w:r>
      <w:r>
        <w:rPr/>
        <w:t>日完成。</w:t>
      </w:r>
    </w:p>
    <w:p>
      <w:pPr>
        <w:pStyle w:val="BodyText"/>
        <w:spacing w:line="357" w:lineRule="auto"/>
        <w:ind w:right="230" w:firstLine="425"/>
        <w:jc w:val="both"/>
      </w:pPr>
      <w:r>
        <w:rPr>
          <w:rFonts w:ascii="宋体" w:hAnsi="宋体" w:cs="宋体" w:eastAsia="宋体" w:hint="default"/>
        </w:rPr>
        <w:t>2005</w:t>
      </w:r>
      <w:r>
        <w:rPr>
          <w:rFonts w:ascii="宋体" w:hAnsi="宋体" w:cs="宋体" w:eastAsia="宋体" w:hint="default"/>
          <w:spacing w:val="-95"/>
        </w:rPr>
        <w:t> </w:t>
      </w:r>
      <w:r>
        <w:rPr/>
        <w:t>年</w:t>
      </w:r>
      <w:r>
        <w:rPr>
          <w:spacing w:val="-94"/>
        </w:rPr>
        <w:t> </w:t>
      </w:r>
      <w:r>
        <w:rPr>
          <w:rFonts w:ascii="宋体" w:hAnsi="宋体" w:cs="宋体" w:eastAsia="宋体" w:hint="default"/>
        </w:rPr>
        <w:t>12</w:t>
      </w:r>
      <w:r>
        <w:rPr>
          <w:rFonts w:ascii="宋体" w:hAnsi="宋体" w:cs="宋体" w:eastAsia="宋体" w:hint="default"/>
          <w:spacing w:val="-94"/>
        </w:rPr>
        <w:t> </w:t>
      </w:r>
      <w:r>
        <w:rPr/>
        <w:t>月</w:t>
      </w:r>
      <w:r>
        <w:rPr>
          <w:spacing w:val="-94"/>
        </w:rPr>
        <w:t> </w:t>
      </w:r>
      <w:r>
        <w:rPr>
          <w:rFonts w:ascii="宋体" w:hAnsi="宋体" w:cs="宋体" w:eastAsia="宋体" w:hint="default"/>
        </w:rPr>
        <w:t>27</w:t>
      </w:r>
      <w:r>
        <w:rPr>
          <w:rFonts w:ascii="宋体" w:hAnsi="宋体" w:cs="宋体" w:eastAsia="宋体" w:hint="default"/>
          <w:spacing w:val="-91"/>
        </w:rPr>
        <w:t> </w:t>
      </w:r>
      <w:r>
        <w:rPr>
          <w:spacing w:val="11"/>
        </w:rPr>
        <w:t>日，</w:t>
      </w:r>
      <w:r>
        <w:rPr>
          <w:spacing w:val="-95"/>
        </w:rPr>
        <w:t> </w:t>
      </w:r>
      <w:r>
        <w:rPr>
          <w:spacing w:val="22"/>
        </w:rPr>
        <w:t>国务院国有资产监督管理委员会向贵州省国资委下发国资产权</w:t>
      </w:r>
      <w:r>
        <w:rPr/>
        <w:t> </w:t>
      </w:r>
      <w:r>
        <w:rPr>
          <w:rFonts w:ascii="宋体" w:hAnsi="宋体" w:cs="宋体" w:eastAsia="宋体" w:hint="default"/>
        </w:rPr>
        <w:t>[2005]1577</w:t>
      </w:r>
      <w:r>
        <w:rPr/>
        <w:t>号文“关于大唐高鸿数据网络技术股份有限公司国有股划转有关问题的批复”，</w:t>
      </w:r>
      <w:r>
        <w:rPr>
          <w:spacing w:val="-84"/>
        </w:rPr>
        <w:t> </w:t>
      </w:r>
      <w:r>
        <w:rPr>
          <w:spacing w:val="-84"/>
        </w:rPr>
      </w:r>
      <w:r>
        <w:rPr>
          <w:spacing w:val="3"/>
        </w:rPr>
        <w:t>同意将原贵州省国有资产管理局持有的上市公司国家股</w:t>
      </w:r>
      <w:r>
        <w:rPr>
          <w:rFonts w:ascii="宋体" w:hAnsi="宋体" w:cs="宋体" w:eastAsia="宋体" w:hint="default"/>
          <w:spacing w:val="3"/>
        </w:rPr>
        <w:t>1,241.5</w:t>
      </w:r>
      <w:r>
        <w:rPr>
          <w:spacing w:val="3"/>
        </w:rPr>
        <w:t>万股划转给贵州省金茂国有</w:t>
      </w:r>
      <w:r>
        <w:rPr>
          <w:spacing w:val="-114"/>
        </w:rPr>
        <w:t> </w:t>
      </w:r>
      <w:r>
        <w:rPr>
          <w:spacing w:val="-114"/>
        </w:rPr>
      </w:r>
      <w:r>
        <w:rPr/>
        <w:t>资产经营有限责任公司，股份性质为国家股，股权过户已于</w:t>
      </w:r>
      <w:r>
        <w:rPr>
          <w:rFonts w:ascii="宋体" w:hAnsi="宋体" w:cs="宋体" w:eastAsia="宋体" w:hint="default"/>
        </w:rPr>
        <w:t>2006</w:t>
      </w:r>
      <w:r>
        <w:rPr/>
        <w:t>年</w:t>
      </w:r>
      <w:r>
        <w:rPr>
          <w:rFonts w:ascii="宋体" w:hAnsi="宋体" w:cs="宋体" w:eastAsia="宋体" w:hint="default"/>
        </w:rPr>
        <w:t>6</w:t>
      </w:r>
      <w:r>
        <w:rPr/>
        <w:t>月</w:t>
      </w:r>
      <w:r>
        <w:rPr>
          <w:rFonts w:ascii="宋体" w:hAnsi="宋体" w:cs="宋体" w:eastAsia="宋体" w:hint="default"/>
        </w:rPr>
        <w:t>19</w:t>
      </w:r>
      <w:r>
        <w:rPr/>
        <w:t>日完成。</w:t>
      </w:r>
    </w:p>
    <w:p>
      <w:pPr>
        <w:pStyle w:val="BodyText"/>
        <w:spacing w:line="357" w:lineRule="auto"/>
        <w:ind w:right="228" w:firstLine="425"/>
        <w:jc w:val="both"/>
      </w:pPr>
      <w:r>
        <w:rPr>
          <w:rFonts w:ascii="宋体" w:hAnsi="宋体" w:cs="宋体" w:eastAsia="宋体" w:hint="default"/>
          <w:spacing w:val="2"/>
        </w:rPr>
        <w:t>2005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日，电信院与贵州省金茂国有资产经营有限责任公司（以下简称“贵州金 </w:t>
      </w:r>
      <w:r>
        <w:rPr>
          <w:spacing w:val="-2"/>
        </w:rPr>
        <w:t>茂”）签定了股权转让协议，收购划转到贵州金茂名下的本公司国家股</w:t>
      </w:r>
      <w:r>
        <w:rPr>
          <w:rFonts w:ascii="宋体" w:hAnsi="宋体" w:cs="宋体" w:eastAsia="宋体" w:hint="default"/>
          <w:spacing w:val="-2"/>
        </w:rPr>
        <w:t>1,241.5</w:t>
      </w:r>
      <w:r>
        <w:rPr>
          <w:spacing w:val="-2"/>
        </w:rPr>
        <w:t>万股，有关股</w:t>
      </w:r>
      <w:r>
        <w:rPr>
          <w:spacing w:val="-112"/>
        </w:rPr>
        <w:t> </w:t>
      </w:r>
      <w:r>
        <w:rPr>
          <w:spacing w:val="-112"/>
        </w:rPr>
      </w:r>
      <w:r>
        <w:rPr/>
        <w:t>权转让审批手续已经贵州省人民政府（黔府函</w:t>
      </w:r>
      <w:r>
        <w:rPr>
          <w:rFonts w:ascii="宋体" w:hAnsi="宋体" w:cs="宋体" w:eastAsia="宋体" w:hint="default"/>
        </w:rPr>
        <w:t>[2006]27</w:t>
      </w:r>
      <w:r>
        <w:rPr/>
        <w:t>号）《省人民政府关于将贵州省金茂</w:t>
      </w:r>
      <w:r>
        <w:rPr>
          <w:spacing w:val="-90"/>
        </w:rPr>
        <w:t> </w:t>
      </w:r>
      <w:r>
        <w:rPr>
          <w:spacing w:val="-90"/>
        </w:rPr>
      </w:r>
      <w:r>
        <w:rPr/>
        <w:t>国有资产经营有限责任公司所持有大唐高鸿数据网络技术股份有限公司国有股转让电信科学</w:t>
      </w:r>
      <w:r>
        <w:rPr>
          <w:spacing w:val="-91"/>
        </w:rPr>
        <w:t> </w:t>
      </w:r>
      <w:r>
        <w:rPr>
          <w:spacing w:val="-91"/>
        </w:rPr>
      </w:r>
      <w:r>
        <w:rPr>
          <w:spacing w:val="-2"/>
        </w:rPr>
        <w:t>技术研究院持有的批复》和国务院国有资产监督管理委员会（国资产权</w:t>
      </w:r>
      <w:r>
        <w:rPr>
          <w:rFonts w:ascii="宋体" w:hAnsi="宋体" w:cs="宋体" w:eastAsia="宋体" w:hint="default"/>
          <w:spacing w:val="-2"/>
        </w:rPr>
        <w:t>[2006]415</w:t>
      </w:r>
      <w:r>
        <w:rPr>
          <w:spacing w:val="-2"/>
        </w:rPr>
        <w:t>号文）《关</w:t>
      </w:r>
      <w:r>
        <w:rPr>
          <w:spacing w:val="-110"/>
        </w:rPr>
        <w:t> </w:t>
      </w:r>
      <w:r>
        <w:rPr>
          <w:spacing w:val="-110"/>
        </w:rPr>
      </w:r>
      <w:r>
        <w:rPr/>
        <w:t>于大唐高鸿数据网络技术股份有限公司国有股转让有关问题的批复》批准。本次转让完成后</w:t>
      </w:r>
      <w:r>
        <w:rPr>
          <w:spacing w:val="-91"/>
        </w:rPr>
        <w:t> </w:t>
      </w:r>
      <w:r>
        <w:rPr>
          <w:spacing w:val="-91"/>
        </w:rPr>
      </w:r>
      <w:r>
        <w:rPr/>
        <w:t>电信院持有本公司</w:t>
      </w:r>
      <w:r>
        <w:rPr>
          <w:rFonts w:ascii="宋体" w:hAnsi="宋体" w:cs="宋体" w:eastAsia="宋体" w:hint="default"/>
        </w:rPr>
        <w:t>5,282,8491</w:t>
      </w:r>
      <w:r>
        <w:rPr/>
        <w:t>万股，占总股本的</w:t>
      </w:r>
      <w:r>
        <w:rPr>
          <w:rFonts w:ascii="宋体" w:hAnsi="宋体" w:cs="宋体" w:eastAsia="宋体" w:hint="default"/>
        </w:rPr>
        <w:t>23.49%</w:t>
      </w:r>
      <w:r>
        <w:rPr/>
        <w:t>。</w:t>
      </w:r>
    </w:p>
    <w:p>
      <w:pPr>
        <w:pStyle w:val="BodyText"/>
        <w:spacing w:line="357" w:lineRule="auto"/>
        <w:ind w:right="230" w:firstLine="425"/>
        <w:jc w:val="both"/>
      </w:pPr>
      <w:r>
        <w:rPr>
          <w:rFonts w:ascii="宋体" w:hAnsi="宋体" w:cs="宋体" w:eastAsia="宋体" w:hint="default"/>
        </w:rPr>
        <w:t>2006</w:t>
      </w:r>
      <w:r>
        <w:rPr/>
        <w:t>年公司实施了股权分置改革方案，公司流通股股东每持有</w:t>
      </w:r>
      <w:r>
        <w:rPr>
          <w:rFonts w:ascii="宋体" w:hAnsi="宋体" w:cs="宋体" w:eastAsia="宋体" w:hint="default"/>
        </w:rPr>
        <w:t>10</w:t>
      </w:r>
      <w:r>
        <w:rPr/>
        <w:t>股流通股获得原非流通 股股东支付的</w:t>
      </w:r>
      <w:r>
        <w:rPr>
          <w:rFonts w:ascii="宋体" w:hAnsi="宋体" w:cs="宋体" w:eastAsia="宋体" w:hint="default"/>
        </w:rPr>
        <w:t>3</w:t>
      </w:r>
      <w:r>
        <w:rPr/>
        <w:t>股对价股份，公司的股份总数未发生变动，股份结构发生了变化。</w:t>
      </w:r>
      <w:r>
        <w:rPr>
          <w:rFonts w:ascii="宋体" w:hAnsi="宋体" w:cs="宋体" w:eastAsia="宋体" w:hint="default"/>
        </w:rPr>
        <w:t>2006</w:t>
      </w:r>
      <w:r>
        <w:rPr/>
        <w:t>年</w:t>
      </w:r>
      <w:r>
        <w:rPr>
          <w:rFonts w:ascii="宋体" w:hAnsi="宋体" w:cs="宋体" w:eastAsia="宋体" w:hint="default"/>
        </w:rPr>
        <w:t>6</w:t>
      </w:r>
      <w:r>
        <w:rPr/>
        <w:t>月</w:t>
      </w:r>
      <w:r>
        <w:rPr>
          <w:spacing w:val="-84"/>
        </w:rPr>
        <w:t> </w:t>
      </w:r>
      <w:r>
        <w:rPr>
          <w:rFonts w:ascii="宋体" w:hAnsi="宋体" w:cs="宋体" w:eastAsia="宋体" w:hint="default"/>
        </w:rPr>
        <w:t>30</w:t>
      </w:r>
      <w:r>
        <w:rPr/>
        <w:t>日，公司股权分置改革方案实施完毕。</w:t>
      </w:r>
    </w:p>
    <w:p>
      <w:pPr>
        <w:pStyle w:val="BodyText"/>
        <w:spacing w:line="357" w:lineRule="auto"/>
        <w:ind w:right="111" w:firstLine="425"/>
        <w:jc w:val="both"/>
      </w:pPr>
      <w:r>
        <w:rPr/>
        <w:t>经公司</w:t>
      </w:r>
      <w:r>
        <w:rPr>
          <w:rFonts w:ascii="宋体" w:hAnsi="宋体" w:cs="宋体" w:eastAsia="宋体" w:hint="default"/>
        </w:rPr>
        <w:t>2006</w:t>
      </w:r>
      <w:r>
        <w:rPr/>
        <w:t>年第五次临时股东大会批准及中国证券监督管理委员会《关于核准大唐高鸿 数据网络技术股份有限公司非公开发行股票的通知》（证监发行字</w:t>
      </w:r>
      <w:r>
        <w:rPr>
          <w:rFonts w:ascii="宋体" w:hAnsi="宋体" w:cs="宋体" w:eastAsia="宋体" w:hint="default"/>
        </w:rPr>
        <w:t>[2007]41</w:t>
      </w:r>
      <w:r>
        <w:rPr/>
        <w:t>号文）核准，公</w:t>
      </w:r>
      <w:r>
        <w:rPr>
          <w:spacing w:val="-89"/>
        </w:rPr>
        <w:t> </w:t>
      </w:r>
      <w:r>
        <w:rPr>
          <w:spacing w:val="-89"/>
        </w:rPr>
      </w:r>
      <w:r>
        <w:rPr/>
        <w:t>司于</w:t>
      </w:r>
      <w:r>
        <w:rPr>
          <w:rFonts w:ascii="宋体" w:hAnsi="宋体" w:cs="宋体" w:eastAsia="宋体" w:hint="default"/>
        </w:rPr>
        <w:t>2007</w:t>
      </w:r>
      <w:r>
        <w:rPr/>
        <w:t>年</w:t>
      </w:r>
      <w:r>
        <w:rPr>
          <w:rFonts w:ascii="宋体" w:hAnsi="宋体" w:cs="宋体" w:eastAsia="宋体" w:hint="default"/>
        </w:rPr>
        <w:t>3</w:t>
      </w:r>
      <w:r>
        <w:rPr/>
        <w:t>月</w:t>
      </w:r>
      <w:r>
        <w:rPr>
          <w:rFonts w:ascii="宋体" w:hAnsi="宋体" w:cs="宋体" w:eastAsia="宋体" w:hint="default"/>
        </w:rPr>
        <w:t>1</w:t>
      </w:r>
      <w:r>
        <w:rPr/>
        <w:t>日至</w:t>
      </w:r>
      <w:r>
        <w:rPr>
          <w:rFonts w:ascii="宋体" w:hAnsi="宋体" w:cs="宋体" w:eastAsia="宋体" w:hint="default"/>
        </w:rPr>
        <w:t>3</w:t>
      </w:r>
      <w:r>
        <w:rPr/>
        <w:t>月</w:t>
      </w:r>
      <w:r>
        <w:rPr>
          <w:rFonts w:ascii="宋体" w:hAnsi="宋体" w:cs="宋体" w:eastAsia="宋体" w:hint="default"/>
        </w:rPr>
        <w:t>9</w:t>
      </w:r>
      <w:r>
        <w:rPr/>
        <w:t>日以非公开发行的方式向</w:t>
      </w:r>
      <w:r>
        <w:rPr>
          <w:rFonts w:ascii="宋体" w:hAnsi="宋体" w:cs="宋体" w:eastAsia="宋体" w:hint="default"/>
        </w:rPr>
        <w:t>10</w:t>
      </w:r>
      <w:r>
        <w:rPr/>
        <w:t>名特定投资者发行了</w:t>
      </w:r>
      <w:r>
        <w:rPr>
          <w:rFonts w:ascii="宋体" w:hAnsi="宋体" w:cs="宋体" w:eastAsia="宋体" w:hint="default"/>
        </w:rPr>
        <w:t>3,500</w:t>
      </w:r>
      <w:r>
        <w:rPr/>
        <w:t>万股股份，发 </w:t>
      </w:r>
      <w:r>
        <w:rPr>
          <w:spacing w:val="-2"/>
        </w:rPr>
        <w:t>行价格为</w:t>
      </w:r>
      <w:r>
        <w:rPr>
          <w:rFonts w:ascii="宋体" w:hAnsi="宋体" w:cs="宋体" w:eastAsia="宋体" w:hint="default"/>
          <w:spacing w:val="-2"/>
        </w:rPr>
        <w:t>6.80</w:t>
      </w:r>
      <w:r>
        <w:rPr>
          <w:spacing w:val="-2"/>
        </w:rPr>
        <w:t>元</w:t>
      </w:r>
      <w:r>
        <w:rPr>
          <w:rFonts w:ascii="宋体" w:hAnsi="宋体" w:cs="宋体" w:eastAsia="宋体" w:hint="default"/>
          <w:spacing w:val="-2"/>
        </w:rPr>
        <w:t>/</w:t>
      </w:r>
      <w:r>
        <w:rPr>
          <w:spacing w:val="-2"/>
        </w:rPr>
        <w:t>股，并申请增加注册资本</w:t>
      </w:r>
      <w:r>
        <w:rPr>
          <w:rFonts w:ascii="宋体" w:hAnsi="宋体" w:cs="宋体" w:eastAsia="宋体" w:hint="default"/>
          <w:spacing w:val="-2"/>
        </w:rPr>
        <w:t>3,500</w:t>
      </w:r>
      <w:r>
        <w:rPr>
          <w:spacing w:val="-2"/>
        </w:rPr>
        <w:t>万元，变更后注册资本为人民币</w:t>
      </w:r>
      <w:r>
        <w:rPr>
          <w:rFonts w:ascii="宋体" w:hAnsi="宋体" w:cs="宋体" w:eastAsia="宋体" w:hint="default"/>
          <w:spacing w:val="-2"/>
        </w:rPr>
        <w:t>25,990</w:t>
      </w:r>
      <w:r>
        <w:rPr>
          <w:spacing w:val="-2"/>
        </w:rPr>
        <w:t>万元。</w:t>
      </w:r>
    </w:p>
    <w:p>
      <w:pPr>
        <w:pStyle w:val="BodyText"/>
        <w:spacing w:line="240" w:lineRule="auto"/>
        <w:ind w:left="578" w:right="96"/>
        <w:jc w:val="left"/>
      </w:pP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30</w:t>
      </w:r>
      <w:r>
        <w:rPr/>
        <w:t>日，经公司</w:t>
      </w:r>
      <w:r>
        <w:rPr>
          <w:rFonts w:ascii="宋体" w:hAnsi="宋体" w:cs="宋体" w:eastAsia="宋体" w:hint="default"/>
        </w:rPr>
        <w:t>2009</w:t>
      </w:r>
      <w:r>
        <w:rPr/>
        <w:t>年度第四次临时股东大会决议及中国证券监督管理委员会</w:t>
      </w:r>
    </w:p>
    <w:p>
      <w:pPr>
        <w:pStyle w:val="BodyText"/>
        <w:spacing w:line="357" w:lineRule="auto" w:before="154"/>
        <w:ind w:right="228"/>
        <w:jc w:val="both"/>
      </w:pPr>
      <w:r>
        <w:rPr/>
        <w:t>《</w:t>
      </w:r>
      <w:r>
        <w:rPr>
          <w:spacing w:val="-90"/>
        </w:rPr>
        <w:t> </w:t>
      </w:r>
      <w:r>
        <w:rPr>
          <w:spacing w:val="19"/>
        </w:rPr>
        <w:t>关于核准大唐高鸿数据网络技术股份有限公司非公开发行股票的批复》（证监许可</w:t>
      </w:r>
      <w:r>
        <w:rPr>
          <w:spacing w:val="-103"/>
        </w:rPr>
        <w:t> </w:t>
      </w:r>
      <w:r>
        <w:rPr>
          <w:spacing w:val="-103"/>
        </w:rPr>
      </w:r>
      <w:r>
        <w:rPr>
          <w:rFonts w:ascii="宋体" w:hAnsi="宋体" w:cs="宋体" w:eastAsia="宋体" w:hint="default"/>
        </w:rPr>
        <w:t>[2009]1168</w:t>
      </w:r>
      <w:r>
        <w:rPr/>
        <w:t>号）的核准，公司采取非公开发行股票方式向电信科学技术研究院及其他八家投</w:t>
      </w:r>
      <w:r>
        <w:rPr>
          <w:spacing w:val="-89"/>
        </w:rPr>
        <w:t> </w:t>
      </w:r>
      <w:r>
        <w:rPr>
          <w:spacing w:val="-89"/>
        </w:rPr>
      </w:r>
      <w:r>
        <w:rPr>
          <w:spacing w:val="-2"/>
        </w:rPr>
        <w:t>资者发行股份</w:t>
      </w:r>
      <w:r>
        <w:rPr>
          <w:rFonts w:ascii="宋体" w:hAnsi="宋体" w:cs="宋体" w:eastAsia="宋体" w:hint="default"/>
          <w:spacing w:val="-2"/>
        </w:rPr>
        <w:t>7,300</w:t>
      </w:r>
      <w:r>
        <w:rPr>
          <w:spacing w:val="-2"/>
        </w:rPr>
        <w:t>万股，发行价格为</w:t>
      </w:r>
      <w:r>
        <w:rPr>
          <w:rFonts w:ascii="宋体" w:hAnsi="宋体" w:cs="宋体" w:eastAsia="宋体" w:hint="default"/>
          <w:spacing w:val="-2"/>
        </w:rPr>
        <w:t>6.70</w:t>
      </w:r>
      <w:r>
        <w:rPr>
          <w:spacing w:val="-2"/>
        </w:rPr>
        <w:t>元</w:t>
      </w:r>
      <w:r>
        <w:rPr>
          <w:rFonts w:ascii="宋体" w:hAnsi="宋体" w:cs="宋体" w:eastAsia="宋体" w:hint="default"/>
          <w:spacing w:val="-2"/>
        </w:rPr>
        <w:t>/</w:t>
      </w:r>
      <w:r>
        <w:rPr>
          <w:spacing w:val="-2"/>
        </w:rPr>
        <w:t>股，并申请增加注册资本人民币</w:t>
      </w:r>
      <w:r>
        <w:rPr>
          <w:rFonts w:ascii="宋体" w:hAnsi="宋体" w:cs="宋体" w:eastAsia="宋体" w:hint="default"/>
          <w:spacing w:val="-2"/>
        </w:rPr>
        <w:t>7,300</w:t>
      </w:r>
      <w:r>
        <w:rPr>
          <w:spacing w:val="-2"/>
        </w:rPr>
        <w:t>万元，变</w:t>
      </w:r>
      <w:r>
        <w:rPr>
          <w:spacing w:val="-105"/>
        </w:rPr>
        <w:t> </w:t>
      </w:r>
      <w:r>
        <w:rPr>
          <w:spacing w:val="-105"/>
        </w:rPr>
      </w:r>
      <w:r>
        <w:rPr/>
        <w:t>更后的注册资本为人民币</w:t>
      </w:r>
      <w:r>
        <w:rPr>
          <w:rFonts w:ascii="宋体" w:hAnsi="宋体" w:cs="宋体" w:eastAsia="宋体" w:hint="default"/>
        </w:rPr>
        <w:t>33,290</w:t>
      </w:r>
      <w:r>
        <w:rPr/>
        <w:t>万元。</w:t>
      </w:r>
    </w:p>
    <w:p>
      <w:pPr>
        <w:pStyle w:val="BodyText"/>
        <w:spacing w:line="357" w:lineRule="auto"/>
        <w:ind w:right="231" w:firstLine="425"/>
        <w:jc w:val="both"/>
      </w:pPr>
      <w:r>
        <w:rPr/>
        <w:t>根据公司</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23</w:t>
      </w:r>
      <w:r>
        <w:rPr/>
        <w:t>日修改后的章程、</w:t>
      </w:r>
      <w:r>
        <w:rPr>
          <w:rFonts w:ascii="宋体" w:hAnsi="宋体" w:cs="宋体" w:eastAsia="宋体" w:hint="default"/>
        </w:rPr>
        <w:t>2011</w:t>
      </w:r>
      <w:r>
        <w:rPr/>
        <w:t>年第三次临时股东大会、</w:t>
      </w:r>
      <w:r>
        <w:rPr>
          <w:rFonts w:ascii="宋体" w:hAnsi="宋体" w:cs="宋体" w:eastAsia="宋体" w:hint="default"/>
        </w:rPr>
        <w:t>2012</w:t>
      </w:r>
      <w:r>
        <w:rPr/>
        <w:t>年第二次临</w:t>
      </w:r>
      <w:r>
        <w:rPr>
          <w:spacing w:val="2"/>
        </w:rPr>
        <w:t> </w:t>
      </w:r>
      <w:r>
        <w:rPr>
          <w:spacing w:val="-2"/>
        </w:rPr>
        <w:t>时股东大会和中国证券监督管理委员会证监许可</w:t>
      </w:r>
      <w:r>
        <w:rPr>
          <w:rFonts w:ascii="宋体" w:hAnsi="宋体" w:cs="宋体" w:eastAsia="宋体" w:hint="default"/>
          <w:spacing w:val="-2"/>
        </w:rPr>
        <w:t>[2012]690</w:t>
      </w:r>
      <w:r>
        <w:rPr>
          <w:spacing w:val="-2"/>
        </w:rPr>
        <w:t>号文《关于核准大唐高鸿数据网络</w:t>
      </w:r>
    </w:p>
    <w:p>
      <w:pPr>
        <w:spacing w:after="0" w:line="357" w:lineRule="auto"/>
        <w:jc w:val="both"/>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233"/>
        <w:jc w:val="both"/>
      </w:pPr>
      <w:r>
        <w:rPr/>
        <w:t>技术股份有限公司非公开发行股票的批复》，公司采用向特定投资者非公开（以下简称“网</w:t>
      </w:r>
      <w:r>
        <w:rPr>
          <w:spacing w:val="-86"/>
        </w:rPr>
        <w:t> </w:t>
      </w:r>
      <w:r>
        <w:rPr>
          <w:spacing w:val="-86"/>
        </w:rPr>
      </w:r>
      <w:r>
        <w:rPr/>
        <w:t>下发行”）的方式发行</w:t>
      </w:r>
      <w:r>
        <w:rPr>
          <w:rFonts w:ascii="宋体" w:hAnsi="宋体" w:cs="宋体" w:eastAsia="宋体" w:hint="default"/>
        </w:rPr>
        <w:t>18,304</w:t>
      </w:r>
      <w:r>
        <w:rPr/>
        <w:t>万股人民币普通股（</w:t>
      </w:r>
      <w:r>
        <w:rPr>
          <w:rFonts w:ascii="宋体" w:hAnsi="宋体" w:cs="宋体" w:eastAsia="宋体" w:hint="default"/>
        </w:rPr>
        <w:t>A</w:t>
      </w:r>
      <w:r>
        <w:rPr/>
        <w:t>股），每股面值人民币</w:t>
      </w:r>
      <w:r>
        <w:rPr>
          <w:rFonts w:ascii="宋体" w:hAnsi="宋体" w:cs="宋体" w:eastAsia="宋体" w:hint="default"/>
        </w:rPr>
        <w:t>1</w:t>
      </w:r>
      <w:r>
        <w:rPr/>
        <w:t>元，每股发行价</w:t>
      </w:r>
      <w:r>
        <w:rPr>
          <w:spacing w:val="-89"/>
        </w:rPr>
        <w:t> </w:t>
      </w:r>
      <w:r>
        <w:rPr>
          <w:spacing w:val="-89"/>
        </w:rPr>
      </w:r>
      <w:r>
        <w:rPr/>
        <w:t>格为人民币</w:t>
      </w:r>
      <w:r>
        <w:rPr>
          <w:rFonts w:ascii="宋体" w:hAnsi="宋体" w:cs="宋体" w:eastAsia="宋体" w:hint="default"/>
        </w:rPr>
        <w:t>6.12</w:t>
      </w:r>
      <w:r>
        <w:rPr/>
        <w:t>元。公司本次发行后的注册资本为人民币</w:t>
      </w:r>
      <w:r>
        <w:rPr>
          <w:rFonts w:ascii="宋体" w:hAnsi="宋体" w:cs="宋体" w:eastAsia="宋体" w:hint="default"/>
        </w:rPr>
        <w:t>51,594</w:t>
      </w:r>
      <w:r>
        <w:rPr/>
        <w:t>万元。</w:t>
      </w:r>
    </w:p>
    <w:p>
      <w:pPr>
        <w:pStyle w:val="BodyText"/>
        <w:spacing w:line="357" w:lineRule="auto"/>
        <w:ind w:left="578" w:right="232"/>
        <w:jc w:val="left"/>
      </w:pPr>
      <w:r>
        <w:rPr/>
        <w:t>截至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51,594</w:t>
      </w:r>
      <w:r>
        <w:rPr/>
        <w:t>万股，详见附注五（二十九）。 </w:t>
      </w:r>
      <w:r>
        <w:rPr>
          <w:spacing w:val="2"/>
        </w:rPr>
        <w:t>公司注册地址为：贵州省贵阳市花溪区磊花路口；管理总部地址位于北京市海淀区学院</w:t>
      </w:r>
    </w:p>
    <w:p>
      <w:pPr>
        <w:pStyle w:val="BodyText"/>
        <w:spacing w:line="357" w:lineRule="auto"/>
        <w:ind w:right="100"/>
        <w:jc w:val="left"/>
      </w:pPr>
      <w:r>
        <w:rPr>
          <w:spacing w:val="-2"/>
        </w:rPr>
        <w:t>路</w:t>
      </w:r>
      <w:r>
        <w:rPr>
          <w:rFonts w:ascii="宋体" w:hAnsi="宋体" w:cs="宋体" w:eastAsia="宋体" w:hint="default"/>
          <w:spacing w:val="-2"/>
        </w:rPr>
        <w:t>40</w:t>
      </w:r>
      <w:r>
        <w:rPr>
          <w:spacing w:val="-2"/>
        </w:rPr>
        <w:t>号大唐电信集团主楼</w:t>
      </w:r>
      <w:r>
        <w:rPr>
          <w:rFonts w:ascii="宋体" w:hAnsi="宋体" w:cs="宋体" w:eastAsia="宋体" w:hint="default"/>
          <w:spacing w:val="-2"/>
        </w:rPr>
        <w:t>11</w:t>
      </w:r>
      <w:r>
        <w:rPr>
          <w:spacing w:val="-2"/>
        </w:rPr>
        <w:t>层。公司及子公司主要从事通信交换设备研发、制造及销售业务、</w:t>
      </w:r>
      <w:r>
        <w:rPr>
          <w:spacing w:val="-116"/>
        </w:rPr>
        <w:t> </w:t>
      </w:r>
      <w:r>
        <w:rPr>
          <w:spacing w:val="-116"/>
        </w:rPr>
      </w:r>
      <w:r>
        <w:rPr/>
        <w:t>信息服务业务及</w:t>
      </w:r>
      <w:r>
        <w:rPr>
          <w:rFonts w:ascii="宋体" w:hAnsi="宋体" w:cs="宋体" w:eastAsia="宋体" w:hint="default"/>
        </w:rPr>
        <w:t>IT</w:t>
      </w:r>
      <w:r>
        <w:rPr/>
        <w:t>产品销售业务，属其他计算机应用服务业。</w:t>
      </w:r>
    </w:p>
    <w:p>
      <w:pPr>
        <w:pStyle w:val="BodyText"/>
        <w:spacing w:line="357" w:lineRule="auto"/>
        <w:ind w:right="228" w:firstLine="425"/>
        <w:jc w:val="both"/>
      </w:pPr>
      <w:r>
        <w:rPr>
          <w:spacing w:val="2"/>
        </w:rPr>
        <w:t>公司及子公司经营范围为：多业务宽带电信网络产品、通信器材、通信终端设备、仪器 </w:t>
      </w:r>
      <w:r>
        <w:rPr/>
        <w:t>仪表、电子计算机软硬件及外部设备、系统集成的技术开发、转让、咨询、服务及制造、销</w:t>
      </w:r>
      <w:r>
        <w:rPr>
          <w:spacing w:val="-91"/>
        </w:rPr>
        <w:t> </w:t>
      </w:r>
      <w:r>
        <w:rPr>
          <w:spacing w:val="-91"/>
        </w:rPr>
      </w:r>
      <w:r>
        <w:rPr/>
        <w:t>售；通信及信息系统工程设计；信息服务；自营和代理各类商品和技术的进出口，但国家限</w:t>
      </w:r>
      <w:r>
        <w:rPr>
          <w:spacing w:val="-91"/>
        </w:rPr>
        <w:t> </w:t>
      </w:r>
      <w:r>
        <w:rPr>
          <w:spacing w:val="-91"/>
        </w:rPr>
      </w:r>
      <w:r>
        <w:rPr/>
        <w:t>定公司经营或禁止进出口的商品和技术除外。</w:t>
      </w:r>
    </w:p>
    <w:p>
      <w:pPr>
        <w:pStyle w:val="BodyText"/>
        <w:spacing w:line="357" w:lineRule="auto"/>
        <w:ind w:right="235" w:firstLine="425"/>
        <w:jc w:val="both"/>
      </w:pPr>
      <w:r>
        <w:rPr>
          <w:spacing w:val="2"/>
        </w:rPr>
        <w:t>本公司的母公司和最终母公司为隶属于国务院国有资产监督管理委员会的电信科学技术</w:t>
      </w:r>
      <w:r>
        <w:rPr/>
        <w:t> 研究院。</w:t>
      </w:r>
    </w:p>
    <w:p>
      <w:pPr>
        <w:pStyle w:val="BodyText"/>
        <w:spacing w:line="357" w:lineRule="auto"/>
        <w:ind w:right="228" w:firstLine="425"/>
        <w:jc w:val="both"/>
      </w:pPr>
      <w:r>
        <w:rPr>
          <w:spacing w:val="2"/>
        </w:rPr>
        <w:t>公司设有股东大会、董事会和监事会等治理机构。公司下设总工程师办公室、审计部、 </w:t>
      </w:r>
      <w:r>
        <w:rPr/>
        <w:t>资产管理部、人力资源部、财务部、经营支撑部、产业发展部、贵阳管理部等部门。公司投</w:t>
      </w:r>
      <w:r>
        <w:rPr>
          <w:spacing w:val="-91"/>
        </w:rPr>
        <w:t> </w:t>
      </w:r>
      <w:r>
        <w:rPr>
          <w:spacing w:val="-91"/>
        </w:rPr>
      </w:r>
      <w:r>
        <w:rPr/>
        <w:t>资有北京大唐高鸿数据网络技术有限公司、北京大唐高鸿软件技术有限公司、大唐高鸿通信</w:t>
      </w:r>
      <w:r>
        <w:rPr>
          <w:spacing w:val="-91"/>
        </w:rPr>
        <w:t> </w:t>
      </w:r>
      <w:r>
        <w:rPr>
          <w:spacing w:val="-91"/>
        </w:rPr>
      </w:r>
      <w:r>
        <w:rPr/>
        <w:t>技术有限公司、北京大唐高鸿科技发展有限公司、北京大唐融合通信技术有限公司、大唐高</w:t>
      </w:r>
      <w:r>
        <w:rPr>
          <w:spacing w:val="-91"/>
        </w:rPr>
        <w:t> </w:t>
      </w:r>
      <w:r>
        <w:rPr>
          <w:spacing w:val="-91"/>
        </w:rPr>
      </w:r>
      <w:r>
        <w:rPr/>
        <w:t>鸿信息技术有限公司、大唐高鸿济宁电子信息技术有限公司、江苏高鸿鼎恒信息技术有限公</w:t>
      </w:r>
      <w:r>
        <w:rPr>
          <w:spacing w:val="-91"/>
        </w:rPr>
        <w:t> </w:t>
      </w:r>
      <w:r>
        <w:rPr>
          <w:spacing w:val="-91"/>
        </w:rPr>
      </w:r>
      <w:r>
        <w:rPr/>
        <w:t>司、贵州大唐高鸿电子信息技术有限公司以及北京高阳捷迅信息技术有限公司等十个主要的</w:t>
      </w:r>
      <w:r>
        <w:rPr>
          <w:spacing w:val="-87"/>
        </w:rPr>
        <w:t> </w:t>
      </w:r>
      <w:r>
        <w:rPr>
          <w:spacing w:val="-87"/>
        </w:rPr>
      </w:r>
      <w:r>
        <w:rPr/>
        <w:t>全资或控股子公司。</w:t>
      </w:r>
    </w:p>
    <w:p>
      <w:pPr>
        <w:pStyle w:val="BodyText"/>
        <w:spacing w:line="357" w:lineRule="auto"/>
        <w:ind w:right="104" w:firstLine="425"/>
        <w:jc w:val="left"/>
      </w:pPr>
      <w:r>
        <w:rPr/>
        <w:t>根据</w:t>
      </w: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4</w:t>
      </w:r>
      <w:r>
        <w:rPr/>
        <w:t>日公司</w:t>
      </w:r>
      <w:r>
        <w:rPr>
          <w:rFonts w:ascii="宋体" w:hAnsi="宋体" w:cs="宋体" w:eastAsia="宋体" w:hint="default"/>
        </w:rPr>
        <w:t>2013</w:t>
      </w:r>
      <w:r>
        <w:rPr/>
        <w:t>年第三次临时股东大会决议，公司以</w:t>
      </w:r>
      <w:r>
        <w:rPr>
          <w:rFonts w:ascii="宋体" w:hAnsi="宋体" w:cs="宋体" w:eastAsia="宋体" w:hint="default"/>
        </w:rPr>
        <w:t>1.69</w:t>
      </w:r>
      <w:r>
        <w:rPr/>
        <w:t>亿元收购北京高阳</w:t>
      </w:r>
      <w:r>
        <w:rPr>
          <w:spacing w:val="2"/>
        </w:rPr>
        <w:t> </w:t>
      </w:r>
      <w:r>
        <w:rPr>
          <w:spacing w:val="-2"/>
        </w:rPr>
        <w:t>捷迅信息技术有限公司</w:t>
      </w:r>
      <w:r>
        <w:rPr>
          <w:rFonts w:ascii="宋体" w:hAnsi="宋体" w:cs="宋体" w:eastAsia="宋体" w:hint="default"/>
          <w:spacing w:val="-2"/>
        </w:rPr>
        <w:t>26.406%</w:t>
      </w:r>
      <w:r>
        <w:rPr>
          <w:spacing w:val="-2"/>
        </w:rPr>
        <w:t>股权，同时对高阳捷迅进行</w:t>
      </w:r>
      <w:r>
        <w:rPr>
          <w:rFonts w:ascii="宋体" w:hAnsi="宋体" w:cs="宋体" w:eastAsia="宋体" w:hint="default"/>
          <w:spacing w:val="-2"/>
        </w:rPr>
        <w:t>1</w:t>
      </w:r>
      <w:r>
        <w:rPr>
          <w:spacing w:val="-2"/>
        </w:rPr>
        <w:t>亿元人民币的增资，增资完成后，</w:t>
      </w:r>
      <w:r>
        <w:rPr>
          <w:spacing w:val="-111"/>
        </w:rPr>
        <w:t> </w:t>
      </w:r>
      <w:r>
        <w:rPr>
          <w:spacing w:val="-111"/>
        </w:rPr>
      </w:r>
      <w:r>
        <w:rPr/>
        <w:t>公司持有高阳捷迅</w:t>
      </w:r>
      <w:r>
        <w:rPr>
          <w:rFonts w:ascii="宋体" w:hAnsi="宋体" w:cs="宋体" w:eastAsia="宋体" w:hint="default"/>
        </w:rPr>
        <w:t>36.351%</w:t>
      </w:r>
      <w:r>
        <w:rPr/>
        <w:t>股权，为高阳捷迅单一大股东，股权转让及增资事项于</w:t>
      </w:r>
      <w:r>
        <w:rPr>
          <w:rFonts w:ascii="宋体" w:hAnsi="宋体" w:cs="宋体" w:eastAsia="宋体" w:hint="default"/>
        </w:rPr>
        <w:t>2013</w:t>
      </w:r>
      <w:r>
        <w:rPr/>
        <w:t>年</w:t>
      </w:r>
      <w:r>
        <w:rPr>
          <w:rFonts w:ascii="宋体" w:hAnsi="宋体" w:cs="宋体" w:eastAsia="宋体" w:hint="default"/>
        </w:rPr>
        <w:t>7</w:t>
      </w:r>
      <w:r>
        <w:rPr/>
        <w:t>月</w:t>
      </w:r>
      <w:r>
        <w:rPr>
          <w:spacing w:val="-85"/>
        </w:rPr>
        <w:t> </w:t>
      </w:r>
      <w:r>
        <w:rPr>
          <w:rFonts w:ascii="宋体" w:hAnsi="宋体" w:cs="宋体" w:eastAsia="宋体" w:hint="default"/>
        </w:rPr>
        <w:t>26</w:t>
      </w:r>
      <w:r>
        <w:rPr/>
        <w:t>日完成工商登记变更。此次并购中，本公司共出资</w:t>
      </w:r>
      <w:r>
        <w:rPr>
          <w:rFonts w:ascii="宋体" w:hAnsi="宋体" w:cs="宋体" w:eastAsia="宋体" w:hint="default"/>
        </w:rPr>
        <w:t>2.69</w:t>
      </w:r>
      <w:r>
        <w:rPr/>
        <w:t>亿元。公司拟后续通过发行股份的</w:t>
      </w:r>
      <w:r>
        <w:rPr>
          <w:spacing w:val="-89"/>
        </w:rPr>
        <w:t> </w:t>
      </w:r>
      <w:r>
        <w:rPr>
          <w:spacing w:val="-89"/>
        </w:rPr>
      </w:r>
      <w:r>
        <w:rPr/>
        <w:t>方式收购高阳捷迅剩余</w:t>
      </w:r>
      <w:r>
        <w:rPr>
          <w:rFonts w:ascii="宋体" w:hAnsi="宋体" w:cs="宋体" w:eastAsia="宋体" w:hint="default"/>
        </w:rPr>
        <w:t>63.649%</w:t>
      </w:r>
      <w:r>
        <w:rPr/>
        <w:t>股权。</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r>
        <w:rPr/>
        <w:t>四、公司主要会计政策、会计估计和前期差错</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578" w:right="96"/>
        <w:jc w:val="left"/>
      </w:pPr>
      <w:r>
        <w:rPr/>
        <w:t>公司以持续经营为基础，根据实际发生的交易和事项，按照财政部于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日颁布</w:t>
      </w:r>
    </w:p>
    <w:p>
      <w:pPr>
        <w:spacing w:after="0" w:line="240"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98"/>
        <w:jc w:val="left"/>
      </w:pPr>
      <w:r>
        <w:rPr>
          <w:spacing w:val="-2"/>
        </w:rPr>
        <w:t>的《企业会计准则——基本准则》和</w:t>
      </w:r>
      <w:r>
        <w:rPr>
          <w:rFonts w:ascii="宋体" w:hAnsi="宋体" w:cs="宋体" w:eastAsia="宋体" w:hint="default"/>
          <w:spacing w:val="-2"/>
        </w:rPr>
        <w:t>38</w:t>
      </w:r>
      <w:r>
        <w:rPr>
          <w:spacing w:val="-2"/>
        </w:rPr>
        <w:t>项具体会计准则、其后颁布的企业会计准则应用指南、</w:t>
      </w:r>
      <w:r>
        <w:rPr>
          <w:spacing w:val="-117"/>
        </w:rPr>
        <w:t> </w:t>
      </w:r>
      <w:r>
        <w:rPr>
          <w:spacing w:val="-117"/>
        </w:rPr>
      </w:r>
      <w:r>
        <w:rPr/>
        <w:t>企业会计准则解释及其他相关规定</w:t>
      </w:r>
      <w:r>
        <w:rPr>
          <w:rFonts w:ascii="宋体" w:hAnsi="宋体" w:cs="宋体" w:eastAsia="宋体" w:hint="default"/>
        </w:rPr>
        <w:t>(</w:t>
      </w:r>
      <w:r>
        <w:rPr/>
        <w:t>以下合称“企业会计准则”</w:t>
      </w:r>
      <w:r>
        <w:rPr>
          <w:rFonts w:ascii="宋体" w:hAnsi="宋体" w:cs="宋体" w:eastAsia="宋体" w:hint="default"/>
        </w:rPr>
        <w:t>)</w:t>
      </w:r>
      <w:r>
        <w:rPr/>
        <w:t>、以及中国证券监督管理委</w:t>
      </w:r>
      <w:r>
        <w:rPr>
          <w:spacing w:val="-86"/>
        </w:rPr>
        <w:t> </w:t>
      </w:r>
      <w:r>
        <w:rPr>
          <w:spacing w:val="-86"/>
        </w:rPr>
      </w:r>
      <w:r>
        <w:rPr>
          <w:spacing w:val="-5"/>
        </w:rPr>
        <w:t>员会《公开发行证券的公司信息披露编报规则第</w:t>
      </w:r>
      <w:r>
        <w:rPr>
          <w:rFonts w:ascii="宋体" w:hAnsi="宋体" w:cs="宋体" w:eastAsia="宋体" w:hint="default"/>
          <w:spacing w:val="-5"/>
        </w:rPr>
        <w:t>15</w:t>
      </w:r>
      <w:r>
        <w:rPr>
          <w:spacing w:val="-5"/>
        </w:rPr>
        <w:t>号——财务报告的一般规定》</w:t>
      </w:r>
      <w:r>
        <w:rPr>
          <w:rFonts w:ascii="宋体" w:hAnsi="宋体" w:cs="宋体" w:eastAsia="宋体" w:hint="default"/>
          <w:spacing w:val="-5"/>
        </w:rPr>
        <w:t>(2010</w:t>
      </w:r>
      <w:r>
        <w:rPr>
          <w:spacing w:val="-5"/>
        </w:rPr>
        <w:t>年修订</w:t>
      </w:r>
      <w:r>
        <w:rPr>
          <w:rFonts w:ascii="宋体" w:hAnsi="宋体" w:cs="宋体" w:eastAsia="宋体" w:hint="default"/>
          <w:spacing w:val="-5"/>
        </w:rPr>
        <w:t>)</w:t>
      </w:r>
      <w:r>
        <w:rPr>
          <w:rFonts w:ascii="宋体" w:hAnsi="宋体" w:cs="宋体" w:eastAsia="宋体" w:hint="default"/>
          <w:spacing w:val="-96"/>
        </w:rPr>
        <w:t> </w:t>
      </w:r>
      <w:r>
        <w:rPr/>
        <w:t>的披露规定编制财务报表。</w:t>
      </w:r>
    </w:p>
    <w:p>
      <w:pPr>
        <w:pStyle w:val="BodyText"/>
        <w:spacing w:line="357" w:lineRule="auto"/>
        <w:ind w:right="108" w:firstLine="425"/>
        <w:jc w:val="left"/>
      </w:pPr>
      <w:r>
        <w:rPr>
          <w:spacing w:val="-1"/>
        </w:rPr>
        <w:t>根据企业会计准则的相关规定，公司会计核算以权责发生制为基础。除某些金融工具外，</w:t>
      </w:r>
      <w:r>
        <w:rPr/>
        <w:t> 本财务报表均以历史成本为计量基础。资产如果发生减值，则按照相关规定计提相应的减值</w:t>
      </w:r>
      <w:r>
        <w:rPr>
          <w:spacing w:val="-86"/>
        </w:rPr>
        <w:t> </w:t>
      </w:r>
      <w:r>
        <w:rPr>
          <w:spacing w:val="-86"/>
        </w:rPr>
      </w:r>
      <w:r>
        <w:rPr/>
        <w:t>准备。</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28" w:firstLine="425"/>
        <w:jc w:val="both"/>
      </w:pPr>
      <w:r>
        <w:rPr>
          <w:spacing w:val="2"/>
        </w:rPr>
        <w:t>公司所编制的财务报表符合企业会计准则的要求，真实、完整地反映了报告期公司的财 </w:t>
      </w:r>
      <w:r>
        <w:rPr/>
        <w:t>务状况、经营成果、现金流量等有关信息。此外，公司的财务报表在所有重大方面符合中国</w:t>
      </w:r>
      <w:r>
        <w:rPr>
          <w:spacing w:val="-91"/>
        </w:rPr>
        <w:t> </w:t>
      </w:r>
      <w:r>
        <w:rPr>
          <w:spacing w:val="-91"/>
        </w:rPr>
      </w:r>
      <w:r>
        <w:rPr/>
        <w:t>证券监督管理委员会</w:t>
      </w:r>
      <w:r>
        <w:rPr>
          <w:rFonts w:ascii="宋体" w:hAnsi="宋体" w:cs="宋体" w:eastAsia="宋体" w:hint="default"/>
        </w:rPr>
        <w:t>2010</w:t>
      </w:r>
      <w:r>
        <w:rPr/>
        <w:t>年修订的《公开发行证券的公司信息披露编报规则第</w:t>
      </w:r>
      <w:r>
        <w:rPr>
          <w:rFonts w:ascii="宋体" w:hAnsi="宋体" w:cs="宋体" w:eastAsia="宋体" w:hint="default"/>
        </w:rPr>
        <w:t>15</w:t>
      </w:r>
      <w:r>
        <w:rPr/>
        <w:t>号——财务</w:t>
      </w:r>
      <w:r>
        <w:rPr>
          <w:spacing w:val="-89"/>
        </w:rPr>
        <w:t> </w:t>
      </w:r>
      <w:r>
        <w:rPr/>
        <w:t>报告的一般规定》有关财务报表及其附注的披露要求。</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96" w:firstLine="425"/>
        <w:jc w:val="left"/>
      </w:pPr>
      <w:r>
        <w:rPr>
          <w:spacing w:val="2"/>
        </w:rPr>
        <w:t>公司的会计期间分为年度和中期，会计中期指短于一个完整的会计年度的报告期间。公 </w:t>
      </w:r>
      <w:r>
        <w:rPr/>
        <w:t>司会计年度采用公历年度，即每年自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1"/>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96" w:firstLine="420"/>
        <w:jc w:val="left"/>
        <w:rPr>
          <w:rFonts w:ascii="宋体" w:hAnsi="宋体" w:cs="宋体" w:eastAsia="宋体" w:hint="default"/>
          <w:sz w:val="21"/>
          <w:szCs w:val="21"/>
        </w:rPr>
      </w:pPr>
      <w:r>
        <w:rPr>
          <w:rFonts w:ascii="宋体" w:hAnsi="宋体" w:cs="宋体" w:eastAsia="宋体" w:hint="default"/>
          <w:spacing w:val="-2"/>
          <w:sz w:val="21"/>
          <w:szCs w:val="21"/>
        </w:rPr>
        <w:t>人民币为公司经营所处的主要经济环境中的货币，公司以人民币为记账本位币。公司编制财务报表时</w:t>
      </w:r>
      <w:r>
        <w:rPr>
          <w:rFonts w:ascii="宋体" w:hAnsi="宋体" w:cs="宋体" w:eastAsia="宋体" w:hint="default"/>
          <w:w w:val="100"/>
          <w:sz w:val="21"/>
          <w:szCs w:val="21"/>
        </w:rPr>
        <w:t> </w:t>
      </w:r>
      <w:r>
        <w:rPr>
          <w:rFonts w:ascii="宋体" w:hAnsi="宋体" w:cs="宋体" w:eastAsia="宋体" w:hint="default"/>
          <w:sz w:val="21"/>
          <w:szCs w:val="21"/>
        </w:rPr>
        <w:t>所采用的货币为人民币。</w:t>
      </w:r>
    </w:p>
    <w:p>
      <w:pPr>
        <w:spacing w:line="240" w:lineRule="auto" w:before="7"/>
        <w:rPr>
          <w:rFonts w:ascii="宋体" w:hAnsi="宋体" w:cs="宋体" w:eastAsia="宋体" w:hint="default"/>
          <w:sz w:val="23"/>
          <w:szCs w:val="23"/>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08" w:firstLine="425"/>
        <w:jc w:val="left"/>
      </w:pPr>
      <w:r>
        <w:rPr>
          <w:spacing w:val="-1"/>
        </w:rPr>
        <w:t>参与合并的企业在合并前后均受同一方或相同的多方最终控制，且该控制并非暂时性的，</w:t>
      </w:r>
      <w:r>
        <w:rPr/>
        <w:t> 为同一控制下的企业合并。同一控制下的企业合并，在合并日取得对其他参与合并企业控制</w:t>
      </w:r>
      <w:r>
        <w:rPr>
          <w:spacing w:val="-91"/>
        </w:rPr>
        <w:t> </w:t>
      </w:r>
      <w:r>
        <w:rPr>
          <w:spacing w:val="-91"/>
        </w:rPr>
      </w:r>
      <w:r>
        <w:rPr/>
        <w:t>权的一方为合并方，参与合并的其他企业为被合并方。合并日，是指合并方实际取得对被合</w:t>
      </w:r>
      <w:r>
        <w:rPr>
          <w:spacing w:val="-91"/>
        </w:rPr>
        <w:t> </w:t>
      </w:r>
      <w:r>
        <w:rPr>
          <w:spacing w:val="-91"/>
        </w:rPr>
      </w:r>
      <w:r>
        <w:rPr/>
        <w:t>并方控制权的日期。</w:t>
      </w:r>
    </w:p>
    <w:p>
      <w:pPr>
        <w:pStyle w:val="BodyText"/>
        <w:spacing w:line="357" w:lineRule="auto"/>
        <w:ind w:right="96" w:firstLine="425"/>
        <w:jc w:val="left"/>
      </w:pPr>
      <w:r>
        <w:rPr>
          <w:spacing w:val="2"/>
        </w:rPr>
        <w:t>合并方取得的资产和负债均按合并日在被合并方的账面价值计量。合并方取得的净资产 </w:t>
      </w:r>
      <w:r>
        <w:rPr/>
        <w:t>账面价值与支付的合并对价账面价值（或发行股份面值总额）的差额，调整资本公积（股本</w:t>
      </w:r>
    </w:p>
    <w:p>
      <w:pPr>
        <w:spacing w:after="0" w:line="357" w:lineRule="auto"/>
        <w:jc w:val="left"/>
        <w:sectPr>
          <w:footerReference w:type="default" r:id="rId21"/>
          <w:pgSz w:w="11910" w:h="16840"/>
          <w:pgMar w:footer="1186" w:header="745" w:top="1060" w:bottom="1380" w:left="980" w:right="900"/>
          <w:pgNumType w:start="104"/>
        </w:sectPr>
      </w:pPr>
    </w:p>
    <w:p>
      <w:pPr>
        <w:spacing w:line="240" w:lineRule="auto" w:before="6"/>
        <w:rPr>
          <w:rFonts w:ascii="宋体" w:hAnsi="宋体" w:cs="宋体" w:eastAsia="宋体" w:hint="default"/>
          <w:sz w:val="29"/>
          <w:szCs w:val="29"/>
        </w:rPr>
      </w:pPr>
    </w:p>
    <w:p>
      <w:pPr>
        <w:pStyle w:val="BodyText"/>
        <w:spacing w:line="357" w:lineRule="auto" w:before="26"/>
        <w:ind w:left="578" w:right="1908" w:hanging="426"/>
        <w:jc w:val="left"/>
      </w:pPr>
      <w:r>
        <w:rPr/>
        <w:t>溢价）；资本公积（股本溢价）不足以冲减的，调整留存收益。 合并方为进行企业合并发生的各项直接费用，于发生时计入当期损益。</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48" w:firstLine="425"/>
        <w:jc w:val="both"/>
      </w:pPr>
      <w:r>
        <w:rPr>
          <w:spacing w:val="2"/>
        </w:rPr>
        <w:t>参与合并的企业在合并前后不受同一方或相同的多方最终控制的，为非同一控制下的企 </w:t>
      </w:r>
      <w:r>
        <w:rPr/>
        <w:t>业合并。非同一控制下的企业合并，在购买日取得对其他参与合并企业控制权的一方为购买</w:t>
      </w:r>
      <w:r>
        <w:rPr>
          <w:spacing w:val="-91"/>
        </w:rPr>
        <w:t> </w:t>
      </w:r>
      <w:r>
        <w:rPr>
          <w:spacing w:val="-91"/>
        </w:rPr>
      </w:r>
      <w:r>
        <w:rPr/>
        <w:t>方，参与合并的其他企业为被购买方。购买日，是指为购买方实际取得对被购买方控制权的</w:t>
      </w:r>
      <w:r>
        <w:rPr>
          <w:spacing w:val="-91"/>
        </w:rPr>
        <w:t> </w:t>
      </w:r>
      <w:r>
        <w:rPr>
          <w:spacing w:val="-91"/>
        </w:rPr>
      </w:r>
      <w:r>
        <w:rPr/>
        <w:t>日期。</w:t>
      </w:r>
    </w:p>
    <w:p>
      <w:pPr>
        <w:pStyle w:val="BodyText"/>
        <w:spacing w:line="357" w:lineRule="auto"/>
        <w:ind w:right="154" w:firstLine="425"/>
        <w:jc w:val="both"/>
      </w:pPr>
      <w:r>
        <w:rPr>
          <w:spacing w:val="2"/>
        </w:rPr>
        <w:t>对于非同一控制下的企业合并，合并成本包含购买日购买方为取得对被购买方的控制权</w:t>
      </w:r>
      <w:r>
        <w:rPr/>
        <w:t> 而付出的资产、发生或承担的负债以及发行的权益性证券的公允价值，为企业合并发生的审</w:t>
      </w:r>
      <w:r>
        <w:rPr>
          <w:spacing w:val="-91"/>
        </w:rPr>
        <w:t> </w:t>
      </w:r>
      <w:r>
        <w:rPr>
          <w:spacing w:val="-91"/>
        </w:rPr>
      </w:r>
      <w:r>
        <w:rPr/>
        <w:t>计、法律服务、评估咨询等中介费用以及其他管理费用于发生时计入当期损益。购买方作为</w:t>
      </w:r>
      <w:r>
        <w:rPr>
          <w:spacing w:val="-91"/>
        </w:rPr>
        <w:t> </w:t>
      </w:r>
      <w:r>
        <w:rPr>
          <w:spacing w:val="-91"/>
        </w:rPr>
      </w:r>
      <w:r>
        <w:rPr/>
        <w:t>合并对价发行的权益性证券或债务性证券的交易费用，计入权益性证券或债务性证券的初始</w:t>
      </w:r>
      <w:r>
        <w:rPr>
          <w:spacing w:val="-91"/>
        </w:rPr>
        <w:t> </w:t>
      </w:r>
      <w:r>
        <w:rPr>
          <w:spacing w:val="-91"/>
        </w:rPr>
      </w:r>
      <w:r>
        <w:rPr/>
        <w:t>确认金额。对合并成本的调整很可能发生且能够可靠计量的，确认或有对价，其后续计量影</w:t>
      </w:r>
      <w:r>
        <w:rPr>
          <w:spacing w:val="-91"/>
        </w:rPr>
        <w:t> </w:t>
      </w:r>
      <w:r>
        <w:rPr>
          <w:spacing w:val="-91"/>
        </w:rPr>
      </w:r>
      <w:r>
        <w:rPr/>
        <w:t>响商誉。所涉及的或有对价按其在购买日的公允价值计入合并成本，购买日后</w:t>
      </w:r>
      <w:r>
        <w:rPr>
          <w:rFonts w:ascii="宋体" w:hAnsi="宋体" w:cs="宋体" w:eastAsia="宋体" w:hint="default"/>
        </w:rPr>
        <w:t>12</w:t>
      </w:r>
      <w:r>
        <w:rPr/>
        <w:t>个月内出现</w:t>
      </w:r>
      <w:r>
        <w:rPr>
          <w:spacing w:val="-86"/>
        </w:rPr>
        <w:t> </w:t>
      </w:r>
      <w:r>
        <w:rPr>
          <w:spacing w:val="-86"/>
        </w:rPr>
      </w:r>
      <w:r>
        <w:rPr/>
        <w:t>对购买日已存在情况的新的或进一步证据而需要调整或有对价的，相应调整合并商誉。</w:t>
      </w:r>
    </w:p>
    <w:p>
      <w:pPr>
        <w:pStyle w:val="BodyText"/>
        <w:spacing w:line="357" w:lineRule="auto"/>
        <w:ind w:right="148" w:firstLine="425"/>
        <w:jc w:val="both"/>
      </w:pPr>
      <w:r>
        <w:rPr>
          <w:spacing w:val="2"/>
        </w:rPr>
        <w:t>购买方发生的合并成本及在合并中取得的可辨认净资产按购买日的公允价值计量。合并 </w:t>
      </w:r>
      <w:r>
        <w:rPr/>
        <w:t>成本大于合并中取得的被购买方于购买日可辨认净资产公允价值份额的差额，确认为商誉。</w:t>
      </w:r>
      <w:r>
        <w:rPr>
          <w:spacing w:val="-91"/>
        </w:rPr>
        <w:t> </w:t>
      </w:r>
      <w:r>
        <w:rPr>
          <w:spacing w:val="-91"/>
        </w:rPr>
      </w:r>
      <w:r>
        <w:rPr/>
        <w:t>合并成本小于合并中取得的被购买方可辨认净资产公允价值份额的，首先对取得的被购买方</w:t>
      </w:r>
      <w:r>
        <w:rPr>
          <w:spacing w:val="-91"/>
        </w:rPr>
        <w:t> </w:t>
      </w:r>
      <w:r>
        <w:rPr>
          <w:spacing w:val="-91"/>
        </w:rPr>
      </w:r>
      <w:r>
        <w:rPr/>
        <w:t>各项可辨认资产、负债及或有负债的公允价值以及合并成本的计量进行复核，复核后合并成</w:t>
      </w:r>
      <w:r>
        <w:rPr>
          <w:spacing w:val="-91"/>
        </w:rPr>
        <w:t> </w:t>
      </w:r>
      <w:r>
        <w:rPr>
          <w:spacing w:val="-91"/>
        </w:rPr>
      </w:r>
      <w:r>
        <w:rPr/>
        <w:t>本仍小于合并中取得的被购买方可辨认净资产公允价值份额的，其差额计入当期损益。</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、分步处置股权至丧失控制权相关的具体会计政策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一揽子交易</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的判断原则</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47" w:firstLine="425"/>
        <w:jc w:val="both"/>
      </w:pPr>
      <w:r>
        <w:rPr>
          <w:spacing w:val="2"/>
        </w:rPr>
        <w:t>通过多次交易分步处置对子公司股权投资直至丧失控制权的，处置对子公司股权投资的 </w:t>
      </w:r>
      <w:r>
        <w:rPr/>
        <w:t>各项交易的条款、条件以及经济影响符合以下一种或多种情况，通常表明应将多次交易事项</w:t>
      </w:r>
      <w:r>
        <w:rPr>
          <w:spacing w:val="-91"/>
        </w:rPr>
        <w:t> </w:t>
      </w:r>
      <w:r>
        <w:rPr>
          <w:spacing w:val="-91"/>
        </w:rPr>
      </w:r>
      <w:r>
        <w:rPr/>
        <w:t>作为一揽子交易进行会计处理：</w:t>
      </w:r>
    </w:p>
    <w:p>
      <w:pPr>
        <w:pStyle w:val="BodyText"/>
        <w:spacing w:line="357" w:lineRule="auto"/>
        <w:ind w:left="578" w:right="2868"/>
        <w:jc w:val="left"/>
      </w:pPr>
      <w:r>
        <w:rPr/>
        <w:t>ⅰ．这些交易是同时或者在考虑了彼此影响的情况下订立的； ⅱ．这些交易整体才能达成一项完整的商业结果； ⅲ．一项交易的发生取决于其他至少一项交易的发生；</w:t>
      </w:r>
    </w:p>
    <w:p>
      <w:pPr>
        <w:spacing w:after="0" w:line="357"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240" w:lineRule="auto" w:before="26"/>
        <w:ind w:left="578" w:right="0"/>
        <w:jc w:val="left"/>
      </w:pPr>
      <w:r>
        <w:rPr/>
        <w:t>ⅳ．一项交易单独看是不经济的，但是和其他交易一并考虑时是经济的。</w:t>
      </w:r>
    </w:p>
    <w:p>
      <w:pPr>
        <w:spacing w:line="240" w:lineRule="auto" w:before="10"/>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一揽子交易</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48" w:firstLine="425"/>
        <w:jc w:val="both"/>
      </w:pPr>
      <w:r>
        <w:rPr>
          <w:spacing w:val="2"/>
        </w:rPr>
        <w:t>处置对子公司股权投资直至丧失控制权的各项交易属于一揽子交易的，本公司将各项交 </w:t>
      </w:r>
      <w:r>
        <w:rPr/>
        <w:t>易作为一项处置子公司并丧失控制权的交易进行会计处理；但是，在丧失控制权之前每一次</w:t>
      </w:r>
      <w:r>
        <w:rPr>
          <w:spacing w:val="-89"/>
        </w:rPr>
        <w:t> </w:t>
      </w:r>
      <w:r>
        <w:rPr>
          <w:spacing w:val="-89"/>
        </w:rPr>
      </w:r>
      <w:r>
        <w:rPr/>
        <w:t>处置价款与处置投资对应的享有该子公司净资产份额的差额，在合并财务报表中确认为其他</w:t>
      </w:r>
      <w:r>
        <w:rPr>
          <w:spacing w:val="-91"/>
        </w:rPr>
        <w:t> </w:t>
      </w:r>
      <w:r>
        <w:rPr>
          <w:spacing w:val="-91"/>
        </w:rPr>
      </w:r>
      <w:r>
        <w:rPr/>
        <w:t>综合收益，在丧失控制权时一并转入丧失控制权当期的损益。</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一揽子交易</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right="148" w:firstLine="425"/>
        <w:jc w:val="both"/>
      </w:pPr>
      <w:r>
        <w:rPr>
          <w:spacing w:val="2"/>
        </w:rPr>
        <w:t>处置对子公司股权投资直至丧失控制权的各项交易不属于一揽子交易的，在丧失控制权 </w:t>
      </w:r>
      <w:r>
        <w:rPr/>
        <w:t>之前，按不丧失控制权的情况下部分处置对子公司的股权投资进行会计处理；在丧失控制权</w:t>
      </w:r>
      <w:r>
        <w:rPr>
          <w:spacing w:val="-91"/>
        </w:rPr>
        <w:t> </w:t>
      </w:r>
      <w:r>
        <w:rPr>
          <w:spacing w:val="-91"/>
        </w:rPr>
      </w:r>
      <w:r>
        <w:rPr/>
        <w:t>时，按处置子公司进行会计处理。</w:t>
      </w:r>
    </w:p>
    <w:p>
      <w:pPr>
        <w:pStyle w:val="BodyText"/>
        <w:spacing w:line="357" w:lineRule="auto"/>
        <w:ind w:right="148" w:firstLine="425"/>
        <w:jc w:val="both"/>
      </w:pPr>
      <w:r>
        <w:rPr>
          <w:spacing w:val="2"/>
        </w:rPr>
        <w:t>本公司因购买少数股权新取得的长期股权投资与按照新增持股比例计算应享有子公司自 </w:t>
      </w:r>
      <w:r>
        <w:rPr/>
        <w:t>购买日（或合并日）开始持续计算的可辨认净资产份额之间的差额，调整合并资产负债表中</w:t>
      </w:r>
      <w:r>
        <w:rPr>
          <w:spacing w:val="-91"/>
        </w:rPr>
        <w:t> </w:t>
      </w:r>
      <w:r>
        <w:rPr>
          <w:spacing w:val="-91"/>
        </w:rPr>
      </w:r>
      <w:r>
        <w:rPr/>
        <w:t>的资本公积中的股本溢价，资本公积中的股本溢价不足冲减的，调整留存收益。</w:t>
      </w:r>
    </w:p>
    <w:p>
      <w:pPr>
        <w:pStyle w:val="BodyText"/>
        <w:spacing w:line="357" w:lineRule="auto"/>
        <w:ind w:right="148" w:firstLine="425"/>
        <w:jc w:val="both"/>
      </w:pPr>
      <w:r>
        <w:rPr>
          <w:spacing w:val="2"/>
        </w:rPr>
        <w:t>在不丧失控制权的情况下因部分处置对子公司的股权投资而取得的处置价款与处置长期 </w:t>
      </w:r>
      <w:r>
        <w:rPr/>
        <w:t>股权投资相对应享有子公司净资产份额的差额，调整合并资产负债表中的资本公积中的股本</w:t>
      </w:r>
      <w:r>
        <w:rPr>
          <w:spacing w:val="-91"/>
        </w:rPr>
        <w:t> </w:t>
      </w:r>
      <w:r>
        <w:rPr>
          <w:spacing w:val="-91"/>
        </w:rPr>
      </w:r>
      <w:r>
        <w:rPr/>
        <w:t>溢价，资本公积中的股本溢价不足冲减的，调整留存收益。</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48" w:firstLine="425"/>
        <w:jc w:val="both"/>
      </w:pPr>
      <w:r>
        <w:rPr>
          <w:spacing w:val="2"/>
        </w:rPr>
        <w:t>合并财务报表的合并范围以控制为基础予以确定。控制是指本公司能够决定被投资单位 </w:t>
      </w:r>
      <w:r>
        <w:rPr>
          <w:spacing w:val="-2"/>
        </w:rPr>
        <w:t>的财务和经营政策</w:t>
      </w:r>
      <w:r>
        <w:rPr>
          <w:rFonts w:ascii="宋体" w:hAnsi="宋体" w:cs="宋体" w:eastAsia="宋体" w:hint="default"/>
          <w:spacing w:val="-2"/>
        </w:rPr>
        <w:t>,</w:t>
      </w:r>
      <w:r>
        <w:rPr>
          <w:spacing w:val="-2"/>
        </w:rPr>
        <w:t>并能据以从被投资单位的经营活动中获取利益的权力。合并范围包括本公</w:t>
      </w:r>
      <w:r>
        <w:rPr/>
        <w:t> 司及全部子公司。子公司，是指被本公司控制的企业或主体。</w:t>
      </w:r>
    </w:p>
    <w:p>
      <w:pPr>
        <w:pStyle w:val="BodyText"/>
        <w:spacing w:line="357" w:lineRule="auto"/>
        <w:ind w:right="148" w:firstLine="425"/>
        <w:jc w:val="both"/>
      </w:pPr>
      <w:r>
        <w:rPr>
          <w:spacing w:val="2"/>
        </w:rPr>
        <w:t>从取得子公司的净资产和生产经营决策的实际控制权之日起，公司开始将其纳入合并范 </w:t>
      </w:r>
      <w:r>
        <w:rPr/>
        <w:t>围；从丧失实际控制权之日起停止纳入合并范围。对于处置的子公司，处置日前的经营成果</w:t>
      </w:r>
      <w:r>
        <w:rPr>
          <w:spacing w:val="-91"/>
        </w:rPr>
        <w:t> </w:t>
      </w:r>
      <w:r>
        <w:rPr>
          <w:spacing w:val="-91"/>
        </w:rPr>
      </w:r>
      <w:r>
        <w:rPr/>
        <w:t>和现金流量已经适当地包括在合并利润表和合并现金流量表中；当期处置的子公司，不调整</w:t>
      </w:r>
      <w:r>
        <w:rPr>
          <w:spacing w:val="-91"/>
        </w:rPr>
        <w:t> </w:t>
      </w:r>
      <w:r>
        <w:rPr>
          <w:spacing w:val="-91"/>
        </w:rPr>
      </w:r>
      <w:r>
        <w:rPr/>
        <w:t>合并资产负债表的期初数。非同一控制下企业合并增加的子公司，其购买日后的经营成果及</w:t>
      </w:r>
      <w:r>
        <w:rPr>
          <w:spacing w:val="-91"/>
        </w:rPr>
        <w:t> </w:t>
      </w:r>
      <w:r>
        <w:rPr>
          <w:spacing w:val="-91"/>
        </w:rPr>
      </w:r>
      <w:r>
        <w:rPr/>
        <w:t>现金流量已经适当地包括在合并利润表和合并现金流量表中，且不调整合并财务报表的期初</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158"/>
        <w:jc w:val="both"/>
      </w:pPr>
      <w:r>
        <w:rPr/>
        <w:t>数和对比数。同一控制下企业合并增加的子公司，其自合并当期期初至合并日的经营成果和</w:t>
      </w:r>
      <w:r>
        <w:rPr>
          <w:spacing w:val="-91"/>
        </w:rPr>
        <w:t> </w:t>
      </w:r>
      <w:r>
        <w:rPr>
          <w:spacing w:val="-91"/>
        </w:rPr>
      </w:r>
      <w:r>
        <w:rPr/>
        <w:t>现金流量已经适当地包括在合并利润表和合并现金流量表中，并且同时调整合并财务报表的</w:t>
      </w:r>
      <w:r>
        <w:rPr>
          <w:spacing w:val="-91"/>
        </w:rPr>
        <w:t> </w:t>
      </w:r>
      <w:r>
        <w:rPr>
          <w:spacing w:val="-91"/>
        </w:rPr>
      </w:r>
      <w:r>
        <w:rPr/>
        <w:t>期初数和对比数。</w:t>
      </w:r>
    </w:p>
    <w:p>
      <w:pPr>
        <w:pStyle w:val="BodyText"/>
        <w:spacing w:line="357" w:lineRule="auto"/>
        <w:ind w:right="148" w:firstLine="425"/>
        <w:jc w:val="both"/>
      </w:pPr>
      <w:r>
        <w:rPr>
          <w:spacing w:val="2"/>
        </w:rPr>
        <w:t>在编制合并财务报表时，子公司与本公司采用的会计政策或会计期间不一致的，按照本 </w:t>
      </w:r>
      <w:r>
        <w:rPr/>
        <w:t>公司的会计政策和会计期间对子公司财务报表进行必要的调整。对于非同一控制下企业合并</w:t>
      </w:r>
      <w:r>
        <w:rPr>
          <w:spacing w:val="-91"/>
        </w:rPr>
        <w:t> </w:t>
      </w:r>
      <w:r>
        <w:rPr>
          <w:spacing w:val="-91"/>
        </w:rPr>
      </w:r>
      <w:r>
        <w:rPr/>
        <w:t>取得的子公司，以购买日可辨认净资产公允价值为基础对其财务报表进行调整。</w:t>
      </w:r>
    </w:p>
    <w:p>
      <w:pPr>
        <w:pStyle w:val="BodyText"/>
        <w:spacing w:line="357" w:lineRule="auto"/>
        <w:ind w:left="578" w:right="152"/>
        <w:jc w:val="left"/>
      </w:pPr>
      <w:r>
        <w:rPr/>
        <w:t>合并范围内部所有重大往来余额、交易及未实现利润在合并财务报表编制时予以抵销。 </w:t>
      </w:r>
      <w:r>
        <w:rPr>
          <w:spacing w:val="2"/>
        </w:rPr>
        <w:t>子公司的股东权益及当期净损益中不属于本公司所拥有的部分分别作为少数股东权益及</w:t>
      </w:r>
    </w:p>
    <w:p>
      <w:pPr>
        <w:pStyle w:val="BodyText"/>
        <w:spacing w:line="357" w:lineRule="auto"/>
        <w:ind w:right="154"/>
        <w:jc w:val="both"/>
      </w:pPr>
      <w:r>
        <w:rPr/>
        <w:t>少数股东损益在合并财务报表中股东权益及净利润项下单独列示。子公司当期净损益中属于</w:t>
      </w:r>
      <w:r>
        <w:rPr>
          <w:spacing w:val="-91"/>
        </w:rPr>
        <w:t> </w:t>
      </w:r>
      <w:r>
        <w:rPr>
          <w:spacing w:val="-91"/>
        </w:rPr>
      </w:r>
      <w:r>
        <w:rPr/>
        <w:t>少数股东权益的份额，在合并利润表中净利润项目下以“少数股东损益”项目列示。少数股</w:t>
      </w:r>
      <w:r>
        <w:rPr>
          <w:spacing w:val="-87"/>
        </w:rPr>
        <w:t> </w:t>
      </w:r>
      <w:r>
        <w:rPr>
          <w:spacing w:val="-87"/>
        </w:rPr>
      </w:r>
      <w:r>
        <w:rPr/>
        <w:t>东分担的子公司的亏损超过了少数股东在该子公司期初所有者权益中所享有的份额，冲减少</w:t>
      </w:r>
      <w:r>
        <w:rPr>
          <w:spacing w:val="-91"/>
        </w:rPr>
        <w:t> </w:t>
      </w:r>
      <w:r>
        <w:rPr>
          <w:spacing w:val="-91"/>
        </w:rPr>
      </w:r>
      <w:r>
        <w:rPr/>
        <w:t>数股东权益。</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）对同一子公司的股权在连续两个会计年度买入再卖出，或卖出再买入的应披露相关的会计处理方法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right="148" w:firstLine="425"/>
        <w:jc w:val="both"/>
      </w:pPr>
      <w:r>
        <w:rPr>
          <w:spacing w:val="2"/>
        </w:rPr>
        <w:t>在编制现金流量表时，将本公司库存现金以及可以随时用于支付的存款确认为现金。将 </w:t>
      </w:r>
      <w:r>
        <w:rPr/>
        <w:t>同时具备期限短（从购买日起三个月内到期）、流动性强、易于转换为已知现金、价值变动</w:t>
      </w:r>
      <w:r>
        <w:rPr>
          <w:spacing w:val="-90"/>
        </w:rPr>
        <w:t> </w:t>
      </w:r>
      <w:r>
        <w:rPr>
          <w:spacing w:val="-90"/>
        </w:rPr>
      </w:r>
      <w:r>
        <w:rPr/>
        <w:t>风险很小四个条件的投资，确定为现金等价物。</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48" w:firstLine="425"/>
        <w:jc w:val="both"/>
      </w:pPr>
      <w:r>
        <w:rPr>
          <w:spacing w:val="2"/>
        </w:rPr>
        <w:t>公司发生的外币交易在初始确认时，按交易日的即期汇率（通常指中国人民银行公布的 </w:t>
      </w:r>
      <w:r>
        <w:rPr/>
        <w:t>当日外汇牌价的中间价，下同）折算为记账本位币金额，但公司发生的外币兑换业务或涉及</w:t>
      </w:r>
      <w:r>
        <w:rPr>
          <w:spacing w:val="-91"/>
        </w:rPr>
        <w:t> </w:t>
      </w:r>
      <w:r>
        <w:rPr>
          <w:spacing w:val="-91"/>
        </w:rPr>
      </w:r>
      <w:r>
        <w:rPr/>
        <w:t>外币兑换的交易事项，按照实际采用的汇率折算为记账本位币金额。</w:t>
      </w:r>
    </w:p>
    <w:p>
      <w:pPr>
        <w:pStyle w:val="BodyText"/>
        <w:spacing w:line="357" w:lineRule="auto"/>
        <w:ind w:right="148" w:firstLine="425"/>
        <w:jc w:val="both"/>
      </w:pPr>
      <w:r>
        <w:rPr>
          <w:spacing w:val="2"/>
        </w:rPr>
        <w:t>资产负债表日，对于外币货币性项目采用资产负债表日即期汇率折算，由此产生的汇兑 </w:t>
      </w:r>
      <w:r>
        <w:rPr/>
        <w:t>差额，除：①属于与购建符合资本化条件的资产相关的外币专门借款产生的汇兑差额按照借</w:t>
      </w:r>
      <w:r>
        <w:rPr>
          <w:spacing w:val="-87"/>
        </w:rPr>
        <w:t> </w:t>
      </w:r>
      <w:r>
        <w:rPr>
          <w:spacing w:val="-87"/>
        </w:rPr>
      </w:r>
      <w:r>
        <w:rPr/>
        <w:t>款费用资本化的原则处理；②可供出售的外币货币性项目除摊余成本之外的其他账面余额变</w:t>
      </w:r>
      <w:r>
        <w:rPr>
          <w:spacing w:val="-90"/>
        </w:rPr>
        <w:t> </w:t>
      </w:r>
      <w:r>
        <w:rPr>
          <w:spacing w:val="-90"/>
        </w:rPr>
      </w:r>
      <w:r>
        <w:rPr/>
        <w:t>动产生的汇兑差额计入其他综合收益之外，均计入当期损益。</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96" w:firstLine="425"/>
        <w:jc w:val="left"/>
      </w:pPr>
      <w:r>
        <w:rPr>
          <w:spacing w:val="2"/>
        </w:rPr>
        <w:t>以历史成本计量的外币非货币性项目，仍采用交易发生日的即期汇率折算的记账本位币 </w:t>
      </w:r>
      <w:r>
        <w:rPr/>
        <w:t>金额计量。以公允价值计量的外币非货币性项目，采用公允价值确定日的即期汇率折算，折</w:t>
      </w:r>
      <w:r>
        <w:rPr>
          <w:spacing w:val="-91"/>
        </w:rPr>
        <w:t> </w:t>
      </w:r>
      <w:r>
        <w:rPr>
          <w:spacing w:val="-91"/>
        </w:rPr>
      </w:r>
      <w:r>
        <w:rPr>
          <w:spacing w:val="-3"/>
        </w:rPr>
        <w:t>算后的记账本位币金额与原记账本位币金额的差额，作为公允价值变动（含汇率变动）处理，</w:t>
      </w:r>
      <w:r>
        <w:rPr>
          <w:spacing w:val="-81"/>
        </w:rPr>
        <w:t> </w:t>
      </w:r>
      <w:r>
        <w:rPr>
          <w:spacing w:val="-81"/>
        </w:rPr>
      </w:r>
      <w:r>
        <w:rPr/>
        <w:t>计入当期损益或确认为其他综合收益并计入资本公积。</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240" w:lineRule="auto" w:before="0"/>
        <w:ind w:left="578" w:right="96"/>
        <w:jc w:val="left"/>
      </w:pPr>
      <w:r>
        <w:rPr/>
        <w:t>金融工具包括金融资产、金融负债和权益工具。</w:t>
      </w:r>
    </w:p>
    <w:p>
      <w:pPr>
        <w:spacing w:line="240" w:lineRule="auto" w:before="10"/>
        <w:rPr>
          <w:rFonts w:ascii="宋体" w:hAnsi="宋体" w:cs="宋体" w:eastAsia="宋体" w:hint="default"/>
          <w:sz w:val="30"/>
          <w:szCs w:val="30"/>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578" w:right="96"/>
        <w:jc w:val="left"/>
      </w:pPr>
      <w:r>
        <w:rPr>
          <w:rFonts w:ascii="宋体" w:hAnsi="宋体" w:cs="宋体" w:eastAsia="宋体" w:hint="default"/>
        </w:rPr>
        <w:t>A</w:t>
      </w:r>
      <w:r>
        <w:rPr/>
        <w:t>、金融资产的分类</w:t>
      </w:r>
    </w:p>
    <w:p>
      <w:pPr>
        <w:pStyle w:val="BodyText"/>
        <w:spacing w:line="357" w:lineRule="auto" w:before="154"/>
        <w:ind w:left="578" w:right="227"/>
        <w:jc w:val="left"/>
      </w:pPr>
      <w:r>
        <w:rPr/>
        <w:t>① 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取得该金融资产的目的，主要是为</w:t>
      </w:r>
    </w:p>
    <w:p>
      <w:pPr>
        <w:pStyle w:val="BodyText"/>
        <w:spacing w:line="357" w:lineRule="auto"/>
        <w:ind w:right="229"/>
        <w:jc w:val="both"/>
      </w:pPr>
      <w:r>
        <w:rPr>
          <w:spacing w:val="-2"/>
        </w:rPr>
        <w:t>了近期内出售；</w:t>
      </w:r>
      <w:r>
        <w:rPr>
          <w:rFonts w:ascii="宋体" w:hAnsi="宋体" w:cs="宋体" w:eastAsia="宋体" w:hint="default"/>
          <w:spacing w:val="-2"/>
        </w:rPr>
        <w:t>B</w:t>
      </w:r>
      <w:r>
        <w:rPr>
          <w:spacing w:val="-2"/>
        </w:rPr>
        <w:t>属于进行集中管理的可辨认金融工具组合的一部分，且有客观证据表明本集</w:t>
      </w:r>
      <w:r>
        <w:rPr/>
        <w:t> </w:t>
      </w:r>
      <w:r>
        <w:rPr>
          <w:spacing w:val="-2"/>
        </w:rPr>
        <w:t>团近期采用短期获利方式对该组合进行管理；</w:t>
      </w:r>
      <w:r>
        <w:rPr>
          <w:rFonts w:ascii="宋体" w:hAnsi="宋体" w:cs="宋体" w:eastAsia="宋体" w:hint="default"/>
          <w:spacing w:val="-2"/>
        </w:rPr>
        <w:t>C</w:t>
      </w:r>
      <w:r>
        <w:rPr>
          <w:spacing w:val="-2"/>
        </w:rPr>
        <w:t>属于衍生工具，但是，被指定且为有效套期工</w:t>
      </w:r>
      <w:r>
        <w:rPr>
          <w:spacing w:val="-117"/>
        </w:rPr>
        <w:t> </w:t>
      </w:r>
      <w:r>
        <w:rPr>
          <w:spacing w:val="-117"/>
        </w:rPr>
      </w:r>
      <w:r>
        <w:rPr/>
        <w:t>具的衍生工具、属于财务担保合同的衍生工具、与在活跃市场中没有报价且其公允价值不能</w:t>
      </w:r>
      <w:r>
        <w:rPr>
          <w:spacing w:val="-91"/>
        </w:rPr>
        <w:t> </w:t>
      </w:r>
      <w:r>
        <w:rPr>
          <w:spacing w:val="-91"/>
        </w:rPr>
      </w:r>
      <w:r>
        <w:rPr/>
        <w:t>可靠计量的权益工具投资挂钩并须通过交付该权益工具结算的衍生工具除外。</w:t>
      </w:r>
    </w:p>
    <w:p>
      <w:pPr>
        <w:pStyle w:val="BodyText"/>
        <w:spacing w:line="357" w:lineRule="auto"/>
        <w:ind w:right="228" w:firstLine="425"/>
        <w:jc w:val="both"/>
      </w:pPr>
      <w:r>
        <w:rPr>
          <w:spacing w:val="2"/>
        </w:rPr>
        <w:t>符合下述条件之一的金融资产，在初始确认时可指定为以公允价值计量且其变动计入当 </w:t>
      </w:r>
      <w:r>
        <w:rPr>
          <w:spacing w:val="-2"/>
        </w:rPr>
        <w:t>期损益的金融资产：</w:t>
      </w:r>
      <w:r>
        <w:rPr>
          <w:rFonts w:ascii="宋体" w:hAnsi="宋体" w:cs="宋体" w:eastAsia="宋体" w:hint="default"/>
          <w:spacing w:val="-2"/>
        </w:rPr>
        <w:t>A</w:t>
      </w:r>
      <w:r>
        <w:rPr>
          <w:spacing w:val="-2"/>
        </w:rPr>
        <w:t>该指定可以消除或明显减少由于该金融资产的计量基础不同所导致的相</w:t>
      </w:r>
      <w:r>
        <w:rPr/>
        <w:t> </w:t>
      </w:r>
      <w:r>
        <w:rPr>
          <w:spacing w:val="-2"/>
        </w:rPr>
        <w:t>关利得或损失在确认或计量方面不一致的情况；</w:t>
      </w:r>
      <w:r>
        <w:rPr>
          <w:rFonts w:ascii="宋体" w:hAnsi="宋体" w:cs="宋体" w:eastAsia="宋体" w:hint="default"/>
          <w:spacing w:val="-2"/>
        </w:rPr>
        <w:t>B</w:t>
      </w:r>
      <w:r>
        <w:rPr>
          <w:spacing w:val="-2"/>
        </w:rPr>
        <w:t>本集团风险管理或投资策略的正式书面文件</w:t>
      </w:r>
      <w:r>
        <w:rPr/>
        <w:t> 已载明，对该金融资产所在的金融资产组合或金融资产和金融负债组合以公允价值为基础进</w:t>
      </w:r>
      <w:r>
        <w:rPr>
          <w:spacing w:val="-91"/>
        </w:rPr>
        <w:t> </w:t>
      </w:r>
      <w:r>
        <w:rPr>
          <w:spacing w:val="-91"/>
        </w:rPr>
      </w:r>
      <w:r>
        <w:rPr/>
        <w:t>行管理、评价并向关键管理人员报告。</w:t>
      </w:r>
    </w:p>
    <w:p>
      <w:pPr>
        <w:pStyle w:val="BodyText"/>
        <w:spacing w:line="357" w:lineRule="auto"/>
        <w:ind w:left="578" w:right="96"/>
        <w:jc w:val="left"/>
      </w:pPr>
      <w:r>
        <w:rPr/>
        <w:t>② 持有至到期投资 </w:t>
      </w:r>
      <w:r>
        <w:rPr>
          <w:spacing w:val="2"/>
        </w:rPr>
        <w:t>是指到期日固定、回收金额固定或可确定，且本集团有明确意图和能力持有至到期的非</w:t>
      </w:r>
      <w:r>
        <w:rPr/>
      </w:r>
    </w:p>
    <w:p>
      <w:pPr>
        <w:pStyle w:val="BodyText"/>
        <w:spacing w:line="240" w:lineRule="auto"/>
        <w:ind w:right="0"/>
        <w:jc w:val="both"/>
      </w:pPr>
      <w:r>
        <w:rPr/>
        <w:t>衍生金融资产。</w:t>
      </w:r>
    </w:p>
    <w:p>
      <w:pPr>
        <w:pStyle w:val="BodyText"/>
        <w:spacing w:line="357" w:lineRule="auto" w:before="154"/>
        <w:ind w:left="578" w:right="96"/>
        <w:jc w:val="left"/>
      </w:pPr>
      <w:r>
        <w:rPr/>
        <w:t>③ 贷款和应收款项 </w:t>
      </w:r>
      <w:r>
        <w:rPr>
          <w:spacing w:val="2"/>
        </w:rPr>
        <w:t>是指在活跃市场中没有报价、回收金额固定或可确定的非衍生金融资产。本集团划分为</w:t>
      </w:r>
      <w:r>
        <w:rPr/>
      </w:r>
    </w:p>
    <w:p>
      <w:pPr>
        <w:spacing w:after="0" w:line="357"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240" w:lineRule="auto" w:before="26"/>
        <w:ind w:right="0"/>
        <w:jc w:val="both"/>
      </w:pPr>
      <w:r>
        <w:rPr/>
        <w:t>贷款和应收款的金融资产包括应收票据、应收账款、应收利息、应收股利及其他应收款等。</w:t>
      </w:r>
    </w:p>
    <w:p>
      <w:pPr>
        <w:pStyle w:val="BodyText"/>
        <w:spacing w:line="357" w:lineRule="auto" w:before="154"/>
        <w:ind w:left="578" w:right="0"/>
        <w:jc w:val="left"/>
      </w:pPr>
      <w:r>
        <w:rPr/>
        <w:t>④ 可供出售金融资产 </w:t>
      </w:r>
      <w:r>
        <w:rPr>
          <w:spacing w:val="2"/>
        </w:rPr>
        <w:t>包括初始确认时即被指定为可供出售的非衍生金融资产，以及除了以公允价值计量且其</w:t>
      </w:r>
      <w:r>
        <w:rPr/>
      </w:r>
    </w:p>
    <w:p>
      <w:pPr>
        <w:pStyle w:val="BodyText"/>
        <w:spacing w:line="357" w:lineRule="auto"/>
        <w:ind w:left="578" w:right="894" w:hanging="426"/>
        <w:jc w:val="left"/>
      </w:pPr>
      <w:r>
        <w:rPr/>
        <w:t>变动计入当期损益的金融资产、贷款和应收款项、持有至到期投资以外的金融资产。 </w:t>
      </w:r>
      <w:r>
        <w:rPr>
          <w:rFonts w:ascii="宋体" w:hAnsi="宋体" w:cs="宋体" w:eastAsia="宋体" w:hint="default"/>
        </w:rPr>
        <w:t>B</w:t>
      </w:r>
      <w:r>
        <w:rPr/>
        <w:t>、金融负债的分类</w:t>
      </w:r>
    </w:p>
    <w:p>
      <w:pPr>
        <w:pStyle w:val="BodyText"/>
        <w:spacing w:line="357" w:lineRule="auto"/>
        <w:ind w:left="578" w:right="0"/>
        <w:jc w:val="left"/>
      </w:pPr>
      <w:r>
        <w:rPr/>
        <w:t>① 以公允价值计量且其变动计入当期损益的金融负债 </w:t>
      </w:r>
      <w:r>
        <w:rPr>
          <w:spacing w:val="2"/>
        </w:rPr>
        <w:t>分类为交易性金融负债和在初始确认时指定为以公允价值计量且其变动计入当期损益的</w:t>
      </w:r>
      <w:r>
        <w:rPr/>
      </w:r>
    </w:p>
    <w:p>
      <w:pPr>
        <w:pStyle w:val="BodyText"/>
        <w:spacing w:line="357" w:lineRule="auto"/>
        <w:ind w:right="159"/>
        <w:jc w:val="both"/>
      </w:pPr>
      <w:r>
        <w:rPr/>
        <w:t>金融负债的条件与分类为交易性金融资产和在初始确认时指定为以公允价值计量且其变动计</w:t>
      </w:r>
      <w:r>
        <w:rPr>
          <w:spacing w:val="-91"/>
        </w:rPr>
        <w:t> </w:t>
      </w:r>
      <w:r>
        <w:rPr>
          <w:spacing w:val="-91"/>
        </w:rPr>
      </w:r>
      <w:r>
        <w:rPr/>
        <w:t>入当期损益的金融资产的条件一致。</w:t>
      </w:r>
    </w:p>
    <w:p>
      <w:pPr>
        <w:pStyle w:val="BodyText"/>
        <w:spacing w:line="240" w:lineRule="auto" w:before="37"/>
        <w:ind w:left="578" w:right="0"/>
        <w:jc w:val="left"/>
      </w:pPr>
      <w:r>
        <w:rPr/>
        <w:t>② 其他金融负债</w:t>
      </w:r>
    </w:p>
    <w:p>
      <w:pPr>
        <w:spacing w:line="240" w:lineRule="auto" w:before="10"/>
        <w:rPr>
          <w:rFonts w:ascii="宋体" w:hAnsi="宋体" w:cs="宋体" w:eastAsia="宋体" w:hint="default"/>
          <w:sz w:val="30"/>
          <w:szCs w:val="30"/>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578" w:right="0"/>
        <w:jc w:val="left"/>
      </w:pPr>
      <w:r>
        <w:rPr>
          <w:rFonts w:ascii="宋体" w:hAnsi="宋体" w:cs="宋体" w:eastAsia="宋体" w:hint="default"/>
        </w:rPr>
        <w:t>A.</w:t>
      </w:r>
      <w:r>
        <w:rPr/>
        <w:t>金融资产 </w:t>
      </w:r>
      <w:r>
        <w:rPr>
          <w:spacing w:val="2"/>
        </w:rPr>
        <w:t>以常规方式买卖金融资产，按交易日进行会计确认和终止确认。金融资产在初始确认时</w:t>
      </w:r>
      <w:r>
        <w:rPr/>
      </w:r>
    </w:p>
    <w:p>
      <w:pPr>
        <w:pStyle w:val="BodyText"/>
        <w:spacing w:line="357" w:lineRule="auto"/>
        <w:ind w:right="159"/>
        <w:jc w:val="both"/>
      </w:pPr>
      <w:r>
        <w:rPr/>
        <w:t>划分为以公允价值计量且其变动计入当期损益的金融资产、持有至到期投资、贷款和应收款</w:t>
      </w:r>
      <w:r>
        <w:rPr>
          <w:spacing w:val="-91"/>
        </w:rPr>
        <w:t> </w:t>
      </w:r>
      <w:r>
        <w:rPr>
          <w:spacing w:val="-91"/>
        </w:rPr>
      </w:r>
      <w:r>
        <w:rPr/>
        <w:t>项以及可供出售金融资产。初始确认金融资产，以公允价值计量。对于以公允价值计量且其</w:t>
      </w:r>
      <w:r>
        <w:rPr>
          <w:spacing w:val="-91"/>
        </w:rPr>
        <w:t> </w:t>
      </w:r>
      <w:r>
        <w:rPr>
          <w:spacing w:val="-91"/>
        </w:rPr>
      </w:r>
      <w:r>
        <w:rPr/>
        <w:t>变动计入当期损益的金融资产，相关的交易费用直接计入当期损益，对于其他类别的金融资</w:t>
      </w:r>
      <w:r>
        <w:rPr>
          <w:spacing w:val="-91"/>
        </w:rPr>
        <w:t> </w:t>
      </w:r>
      <w:r>
        <w:rPr>
          <w:spacing w:val="-91"/>
        </w:rPr>
      </w:r>
      <w:r>
        <w:rPr/>
        <w:t>产，相关交易费用计入初始确认金额。</w:t>
      </w:r>
    </w:p>
    <w:p>
      <w:pPr>
        <w:pStyle w:val="BodyText"/>
        <w:spacing w:line="357" w:lineRule="auto"/>
        <w:ind w:left="578" w:right="147"/>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w:t>
      </w:r>
    </w:p>
    <w:p>
      <w:pPr>
        <w:pStyle w:val="BodyText"/>
        <w:spacing w:line="357" w:lineRule="auto"/>
        <w:ind w:right="152"/>
        <w:jc w:val="both"/>
      </w:pPr>
      <w:r>
        <w:rPr>
          <w:spacing w:val="-2"/>
        </w:rPr>
        <w:t>为了近期内出售；</w:t>
      </w:r>
      <w:r>
        <w:rPr>
          <w:rFonts w:ascii="宋体" w:hAnsi="宋体" w:cs="宋体" w:eastAsia="宋体" w:hint="default"/>
          <w:spacing w:val="-2"/>
        </w:rPr>
        <w:t>B</w:t>
      </w:r>
      <w:r>
        <w:rPr>
          <w:spacing w:val="-2"/>
        </w:rPr>
        <w:t>、属于进行集中管理的可辨认金融工具组合的一部分，且有客观证据表明</w:t>
      </w:r>
      <w:r>
        <w:rPr/>
        <w:t> </w:t>
      </w:r>
      <w:r>
        <w:rPr>
          <w:spacing w:val="-3"/>
        </w:rPr>
        <w:t>公司近期采用短期获利方式对该组合进行管理；</w:t>
      </w:r>
      <w:r>
        <w:rPr>
          <w:rFonts w:ascii="宋体" w:hAnsi="宋体" w:cs="宋体" w:eastAsia="宋体" w:hint="default"/>
          <w:spacing w:val="-3"/>
        </w:rPr>
        <w:t>C</w:t>
      </w:r>
      <w:r>
        <w:rPr>
          <w:spacing w:val="-3"/>
        </w:rPr>
        <w:t>、属于衍生工具，但是，被指定且为有效套</w:t>
      </w:r>
      <w:r>
        <w:rPr>
          <w:spacing w:val="-80"/>
        </w:rPr>
        <w:t> </w:t>
      </w:r>
      <w:r>
        <w:rPr>
          <w:spacing w:val="-80"/>
        </w:rPr>
      </w:r>
      <w:r>
        <w:rPr/>
        <w:t>期工具的衍生工具、属于财务担保合同的衍生工具、与在活跃市场中没有报价且其公允价值</w:t>
      </w:r>
      <w:r>
        <w:rPr>
          <w:spacing w:val="-91"/>
        </w:rPr>
        <w:t> </w:t>
      </w:r>
      <w:r>
        <w:rPr>
          <w:spacing w:val="-91"/>
        </w:rPr>
      </w:r>
      <w:r>
        <w:rPr/>
        <w:t>不能可靠计量的权益工具投资挂钩并须通过交付该权益工具结算的衍生工具除外。</w:t>
      </w:r>
    </w:p>
    <w:p>
      <w:pPr>
        <w:pStyle w:val="BodyText"/>
        <w:spacing w:line="357" w:lineRule="auto" w:before="37"/>
        <w:ind w:right="148" w:firstLine="425"/>
        <w:jc w:val="both"/>
      </w:pPr>
      <w:r>
        <w:rPr>
          <w:spacing w:val="2"/>
        </w:rPr>
        <w:t>符合下述条件之一的金融资产，在初始确认时可指定为以公允价值计量且其变动计入当 </w:t>
      </w:r>
      <w:r>
        <w:rPr>
          <w:spacing w:val="-2"/>
        </w:rPr>
        <w:t>期损益的金融资产：</w:t>
      </w:r>
      <w:r>
        <w:rPr>
          <w:rFonts w:ascii="宋体" w:hAnsi="宋体" w:cs="宋体" w:eastAsia="宋体" w:hint="default"/>
          <w:spacing w:val="-2"/>
        </w:rPr>
        <w:t>A</w:t>
      </w:r>
      <w:r>
        <w:rPr>
          <w:spacing w:val="-2"/>
        </w:rPr>
        <w:t>、该指定可以消除或明显减少由于该金融资产的计量基础不同所导致的</w:t>
      </w:r>
      <w:r>
        <w:rPr/>
        <w:t> </w:t>
      </w:r>
      <w:r>
        <w:rPr>
          <w:spacing w:val="-2"/>
        </w:rPr>
        <w:t>相关利得或损失在确认或计量方面不一致的情况；</w:t>
      </w:r>
      <w:r>
        <w:rPr>
          <w:rFonts w:ascii="宋体" w:hAnsi="宋体" w:cs="宋体" w:eastAsia="宋体" w:hint="default"/>
          <w:spacing w:val="-2"/>
        </w:rPr>
        <w:t>B</w:t>
      </w:r>
      <w:r>
        <w:rPr>
          <w:spacing w:val="-2"/>
        </w:rPr>
        <w:t>、公司风险管理或投资策略的正式书面文</w:t>
      </w:r>
      <w:r>
        <w:rPr/>
        <w:t> 件已载明，对该金融资产所在的金融资产组合或金融资产和金融负债组合以公允价值为基础</w:t>
      </w:r>
    </w:p>
    <w:p>
      <w:pPr>
        <w:pStyle w:val="BodyText"/>
        <w:spacing w:line="240" w:lineRule="auto"/>
        <w:ind w:right="0"/>
        <w:jc w:val="both"/>
      </w:pPr>
      <w:r>
        <w:rPr/>
        <w:t>进行管理、评价并向关键管理人员报告。</w:t>
      </w:r>
    </w:p>
    <w:p>
      <w:pPr>
        <w:spacing w:after="0" w:line="240"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148" w:firstLine="425"/>
        <w:jc w:val="both"/>
      </w:pPr>
      <w:r>
        <w:rPr>
          <w:spacing w:val="2"/>
        </w:rPr>
        <w:t>以公允价值计量且其变动计入当期损益的金融资产采用公允价值进行后续计量，公允价 </w:t>
      </w:r>
      <w:r>
        <w:rPr/>
        <w:t>值变动形成的利得或损失以及与该等金融资产相关的股利和利息收入计入当期损益。</w:t>
      </w:r>
    </w:p>
    <w:p>
      <w:pPr>
        <w:pStyle w:val="BodyText"/>
        <w:spacing w:line="357" w:lineRule="auto"/>
        <w:ind w:left="578" w:right="0"/>
        <w:jc w:val="left"/>
      </w:pPr>
      <w:r>
        <w:rPr/>
        <w:t>② 持有至到期投资 </w:t>
      </w:r>
      <w:r>
        <w:rPr>
          <w:spacing w:val="2"/>
        </w:rPr>
        <w:t>是指到期日固定、回收金额固定或可确定，且公司有明确意图和能力持有至到期的非衍</w:t>
      </w:r>
      <w:r>
        <w:rPr/>
      </w:r>
    </w:p>
    <w:p>
      <w:pPr>
        <w:pStyle w:val="BodyText"/>
        <w:spacing w:line="357" w:lineRule="auto"/>
        <w:ind w:left="578" w:right="0" w:hanging="426"/>
        <w:jc w:val="left"/>
      </w:pPr>
      <w:r>
        <w:rPr/>
        <w:t>生金融资产。 </w:t>
      </w:r>
      <w:r>
        <w:rPr>
          <w:spacing w:val="2"/>
        </w:rPr>
        <w:t>持有至到期投资采用实际利率法，按摊余成本进行后续计量，在终止确认、发生减值或</w:t>
      </w:r>
      <w:r>
        <w:rPr/>
      </w:r>
    </w:p>
    <w:p>
      <w:pPr>
        <w:pStyle w:val="BodyText"/>
        <w:spacing w:line="357" w:lineRule="auto"/>
        <w:ind w:left="578" w:right="0" w:hanging="426"/>
        <w:jc w:val="left"/>
      </w:pPr>
      <w:r>
        <w:rPr/>
        <w:t>摊销时产生的利得或损失，计入当期损益。 </w:t>
      </w:r>
      <w:r>
        <w:rPr>
          <w:spacing w:val="2"/>
        </w:rPr>
        <w:t>实际利率法是指按照金融资产或金融负债（含一组金融资产或金融负债）的实际利率计</w:t>
      </w:r>
      <w:r>
        <w:rPr/>
      </w:r>
    </w:p>
    <w:p>
      <w:pPr>
        <w:pStyle w:val="BodyText"/>
        <w:spacing w:line="357" w:lineRule="auto"/>
        <w:ind w:right="159"/>
        <w:jc w:val="both"/>
      </w:pPr>
      <w:r>
        <w:rPr/>
        <w:t>算其摊余成本及各期利息收入或支出的方法。实际利率是指将金融资产或金融负债在预期存</w:t>
      </w:r>
      <w:r>
        <w:rPr>
          <w:spacing w:val="-91"/>
        </w:rPr>
        <w:t> </w:t>
      </w:r>
      <w:r>
        <w:rPr>
          <w:spacing w:val="-91"/>
        </w:rPr>
      </w:r>
      <w:r>
        <w:rPr/>
        <w:t>续期间或适用的更短期间内的未来现金流量，折现为该金融资产或金融负债当前账面价值所</w:t>
      </w:r>
      <w:r>
        <w:rPr>
          <w:spacing w:val="-91"/>
        </w:rPr>
        <w:t> </w:t>
      </w:r>
      <w:r>
        <w:rPr>
          <w:spacing w:val="-91"/>
        </w:rPr>
      </w:r>
      <w:r>
        <w:rPr/>
        <w:t>使用的利率。</w:t>
      </w:r>
    </w:p>
    <w:p>
      <w:pPr>
        <w:pStyle w:val="BodyText"/>
        <w:spacing w:line="357" w:lineRule="auto"/>
        <w:ind w:right="148" w:firstLine="425"/>
        <w:jc w:val="both"/>
      </w:pPr>
      <w:r>
        <w:rPr>
          <w:spacing w:val="2"/>
        </w:rPr>
        <w:t>在计算实际利率时，公司将在考虑金融资产或金融负债所有合同条款的基础上预计未来 </w:t>
      </w:r>
      <w:r>
        <w:rPr/>
        <w:t>现金流量（不考虑未来的信用损失），同时还将考虑金融资产或金融负债合同各方之间支付</w:t>
      </w:r>
      <w:r>
        <w:rPr>
          <w:spacing w:val="-91"/>
        </w:rPr>
        <w:t> </w:t>
      </w:r>
      <w:r>
        <w:rPr>
          <w:spacing w:val="-91"/>
        </w:rPr>
      </w:r>
      <w:r>
        <w:rPr/>
        <w:t>或收取的、属于实际利率组成部分的各项收费、交易费用及折价或溢价等。</w:t>
      </w:r>
    </w:p>
    <w:p>
      <w:pPr>
        <w:pStyle w:val="BodyText"/>
        <w:spacing w:line="357" w:lineRule="auto"/>
        <w:ind w:left="578" w:right="0"/>
        <w:jc w:val="left"/>
      </w:pPr>
      <w:r>
        <w:rPr/>
        <w:t>③ 贷款和应收款项 </w:t>
      </w:r>
      <w:r>
        <w:rPr>
          <w:spacing w:val="2"/>
        </w:rPr>
        <w:t>是指在活跃市场中没有报价、回收金额固定或可确定的非衍生金融资产。公司划分为贷</w:t>
      </w:r>
      <w:r>
        <w:rPr/>
      </w:r>
    </w:p>
    <w:p>
      <w:pPr>
        <w:pStyle w:val="BodyText"/>
        <w:spacing w:line="357" w:lineRule="auto"/>
        <w:ind w:left="578" w:right="0" w:hanging="426"/>
        <w:jc w:val="left"/>
      </w:pPr>
      <w:r>
        <w:rPr/>
        <w:t>款和应收款的金融资产包括应收票据、应收账款、应收利息、应收股利及其他应收款等。 </w:t>
      </w:r>
      <w:r>
        <w:rPr>
          <w:spacing w:val="2"/>
        </w:rPr>
        <w:t>贷款和应收款项采用实际利率法，按摊余成本进行后续计量，在终止确认、发生减值或</w:t>
      </w:r>
      <w:r>
        <w:rPr/>
      </w:r>
    </w:p>
    <w:p>
      <w:pPr>
        <w:pStyle w:val="BodyText"/>
        <w:spacing w:line="240" w:lineRule="auto"/>
        <w:ind w:right="0"/>
        <w:jc w:val="left"/>
      </w:pPr>
      <w:r>
        <w:rPr/>
        <w:t>摊销时产生的利得或损失，计入当期损益。</w:t>
      </w:r>
    </w:p>
    <w:p>
      <w:pPr>
        <w:pStyle w:val="BodyText"/>
        <w:spacing w:line="357" w:lineRule="auto" w:before="154"/>
        <w:ind w:left="578" w:right="0"/>
        <w:jc w:val="left"/>
      </w:pPr>
      <w:r>
        <w:rPr/>
        <w:t>④可供出售金融资产 </w:t>
      </w:r>
      <w:r>
        <w:rPr>
          <w:spacing w:val="2"/>
        </w:rPr>
        <w:t>包括初始确认时即被指定为可供出售的非衍生金融资产，以及除了以公允价值计量且其</w:t>
      </w:r>
      <w:r>
        <w:rPr/>
      </w:r>
    </w:p>
    <w:p>
      <w:pPr>
        <w:pStyle w:val="BodyText"/>
        <w:spacing w:line="357" w:lineRule="auto"/>
        <w:ind w:left="578" w:right="0" w:hanging="426"/>
        <w:jc w:val="left"/>
      </w:pPr>
      <w:r>
        <w:rPr/>
        <w:t>变动计入当期损益的金融资产、贷款和应收款项、持有至到期投资以外的金融资产。 </w:t>
      </w:r>
      <w:r>
        <w:rPr>
          <w:spacing w:val="2"/>
        </w:rPr>
        <w:t>可供出售金融资产采用公允价值进行后续计量，公允价值变动形成的利得或损失，除减</w:t>
      </w:r>
      <w:r>
        <w:rPr/>
      </w:r>
    </w:p>
    <w:p>
      <w:pPr>
        <w:pStyle w:val="BodyText"/>
        <w:spacing w:line="357" w:lineRule="auto"/>
        <w:ind w:right="159"/>
        <w:jc w:val="both"/>
      </w:pPr>
      <w:r>
        <w:rPr/>
        <w:t>值损失和外币货币性金融资产与摊余成本相关的汇兑差额计入当期损益外，确认为其他综合</w:t>
      </w:r>
      <w:r>
        <w:rPr>
          <w:spacing w:val="-91"/>
        </w:rPr>
        <w:t> </w:t>
      </w:r>
      <w:r>
        <w:rPr>
          <w:spacing w:val="-91"/>
        </w:rPr>
      </w:r>
      <w:r>
        <w:rPr/>
        <w:t>收益并计入资本公积，在该金融资产终止确认时转出，计入当期损益。</w:t>
      </w:r>
    </w:p>
    <w:p>
      <w:pPr>
        <w:pStyle w:val="BodyText"/>
        <w:spacing w:line="357" w:lineRule="auto" w:before="37"/>
        <w:ind w:right="148" w:firstLine="425"/>
        <w:jc w:val="both"/>
      </w:pPr>
      <w:r>
        <w:rPr>
          <w:spacing w:val="2"/>
        </w:rPr>
        <w:t>可供出售金融资产持有期间取得的利息及被投资单位宣告发放的现金股利，计入投资收 </w:t>
      </w:r>
      <w:r>
        <w:rPr/>
        <w:t>益。</w:t>
      </w:r>
    </w:p>
    <w:p>
      <w:pPr>
        <w:pStyle w:val="BodyText"/>
        <w:spacing w:line="357" w:lineRule="auto"/>
        <w:ind w:left="578" w:right="0"/>
        <w:jc w:val="left"/>
      </w:pPr>
      <w:r>
        <w:rPr>
          <w:rFonts w:ascii="宋体" w:hAnsi="宋体" w:cs="宋体" w:eastAsia="宋体" w:hint="default"/>
        </w:rPr>
        <w:t>B.</w:t>
      </w:r>
      <w:r>
        <w:rPr/>
        <w:t>金融负债 </w:t>
      </w:r>
      <w:r>
        <w:rPr>
          <w:spacing w:val="2"/>
        </w:rPr>
        <w:t>金融负债在初始确认时划分为以公允价值计量且其变动计入当期损益的金融负债和其他</w:t>
      </w:r>
      <w:r>
        <w:rPr/>
      </w:r>
    </w:p>
    <w:p>
      <w:pPr>
        <w:spacing w:after="0" w:line="357" w:lineRule="auto"/>
        <w:jc w:val="left"/>
        <w:sectPr>
          <w:footerReference w:type="default" r:id="rId22"/>
          <w:pgSz w:w="11910" w:h="16840"/>
          <w:pgMar w:footer="1186" w:header="745" w:top="1060" w:bottom="1380" w:left="980" w:right="980"/>
          <w:pgNumType w:start="110"/>
        </w:sectPr>
      </w:pPr>
    </w:p>
    <w:p>
      <w:pPr>
        <w:spacing w:line="240" w:lineRule="auto" w:before="6"/>
        <w:rPr>
          <w:rFonts w:ascii="宋体" w:hAnsi="宋体" w:cs="宋体" w:eastAsia="宋体" w:hint="default"/>
          <w:sz w:val="29"/>
          <w:szCs w:val="29"/>
        </w:rPr>
      </w:pPr>
    </w:p>
    <w:p>
      <w:pPr>
        <w:pStyle w:val="BodyText"/>
        <w:spacing w:line="357" w:lineRule="auto" w:before="26"/>
        <w:ind w:right="159"/>
        <w:jc w:val="both"/>
      </w:pPr>
      <w:r>
        <w:rPr/>
        <w:t>金融负债。初始确认金融负债，以公允价值计量。对于以公允价值计量且其变动计入当期损</w:t>
      </w:r>
      <w:r>
        <w:rPr>
          <w:spacing w:val="-91"/>
        </w:rPr>
        <w:t> </w:t>
      </w:r>
      <w:r>
        <w:rPr>
          <w:spacing w:val="-91"/>
        </w:rPr>
      </w:r>
      <w:r>
        <w:rPr/>
        <w:t>益的金融负债，相关的交易费用直接计入当期损益，对于其他金融负债，相关交易费用计入</w:t>
      </w:r>
      <w:r>
        <w:rPr>
          <w:spacing w:val="-91"/>
        </w:rPr>
        <w:t> </w:t>
      </w:r>
      <w:r>
        <w:rPr>
          <w:spacing w:val="-91"/>
        </w:rPr>
      </w:r>
      <w:r>
        <w:rPr/>
        <w:t>初始确认金额。</w:t>
      </w:r>
    </w:p>
    <w:p>
      <w:pPr>
        <w:pStyle w:val="BodyText"/>
        <w:spacing w:line="357" w:lineRule="auto"/>
        <w:ind w:left="578" w:right="0"/>
        <w:jc w:val="left"/>
      </w:pPr>
      <w:r>
        <w:rPr/>
        <w:t>①以公允价值计量且其变动计入当期损益的金融负债 </w:t>
      </w:r>
      <w:r>
        <w:rPr>
          <w:spacing w:val="2"/>
        </w:rPr>
        <w:t>分类为交易性金融负债和在初始确认时指定为以公允价值计量且其变动计入当期损益的</w:t>
      </w:r>
      <w:r>
        <w:rPr/>
      </w:r>
    </w:p>
    <w:p>
      <w:pPr>
        <w:pStyle w:val="BodyText"/>
        <w:spacing w:line="357" w:lineRule="auto"/>
        <w:ind w:right="159"/>
        <w:jc w:val="both"/>
      </w:pPr>
      <w:r>
        <w:rPr/>
        <w:t>金融负债的条件与分类为交易性金融资产和在初始确认时指定为以公允价值计量且其变动计</w:t>
      </w:r>
      <w:r>
        <w:rPr>
          <w:spacing w:val="-91"/>
        </w:rPr>
        <w:t> </w:t>
      </w:r>
      <w:r>
        <w:rPr>
          <w:spacing w:val="-91"/>
        </w:rPr>
      </w:r>
      <w:r>
        <w:rPr/>
        <w:t>入当期损益的金融资产的条件一致。</w:t>
      </w:r>
    </w:p>
    <w:p>
      <w:pPr>
        <w:pStyle w:val="BodyText"/>
        <w:spacing w:line="357" w:lineRule="auto"/>
        <w:ind w:right="147" w:firstLine="425"/>
        <w:jc w:val="both"/>
      </w:pPr>
      <w:r>
        <w:rPr>
          <w:spacing w:val="2"/>
        </w:rPr>
        <w:t>以公允价值计量且其变动计入当期损益的金融负债采用公允价值进行后续计量，公允价 </w:t>
      </w:r>
      <w:r>
        <w:rPr/>
        <w:t>值的变动形成的利得或损失以及与该等金融负债相关的股利和利息支出计入当期损益。</w:t>
      </w:r>
    </w:p>
    <w:p>
      <w:pPr>
        <w:pStyle w:val="BodyText"/>
        <w:spacing w:line="357" w:lineRule="auto" w:before="37"/>
        <w:ind w:left="578" w:right="0"/>
        <w:jc w:val="left"/>
      </w:pPr>
      <w:r>
        <w:rPr/>
        <w:t>②其他金融负债 </w:t>
      </w:r>
      <w:r>
        <w:rPr>
          <w:spacing w:val="2"/>
        </w:rPr>
        <w:t>与在活跃市场中没有报价、公允价值不能可靠计量的权益工具挂钩并须通过交付该权益</w:t>
      </w:r>
      <w:r>
        <w:rPr/>
      </w:r>
    </w:p>
    <w:p>
      <w:pPr>
        <w:pStyle w:val="BodyText"/>
        <w:spacing w:line="357" w:lineRule="auto"/>
        <w:ind w:right="159"/>
        <w:jc w:val="both"/>
      </w:pPr>
      <w:r>
        <w:rPr/>
        <w:t>工具结算的衍生金融负债，按照成本进行后续计量。其他金融负债采用实际利率法，按摊余</w:t>
      </w:r>
      <w:r>
        <w:rPr>
          <w:spacing w:val="-91"/>
        </w:rPr>
        <w:t> </w:t>
      </w:r>
      <w:r>
        <w:rPr>
          <w:spacing w:val="-91"/>
        </w:rPr>
      </w:r>
      <w:r>
        <w:rPr/>
        <w:t>成本进行后续计量，终止确认或摊销产生的利得或损失计入当期损益。</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47" w:firstLine="425"/>
        <w:jc w:val="both"/>
      </w:pPr>
      <w:r>
        <w:rPr>
          <w:spacing w:val="2"/>
        </w:rPr>
        <w:t>满足下列条件之一的金融资产，予以终止确认：①收取该金融资产现金流量的合同权利 </w:t>
      </w:r>
      <w:r>
        <w:rPr/>
        <w:t>终止；②该金融资产已转移，且将金融资产所有权上几乎所有的风险和报酬转移给转入方；</w:t>
      </w:r>
    </w:p>
    <w:p>
      <w:pPr>
        <w:pStyle w:val="BodyText"/>
        <w:spacing w:line="357" w:lineRule="auto" w:before="34"/>
        <w:ind w:right="158"/>
        <w:jc w:val="both"/>
      </w:pPr>
      <w:r>
        <w:rPr/>
        <w:t>③该金融资产已转移，虽然企业既没有转移也没有保留金融资产所有权上几乎所有的风险和</w:t>
      </w:r>
      <w:r>
        <w:rPr>
          <w:spacing w:val="-91"/>
        </w:rPr>
        <w:t> </w:t>
      </w:r>
      <w:r>
        <w:rPr>
          <w:spacing w:val="-91"/>
        </w:rPr>
      </w:r>
      <w:r>
        <w:rPr/>
        <w:t>报酬，但是放弃了对该金融资产控制。</w:t>
      </w:r>
    </w:p>
    <w:p>
      <w:pPr>
        <w:pStyle w:val="BodyText"/>
        <w:spacing w:line="357" w:lineRule="auto"/>
        <w:ind w:right="148" w:firstLine="425"/>
        <w:jc w:val="both"/>
      </w:pPr>
      <w:r>
        <w:rPr>
          <w:spacing w:val="2"/>
        </w:rPr>
        <w:t>若企业既没有转移也没有保留金融资产所有权上几乎所有的风险和报酬，且未放弃对该 </w:t>
      </w:r>
      <w:r>
        <w:rPr/>
        <w:t>金融资产的控制的，则按照继续涉入所转移金融资产的程度确认有关金融资产，并相应确认</w:t>
      </w:r>
      <w:r>
        <w:rPr>
          <w:spacing w:val="-91"/>
        </w:rPr>
        <w:t> </w:t>
      </w:r>
      <w:r>
        <w:rPr>
          <w:spacing w:val="-91"/>
        </w:rPr>
      </w:r>
      <w:r>
        <w:rPr/>
        <w:t>有关负债。继续涉入所转移金融资产的程度，是指该金融资产价值变动使企业面临的风险水</w:t>
      </w:r>
      <w:r>
        <w:rPr>
          <w:spacing w:val="-91"/>
        </w:rPr>
        <w:t> </w:t>
      </w:r>
      <w:r>
        <w:rPr>
          <w:spacing w:val="-91"/>
        </w:rPr>
      </w:r>
      <w:r>
        <w:rPr/>
        <w:t>平。</w:t>
      </w:r>
    </w:p>
    <w:p>
      <w:pPr>
        <w:pStyle w:val="BodyText"/>
        <w:spacing w:line="357" w:lineRule="auto"/>
        <w:ind w:right="148" w:firstLine="425"/>
        <w:jc w:val="both"/>
      </w:pPr>
      <w:r>
        <w:rPr>
          <w:spacing w:val="2"/>
        </w:rPr>
        <w:t>金融资产整体转移满足终止确认条件的，将所转移金融资产的账面价值及因转移而收到 </w:t>
      </w:r>
      <w:r>
        <w:rPr/>
        <w:t>的对价与原计入其他综合收益的公允价值变动累计额之和的差额计入当期损益。</w:t>
      </w:r>
    </w:p>
    <w:p>
      <w:pPr>
        <w:pStyle w:val="BodyText"/>
        <w:spacing w:line="357" w:lineRule="auto" w:before="37"/>
        <w:ind w:right="148" w:firstLine="425"/>
        <w:jc w:val="both"/>
      </w:pPr>
      <w:r>
        <w:rPr>
          <w:spacing w:val="2"/>
        </w:rPr>
        <w:t>金融资产部分转移满足终止确认条件的，将所转移金融资产的账面价值在终止确认及未 </w:t>
      </w:r>
      <w:r>
        <w:rPr/>
        <w:t>终止确认部分之间按其相对的公允价值进行分摊，并将因转移而收到的对价与应分摊至终止</w:t>
      </w:r>
      <w:r>
        <w:rPr>
          <w:spacing w:val="-91"/>
        </w:rPr>
        <w:t> </w:t>
      </w:r>
      <w:r>
        <w:rPr>
          <w:spacing w:val="-91"/>
        </w:rPr>
      </w:r>
      <w:r>
        <w:rPr/>
        <w:t>确认部分的原计入其他综合收益的公允价值变动累计额之和与分摊的前述账面金额之差额计</w:t>
      </w:r>
      <w:r>
        <w:rPr>
          <w:spacing w:val="-91"/>
        </w:rPr>
        <w:t> </w:t>
      </w:r>
      <w:r>
        <w:rPr>
          <w:spacing w:val="-91"/>
        </w:rPr>
      </w:r>
      <w:r>
        <w:rPr/>
        <w:t>入当期损益。</w:t>
      </w:r>
    </w:p>
    <w:p>
      <w:pPr>
        <w:spacing w:after="0" w:line="357" w:lineRule="auto"/>
        <w:jc w:val="both"/>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28" w:firstLine="425"/>
        <w:jc w:val="both"/>
      </w:pPr>
      <w:r>
        <w:rPr>
          <w:spacing w:val="2"/>
        </w:rPr>
        <w:t>金融负债的现时义务全部或部分已经解除的，才能终止确认该金融负债或其一部分。公 </w:t>
      </w:r>
      <w:r>
        <w:rPr/>
        <w:t>司（债务人）与债权人之间签订协议，以承担新金融负债方式替换现存金融负债，且新金融</w:t>
      </w:r>
      <w:r>
        <w:rPr>
          <w:spacing w:val="-91"/>
        </w:rPr>
        <w:t> </w:t>
      </w:r>
      <w:r>
        <w:rPr>
          <w:spacing w:val="-91"/>
        </w:rPr>
      </w:r>
      <w:r>
        <w:rPr/>
        <w:t>负债与现存金融负债的合同条款实质上不同的，终止确认现存金融负债，并同时确认新金融</w:t>
      </w:r>
      <w:r>
        <w:rPr>
          <w:spacing w:val="-88"/>
        </w:rPr>
        <w:t> </w:t>
      </w:r>
      <w:r>
        <w:rPr>
          <w:spacing w:val="-88"/>
        </w:rPr>
      </w:r>
      <w:r>
        <w:rPr/>
        <w:t>负债。</w:t>
      </w:r>
    </w:p>
    <w:p>
      <w:pPr>
        <w:pStyle w:val="BodyText"/>
        <w:spacing w:line="357" w:lineRule="auto"/>
        <w:ind w:right="96" w:firstLine="425"/>
        <w:jc w:val="left"/>
      </w:pPr>
      <w:r>
        <w:rPr>
          <w:spacing w:val="2"/>
        </w:rPr>
        <w:t>金融负债全部或部分终止确认的，将终止确认部分的账面价值与支付的对价（包括转出 </w:t>
      </w:r>
      <w:r>
        <w:rPr/>
        <w:t>的非现金资产或承担的新金融负债）之间的差额，计入当期损益。</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right="96" w:firstLine="425"/>
        <w:jc w:val="left"/>
      </w:pPr>
      <w:r>
        <w:rPr>
          <w:spacing w:val="-1"/>
        </w:rPr>
        <w:t>公允价值，指在公平交易中，熟悉情况的交易双方自愿进行资产交换或债务清偿的金额。</w:t>
      </w:r>
      <w:r>
        <w:rPr/>
        <w:t> 金融工具存在活跃市场的，本公司采用活跃市场中的报价确定其公允价值。活跃市场中的报</w:t>
      </w:r>
      <w:r>
        <w:rPr>
          <w:spacing w:val="-91"/>
        </w:rPr>
        <w:t> </w:t>
      </w:r>
      <w:r>
        <w:rPr>
          <w:spacing w:val="-91"/>
        </w:rPr>
      </w:r>
      <w:r>
        <w:rPr/>
        <w:t>价是指易于定期从交易所、经纪商、行业协会、定价服务机构等获得的价格，且代表了在公</w:t>
      </w:r>
      <w:r>
        <w:rPr>
          <w:spacing w:val="-91"/>
        </w:rPr>
        <w:t> </w:t>
      </w:r>
      <w:r>
        <w:rPr>
          <w:spacing w:val="-91"/>
        </w:rPr>
      </w:r>
      <w:r>
        <w:rPr/>
        <w:t>平交易中实际发生的市场交易的价格。金融工具不存在活跃市场的，本公司采用估值技术确</w:t>
      </w:r>
      <w:r>
        <w:rPr>
          <w:spacing w:val="-86"/>
        </w:rPr>
        <w:t> </w:t>
      </w:r>
      <w:r>
        <w:rPr>
          <w:spacing w:val="-86"/>
        </w:rPr>
      </w:r>
      <w:r>
        <w:rPr/>
        <w:t>定其公允价值。估值技术包括参考熟悉情况并自愿交易的各方最近进行的市场交易中使用的</w:t>
      </w:r>
      <w:r>
        <w:rPr>
          <w:spacing w:val="-91"/>
        </w:rPr>
        <w:t> </w:t>
      </w:r>
      <w:r>
        <w:rPr>
          <w:spacing w:val="-91"/>
        </w:rPr>
      </w:r>
      <w:r>
        <w:rPr>
          <w:spacing w:val="-2"/>
        </w:rPr>
        <w:t>价格、参照实质上相同的其他金融工具当前的公允价值、现金流量折现法和期权定价模型等。</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28" w:firstLine="425"/>
        <w:jc w:val="right"/>
      </w:pPr>
      <w:r>
        <w:rPr>
          <w:spacing w:val="2"/>
        </w:rPr>
        <w:t>除了以公允价值计量且其变动计入当期损益的金融资产外，公司在每个资产负债表日对 </w:t>
      </w:r>
      <w:r>
        <w:rPr/>
        <w:t>其他金融资产的账面价值进行检查，有客观证据表明金融资产发生减值的，计提减值准备。</w:t>
      </w:r>
      <w:r>
        <w:rPr/>
        <w:t> </w:t>
      </w:r>
      <w:r>
        <w:rPr>
          <w:spacing w:val="2"/>
        </w:rPr>
        <w:t>公司对单项金额重大的金融资产单独进行减值测试；对单项金额不重大的金融资产，单</w:t>
      </w:r>
      <w:r>
        <w:rPr>
          <w:spacing w:val="2"/>
        </w:rPr>
        <w:t> </w:t>
      </w:r>
      <w:r>
        <w:rPr/>
        <w:t>独进行减值测试或包括在具有类似信用风险特征的金融资产组合中进行减值测试。单独测试</w:t>
      </w:r>
      <w:r>
        <w:rPr>
          <w:spacing w:val="-107"/>
        </w:rPr>
        <w:t> </w:t>
      </w:r>
      <w:r>
        <w:rPr>
          <w:spacing w:val="-107"/>
        </w:rPr>
      </w:r>
      <w:r>
        <w:rPr/>
        <w:t>未发生减值的金融资产（包括单项金额重大和不重大的金融资产），包括在具有类似信用风</w:t>
      </w:r>
      <w:r>
        <w:rPr>
          <w:spacing w:val="-111"/>
        </w:rPr>
        <w:t> </w:t>
      </w:r>
      <w:r>
        <w:rPr>
          <w:spacing w:val="-111"/>
        </w:rPr>
      </w:r>
      <w:r>
        <w:rPr/>
        <w:t>险特征的金融资产组合中再进行减值测试。已单项确认减值损失的金融资产，不包括在具有</w:t>
      </w:r>
    </w:p>
    <w:p>
      <w:pPr>
        <w:pStyle w:val="BodyText"/>
        <w:spacing w:line="240" w:lineRule="auto"/>
        <w:ind w:right="0"/>
        <w:jc w:val="both"/>
      </w:pPr>
      <w:r>
        <w:rPr/>
        <w:t>类似信用风险特征的金融资产组合中进行减值测试。</w:t>
      </w:r>
    </w:p>
    <w:p>
      <w:pPr>
        <w:pStyle w:val="BodyText"/>
        <w:spacing w:line="357" w:lineRule="auto" w:before="154"/>
        <w:ind w:left="578" w:right="96"/>
        <w:jc w:val="left"/>
      </w:pPr>
      <w:r>
        <w:rPr/>
        <w:t>①持有至到期投资、贷款和应收款项减值 </w:t>
      </w:r>
      <w:r>
        <w:rPr>
          <w:spacing w:val="2"/>
        </w:rPr>
        <w:t>以成本或摊余成本计量的金融资产将其账面价值减记至预计未来现金流量现值，减记金</w:t>
      </w:r>
      <w:r>
        <w:rPr/>
      </w:r>
    </w:p>
    <w:p>
      <w:pPr>
        <w:pStyle w:val="BodyText"/>
        <w:spacing w:line="357" w:lineRule="auto"/>
        <w:ind w:right="234"/>
        <w:jc w:val="both"/>
      </w:pPr>
      <w:r>
        <w:rPr/>
        <w:t>额确认为减值损失，计入当期损益。金融资产在确认减值损失后，如有客观证据表明该金融</w:t>
      </w:r>
      <w:r>
        <w:rPr>
          <w:spacing w:val="-91"/>
        </w:rPr>
        <w:t> </w:t>
      </w:r>
      <w:r>
        <w:rPr>
          <w:spacing w:val="-91"/>
        </w:rPr>
      </w:r>
      <w:r>
        <w:rPr/>
        <w:t>资产价值已恢复，且客观上与确认该损失后发生的事项有关，原确认的减值损失予以转回，</w:t>
      </w:r>
      <w:r>
        <w:rPr>
          <w:spacing w:val="-87"/>
        </w:rPr>
        <w:t> </w:t>
      </w:r>
      <w:r>
        <w:rPr>
          <w:spacing w:val="-87"/>
        </w:rPr>
      </w:r>
      <w:r>
        <w:rPr/>
        <w:t>金融资产转回减值损失后的账面价值不超过假定不计提减值准备情况下该金融资产在转回日</w:t>
      </w:r>
    </w:p>
    <w:p>
      <w:pPr>
        <w:spacing w:after="0" w:line="357" w:lineRule="auto"/>
        <w:jc w:val="both"/>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240" w:lineRule="auto" w:before="26"/>
        <w:ind w:right="0"/>
        <w:jc w:val="both"/>
      </w:pPr>
      <w:r>
        <w:rPr/>
        <w:t>的摊余成本。</w:t>
      </w:r>
    </w:p>
    <w:p>
      <w:pPr>
        <w:pStyle w:val="BodyText"/>
        <w:spacing w:line="357" w:lineRule="auto" w:before="154"/>
        <w:ind w:left="578" w:right="96"/>
        <w:jc w:val="left"/>
      </w:pPr>
      <w:r>
        <w:rPr/>
        <w:t>②可供出售金融资产减值 </w:t>
      </w:r>
      <w:r>
        <w:rPr>
          <w:spacing w:val="2"/>
        </w:rPr>
        <w:t>期末如果可供出售金融资产的公允价值发生严重下降，或在综合考虑各种相关因素后，</w:t>
      </w:r>
      <w:r>
        <w:rPr/>
      </w:r>
    </w:p>
    <w:p>
      <w:pPr>
        <w:pStyle w:val="BodyText"/>
        <w:spacing w:line="357" w:lineRule="auto"/>
        <w:ind w:right="239"/>
        <w:jc w:val="both"/>
      </w:pPr>
      <w:r>
        <w:rPr/>
        <w:t>预期这种下降趋势属于非暂时性的，就认定其已发生减值，将原计入资本公积的因公允价值</w:t>
      </w:r>
      <w:r>
        <w:rPr>
          <w:spacing w:val="-91"/>
        </w:rPr>
        <w:t> </w:t>
      </w:r>
      <w:r>
        <w:rPr>
          <w:spacing w:val="-91"/>
        </w:rPr>
      </w:r>
      <w:r>
        <w:rPr/>
        <w:t>下降形成的累计损失予以转出并计入当期损益，该转出的累计损失为该资产初始取得成本扣</w:t>
      </w:r>
      <w:r>
        <w:rPr>
          <w:spacing w:val="-91"/>
        </w:rPr>
        <w:t> </w:t>
      </w:r>
      <w:r>
        <w:rPr>
          <w:spacing w:val="-91"/>
        </w:rPr>
      </w:r>
      <w:r>
        <w:rPr/>
        <w:t>除已收回本金和已摊销金额、当前公允价值和原已计入损益的减值损失后的余额。</w:t>
      </w:r>
    </w:p>
    <w:p>
      <w:pPr>
        <w:pStyle w:val="BodyText"/>
        <w:spacing w:line="357" w:lineRule="auto"/>
        <w:ind w:right="226" w:firstLine="425"/>
        <w:jc w:val="both"/>
      </w:pPr>
      <w:r>
        <w:rPr>
          <w:spacing w:val="2"/>
        </w:rPr>
        <w:t>在确认减值损失后，期后如有客观证据表明该金融资产价值已恢复，且客观上与确认该 </w:t>
      </w:r>
      <w:r>
        <w:rPr/>
        <w:t>损失后发生的事项有关，原确认的减值损失予以转回，可供出售权益工具投资的减值损失转</w:t>
      </w:r>
      <w:r>
        <w:rPr>
          <w:spacing w:val="-91"/>
        </w:rPr>
        <w:t> </w:t>
      </w:r>
      <w:r>
        <w:rPr>
          <w:spacing w:val="-91"/>
        </w:rPr>
      </w:r>
      <w:r>
        <w:rPr/>
        <w:t>回确认为其他综合收益，可供出售债务工具的减值损失转回计入当期损益。</w:t>
      </w:r>
    </w:p>
    <w:p>
      <w:pPr>
        <w:pStyle w:val="BodyText"/>
        <w:spacing w:line="357" w:lineRule="auto" w:before="37"/>
        <w:ind w:right="228" w:firstLine="425"/>
        <w:jc w:val="both"/>
      </w:pPr>
      <w:r>
        <w:rPr>
          <w:spacing w:val="2"/>
        </w:rPr>
        <w:t>在活跃市场中没有报价且其公允价值不能可靠计量的权益工具投资，或与该权益工具挂 </w:t>
      </w:r>
      <w:r>
        <w:rPr/>
        <w:t>钩并须通过交付该权益工具结算的衍生金融资产的减值损失，不予转回。</w:t>
      </w:r>
    </w:p>
    <w:p>
      <w:pPr>
        <w:pStyle w:val="BodyText"/>
        <w:spacing w:line="357" w:lineRule="auto"/>
        <w:ind w:left="578" w:right="96"/>
        <w:jc w:val="left"/>
      </w:pPr>
      <w:r>
        <w:rPr/>
        <w:t>各类可供出售金融资产减值的各项认定标准 </w:t>
      </w:r>
      <w:r>
        <w:rPr>
          <w:spacing w:val="2"/>
        </w:rPr>
        <w:t>本公司对可供出售债务工具投资减值的认定标准为：发行债券方发生重大财务困难；债</w:t>
      </w:r>
      <w:r>
        <w:rPr/>
      </w:r>
    </w:p>
    <w:p>
      <w:pPr>
        <w:pStyle w:val="BodyText"/>
        <w:spacing w:line="357" w:lineRule="auto"/>
        <w:ind w:left="578" w:right="96" w:hanging="426"/>
        <w:jc w:val="left"/>
      </w:pPr>
      <w:r>
        <w:rPr/>
        <w:t>务方违反合同条款逾期或不支付本金和利息等； </w:t>
      </w:r>
      <w:r>
        <w:rPr>
          <w:spacing w:val="2"/>
        </w:rPr>
        <w:t>本公司对可供出售权益工具投资减值的认定标准为：①可供出售债务工具参照持有到期</w:t>
      </w:r>
    </w:p>
    <w:p>
      <w:pPr>
        <w:pStyle w:val="BodyText"/>
        <w:spacing w:line="240" w:lineRule="auto"/>
        <w:ind w:right="0"/>
        <w:jc w:val="both"/>
      </w:pPr>
      <w:r>
        <w:rPr>
          <w:spacing w:val="-2"/>
        </w:rPr>
        <w:t>投资考虑因素；②可供出售权益工具（有公允价值）公允价值是否发生严重或非暂时性下跌；</w:t>
      </w:r>
    </w:p>
    <w:p>
      <w:pPr>
        <w:pStyle w:val="BodyText"/>
        <w:spacing w:line="357" w:lineRule="auto" w:before="154"/>
        <w:ind w:right="96"/>
        <w:jc w:val="left"/>
      </w:pPr>
      <w:r>
        <w:rPr/>
        <w:t>③可供出售权益工具（无公允价值）被投资单位经营发生重大亏损等，可能无法收回投资成</w:t>
      </w:r>
      <w:r>
        <w:rPr>
          <w:spacing w:val="-91"/>
        </w:rPr>
        <w:t> </w:t>
      </w:r>
      <w:r>
        <w:rPr>
          <w:spacing w:val="-91"/>
        </w:rPr>
      </w:r>
      <w:r>
        <w:rPr/>
        <w:t>本。</w:t>
      </w:r>
    </w:p>
    <w:p>
      <w:pPr>
        <w:pStyle w:val="BodyText"/>
        <w:spacing w:line="357" w:lineRule="auto"/>
        <w:ind w:right="229" w:firstLine="425"/>
        <w:jc w:val="both"/>
      </w:pPr>
      <w:r>
        <w:rPr>
          <w:spacing w:val="2"/>
        </w:rPr>
        <w:t>本公司对可供出售权益工具投资的公允价值下跌“严重”的标准为：截止报告期末公允</w:t>
      </w:r>
      <w:r>
        <w:rPr/>
        <w:t> </w:t>
      </w:r>
      <w:r>
        <w:rPr>
          <w:spacing w:val="-2"/>
        </w:rPr>
        <w:t>价值累计下跌超过投资成本的</w:t>
      </w:r>
      <w:r>
        <w:rPr>
          <w:rFonts w:ascii="宋体" w:hAnsi="宋体" w:cs="宋体" w:eastAsia="宋体" w:hint="default"/>
          <w:spacing w:val="-2"/>
        </w:rPr>
        <w:t>50%</w:t>
      </w:r>
      <w:r>
        <w:rPr>
          <w:spacing w:val="-2"/>
        </w:rPr>
        <w:t>；公允价值下跌“非暂时性”的标准为：截止报告期末公允</w:t>
      </w:r>
      <w:r>
        <w:rPr>
          <w:spacing w:val="-116"/>
        </w:rPr>
        <w:t> </w:t>
      </w:r>
      <w:r>
        <w:rPr>
          <w:spacing w:val="-116"/>
        </w:rPr>
      </w:r>
      <w:r>
        <w:rPr/>
        <w:t>价值持续下跌时间超过</w:t>
      </w:r>
      <w:r>
        <w:rPr>
          <w:rFonts w:ascii="宋体" w:hAnsi="宋体" w:cs="宋体" w:eastAsia="宋体" w:hint="default"/>
        </w:rPr>
        <w:t>12</w:t>
      </w:r>
      <w:r>
        <w:rPr/>
        <w:t>个月；投资成本的计算方法为：取得时的公允价值（扣除已宣告但</w:t>
      </w:r>
      <w:r>
        <w:rPr>
          <w:spacing w:val="-89"/>
        </w:rPr>
        <w:t> </w:t>
      </w:r>
      <w:r>
        <w:rPr>
          <w:spacing w:val="-89"/>
        </w:rPr>
      </w:r>
      <w:r>
        <w:rPr/>
        <w:t>尚未发放的现金股利或已到付息期但尚未领取的债券利息）和相关交易费用之和；持续下跌</w:t>
      </w:r>
      <w:r>
        <w:rPr>
          <w:spacing w:val="-85"/>
        </w:rPr>
        <w:t> </w:t>
      </w:r>
      <w:r>
        <w:rPr>
          <w:spacing w:val="-85"/>
        </w:rPr>
      </w:r>
      <w:r>
        <w:rPr/>
        <w:t>期间的确定依据为：自公允价值下跌至投资成本时至报告期末持续下跌超过</w:t>
      </w:r>
      <w:r>
        <w:rPr>
          <w:rFonts w:ascii="宋体" w:hAnsi="宋体" w:cs="宋体" w:eastAsia="宋体" w:hint="default"/>
        </w:rPr>
        <w:t>12</w:t>
      </w:r>
      <w:r>
        <w:rPr/>
        <w:t>个月。</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）将尚未到期的持有至到期投资重分类为可供出售金融资产的，说明持有意图或能力发生改变的依据</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、应收款项坏账准备的确认标准和计提方法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578" w:right="96"/>
        <w:jc w:val="left"/>
      </w:pPr>
      <w:r>
        <w:rPr/>
        <w:t>（</w:t>
      </w:r>
      <w:r>
        <w:rPr>
          <w:rFonts w:ascii="宋体" w:hAnsi="宋体" w:cs="宋体" w:eastAsia="宋体" w:hint="default"/>
        </w:rPr>
        <w:t>1</w:t>
      </w:r>
      <w:r>
        <w:rPr/>
        <w:t>）坏账准备的确认标准 </w:t>
      </w:r>
      <w:r>
        <w:rPr>
          <w:spacing w:val="2"/>
        </w:rPr>
        <w:t>公司在资产负债表日对应收款项账面价值进行检查，对存在下列客观证据表明应收款项</w:t>
      </w:r>
      <w:r>
        <w:rPr/>
      </w:r>
    </w:p>
    <w:p>
      <w:pPr>
        <w:spacing w:after="0" w:line="357" w:lineRule="auto"/>
        <w:jc w:val="left"/>
        <w:sectPr>
          <w:footerReference w:type="default" r:id="rId23"/>
          <w:pgSz w:w="11910" w:h="16840"/>
          <w:pgMar w:footer="1186" w:header="745" w:top="1060" w:bottom="1380" w:left="980" w:right="900"/>
          <w:pgNumType w:start="113"/>
        </w:sectPr>
      </w:pPr>
    </w:p>
    <w:p>
      <w:pPr>
        <w:spacing w:line="240" w:lineRule="auto" w:before="6"/>
        <w:rPr>
          <w:rFonts w:ascii="宋体" w:hAnsi="宋体" w:cs="宋体" w:eastAsia="宋体" w:hint="default"/>
          <w:sz w:val="29"/>
          <w:szCs w:val="29"/>
        </w:rPr>
      </w:pPr>
    </w:p>
    <w:p>
      <w:pPr>
        <w:pStyle w:val="BodyText"/>
        <w:spacing w:line="357" w:lineRule="auto" w:before="26"/>
        <w:ind w:right="153"/>
        <w:jc w:val="both"/>
      </w:pPr>
      <w:r>
        <w:rPr/>
        <w:t>发生减值的，计提减值准备：①债务人发生严重的财务困难；②债务人违反合同条款（如偿</w:t>
      </w:r>
      <w:r>
        <w:rPr>
          <w:spacing w:val="-88"/>
        </w:rPr>
        <w:t> </w:t>
      </w:r>
      <w:r>
        <w:rPr>
          <w:spacing w:val="-88"/>
        </w:rPr>
      </w:r>
      <w:r>
        <w:rPr/>
        <w:t>付利息或本金发生违约或逾期等）；③债务人很可能倒闭或进行其他财务重组；④其他表明</w:t>
      </w:r>
      <w:r>
        <w:rPr>
          <w:spacing w:val="-87"/>
        </w:rPr>
        <w:t> </w:t>
      </w:r>
      <w:r>
        <w:rPr>
          <w:spacing w:val="-87"/>
        </w:rPr>
      </w:r>
      <w:r>
        <w:rPr/>
        <w:t>应收款项发生减值的客观依据。</w:t>
      </w:r>
    </w:p>
    <w:p>
      <w:pPr>
        <w:pStyle w:val="BodyText"/>
        <w:spacing w:line="240" w:lineRule="auto"/>
        <w:ind w:left="578" w:right="0"/>
        <w:jc w:val="left"/>
      </w:pPr>
      <w:r>
        <w:rPr/>
        <w:t>（</w:t>
      </w:r>
      <w:r>
        <w:rPr>
          <w:rFonts w:ascii="宋体" w:hAnsi="宋体" w:cs="宋体" w:eastAsia="宋体" w:hint="default"/>
        </w:rPr>
        <w:t>2</w:t>
      </w:r>
      <w:r>
        <w:rPr/>
        <w:t>）坏账准备的计提方法</w:t>
      </w:r>
    </w:p>
    <w:p>
      <w:pPr>
        <w:pStyle w:val="BodyText"/>
        <w:spacing w:line="357" w:lineRule="auto" w:before="154"/>
        <w:ind w:left="578" w:right="0"/>
        <w:jc w:val="left"/>
      </w:pPr>
      <w:r>
        <w:rPr/>
        <w:t>①单项金额重大并单项计提坏账准备的应收款项坏账准备的确认标准、计提方法 公司将单项金额为人民币</w:t>
      </w:r>
      <w:r>
        <w:rPr>
          <w:rFonts w:ascii="宋体" w:hAnsi="宋体" w:cs="宋体" w:eastAsia="宋体" w:hint="default"/>
        </w:rPr>
        <w:t>100</w:t>
      </w:r>
      <w:r>
        <w:rPr/>
        <w:t>万元以上（含</w:t>
      </w:r>
      <w:r>
        <w:rPr>
          <w:rFonts w:ascii="宋体" w:hAnsi="宋体" w:cs="宋体" w:eastAsia="宋体" w:hint="default"/>
        </w:rPr>
        <w:t>100</w:t>
      </w:r>
      <w:r>
        <w:rPr/>
        <w:t>万元）的应收款项确认为单项金额重大的</w:t>
      </w:r>
    </w:p>
    <w:p>
      <w:pPr>
        <w:pStyle w:val="BodyText"/>
        <w:spacing w:line="240" w:lineRule="auto"/>
        <w:ind w:right="0"/>
        <w:jc w:val="both"/>
      </w:pPr>
      <w:r>
        <w:rPr/>
        <w:t>应收款项。</w:t>
      </w:r>
    </w:p>
    <w:p>
      <w:pPr>
        <w:pStyle w:val="BodyText"/>
        <w:spacing w:line="357" w:lineRule="auto" w:before="154"/>
        <w:ind w:right="148" w:firstLine="425"/>
        <w:jc w:val="both"/>
      </w:pPr>
      <w:r>
        <w:rPr>
          <w:spacing w:val="2"/>
        </w:rPr>
        <w:t>公司对单项金额重大的应收款项单独进行减值测试，单独测试未发生减值的金融资产， </w:t>
      </w:r>
      <w:r>
        <w:rPr/>
        <w:t>包括在具有类似信用风险特征的金融资产组合中进行减值测试。单项测试已确认减值损失的</w:t>
      </w:r>
      <w:r>
        <w:rPr>
          <w:spacing w:val="-91"/>
        </w:rPr>
        <w:t> </w:t>
      </w:r>
      <w:r>
        <w:rPr>
          <w:spacing w:val="-91"/>
        </w:rPr>
      </w:r>
      <w:r>
        <w:rPr/>
        <w:t>应收款项，不再包括在具有类似信用风险特征的应收款项组合中进行减值测试。</w:t>
      </w:r>
    </w:p>
    <w:p>
      <w:pPr>
        <w:pStyle w:val="BodyText"/>
        <w:spacing w:line="357" w:lineRule="auto"/>
        <w:ind w:left="578" w:right="0"/>
        <w:jc w:val="left"/>
      </w:pPr>
      <w:r>
        <w:rPr/>
        <w:t>②按信用风险组合计提坏账准备的应收款项的确定依据、坏账准备计提方法 </w:t>
      </w:r>
      <w:r>
        <w:rPr>
          <w:rFonts w:ascii="宋体" w:hAnsi="宋体" w:cs="宋体" w:eastAsia="宋体" w:hint="default"/>
        </w:rPr>
        <w:t>A</w:t>
      </w:r>
      <w:r>
        <w:rPr/>
        <w:t>、信用风险特征组合的确定依据 </w:t>
      </w:r>
      <w:r>
        <w:rPr>
          <w:spacing w:val="2"/>
        </w:rPr>
        <w:t>公司对单项金额不重大以及金额重大但单项测试未发生减值的应收款项，按信用风险特</w:t>
      </w:r>
      <w:r>
        <w:rPr/>
      </w:r>
    </w:p>
    <w:p>
      <w:pPr>
        <w:pStyle w:val="BodyText"/>
        <w:spacing w:line="357" w:lineRule="auto"/>
        <w:ind w:right="159"/>
        <w:jc w:val="both"/>
      </w:pPr>
      <w:r>
        <w:rPr/>
        <w:t>征的相似性和相关性对金融资产进行分组。这些信用风险通常反映债务人按照该等资产的合</w:t>
      </w:r>
      <w:r>
        <w:rPr>
          <w:spacing w:val="-91"/>
        </w:rPr>
        <w:t> </w:t>
      </w:r>
      <w:r>
        <w:rPr>
          <w:spacing w:val="-91"/>
        </w:rPr>
      </w:r>
      <w:r>
        <w:rPr/>
        <w:t>同条款偿还所有到期金额的能力，并且与被检查资产的未来现金流量测算相关。</w:t>
      </w:r>
    </w:p>
    <w:p>
      <w:pPr>
        <w:pStyle w:val="BodyText"/>
        <w:spacing w:line="240" w:lineRule="auto"/>
        <w:ind w:left="578" w:right="0"/>
        <w:jc w:val="left"/>
      </w:pPr>
      <w:r>
        <w:rPr/>
        <w:t>不同组合的确定依据：</w:t>
      </w:r>
    </w:p>
    <w:p>
      <w:pPr>
        <w:spacing w:line="240" w:lineRule="auto" w:before="10"/>
        <w:rPr>
          <w:rFonts w:ascii="宋体" w:hAnsi="宋体" w:cs="宋体" w:eastAsia="宋体" w:hint="default"/>
          <w:sz w:val="8"/>
          <w:szCs w:val="8"/>
        </w:rPr>
      </w:pPr>
    </w:p>
    <w:tbl>
      <w:tblPr>
        <w:tblW w:w="0" w:type="auto"/>
        <w:jc w:val="left"/>
        <w:tblInd w:w="758" w:type="dxa"/>
        <w:tblLayout w:type="fixed"/>
        <w:tblCellMar>
          <w:top w:w="0" w:type="dxa"/>
          <w:left w:w="0" w:type="dxa"/>
          <w:bottom w:w="0" w:type="dxa"/>
          <w:right w:w="0" w:type="dxa"/>
        </w:tblCellMar>
        <w:tblLook w:val="01E0"/>
      </w:tblPr>
      <w:tblGrid>
        <w:gridCol w:w="2794"/>
        <w:gridCol w:w="4962"/>
      </w:tblGrid>
      <w:tr>
        <w:trPr>
          <w:trHeight w:val="341" w:hRule="exact"/>
        </w:trPr>
        <w:tc>
          <w:tcPr>
            <w:tcW w:w="77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按应收款项发生时间划分</w:t>
            </w:r>
          </w:p>
        </w:tc>
      </w:tr>
      <w:tr>
        <w:trPr>
          <w:trHeight w:val="34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按应收款项风险程度划分</w:t>
            </w:r>
          </w:p>
        </w:tc>
      </w:tr>
      <w:tr>
        <w:trPr>
          <w:trHeight w:val="343" w:hRule="exact"/>
        </w:trPr>
        <w:tc>
          <w:tcPr>
            <w:tcW w:w="77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34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4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line="240" w:lineRule="auto" w:before="11"/>
        <w:rPr>
          <w:rFonts w:ascii="宋体" w:hAnsi="宋体" w:cs="宋体" w:eastAsia="宋体" w:hint="default"/>
          <w:sz w:val="24"/>
          <w:szCs w:val="24"/>
        </w:rPr>
      </w:pPr>
    </w:p>
    <w:p>
      <w:pPr>
        <w:pStyle w:val="BodyText"/>
        <w:spacing w:line="357" w:lineRule="auto" w:before="26"/>
        <w:ind w:left="578" w:right="0"/>
        <w:jc w:val="left"/>
      </w:pPr>
      <w:r>
        <w:rPr>
          <w:rFonts w:ascii="宋体" w:hAnsi="宋体" w:cs="宋体" w:eastAsia="宋体" w:hint="default"/>
        </w:rPr>
        <w:t>B</w:t>
      </w:r>
      <w:r>
        <w:rPr/>
        <w:t>、根据信用风险特征组合确定的坏账准备计提方法 </w:t>
      </w:r>
      <w:r>
        <w:rPr>
          <w:spacing w:val="2"/>
        </w:rPr>
        <w:t>按组合方式实施减值测试时，坏账准备金额系根据应收款项组合结构及类似信用风险特</w:t>
      </w:r>
      <w:r>
        <w:rPr/>
      </w:r>
    </w:p>
    <w:p>
      <w:pPr>
        <w:pStyle w:val="BodyText"/>
        <w:spacing w:line="357" w:lineRule="auto"/>
        <w:ind w:right="0"/>
        <w:jc w:val="left"/>
      </w:pPr>
      <w:r>
        <w:rPr/>
        <w:t>征（债务人根据合同条款偿还欠款的能力）按历史损失经验及目前经济状况与预计应收款项</w:t>
      </w:r>
      <w:r>
        <w:rPr>
          <w:spacing w:val="-91"/>
        </w:rPr>
        <w:t> </w:t>
      </w:r>
      <w:r>
        <w:rPr>
          <w:spacing w:val="-91"/>
        </w:rPr>
      </w:r>
      <w:r>
        <w:rPr/>
        <w:t>组合中已经存在的损失评估确定。</w:t>
      </w:r>
    </w:p>
    <w:p>
      <w:pPr>
        <w:pStyle w:val="BodyText"/>
        <w:spacing w:line="240" w:lineRule="auto" w:before="37"/>
        <w:ind w:left="578" w:right="0"/>
        <w:jc w:val="left"/>
      </w:pPr>
      <w:r>
        <w:rPr/>
        <w:t>组合中，采用账龄分析法计提坏账准备的：</w:t>
      </w:r>
    </w:p>
    <w:p>
      <w:pPr>
        <w:spacing w:line="240" w:lineRule="auto" w:before="10"/>
        <w:rPr>
          <w:rFonts w:ascii="宋体" w:hAnsi="宋体" w:cs="宋体" w:eastAsia="宋体" w:hint="default"/>
          <w:sz w:val="8"/>
          <w:szCs w:val="8"/>
        </w:rPr>
      </w:pPr>
    </w:p>
    <w:tbl>
      <w:tblPr>
        <w:tblW w:w="0" w:type="auto"/>
        <w:jc w:val="left"/>
        <w:tblInd w:w="758" w:type="dxa"/>
        <w:tblLayout w:type="fixed"/>
        <w:tblCellMar>
          <w:top w:w="0" w:type="dxa"/>
          <w:left w:w="0" w:type="dxa"/>
          <w:bottom w:w="0" w:type="dxa"/>
          <w:right w:w="0" w:type="dxa"/>
        </w:tblCellMar>
        <w:tblLook w:val="01E0"/>
      </w:tblPr>
      <w:tblGrid>
        <w:gridCol w:w="2792"/>
        <w:gridCol w:w="2511"/>
        <w:gridCol w:w="2453"/>
      </w:tblGrid>
      <w:tr>
        <w:trPr>
          <w:trHeight w:val="34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4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4" w:right="0"/>
              <w:jc w:val="left"/>
              <w:rPr>
                <w:rFonts w:ascii="Times New Roman" w:hAnsi="Times New Roman" w:cs="Times New Roman" w:eastAsia="Times New Roman" w:hint="default"/>
                <w:sz w:val="18"/>
                <w:szCs w:val="18"/>
              </w:rPr>
            </w:pPr>
            <w:r>
              <w:rPr>
                <w:rFonts w:ascii="Times New Roman"/>
                <w:sz w:val="18"/>
              </w:rPr>
              <w:t>0.5</w:t>
            </w:r>
          </w:p>
        </w:tc>
      </w:tr>
      <w:tr>
        <w:trPr>
          <w:trHeight w:val="34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4" w:right="0"/>
              <w:jc w:val="left"/>
              <w:rPr>
                <w:rFonts w:ascii="Times New Roman" w:hAnsi="Times New Roman" w:cs="Times New Roman" w:eastAsia="Times New Roman" w:hint="default"/>
                <w:sz w:val="18"/>
                <w:szCs w:val="18"/>
              </w:rPr>
            </w:pPr>
            <w:r>
              <w:rPr>
                <w:rFonts w:ascii="Times New Roman"/>
                <w:sz w:val="18"/>
              </w:rPr>
              <w:t>2</w:t>
            </w:r>
          </w:p>
        </w:tc>
      </w:tr>
      <w:tr>
        <w:trPr>
          <w:trHeight w:val="34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4" w:right="0"/>
              <w:jc w:val="left"/>
              <w:rPr>
                <w:rFonts w:ascii="Times New Roman" w:hAnsi="Times New Roman" w:cs="Times New Roman" w:eastAsia="Times New Roman" w:hint="default"/>
                <w:sz w:val="18"/>
                <w:szCs w:val="18"/>
              </w:rPr>
            </w:pPr>
            <w:r>
              <w:rPr>
                <w:rFonts w:ascii="Times New Roman"/>
                <w:sz w:val="18"/>
              </w:rPr>
              <w:t>10</w:t>
            </w:r>
          </w:p>
        </w:tc>
      </w:tr>
      <w:tr>
        <w:trPr>
          <w:trHeight w:val="34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4" w:right="0"/>
              <w:jc w:val="lef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758" w:type="dxa"/>
        <w:tblLayout w:type="fixed"/>
        <w:tblCellMar>
          <w:top w:w="0" w:type="dxa"/>
          <w:left w:w="0" w:type="dxa"/>
          <w:bottom w:w="0" w:type="dxa"/>
          <w:right w:w="0" w:type="dxa"/>
        </w:tblCellMar>
        <w:tblLook w:val="01E0"/>
      </w:tblPr>
      <w:tblGrid>
        <w:gridCol w:w="2792"/>
        <w:gridCol w:w="2511"/>
        <w:gridCol w:w="2453"/>
      </w:tblGrid>
      <w:tr>
        <w:trPr>
          <w:trHeight w:val="34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4" w:right="0"/>
              <w:jc w:val="left"/>
              <w:rPr>
                <w:rFonts w:ascii="Times New Roman" w:hAnsi="Times New Roman" w:cs="Times New Roman" w:eastAsia="Times New Roman" w:hint="default"/>
                <w:sz w:val="18"/>
                <w:szCs w:val="18"/>
              </w:rPr>
            </w:pPr>
            <w:r>
              <w:rPr>
                <w:rFonts w:ascii="Times New Roman"/>
                <w:sz w:val="18"/>
              </w:rPr>
              <w:t>50</w:t>
            </w:r>
          </w:p>
        </w:tc>
      </w:tr>
      <w:tr>
        <w:trPr>
          <w:trHeight w:val="34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100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11"/>
        <w:rPr>
          <w:rFonts w:ascii="宋体" w:hAnsi="宋体" w:cs="宋体" w:eastAsia="宋体" w:hint="default"/>
          <w:sz w:val="24"/>
          <w:szCs w:val="24"/>
        </w:rPr>
      </w:pPr>
    </w:p>
    <w:p>
      <w:pPr>
        <w:pStyle w:val="BodyText"/>
        <w:spacing w:line="357" w:lineRule="auto" w:before="26"/>
        <w:ind w:left="578" w:right="0" w:firstLine="120"/>
        <w:jc w:val="left"/>
      </w:pPr>
      <w:r>
        <w:rPr/>
        <w:t>③单项金额虽不重大但单项计提坏账准备的应收款项 </w:t>
      </w:r>
      <w:r>
        <w:rPr>
          <w:spacing w:val="2"/>
        </w:rPr>
        <w:t>公司对于单项金额虽不重大但具备以下特征的应收款项，单独进行减值测试，有客观证</w:t>
      </w:r>
      <w:r>
        <w:rPr/>
      </w:r>
    </w:p>
    <w:p>
      <w:pPr>
        <w:pStyle w:val="BodyText"/>
        <w:spacing w:line="357" w:lineRule="auto"/>
        <w:ind w:right="159"/>
        <w:jc w:val="both"/>
      </w:pPr>
      <w:r>
        <w:rPr/>
        <w:t>据表明其发生了减值的，根据其未来现金流量现值低于其账面价值的差额，确认减值损失，</w:t>
      </w:r>
      <w:r>
        <w:rPr>
          <w:spacing w:val="-91"/>
        </w:rPr>
        <w:t> </w:t>
      </w:r>
      <w:r>
        <w:rPr>
          <w:spacing w:val="-91"/>
        </w:rPr>
      </w:r>
      <w:r>
        <w:rPr/>
        <w:t>计提坏账准备。如：应收关联方款项；与对方存在争议或涉及诉讼、仲裁的应收款项；已有</w:t>
      </w:r>
      <w:r>
        <w:rPr>
          <w:spacing w:val="-91"/>
        </w:rPr>
        <w:t> </w:t>
      </w:r>
      <w:r>
        <w:rPr>
          <w:spacing w:val="-91"/>
        </w:rPr>
      </w:r>
      <w:r>
        <w:rPr/>
        <w:t>明显迹象表明债务人很可能无法履行还款义务的应收款项等。</w:t>
      </w:r>
    </w:p>
    <w:p>
      <w:pPr>
        <w:pStyle w:val="BodyText"/>
        <w:spacing w:line="357" w:lineRule="auto"/>
        <w:ind w:left="578" w:right="0"/>
        <w:jc w:val="left"/>
      </w:pPr>
      <w:r>
        <w:rPr/>
        <w:t>（</w:t>
      </w:r>
      <w:r>
        <w:rPr>
          <w:rFonts w:ascii="宋体" w:hAnsi="宋体" w:cs="宋体" w:eastAsia="宋体" w:hint="default"/>
        </w:rPr>
        <w:t>3</w:t>
      </w:r>
      <w:r>
        <w:rPr/>
        <w:t>）坏账准备的转回 </w:t>
      </w:r>
      <w:r>
        <w:rPr>
          <w:spacing w:val="2"/>
        </w:rPr>
        <w:t>如有客观证据表明该应收款项价值已恢复，且客观上与确认该损失后发生的事项有关，</w:t>
      </w:r>
      <w:r>
        <w:rPr/>
      </w:r>
    </w:p>
    <w:p>
      <w:pPr>
        <w:pStyle w:val="BodyText"/>
        <w:spacing w:line="357" w:lineRule="auto" w:before="37"/>
        <w:ind w:right="159"/>
        <w:jc w:val="both"/>
      </w:pPr>
      <w:r>
        <w:rPr/>
        <w:t>原确认的减值损失予以转回，计入当期损益。但是，该转回后的账面价值不超过假定不计提</w:t>
      </w:r>
      <w:r>
        <w:rPr>
          <w:spacing w:val="-91"/>
        </w:rPr>
        <w:t> </w:t>
      </w:r>
      <w:r>
        <w:rPr>
          <w:spacing w:val="-91"/>
        </w:rPr>
      </w:r>
      <w:r>
        <w:rPr/>
        <w:t>减值准备情况下该应收款项在转回日的摊余成本。</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5"/>
      </w:tblGrid>
      <w:tr>
        <w:trPr>
          <w:trHeight w:val="713" w:hRule="exact"/>
        </w:trPr>
        <w:tc>
          <w:tcPr>
            <w:tcW w:w="5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公司将单项金额为人民币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万元以上（含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万元）的</w:t>
            </w:r>
            <w:r>
              <w:rPr>
                <w:rFonts w:ascii="宋体" w:hAnsi="宋体" w:cs="宋体" w:eastAsia="宋体" w:hint="default"/>
                <w:sz w:val="18"/>
                <w:szCs w:val="18"/>
              </w:rPr>
              <w:t> 应收款项确认为单项金额重大的应收款项。</w:t>
            </w:r>
          </w:p>
        </w:tc>
      </w:tr>
      <w:tr>
        <w:trPr>
          <w:trHeight w:val="1652" w:hRule="exact"/>
        </w:trPr>
        <w:tc>
          <w:tcPr>
            <w:tcW w:w="5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4"/>
              <w:jc w:val="both"/>
              <w:rPr>
                <w:rFonts w:ascii="宋体" w:hAnsi="宋体" w:cs="宋体" w:eastAsia="宋体" w:hint="default"/>
                <w:sz w:val="18"/>
                <w:szCs w:val="18"/>
              </w:rPr>
            </w:pPr>
            <w:r>
              <w:rPr>
                <w:rFonts w:ascii="宋体" w:hAnsi="宋体" w:cs="宋体" w:eastAsia="宋体" w:hint="default"/>
                <w:spacing w:val="-2"/>
                <w:sz w:val="18"/>
                <w:szCs w:val="18"/>
              </w:rPr>
              <w:t>公司对单项金额重大的应收款项单独进行减值测试，单独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测试未发生减值的金融资产，包括在具有类似信用风险特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征的金融资产组合中进行减值测试。单项测试已确认减值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损失的应收款项，不再包括在具有类似信用风险特征的应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收款项组合中进行减值测试。</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4"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按应收款项发生时间划分</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按应收款项风险程度划分</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88"/>
        <w:gridCol w:w="2987"/>
        <w:gridCol w:w="3995"/>
      </w:tblGrid>
      <w:tr>
        <w:trPr>
          <w:trHeight w:val="404" w:hRule="exact"/>
        </w:trPr>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w:t>
            </w:r>
          </w:p>
        </w:tc>
      </w:tr>
      <w:tr>
        <w:trPr>
          <w:trHeight w:val="403" w:hRule="exact"/>
        </w:trPr>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88"/>
        <w:gridCol w:w="2987"/>
        <w:gridCol w:w="3995"/>
      </w:tblGrid>
      <w:tr>
        <w:trPr>
          <w:trHeight w:val="401" w:hRule="exact"/>
        </w:trPr>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4" w:hRule="exact"/>
        </w:trPr>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100%</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5"/>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）单项金额虽不重大但单项计提坏账准备的应收账款</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1652"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9"/>
              <w:jc w:val="both"/>
              <w:rPr>
                <w:rFonts w:ascii="宋体" w:hAnsi="宋体" w:cs="宋体" w:eastAsia="宋体" w:hint="default"/>
                <w:sz w:val="18"/>
                <w:szCs w:val="18"/>
              </w:rPr>
            </w:pPr>
            <w:r>
              <w:rPr>
                <w:rFonts w:ascii="宋体" w:hAnsi="宋体" w:cs="宋体" w:eastAsia="宋体" w:hint="default"/>
                <w:sz w:val="18"/>
                <w:szCs w:val="18"/>
              </w:rPr>
              <w:t>公司对于单项金额虽不重大但具备以下特征的应收款项，单独进行减值测试， 有客观证据表明其发生了减值的，根据其未来现金流量现值低于其账面价值的 差额，确认减值损失，计提坏账准备。如：应收关联方款项；与对方存在争议 或涉及诉讼、仲裁的应收款项；已有明显迹象表明债务人很可能无法履行还款 义务的应收款项等。</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根据其未来现金流量现值低于其账面价值的差额，确认减值损失，计提坏账准 备。</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47" w:firstLine="425"/>
        <w:jc w:val="both"/>
      </w:pPr>
      <w:r>
        <w:rPr>
          <w:spacing w:val="2"/>
        </w:rPr>
        <w:t>存货分类为：原材料、在产品及自制半成品、库存商品、发出商品、委托加工物资、低 </w:t>
      </w:r>
      <w:r>
        <w:rPr/>
        <w:t>值易耗品、在途物资、项目成本等。</w:t>
      </w: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left="578" w:right="0"/>
        <w:jc w:val="left"/>
      </w:pPr>
      <w:r>
        <w:rPr/>
        <w:t>计价方法：加权平均法 </w:t>
      </w:r>
      <w:r>
        <w:rPr>
          <w:spacing w:val="2"/>
        </w:rPr>
        <w:t>存货在取得时按实际成本计价，存货成本包括采购成本、加工成本和其他成本。领用和</w:t>
      </w:r>
      <w:r>
        <w:rPr/>
      </w:r>
    </w:p>
    <w:p>
      <w:pPr>
        <w:pStyle w:val="BodyText"/>
        <w:spacing w:line="240" w:lineRule="auto"/>
        <w:ind w:right="0"/>
        <w:jc w:val="left"/>
      </w:pPr>
      <w:r>
        <w:rPr/>
        <w:t>发出时按加权平均法计价。</w:t>
      </w:r>
    </w:p>
    <w:p>
      <w:pPr>
        <w:spacing w:line="240" w:lineRule="auto" w:before="10"/>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48" w:firstLine="425"/>
        <w:jc w:val="both"/>
      </w:pPr>
      <w:r>
        <w:rPr>
          <w:spacing w:val="2"/>
        </w:rPr>
        <w:t>可变现净值是指在日常活动中，存货的估计售价减去至完工时估计将要发生的成本、估 </w:t>
      </w:r>
      <w:r>
        <w:rPr/>
        <w:t>计的销售费用以及相关税费后的金额。在确定存货的可变现净值时，以取得的确凿证据为基</w:t>
      </w:r>
      <w:r>
        <w:rPr>
          <w:spacing w:val="-91"/>
        </w:rPr>
        <w:t> </w:t>
      </w:r>
      <w:r>
        <w:rPr>
          <w:spacing w:val="-91"/>
        </w:rPr>
      </w:r>
      <w:r>
        <w:rPr/>
        <w:t>础，同时考虑持有存货的目的以及资产负债表日后事项的影响。</w:t>
      </w:r>
    </w:p>
    <w:p>
      <w:pPr>
        <w:pStyle w:val="BodyText"/>
        <w:spacing w:line="357" w:lineRule="auto"/>
        <w:ind w:right="148" w:firstLine="425"/>
        <w:jc w:val="both"/>
      </w:pPr>
      <w:r>
        <w:rPr>
          <w:spacing w:val="2"/>
        </w:rPr>
        <w:t>在资产负债表日，存货按照成本与可变现净值孰低计量。当其可变现净值低于成本时， </w:t>
      </w:r>
      <w:r>
        <w:rPr/>
        <w:t>提取存货跌价准备。存货跌价准备按单个存货项目的成本高于其可变现净值的差额提取。</w:t>
      </w:r>
    </w:p>
    <w:p>
      <w:pPr>
        <w:pStyle w:val="BodyText"/>
        <w:spacing w:line="240" w:lineRule="auto"/>
        <w:ind w:left="578" w:right="0"/>
        <w:jc w:val="left"/>
      </w:pPr>
      <w:r>
        <w:rPr>
          <w:spacing w:val="2"/>
        </w:rPr>
        <w:t>计提存货跌价准备后，如果以前减记存货价值的影响因素已经消失，导致存货的可变现</w:t>
      </w:r>
      <w:r>
        <w:rPr/>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0"/>
        <w:jc w:val="left"/>
      </w:pPr>
      <w:r>
        <w:rPr/>
        <w:t>净值高于其账面价值的，在原已计提的存货跌价准备金额内予以转回，转回的金额计入当期</w:t>
      </w:r>
      <w:r>
        <w:rPr>
          <w:spacing w:val="-91"/>
        </w:rPr>
        <w:t> </w:t>
      </w:r>
      <w:r>
        <w:rPr>
          <w:spacing w:val="-91"/>
        </w:rPr>
      </w:r>
      <w:r>
        <w:rPr/>
        <w:t>损益。</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578" w:right="5748"/>
        <w:jc w:val="left"/>
      </w:pPr>
      <w:r>
        <w:rPr/>
        <w:t>盘存制度：永续盘存制 存货的盘存制度采用永续盘存制。</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left="578" w:right="6948"/>
        <w:jc w:val="left"/>
      </w:pPr>
      <w:r>
        <w:rPr/>
        <w:t>低值易耗品 摊销方法：一次摊销法</w:t>
      </w:r>
    </w:p>
    <w:p>
      <w:pPr>
        <w:pStyle w:val="BodyText"/>
        <w:spacing w:line="357" w:lineRule="auto"/>
        <w:ind w:left="578" w:right="5268"/>
        <w:jc w:val="left"/>
      </w:pPr>
      <w:r>
        <w:rPr/>
        <w:t>低值易耗品于领用时采用一次转销法。 包装物</w:t>
      </w:r>
    </w:p>
    <w:p>
      <w:pPr>
        <w:pStyle w:val="BodyText"/>
        <w:spacing w:line="357" w:lineRule="auto"/>
        <w:ind w:left="578" w:right="5748"/>
        <w:jc w:val="left"/>
      </w:pPr>
      <w:r>
        <w:rPr/>
        <w:t>摊销方法：一次摊销法 包装物于领用时采用一次转销法。</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right="157" w:firstLine="770"/>
        <w:jc w:val="both"/>
      </w:pPr>
      <w:r>
        <w:rPr>
          <w:spacing w:val="5"/>
        </w:rPr>
        <w:t>对于企业合并形成的长期股权投资，如为同一控制下的企业合并取得的长期股权投</w:t>
      </w:r>
      <w:r>
        <w:rPr/>
        <w:t> 资，在合并日按照取得被合并方所有者权益账面价值的份额作为初始投资成本。通过非同一</w:t>
      </w:r>
      <w:r>
        <w:rPr>
          <w:spacing w:val="-91"/>
        </w:rPr>
        <w:t> </w:t>
      </w:r>
      <w:r>
        <w:rPr>
          <w:spacing w:val="-91"/>
        </w:rPr>
      </w:r>
      <w:r>
        <w:rPr/>
        <w:t>控制下的企业合并取得的长期股权投资，企业合并成本包括购买方付出的资产、发生或承担</w:t>
      </w:r>
      <w:r>
        <w:rPr>
          <w:spacing w:val="-91"/>
        </w:rPr>
        <w:t> </w:t>
      </w:r>
      <w:r>
        <w:rPr>
          <w:spacing w:val="-91"/>
        </w:rPr>
      </w:r>
      <w:r>
        <w:rPr/>
        <w:t>的负债、发行的权益性证券的公允价值之和；购买方为企业合并发生的审计、法律服务、评</w:t>
      </w:r>
      <w:r>
        <w:rPr>
          <w:spacing w:val="-91"/>
        </w:rPr>
        <w:t> </w:t>
      </w:r>
      <w:r>
        <w:rPr>
          <w:spacing w:val="-91"/>
        </w:rPr>
      </w:r>
      <w:r>
        <w:rPr/>
        <w:t>估咨询等中介费用以及其他相关管理费用，应当于发生时计入当期损益；购买方作为合并对</w:t>
      </w:r>
      <w:r>
        <w:rPr>
          <w:spacing w:val="-91"/>
        </w:rPr>
        <w:t> </w:t>
      </w:r>
      <w:r>
        <w:rPr>
          <w:spacing w:val="-91"/>
        </w:rPr>
      </w:r>
      <w:r>
        <w:rPr/>
        <w:t>价发行的权益性证券或债务性证券的交易费用，应当计入权益性证券或债务性证券的初始确</w:t>
      </w:r>
      <w:r>
        <w:rPr>
          <w:spacing w:val="-89"/>
        </w:rPr>
        <w:t> </w:t>
      </w:r>
      <w:r>
        <w:rPr>
          <w:spacing w:val="-89"/>
        </w:rPr>
      </w:r>
      <w:r>
        <w:rPr/>
        <w:t>认金额。</w:t>
      </w:r>
    </w:p>
    <w:p>
      <w:pPr>
        <w:pStyle w:val="BodyText"/>
        <w:spacing w:line="357" w:lineRule="auto"/>
        <w:ind w:right="148" w:firstLine="425"/>
        <w:jc w:val="both"/>
      </w:pPr>
      <w:r>
        <w:rPr>
          <w:spacing w:val="2"/>
        </w:rPr>
        <w:t>除企业合并形成的长期股权投资外的其他股权投资，按成本进行初始计量，该成本视长 </w:t>
      </w:r>
      <w:r>
        <w:rPr/>
        <w:t>期股权投资取得方式的不同，分别按照公司实际支付的现金购买价款、本公司发行的权益性</w:t>
      </w:r>
      <w:r>
        <w:rPr>
          <w:spacing w:val="-91"/>
        </w:rPr>
        <w:t> </w:t>
      </w:r>
      <w:r>
        <w:rPr>
          <w:spacing w:val="-91"/>
        </w:rPr>
      </w:r>
      <w:r>
        <w:rPr/>
        <w:t>证券的公允价值、投资合同或协议约定的价值、非货币性资产交换交易中换出资产的公允价</w:t>
      </w:r>
      <w:r>
        <w:rPr>
          <w:spacing w:val="-91"/>
        </w:rPr>
        <w:t> </w:t>
      </w:r>
      <w:r>
        <w:rPr>
          <w:spacing w:val="-91"/>
        </w:rPr>
      </w:r>
      <w:r>
        <w:rPr/>
        <w:t>值或原账面价值、该项长期股权投资自身的公允价值等方式确定。与取得长期股权投资直接</w:t>
      </w:r>
      <w:r>
        <w:rPr>
          <w:spacing w:val="-91"/>
        </w:rPr>
        <w:t> </w:t>
      </w:r>
      <w:r>
        <w:rPr>
          <w:spacing w:val="-91"/>
        </w:rPr>
      </w:r>
      <w:r>
        <w:rPr/>
        <w:t>相关的费用、税金及其他必要支出也计入投资成本。</w:t>
      </w:r>
    </w:p>
    <w:p>
      <w:pPr>
        <w:spacing w:after="0" w:line="357" w:lineRule="auto"/>
        <w:jc w:val="both"/>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34" w:firstLine="742"/>
        <w:jc w:val="both"/>
      </w:pPr>
      <w:r>
        <w:rPr/>
        <w:t>对被投资单位不具有共同控制或重大影响并且在活跃市场中没有报价、公允价值不能 可靠计量的长期股权投资，采用成本法核算；对被投资单位具有共同控制或重大影响的长期</w:t>
      </w:r>
      <w:r>
        <w:rPr>
          <w:spacing w:val="-91"/>
        </w:rPr>
        <w:t> </w:t>
      </w:r>
      <w:r>
        <w:rPr>
          <w:spacing w:val="-91"/>
        </w:rPr>
      </w:r>
      <w:r>
        <w:rPr/>
        <w:t>股权投资，采用权益法核算；对被投资单位不具有控制、共同控制或重大影响并且公允价值</w:t>
      </w:r>
      <w:r>
        <w:rPr>
          <w:spacing w:val="-91"/>
        </w:rPr>
        <w:t> </w:t>
      </w:r>
      <w:r>
        <w:rPr>
          <w:spacing w:val="-91"/>
        </w:rPr>
      </w:r>
      <w:r>
        <w:rPr/>
        <w:t>能够可靠计量的长期股权投资，作为可供出售金融资产核算。此外，公司财务报表采用成本</w:t>
      </w:r>
      <w:r>
        <w:rPr>
          <w:spacing w:val="-91"/>
        </w:rPr>
        <w:t> </w:t>
      </w:r>
      <w:r>
        <w:rPr>
          <w:spacing w:val="-91"/>
        </w:rPr>
      </w:r>
      <w:r>
        <w:rPr/>
        <w:t>法核算能够对被投资单位实施控制的长期股权投资。</w:t>
      </w:r>
    </w:p>
    <w:p>
      <w:pPr>
        <w:pStyle w:val="BodyText"/>
        <w:spacing w:line="357" w:lineRule="auto"/>
        <w:ind w:right="206" w:firstLine="425"/>
        <w:jc w:val="both"/>
      </w:pPr>
      <w:r>
        <w:rPr/>
        <w:t>① 成本法核算的长期股权投资采用成本法核算时，长期股权投资按初始投资成本计价， 除取得投资时实际支付的价款或者对价中包含的已宣告但尚未发放的现金股利或者利润外，</w:t>
      </w:r>
      <w:r>
        <w:rPr>
          <w:spacing w:val="-91"/>
        </w:rPr>
        <w:t> </w:t>
      </w:r>
      <w:r>
        <w:rPr>
          <w:spacing w:val="-91"/>
        </w:rPr>
      </w:r>
      <w:r>
        <w:rPr/>
        <w:t>当期投资收益按照享有被投资单位宣告发放的现金股利或利润确认。</w:t>
      </w:r>
    </w:p>
    <w:p>
      <w:pPr>
        <w:pStyle w:val="BodyText"/>
        <w:tabs>
          <w:tab w:pos="4219" w:val="left" w:leader="none"/>
        </w:tabs>
        <w:spacing w:line="357" w:lineRule="auto" w:before="37"/>
        <w:ind w:right="113" w:firstLine="425"/>
        <w:jc w:val="left"/>
      </w:pPr>
      <w:r>
        <w:rPr/>
        <w:t>②权益法核算的长期股权投资</w:t>
        <w:tab/>
        <w:t>采用权益法核算时，长期股权投资的初始投资成本大</w:t>
      </w:r>
      <w:r>
        <w:rPr>
          <w:spacing w:val="2"/>
        </w:rPr>
        <w:t> </w:t>
      </w:r>
      <w:r>
        <w:rPr/>
        <w:t>于投资时应享有被投资单位可辨认净资产公允价值份额的，不调整长期股权投资的初始投资</w:t>
      </w:r>
      <w:r>
        <w:rPr>
          <w:spacing w:val="-91"/>
        </w:rPr>
        <w:t> </w:t>
      </w:r>
      <w:r>
        <w:rPr>
          <w:spacing w:val="-91"/>
        </w:rPr>
      </w:r>
      <w:r>
        <w:rPr/>
        <w:t>成本；初始投资成本小于投资时应享有被投资单位可辨认净资产公允价值份额的，其差额计</w:t>
      </w:r>
      <w:r>
        <w:rPr>
          <w:spacing w:val="-91"/>
        </w:rPr>
        <w:t> </w:t>
      </w:r>
      <w:r>
        <w:rPr>
          <w:spacing w:val="-91"/>
        </w:rPr>
      </w:r>
      <w:r>
        <w:rPr/>
        <w:t>入当期损益，同时调整长期股权投资的成本。采用权益法核算时，当期投资损益为应享有或</w:t>
      </w:r>
      <w:r>
        <w:rPr>
          <w:spacing w:val="-91"/>
        </w:rPr>
        <w:t> </w:t>
      </w:r>
      <w:r>
        <w:rPr>
          <w:spacing w:val="-91"/>
        </w:rPr>
      </w:r>
      <w:r>
        <w:rPr/>
        <w:t>应分担的被投资单位当年实现的净损益的份额。在确认应享有被投资单位净损益的份额时，</w:t>
      </w:r>
      <w:r>
        <w:rPr>
          <w:spacing w:val="-91"/>
        </w:rPr>
        <w:t> </w:t>
      </w:r>
      <w:r>
        <w:rPr>
          <w:spacing w:val="-91"/>
        </w:rPr>
      </w:r>
      <w:r>
        <w:rPr/>
        <w:t>以取得投资时被投资单位各项可辨认资产等的公允价值为基础，并按照本公司的会计政策及</w:t>
      </w:r>
      <w:r>
        <w:rPr>
          <w:spacing w:val="-86"/>
        </w:rPr>
        <w:t> </w:t>
      </w:r>
      <w:r>
        <w:rPr>
          <w:spacing w:val="-86"/>
        </w:rPr>
      </w:r>
      <w:r>
        <w:rPr/>
        <w:t>会计期间，对被投资单位的净利润进行调整后确认。对于本公司与联营企业及合营之间发生</w:t>
      </w:r>
      <w:r>
        <w:rPr>
          <w:spacing w:val="-91"/>
        </w:rPr>
        <w:t> </w:t>
      </w:r>
      <w:r>
        <w:rPr>
          <w:spacing w:val="-91"/>
        </w:rPr>
      </w:r>
      <w:r>
        <w:rPr/>
        <w:t>的未实现内部交易损益，按照持股比例计算属于本公司的部分予以抵销，在此基础上确认投</w:t>
      </w:r>
      <w:r>
        <w:rPr>
          <w:spacing w:val="-91"/>
        </w:rPr>
        <w:t> </w:t>
      </w:r>
      <w:r>
        <w:rPr>
          <w:spacing w:val="-91"/>
        </w:rPr>
      </w:r>
      <w:r>
        <w:rPr>
          <w:spacing w:val="-2"/>
        </w:rPr>
        <w:t>资损益。但本公司与被投资单位发生的未实现内部交易损失，按照《企业会计准则第</w:t>
      </w:r>
      <w:r>
        <w:rPr>
          <w:rFonts w:ascii="宋体" w:hAnsi="宋体" w:cs="宋体" w:eastAsia="宋体" w:hint="default"/>
          <w:spacing w:val="-2"/>
        </w:rPr>
        <w:t>8</w:t>
      </w:r>
      <w:r>
        <w:rPr>
          <w:spacing w:val="-2"/>
        </w:rPr>
        <w:t>号——</w:t>
      </w:r>
      <w:r>
        <w:rPr/>
        <w:t> </w:t>
      </w:r>
      <w:r>
        <w:rPr>
          <w:spacing w:val="-3"/>
        </w:rPr>
        <w:t>资产减值》等规定属于所转让资产减值损失的，不予以抵销。对被投资单位的其他综合收益，</w:t>
      </w:r>
      <w:r>
        <w:rPr>
          <w:spacing w:val="-81"/>
        </w:rPr>
        <w:t> </w:t>
      </w:r>
      <w:r>
        <w:rPr>
          <w:spacing w:val="-81"/>
        </w:rPr>
      </w:r>
      <w:r>
        <w:rPr/>
        <w:t>相应调整长期股权投资的账面价值确认为其他综合收益并计入资本公积。在确认应分担被投</w:t>
      </w:r>
      <w:r>
        <w:rPr>
          <w:spacing w:val="-91"/>
        </w:rPr>
        <w:t> </w:t>
      </w:r>
      <w:r>
        <w:rPr>
          <w:spacing w:val="-91"/>
        </w:rPr>
      </w:r>
      <w:r>
        <w:rPr/>
        <w:t>资单位发生的净亏损时，以长期股权投资的账面价值和其他实质上构成对被投资单位净投资</w:t>
      </w:r>
      <w:r>
        <w:rPr>
          <w:spacing w:val="-91"/>
        </w:rPr>
        <w:t> </w:t>
      </w:r>
      <w:r>
        <w:rPr>
          <w:spacing w:val="-91"/>
        </w:rPr>
      </w:r>
      <w:r>
        <w:rPr/>
        <w:t>的长期权益减记至零为限。此外，如本公司对被投资单位负有承担额外损失的义务，则按预</w:t>
      </w:r>
      <w:r>
        <w:rPr>
          <w:spacing w:val="-90"/>
        </w:rPr>
        <w:t> </w:t>
      </w:r>
      <w:r>
        <w:rPr>
          <w:spacing w:val="-90"/>
        </w:rPr>
      </w:r>
      <w:r>
        <w:rPr/>
        <w:t>计承担的义务确认预计负债，计入当期投资损失。被投资单位以后期间实现净利润的，本公</w:t>
      </w:r>
      <w:r>
        <w:rPr>
          <w:spacing w:val="-91"/>
        </w:rPr>
        <w:t> </w:t>
      </w:r>
      <w:r>
        <w:rPr>
          <w:spacing w:val="-91"/>
        </w:rPr>
      </w:r>
      <w:r>
        <w:rPr/>
        <w:t>司在收益分享额弥补未确认的亏损分担额后，恢复确认收益分享额。</w:t>
      </w:r>
    </w:p>
    <w:p>
      <w:pPr>
        <w:pStyle w:val="BodyText"/>
        <w:spacing w:line="357" w:lineRule="auto"/>
        <w:ind w:right="228" w:firstLine="545"/>
        <w:jc w:val="both"/>
      </w:pPr>
      <w:r>
        <w:rPr/>
        <w:t>③</w:t>
      </w:r>
      <w:r>
        <w:rPr>
          <w:spacing w:val="8"/>
        </w:rPr>
        <w:t> </w:t>
      </w:r>
      <w:r>
        <w:rPr>
          <w:spacing w:val="2"/>
        </w:rPr>
        <w:t>收购少数股权在编制合并财务报表时，因购买少数股权新增的长期股权投资与按照</w:t>
      </w:r>
      <w:r>
        <w:rPr>
          <w:spacing w:val="2"/>
        </w:rPr>
        <w:t> </w:t>
      </w:r>
      <w:r>
        <w:rPr/>
        <w:t>新增持股比例计算应享有子公司自购买日（或合并日）开始持续计算的净资产份额之间的差</w:t>
      </w:r>
      <w:r>
        <w:rPr>
          <w:spacing w:val="-91"/>
        </w:rPr>
        <w:t> </w:t>
      </w:r>
      <w:r>
        <w:rPr>
          <w:spacing w:val="-91"/>
        </w:rPr>
      </w:r>
      <w:r>
        <w:rPr/>
        <w:t>额，调整资本公积，资本公积不足冲减的，调整留存收益。</w:t>
      </w:r>
    </w:p>
    <w:p>
      <w:pPr>
        <w:pStyle w:val="BodyText"/>
        <w:tabs>
          <w:tab w:pos="3492" w:val="left" w:leader="none"/>
        </w:tabs>
        <w:spacing w:line="357" w:lineRule="auto"/>
        <w:ind w:right="230" w:firstLine="425"/>
        <w:jc w:val="left"/>
      </w:pPr>
      <w:r>
        <w:rPr/>
        <w:t>④长期股权投资的处置</w:t>
        <w:tab/>
        <w:t>处置长期股权投资，其账面价值与实际取得价款的差额，计</w:t>
      </w:r>
      <w:r>
        <w:rPr>
          <w:spacing w:val="2"/>
        </w:rPr>
        <w:t> </w:t>
      </w:r>
      <w:r>
        <w:rPr/>
        <w:t>入当期损益。采用权益法核算的长期股权投资，因被投资单位除净损益以外所有者权益的其</w:t>
      </w:r>
    </w:p>
    <w:p>
      <w:pPr>
        <w:spacing w:after="0" w:line="357"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96"/>
        <w:jc w:val="left"/>
      </w:pPr>
      <w:r>
        <w:rPr/>
        <w:t>他变动而计入所有者权益的，处置该项投资时将原计入所有者权益的部分按相应比例转入当</w:t>
      </w:r>
      <w:r>
        <w:rPr>
          <w:spacing w:val="-91"/>
        </w:rPr>
        <w:t> </w:t>
      </w:r>
      <w:r>
        <w:rPr>
          <w:spacing w:val="-91"/>
        </w:rPr>
      </w:r>
      <w:r>
        <w:rPr/>
        <w:t>期损益。</w:t>
      </w:r>
    </w:p>
    <w:p>
      <w:pPr>
        <w:pStyle w:val="BodyText"/>
        <w:spacing w:line="357" w:lineRule="auto"/>
        <w:ind w:right="96" w:firstLine="545"/>
        <w:jc w:val="left"/>
      </w:pPr>
      <w:r>
        <w:rPr/>
        <w:t>因处置部分股权投资或其他原因丧失了对原有子公司控制权的，对于剩余股权，按其账 面价值确认为长期股权投资或其他相关金融资产。处置后的剩余股权能够对原有子公司实施</w:t>
      </w:r>
      <w:r>
        <w:rPr>
          <w:spacing w:val="-91"/>
        </w:rPr>
        <w:t> </w:t>
      </w:r>
      <w:r>
        <w:rPr>
          <w:spacing w:val="-91"/>
        </w:rPr>
      </w:r>
      <w:r>
        <w:rPr>
          <w:spacing w:val="-2"/>
        </w:rPr>
        <w:t>共同控制或重大影响的，首先按处置或收回投资的比例结转应终止确认的长期股权投资成本。</w:t>
      </w:r>
      <w:r>
        <w:rPr/>
        <w:t> 在此基础上，比较剩余的长期股权投资成本与按照剩余持股比例计算原投资时应享有被投资</w:t>
      </w:r>
      <w:r>
        <w:rPr>
          <w:spacing w:val="-91"/>
        </w:rPr>
        <w:t> </w:t>
      </w:r>
      <w:r>
        <w:rPr>
          <w:spacing w:val="-91"/>
        </w:rPr>
      </w:r>
      <w:r>
        <w:rPr/>
        <w:t>单位可辨认净资产公允价值的份额，属于投资作价中体现的商誉部分，不调整长期股权投资</w:t>
      </w:r>
      <w:r>
        <w:rPr>
          <w:spacing w:val="-90"/>
        </w:rPr>
        <w:t> </w:t>
      </w:r>
      <w:r>
        <w:rPr>
          <w:spacing w:val="-90"/>
        </w:rPr>
      </w:r>
      <w:r>
        <w:rPr/>
        <w:t>的账面价值；属于投资成本小于原投资时应享有被投资单位可辨认净资产公允价值份额的，</w:t>
      </w:r>
      <w:r>
        <w:rPr>
          <w:spacing w:val="-91"/>
        </w:rPr>
        <w:t> </w:t>
      </w:r>
      <w:r>
        <w:rPr>
          <w:spacing w:val="-91"/>
        </w:rPr>
      </w:r>
      <w:r>
        <w:rPr/>
        <w:t>在调整长期股权投资成本的同时调整留存收益。对于原取得投资后至因处置投资导致转变为</w:t>
      </w:r>
      <w:r>
        <w:rPr>
          <w:spacing w:val="-91"/>
        </w:rPr>
        <w:t> </w:t>
      </w:r>
      <w:r>
        <w:rPr>
          <w:spacing w:val="-91"/>
        </w:rPr>
      </w:r>
      <w:r>
        <w:rPr/>
        <w:t>权益法核算之间被投资单位实现净损益中应享有的份额，一方面调整长期股权投资的账面价</w:t>
      </w:r>
      <w:r>
        <w:rPr>
          <w:spacing w:val="-91"/>
        </w:rPr>
        <w:t> </w:t>
      </w:r>
      <w:r>
        <w:rPr>
          <w:spacing w:val="-91"/>
        </w:rPr>
      </w:r>
      <w:r>
        <w:rPr/>
        <w:t>值，同时对于原取得投资时至处置投资当期期初被投资单位实现的净损益（扣除已发放及已</w:t>
      </w:r>
      <w:r>
        <w:rPr>
          <w:spacing w:val="-91"/>
        </w:rPr>
        <w:t> </w:t>
      </w:r>
      <w:r>
        <w:rPr>
          <w:spacing w:val="-91"/>
        </w:rPr>
      </w:r>
      <w:r>
        <w:rPr/>
        <w:t>宣告发放的现金股利和利润）中应享有的份额，调整留存收益，对于处置投资当期期初至处</w:t>
      </w:r>
      <w:r>
        <w:rPr>
          <w:spacing w:val="-91"/>
        </w:rPr>
        <w:t> </w:t>
      </w:r>
      <w:r>
        <w:rPr>
          <w:spacing w:val="-91"/>
        </w:rPr>
      </w:r>
      <w:r>
        <w:rPr/>
        <w:t>置投资之日被投资单位实现的净损益中享有的份额，调整当期损益；其他原因导致被投资单</w:t>
      </w:r>
      <w:r>
        <w:rPr>
          <w:spacing w:val="-88"/>
        </w:rPr>
        <w:t> </w:t>
      </w:r>
      <w:r>
        <w:rPr>
          <w:spacing w:val="-88"/>
        </w:rPr>
      </w:r>
      <w:r>
        <w:rPr>
          <w:spacing w:val="-5"/>
        </w:rPr>
        <w:t>位所有者权益变动中应享有的份额，在调整长期股权投资账面价值的同时，计入资本公积（其</w:t>
      </w:r>
      <w:r>
        <w:rPr/>
        <w:t> 他资本公积）。</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right="228" w:firstLine="425"/>
        <w:jc w:val="both"/>
      </w:pPr>
      <w:r>
        <w:rPr>
          <w:spacing w:val="2"/>
        </w:rPr>
        <w:t>共同控制，是指按照合同约定对某项经济活动所共有的控制，仅在与该项经济活动相关 </w:t>
      </w:r>
      <w:r>
        <w:rPr/>
        <w:t>的重要财务和经营决策需要分享控制权的投资方一致同意时存在。投资企业与其他方对被投</w:t>
      </w:r>
      <w:r>
        <w:rPr>
          <w:spacing w:val="-91"/>
        </w:rPr>
        <w:t> </w:t>
      </w:r>
      <w:r>
        <w:rPr>
          <w:spacing w:val="-91"/>
        </w:rPr>
      </w:r>
      <w:r>
        <w:rPr/>
        <w:t>资单位实施共同控制的，被投资单位为其合营企业。</w:t>
      </w:r>
    </w:p>
    <w:p>
      <w:pPr>
        <w:pStyle w:val="BodyText"/>
        <w:spacing w:line="357" w:lineRule="auto"/>
        <w:ind w:right="228" w:firstLine="425"/>
        <w:jc w:val="both"/>
      </w:pPr>
      <w:r>
        <w:rPr>
          <w:spacing w:val="2"/>
        </w:rPr>
        <w:t>重大影响，是指对一个企业的财务和经营决策有参与决策的权力，但并不能够控制或者 </w:t>
      </w:r>
      <w:r>
        <w:rPr/>
        <w:t>与其他方一起共同控制这些政策的制定。投资企业能够对被投资单位施加重大影响的，被投</w:t>
      </w:r>
      <w:r>
        <w:rPr>
          <w:spacing w:val="-88"/>
        </w:rPr>
        <w:t> </w:t>
      </w:r>
      <w:r>
        <w:rPr>
          <w:spacing w:val="-88"/>
        </w:rPr>
      </w:r>
      <w:r>
        <w:rPr/>
        <w:t>资单位为其联营企业。</w:t>
      </w:r>
    </w:p>
    <w:p>
      <w:pPr>
        <w:pStyle w:val="BodyText"/>
        <w:spacing w:line="357" w:lineRule="auto"/>
        <w:ind w:right="228" w:firstLine="425"/>
        <w:jc w:val="both"/>
      </w:pPr>
      <w:r>
        <w:rPr>
          <w:spacing w:val="2"/>
        </w:rPr>
        <w:t>在确定能否对被投资单位实施控制或施加重大影响时，已考虑投资企业和其他持有的被 </w:t>
      </w:r>
      <w:r>
        <w:rPr/>
        <w:t>投资单位当期可转换公司债券、当期可执行认股权证等潜在表决权因素。</w:t>
      </w:r>
    </w:p>
    <w:p>
      <w:pPr>
        <w:spacing w:line="240" w:lineRule="auto" w:before="11"/>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28" w:firstLine="425"/>
        <w:jc w:val="both"/>
      </w:pPr>
      <w:r>
        <w:rPr>
          <w:spacing w:val="2"/>
        </w:rPr>
        <w:t>本公司在每一个资产负债表日检查长期股权投资是否存在可能发生减值的迹象。如果该 </w:t>
      </w:r>
      <w:r>
        <w:rPr/>
        <w:t>资产存在减值迹象，则估计其可收回金额。如果资产的可收回金额低于其账面价值，按其差</w:t>
      </w:r>
      <w:r>
        <w:rPr>
          <w:spacing w:val="-91"/>
        </w:rPr>
        <w:t> </w:t>
      </w:r>
      <w:r>
        <w:rPr>
          <w:spacing w:val="-91"/>
        </w:rPr>
      </w:r>
      <w:r>
        <w:rPr/>
        <w:t>额计提资产减值准备，并计入当期损益。</w:t>
      </w:r>
    </w:p>
    <w:p>
      <w:pPr>
        <w:spacing w:after="0" w:line="357" w:lineRule="auto"/>
        <w:jc w:val="both"/>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240" w:lineRule="auto" w:before="26"/>
        <w:ind w:left="578" w:right="96"/>
        <w:jc w:val="left"/>
      </w:pPr>
      <w:r>
        <w:rPr/>
        <w:t>长期股权投资的减值损失一经确认，在以后会计期间不予转回。</w:t>
      </w:r>
    </w:p>
    <w:p>
      <w:pPr>
        <w:spacing w:line="240" w:lineRule="auto" w:before="10"/>
        <w:rPr>
          <w:rFonts w:ascii="宋体" w:hAnsi="宋体" w:cs="宋体" w:eastAsia="宋体" w:hint="default"/>
          <w:sz w:val="30"/>
          <w:szCs w:val="30"/>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96" w:firstLine="425"/>
        <w:jc w:val="left"/>
      </w:pPr>
      <w:r>
        <w:rPr>
          <w:spacing w:val="2"/>
        </w:rPr>
        <w:t>投资性房地产是指为赚取租金或资本增值，或两者兼有而持有的房地产。包括已出租的 </w:t>
      </w:r>
      <w:r>
        <w:rPr/>
        <w:t>土地使用权、持有并准备增值后转让的土地使用权、已出租的建筑物等。</w:t>
      </w:r>
    </w:p>
    <w:p>
      <w:pPr>
        <w:pStyle w:val="BodyText"/>
        <w:spacing w:line="357" w:lineRule="auto"/>
        <w:ind w:right="96" w:firstLine="425"/>
        <w:jc w:val="left"/>
      </w:pPr>
      <w:r>
        <w:rPr>
          <w:spacing w:val="2"/>
        </w:rPr>
        <w:t>投资性房地产按成本进行初始计量。与投资性房地产有关的后续支出，如果与该资产有 </w:t>
      </w:r>
      <w:r>
        <w:rPr>
          <w:spacing w:val="-2"/>
        </w:rPr>
        <w:t>关的经济利益很可能流入且其成本能可靠地计量，则计入投资性房地产成本。其他后续支出，</w:t>
      </w:r>
      <w:r>
        <w:rPr/>
        <w:t> 在发生时计入当期损益。</w:t>
      </w:r>
    </w:p>
    <w:p>
      <w:pPr>
        <w:pStyle w:val="BodyText"/>
        <w:spacing w:line="357" w:lineRule="auto"/>
        <w:ind w:right="96" w:firstLine="425"/>
        <w:jc w:val="left"/>
      </w:pPr>
      <w:r>
        <w:rPr>
          <w:spacing w:val="2"/>
        </w:rPr>
        <w:t>公司采用成本模式对投资性房地产进行后续计量，并按照与房屋建筑物或土地使用权一 </w:t>
      </w:r>
      <w:r>
        <w:rPr/>
        <w:t>致的政策进行折旧或摊销。</w:t>
      </w:r>
    </w:p>
    <w:p>
      <w:pPr>
        <w:pStyle w:val="BodyText"/>
        <w:spacing w:line="357" w:lineRule="auto"/>
        <w:ind w:right="96" w:firstLine="425"/>
        <w:jc w:val="left"/>
      </w:pPr>
      <w:r>
        <w:rPr>
          <w:spacing w:val="2"/>
        </w:rPr>
        <w:t>公司对存在减值迹象的投资性房地产，估计其可收回金额，可收回金额低于其账面价值 </w:t>
      </w:r>
      <w:r>
        <w:rPr/>
        <w:t>的，确认相应的减值损失。投资性房地产减值损失一经确认，在以后会计期间不予转回。</w:t>
      </w:r>
    </w:p>
    <w:p>
      <w:pPr>
        <w:pStyle w:val="BodyText"/>
        <w:spacing w:line="357" w:lineRule="auto"/>
        <w:ind w:right="96" w:firstLine="425"/>
        <w:jc w:val="left"/>
      </w:pPr>
      <w:r>
        <w:rPr>
          <w:spacing w:val="2"/>
        </w:rPr>
        <w:t>自用房地产或存货转换为投资性房地产或投资性房地产转换为自用房地产时，按转换前 </w:t>
      </w:r>
      <w:r>
        <w:rPr/>
        <w:t>的账面价值作为转换后的入账价值。</w:t>
      </w:r>
    </w:p>
    <w:p>
      <w:pPr>
        <w:pStyle w:val="BodyText"/>
        <w:spacing w:line="357" w:lineRule="auto"/>
        <w:ind w:right="96" w:firstLine="425"/>
        <w:jc w:val="left"/>
      </w:pPr>
      <w:r>
        <w:rPr>
          <w:spacing w:val="2"/>
        </w:rPr>
        <w:t>投资性房地产的用途改变为自用时，自改变之日起，将该投资性房地产转换为固定资产 </w:t>
      </w:r>
      <w:r>
        <w:rPr/>
        <w:t>或无形资产。自用房地产的用途改变为赚取租金或资本增值时，自改变之日起，将固定资产</w:t>
      </w:r>
      <w:r>
        <w:rPr>
          <w:spacing w:val="-91"/>
        </w:rPr>
        <w:t> </w:t>
      </w:r>
      <w:r>
        <w:rPr>
          <w:spacing w:val="-91"/>
        </w:rPr>
      </w:r>
      <w:r>
        <w:rPr>
          <w:spacing w:val="-2"/>
        </w:rPr>
        <w:t>或无形资产转换为投资性房地产。发生转换时，转换为采用成本模式计量的投资性房地产的，</w:t>
      </w:r>
      <w:r>
        <w:rPr/>
        <w:t> </w:t>
      </w:r>
      <w:r>
        <w:rPr>
          <w:spacing w:val="-2"/>
        </w:rPr>
        <w:t>以转换前的账面价值作为转换后的入账价值；转换为以公允价值模式计量的投资性房地产的，</w:t>
      </w:r>
      <w:r>
        <w:rPr>
          <w:spacing w:val="-118"/>
        </w:rPr>
        <w:t> </w:t>
      </w:r>
      <w:r>
        <w:rPr>
          <w:spacing w:val="-118"/>
        </w:rPr>
      </w:r>
      <w:r>
        <w:rPr/>
        <w:t>以转换日的公允价值作为转换后的入账价值。</w:t>
      </w:r>
    </w:p>
    <w:p>
      <w:pPr>
        <w:pStyle w:val="BodyText"/>
        <w:spacing w:line="357" w:lineRule="auto"/>
        <w:ind w:right="228" w:firstLine="425"/>
        <w:jc w:val="both"/>
      </w:pPr>
      <w:r>
        <w:rPr>
          <w:spacing w:val="2"/>
        </w:rPr>
        <w:t>当投资性房地产被处置、或者永久退出使用且预计不能从其处置中取得经济利益时，终 </w:t>
      </w:r>
      <w:r>
        <w:rPr/>
        <w:t>止确认该项投资性房地产。投资性房地产出售、转让、报废或毁损的处置收入扣除其账面价</w:t>
      </w:r>
      <w:r>
        <w:rPr>
          <w:spacing w:val="-91"/>
        </w:rPr>
        <w:t> </w:t>
      </w:r>
      <w:r>
        <w:rPr>
          <w:spacing w:val="-91"/>
        </w:rPr>
      </w:r>
      <w:r>
        <w:rPr/>
        <w:t>值和相关税费后计入当期损益。</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96" w:firstLine="770"/>
        <w:jc w:val="left"/>
      </w:pPr>
      <w:r>
        <w:rPr>
          <w:spacing w:val="-1"/>
        </w:rPr>
        <w:t>固定资产指为生产商品、提供劳务、出租或经营管理而持有，并且使用寿命超过一个</w:t>
      </w:r>
      <w:r>
        <w:rPr/>
        <w:t> 会计年度的有形资产。固定资产在同时满足下列条件时予以确认：</w:t>
      </w:r>
    </w:p>
    <w:p>
      <w:pPr>
        <w:pStyle w:val="BodyText"/>
        <w:spacing w:line="240" w:lineRule="auto"/>
        <w:ind w:left="698" w:right="96"/>
        <w:jc w:val="left"/>
      </w:pPr>
      <w:r>
        <w:rPr/>
        <w:t>①与该固定资产有关的经济利益很可能流入企业；</w:t>
      </w:r>
    </w:p>
    <w:p>
      <w:pPr>
        <w:pStyle w:val="BodyText"/>
        <w:spacing w:line="240" w:lineRule="auto" w:before="154"/>
        <w:ind w:left="698" w:right="96"/>
        <w:jc w:val="left"/>
      </w:pPr>
      <w:r>
        <w:rPr/>
        <w:t>②该固定资产的成本能够可靠地计量。</w:t>
      </w:r>
    </w:p>
    <w:p>
      <w:pPr>
        <w:spacing w:after="0" w:line="240" w:lineRule="auto"/>
        <w:jc w:val="left"/>
        <w:sectPr>
          <w:footerReference w:type="default" r:id="rId24"/>
          <w:pgSz w:w="11910" w:h="16840"/>
          <w:pgMar w:footer="1186" w:header="745" w:top="1060" w:bottom="1380" w:left="980" w:right="900"/>
          <w:pgNumType w:start="120"/>
        </w:sectPr>
      </w:pPr>
    </w:p>
    <w:p>
      <w:pPr>
        <w:spacing w:line="240" w:lineRule="auto" w:before="10"/>
        <w:rPr>
          <w:rFonts w:ascii="宋体" w:hAnsi="宋体" w:cs="宋体" w:eastAsia="宋体" w:hint="default"/>
          <w:sz w:val="24"/>
          <w:szCs w:val="24"/>
        </w:rPr>
      </w:pPr>
    </w:p>
    <w:p>
      <w:pPr>
        <w:spacing w:before="36"/>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39" w:firstLine="682"/>
        <w:jc w:val="both"/>
      </w:pPr>
      <w:r>
        <w:rPr/>
        <w:t>融资租赁为实质上转移了与资产所有权有关的全部风险和报酬的租赁，其所有权最终 可能转移，也可能不转移。以融资租赁方式租入的固定资产采用与自有固定资产一致的政策</w:t>
      </w:r>
      <w:r>
        <w:rPr>
          <w:spacing w:val="-91"/>
        </w:rPr>
        <w:t> </w:t>
      </w:r>
      <w:r>
        <w:rPr>
          <w:spacing w:val="-91"/>
        </w:rPr>
      </w:r>
      <w:r>
        <w:rPr/>
        <w:t>计提租赁资产折旧。能够合理确定租赁期届满时取得租赁资产所有权的在租赁资产使用寿命</w:t>
      </w:r>
      <w:r>
        <w:rPr>
          <w:spacing w:val="-91"/>
        </w:rPr>
        <w:t> </w:t>
      </w:r>
      <w:r>
        <w:rPr>
          <w:spacing w:val="-91"/>
        </w:rPr>
      </w:r>
      <w:r>
        <w:rPr/>
        <w:t>内计提折旧，无法合理确定租赁期届满能够取得租赁资产所有权的，在租赁期与租赁资产使</w:t>
      </w:r>
      <w:r>
        <w:rPr>
          <w:spacing w:val="-91"/>
        </w:rPr>
        <w:t> </w:t>
      </w:r>
      <w:r>
        <w:rPr>
          <w:spacing w:val="-91"/>
        </w:rPr>
      </w:r>
      <w:r>
        <w:rPr/>
        <w:t>用寿命两者中较短的期间内计提折旧。</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228" w:firstLine="425"/>
        <w:jc w:val="both"/>
      </w:pPr>
      <w:r>
        <w:rPr>
          <w:spacing w:val="2"/>
        </w:rPr>
        <w:t>固定资产折旧采用年限平均法分类计提，根据固定资产类别、预计使用寿命和预计净残 </w:t>
      </w:r>
      <w:r>
        <w:rPr/>
        <w:t>值率确定折旧率。如固定资产各组成部分的使用寿命不同或者以不同方式为企业提供经济利</w:t>
      </w:r>
      <w:r>
        <w:rPr>
          <w:spacing w:val="-91"/>
        </w:rPr>
        <w:t> </w:t>
      </w:r>
      <w:r>
        <w:rPr>
          <w:spacing w:val="-91"/>
        </w:rPr>
      </w:r>
      <w:r>
        <w:rPr/>
        <w:t>益，则选择不同折旧率或折旧方法，分别计提折旧。</w:t>
      </w:r>
    </w:p>
    <w:tbl>
      <w:tblPr>
        <w:tblW w:w="0" w:type="auto"/>
        <w:jc w:val="left"/>
        <w:tblInd w:w="148" w:type="dxa"/>
        <w:tblLayout w:type="fixed"/>
        <w:tblCellMar>
          <w:top w:w="0" w:type="dxa"/>
          <w:left w:w="0" w:type="dxa"/>
          <w:bottom w:w="0" w:type="dxa"/>
          <w:right w:w="0" w:type="dxa"/>
        </w:tblCellMar>
        <w:tblLook w:val="01E0"/>
      </w:tblPr>
      <w:tblGrid>
        <w:gridCol w:w="2519"/>
        <w:gridCol w:w="2105"/>
        <w:gridCol w:w="2220"/>
        <w:gridCol w:w="2727"/>
      </w:tblGrid>
      <w:tr>
        <w:trPr>
          <w:trHeight w:val="40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17"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8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8"/>
              <w:ind w:left="17"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8"/>
              <w:ind w:left="17" w:right="0"/>
              <w:jc w:val="left"/>
              <w:rPr>
                <w:rFonts w:ascii="Times New Roman" w:hAnsi="Times New Roman" w:cs="Times New Roman" w:eastAsia="Times New Roman" w:hint="default"/>
                <w:sz w:val="18"/>
                <w:szCs w:val="18"/>
              </w:rPr>
            </w:pPr>
            <w:r>
              <w:rPr>
                <w:rFonts w:ascii="Times New Roman"/>
                <w:sz w:val="18"/>
              </w:rPr>
              <w:t>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11.88%</w:t>
            </w:r>
          </w:p>
        </w:tc>
      </w:tr>
      <w:tr>
        <w:trPr>
          <w:trHeight w:val="401"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11.88%</w:t>
            </w:r>
          </w:p>
        </w:tc>
      </w:tr>
      <w:tr>
        <w:trPr>
          <w:trHeight w:val="403"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11.88%</w:t>
            </w:r>
          </w:p>
        </w:tc>
      </w:tr>
      <w:tr>
        <w:trPr>
          <w:trHeight w:val="401"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房屋及建筑物（管理用房）</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45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2.11%</w:t>
            </w:r>
          </w:p>
        </w:tc>
      </w:tr>
      <w:tr>
        <w:trPr>
          <w:trHeight w:val="404" w:hRule="exact"/>
        </w:trPr>
        <w:tc>
          <w:tcPr>
            <w:tcW w:w="2519"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6"/>
              <w:ind w:left="24" w:right="-43"/>
              <w:jc w:val="left"/>
              <w:rPr>
                <w:rFonts w:ascii="宋体" w:hAnsi="宋体" w:cs="宋体" w:eastAsia="宋体" w:hint="default"/>
                <w:sz w:val="18"/>
                <w:szCs w:val="18"/>
              </w:rPr>
            </w:pPr>
            <w:r>
              <w:rPr>
                <w:rFonts w:ascii="宋体" w:hAnsi="宋体" w:cs="宋体" w:eastAsia="宋体" w:hint="default"/>
                <w:sz w:val="18"/>
                <w:szCs w:val="18"/>
              </w:rPr>
              <w:t>房屋及建筑物（生产经营用房）</w:t>
            </w:r>
          </w:p>
        </w:tc>
        <w:tc>
          <w:tcPr>
            <w:tcW w:w="210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88"/>
              <w:ind w:left="16" w:right="0"/>
              <w:jc w:val="left"/>
              <w:rPr>
                <w:rFonts w:ascii="Times New Roman" w:hAnsi="Times New Roman" w:cs="Times New Roman" w:eastAsia="Times New Roman" w:hint="default"/>
                <w:sz w:val="18"/>
                <w:szCs w:val="18"/>
              </w:rPr>
            </w:pPr>
            <w:r>
              <w:rPr>
                <w:rFonts w:ascii="Times New Roman"/>
                <w:sz w:val="18"/>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房屋附属设施</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9.5%</w:t>
            </w:r>
          </w:p>
        </w:tc>
      </w:tr>
    </w:tbl>
    <w:p>
      <w:pPr>
        <w:spacing w:line="240" w:lineRule="auto" w:before="0"/>
        <w:rPr>
          <w:rFonts w:ascii="宋体" w:hAnsi="宋体" w:cs="宋体" w:eastAsia="宋体" w:hint="default"/>
          <w:sz w:val="19"/>
          <w:szCs w:val="19"/>
        </w:rPr>
      </w:pPr>
    </w:p>
    <w:p>
      <w:pPr>
        <w:spacing w:before="36"/>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578" w:right="96"/>
        <w:jc w:val="left"/>
      </w:pPr>
      <w:r>
        <w:rPr/>
        <w:t>公司在每期末判断固定资产是否存在可能发生减值的迹象。 </w:t>
      </w:r>
      <w:r>
        <w:rPr>
          <w:spacing w:val="2"/>
        </w:rPr>
        <w:t>固定资产存在减值迹象的，估计其可收回金额。可收回金额根据固定资产的公允价值减</w:t>
      </w:r>
      <w:r>
        <w:rPr/>
      </w:r>
    </w:p>
    <w:p>
      <w:pPr>
        <w:pStyle w:val="BodyText"/>
        <w:spacing w:line="357" w:lineRule="auto"/>
        <w:ind w:left="578" w:right="107" w:hanging="426"/>
        <w:jc w:val="left"/>
      </w:pPr>
      <w:r>
        <w:rPr/>
        <w:t>去处置费用后的净额与固定资产预计未来现金流量的现值两者之间较高者确定。 </w:t>
      </w:r>
      <w:r>
        <w:rPr>
          <w:spacing w:val="-1"/>
        </w:rPr>
        <w:t>当固定资产的可收回金额低于其账面价值的，将固定资产的账面价值减记至可收回金额，</w:t>
      </w:r>
    </w:p>
    <w:p>
      <w:pPr>
        <w:pStyle w:val="BodyText"/>
        <w:spacing w:line="357" w:lineRule="auto"/>
        <w:ind w:left="578" w:right="96" w:hanging="426"/>
        <w:jc w:val="left"/>
      </w:pPr>
      <w:r>
        <w:rPr/>
        <w:t>减记的金额确认为固定资产减值损失，计入当期损益，同时计提相应的固定资产减值准备。 </w:t>
      </w:r>
      <w:r>
        <w:rPr>
          <w:spacing w:val="2"/>
        </w:rPr>
        <w:t>固定资产减值损失确认后，减值固定资产的折旧在未来期间作相应调整，以使该固定资</w:t>
      </w:r>
      <w:r>
        <w:rPr/>
      </w:r>
    </w:p>
    <w:p>
      <w:pPr>
        <w:pStyle w:val="BodyText"/>
        <w:spacing w:line="357" w:lineRule="auto"/>
        <w:ind w:left="578" w:right="96" w:hanging="426"/>
        <w:jc w:val="left"/>
      </w:pPr>
      <w:r>
        <w:rPr/>
        <w:t>产在剩余使用寿命内，系统地分摊调整后的固定资产账面价值（扣除预计净残值）。 固定资产的减值损失一经确认，在以后会计期间不再转回。 </w:t>
      </w:r>
      <w:r>
        <w:rPr>
          <w:spacing w:val="2"/>
        </w:rPr>
        <w:t>有迹象表明一项固定资产可能发生减值的，企业以单项固定资产为基础估计其可收回金</w:t>
      </w:r>
      <w:r>
        <w:rPr/>
      </w:r>
    </w:p>
    <w:p>
      <w:pPr>
        <w:spacing w:after="0" w:line="357"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0"/>
        <w:jc w:val="left"/>
      </w:pPr>
      <w:r>
        <w:rPr/>
        <w:t>额。企业难以对单项固定资产的可收回金额进行估计的，以该固定资产所属的资产组为基础</w:t>
      </w:r>
      <w:r>
        <w:rPr>
          <w:spacing w:val="-91"/>
        </w:rPr>
        <w:t> </w:t>
      </w:r>
      <w:r>
        <w:rPr>
          <w:spacing w:val="-91"/>
        </w:rPr>
      </w:r>
      <w:r>
        <w:rPr/>
        <w:t>确定资产组的可收回金额。</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48" w:firstLine="425"/>
        <w:jc w:val="both"/>
      </w:pPr>
      <w:r>
        <w:rPr>
          <w:spacing w:val="2"/>
        </w:rPr>
        <w:t>与固定资产有关的后续支出，如果与该固定资产有关的经济利益很可能流入且其成本能 </w:t>
      </w:r>
      <w:r>
        <w:rPr/>
        <w:t>可靠地计量，则计入固定资产成本，并终止确认被替换部分的账面价值。除此以外的其他后</w:t>
      </w:r>
      <w:r>
        <w:rPr>
          <w:spacing w:val="-91"/>
        </w:rPr>
        <w:t> </w:t>
      </w:r>
      <w:r>
        <w:rPr>
          <w:spacing w:val="-91"/>
        </w:rPr>
      </w:r>
      <w:r>
        <w:rPr/>
        <w:t>续支出，在发生时计入当期损益。</w:t>
      </w:r>
    </w:p>
    <w:p>
      <w:pPr>
        <w:pStyle w:val="BodyText"/>
        <w:spacing w:line="357" w:lineRule="auto"/>
        <w:ind w:right="146" w:firstLine="425"/>
        <w:jc w:val="both"/>
      </w:pPr>
      <w:r>
        <w:rPr>
          <w:spacing w:val="2"/>
        </w:rPr>
        <w:t>固定资产出售、转让、报废或毁损的处置收入扣除其账面价值和相关税费后的差额计入 </w:t>
      </w:r>
      <w:r>
        <w:rPr/>
        <w:t>当期损益。</w:t>
      </w:r>
    </w:p>
    <w:p>
      <w:pPr>
        <w:pStyle w:val="BodyText"/>
        <w:spacing w:line="357" w:lineRule="auto" w:before="37"/>
        <w:ind w:right="148" w:firstLine="425"/>
        <w:jc w:val="both"/>
      </w:pPr>
      <w:r>
        <w:rPr>
          <w:spacing w:val="2"/>
        </w:rPr>
        <w:t>公司至少于年度终了对固定资产的使用寿命、预计净残值和折旧方法进行复核，如发生 </w:t>
      </w:r>
      <w:r>
        <w:rPr/>
        <w:t>改变则作为会计估计变更处理。</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1058" w:right="0"/>
        <w:jc w:val="left"/>
      </w:pPr>
      <w:r>
        <w:rPr/>
        <w:t>在建工程以立项项目分类核算。</w:t>
      </w:r>
    </w:p>
    <w:p>
      <w:pPr>
        <w:spacing w:line="240" w:lineRule="auto" w:before="10"/>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right="152" w:firstLine="545"/>
        <w:jc w:val="both"/>
      </w:pPr>
      <w:r>
        <w:rPr>
          <w:spacing w:val="-1"/>
        </w:rPr>
        <w:t>在建工程项目按建造该项资产达到预定可使用状态前所发生的全部支出，作为固定资产</w:t>
      </w:r>
      <w:r>
        <w:rPr/>
        <w:t> 的入账价值。所建造的固定资产在建工程已达到预定可使用状态，但尚未办理竣工决算的，</w:t>
      </w:r>
      <w:r>
        <w:rPr>
          <w:spacing w:val="-91"/>
        </w:rPr>
        <w:t> </w:t>
      </w:r>
      <w:r>
        <w:rPr>
          <w:spacing w:val="-91"/>
        </w:rPr>
      </w:r>
      <w:r>
        <w:rPr/>
        <w:t>自达到预定可使用状态之日起，根据工程预算、造价或者工程实际成本等，按估计的价值转</w:t>
      </w:r>
      <w:r>
        <w:rPr>
          <w:spacing w:val="-91"/>
        </w:rPr>
        <w:t> </w:t>
      </w:r>
      <w:r>
        <w:rPr>
          <w:spacing w:val="-91"/>
        </w:rPr>
      </w:r>
      <w:r>
        <w:rPr/>
        <w:t>入固定资产，并按本公司固定资产折旧政策计提固定资产的折旧，待办理竣工决算后，再按</w:t>
      </w:r>
      <w:r>
        <w:rPr>
          <w:spacing w:val="-89"/>
        </w:rPr>
        <w:t> </w:t>
      </w:r>
      <w:r>
        <w:rPr>
          <w:spacing w:val="-89"/>
        </w:rPr>
      </w:r>
      <w:r>
        <w:rPr/>
        <w:t>实际成本调整原来的暂估价值，但不调整原已计提的折旧额。</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578" w:right="0"/>
        <w:jc w:val="left"/>
      </w:pPr>
      <w:r>
        <w:rPr/>
        <w:t>公司在每期末判断在建工程是否存在可能发生减值的迹象。 </w:t>
      </w:r>
      <w:r>
        <w:rPr>
          <w:spacing w:val="2"/>
        </w:rPr>
        <w:t>在建工程存在减值迹象的，估计其可收回金额。有迹象表明一项在建工程可能发生减值</w:t>
      </w:r>
      <w:r>
        <w:rPr/>
      </w:r>
    </w:p>
    <w:p>
      <w:pPr>
        <w:pStyle w:val="BodyText"/>
        <w:spacing w:line="357" w:lineRule="auto"/>
        <w:ind w:right="0"/>
        <w:jc w:val="left"/>
      </w:pPr>
      <w:r>
        <w:rPr/>
        <w:t>的，企业以单项在建工程为基础估计其可收回金额。企业难以对单项在建工程的可收回金额</w:t>
      </w:r>
      <w:r>
        <w:rPr>
          <w:spacing w:val="-91"/>
        </w:rPr>
        <w:t> </w:t>
      </w:r>
      <w:r>
        <w:rPr>
          <w:spacing w:val="-91"/>
        </w:rPr>
      </w:r>
      <w:r>
        <w:rPr/>
        <w:t>进行估计的，以该在建工程所属的资产组为基础确定资产组的可收回金额。</w:t>
      </w:r>
    </w:p>
    <w:p>
      <w:pPr>
        <w:pStyle w:val="BodyText"/>
        <w:spacing w:line="240" w:lineRule="auto"/>
        <w:ind w:left="578" w:right="0"/>
        <w:jc w:val="left"/>
      </w:pPr>
      <w:r>
        <w:rPr>
          <w:spacing w:val="2"/>
        </w:rPr>
        <w:t>可收回金额根据在建工程的公允价值减去处置费用后的净额与在建工程预计未来现金流</w:t>
      </w:r>
      <w:r>
        <w:rPr/>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left="578" w:right="107" w:hanging="426"/>
        <w:jc w:val="left"/>
      </w:pPr>
      <w:r>
        <w:rPr/>
        <w:t>量的现值两者之间较高者确定。 </w:t>
      </w:r>
      <w:r>
        <w:rPr>
          <w:spacing w:val="-1"/>
        </w:rPr>
        <w:t>当在建工程的可收回金额低于其账面价值的，将在建工程的账面价值减记至可收回金额，</w:t>
      </w:r>
    </w:p>
    <w:p>
      <w:pPr>
        <w:pStyle w:val="BodyText"/>
        <w:spacing w:line="357" w:lineRule="auto"/>
        <w:ind w:left="578" w:right="254" w:hanging="426"/>
        <w:jc w:val="left"/>
      </w:pPr>
      <w:r>
        <w:rPr/>
        <w:t>减记的金额确认为在建工程减值损失，计入当期损益，同时计提相应的在建工程减值准备。 在建工程的减值损失一经确认，在以后会计期间不再转回。</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228" w:firstLine="425"/>
        <w:jc w:val="both"/>
      </w:pPr>
      <w:r>
        <w:rPr>
          <w:spacing w:val="2"/>
        </w:rPr>
        <w:t>借款费用包括借款利息、折价或溢价的摊销、辅助费用以及因外币借款而发生的汇兑差 </w:t>
      </w:r>
      <w:r>
        <w:rPr/>
        <w:t>额等。可直接归属于符合资本化条件的资产的购建或者生产的借款费用，在资产支出已经发</w:t>
      </w:r>
      <w:r>
        <w:rPr>
          <w:spacing w:val="-91"/>
        </w:rPr>
        <w:t> </w:t>
      </w:r>
      <w:r>
        <w:rPr>
          <w:spacing w:val="-91"/>
        </w:rPr>
      </w:r>
      <w:r>
        <w:rPr/>
        <w:t>生、借款费用已经发生、为使资产达到预定可使用或可销售状态所必要的购建或生产活动已</w:t>
      </w:r>
      <w:r>
        <w:rPr>
          <w:spacing w:val="-87"/>
        </w:rPr>
        <w:t> </w:t>
      </w:r>
      <w:r>
        <w:rPr>
          <w:spacing w:val="-87"/>
        </w:rPr>
      </w:r>
      <w:r>
        <w:rPr/>
        <w:t>经开始时，开始资本化；构建或者生产的符合资本化条件的资产达到预定可使用状态或者可</w:t>
      </w:r>
      <w:r>
        <w:rPr>
          <w:spacing w:val="-91"/>
        </w:rPr>
        <w:t> </w:t>
      </w:r>
      <w:r>
        <w:rPr>
          <w:spacing w:val="-91"/>
        </w:rPr>
      </w:r>
      <w:r>
        <w:rPr/>
        <w:t>销售状态时，停止资本化。其余借款费用在发生当期确认为费用。</w:t>
      </w:r>
    </w:p>
    <w:p>
      <w:pPr>
        <w:pStyle w:val="BodyText"/>
        <w:spacing w:line="357" w:lineRule="auto"/>
        <w:ind w:right="228" w:firstLine="425"/>
        <w:jc w:val="both"/>
      </w:pPr>
      <w:r>
        <w:rPr>
          <w:spacing w:val="2"/>
        </w:rPr>
        <w:t>符合资本化条件的资产指需要经过相当长时间的购建或者生产活动才能达到预定可使用 </w:t>
      </w:r>
      <w:r>
        <w:rPr/>
        <w:t>或可销售状态的固定资产、投资性房地产和存货等资产。</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32" w:firstLine="780"/>
        <w:jc w:val="both"/>
      </w:pPr>
      <w:r>
        <w:rPr>
          <w:spacing w:val="-1"/>
        </w:rPr>
        <w:t>可直接归属于符合资本化条件的资产的购建或者生产的借款费用，在资产支出已经发</w:t>
      </w:r>
      <w:r>
        <w:rPr/>
        <w:t> 生、借款费用已经发生、为使资产达到预定可使用或可销售状态所必要的购建或生产活动已</w:t>
      </w:r>
      <w:r>
        <w:rPr>
          <w:spacing w:val="-91"/>
        </w:rPr>
        <w:t> </w:t>
      </w:r>
      <w:r>
        <w:rPr>
          <w:spacing w:val="-91"/>
        </w:rPr>
      </w:r>
      <w:r>
        <w:rPr/>
        <w:t>经开始时，开始资本化；构建或者生产的符合资本化条件的资产达到预定可使用状态或者可</w:t>
      </w:r>
      <w:r>
        <w:rPr>
          <w:spacing w:val="-88"/>
        </w:rPr>
        <w:t> </w:t>
      </w:r>
      <w:r>
        <w:rPr>
          <w:spacing w:val="-88"/>
        </w:rPr>
      </w:r>
      <w:r>
        <w:rPr/>
        <w:t>销售状态时，停止资本化。</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228" w:firstLine="425"/>
        <w:jc w:val="both"/>
      </w:pPr>
      <w:r>
        <w:rPr>
          <w:spacing w:val="2"/>
        </w:rPr>
        <w:t>如果符合资本化条件的资产在购建或生产过程中发生非正常中断、并且中断时间连续超 </w:t>
      </w:r>
      <w:r>
        <w:rPr/>
        <w:t>过</w:t>
      </w:r>
      <w:r>
        <w:rPr>
          <w:rFonts w:ascii="宋体" w:hAnsi="宋体" w:cs="宋体" w:eastAsia="宋体" w:hint="default"/>
        </w:rPr>
        <w:t>3</w:t>
      </w:r>
      <w:r>
        <w:rPr/>
        <w:t>个月的，暂停借款费用的资本化，直至资产的购建或生产活动重新开始。</w:t>
      </w:r>
    </w:p>
    <w:p>
      <w:pPr>
        <w:spacing w:line="240" w:lineRule="auto" w:before="11"/>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28" w:firstLine="425"/>
        <w:jc w:val="both"/>
      </w:pPr>
      <w:r>
        <w:rPr>
          <w:spacing w:val="2"/>
        </w:rPr>
        <w:t>专门借款当期实际发生的利息费用，减去尚未动用的借款资金存入银行取得的利息收入 </w:t>
      </w:r>
      <w:r>
        <w:rPr/>
        <w:t>或进行暂时性投资取得的投资收益后的金额予以资本化；一般借款根据累计资产支出超过专</w:t>
      </w:r>
      <w:r>
        <w:rPr>
          <w:spacing w:val="-91"/>
        </w:rPr>
        <w:t> </w:t>
      </w:r>
      <w:r>
        <w:rPr>
          <w:spacing w:val="-91"/>
        </w:rPr>
      </w:r>
      <w:r>
        <w:rPr/>
        <w:t>门借款部分的资产支出加权平均数乘以所占用一般借款的资本化率，确定资本化金额。资本</w:t>
      </w:r>
    </w:p>
    <w:p>
      <w:pPr>
        <w:spacing w:after="0" w:line="357" w:lineRule="auto"/>
        <w:jc w:val="both"/>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left="578" w:right="96" w:hanging="426"/>
        <w:jc w:val="left"/>
      </w:pPr>
      <w:r>
        <w:rPr/>
        <w:t>化率根据一般借款的加权平均利率计算确定。 </w:t>
      </w:r>
      <w:r>
        <w:rPr>
          <w:spacing w:val="2"/>
        </w:rPr>
        <w:t>资本化期间内，外币专门借款的汇兑差额全部予以资本化；外币一般借款的汇兑差额计</w:t>
      </w:r>
      <w:r>
        <w:rPr/>
      </w:r>
    </w:p>
    <w:p>
      <w:pPr>
        <w:spacing w:line="535" w:lineRule="auto" w:before="36"/>
        <w:ind w:left="152" w:right="8430" w:firstLine="0"/>
        <w:jc w:val="left"/>
        <w:rPr>
          <w:rFonts w:ascii="宋体" w:hAnsi="宋体" w:cs="宋体" w:eastAsia="宋体" w:hint="default"/>
          <w:sz w:val="18"/>
          <w:szCs w:val="18"/>
        </w:rPr>
      </w:pPr>
      <w:r>
        <w:rPr>
          <w:rFonts w:ascii="宋体" w:hAnsi="宋体" w:cs="宋体" w:eastAsia="宋体" w:hint="default"/>
          <w:sz w:val="24"/>
          <w:szCs w:val="24"/>
        </w:rPr>
        <w:t>入当期损益。 </w:t>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、生物资产</w:t>
      </w:r>
      <w:r>
        <w:rPr>
          <w:rFonts w:ascii="宋体" w:hAnsi="宋体" w:cs="宋体" w:eastAsia="宋体" w:hint="default"/>
          <w:b/>
          <w:bCs/>
          <w:w w:val="100"/>
          <w:sz w:val="21"/>
          <w:szCs w:val="21"/>
        </w:rPr>
        <w:t> </w:t>
      </w:r>
      <w:r>
        <w:rPr>
          <w:rFonts w:ascii="宋体" w:hAnsi="宋体" w:cs="宋体" w:eastAsia="宋体" w:hint="default"/>
          <w:sz w:val="18"/>
          <w:szCs w:val="18"/>
        </w:rPr>
        <w:t>无</w:t>
      </w:r>
    </w:p>
    <w:p>
      <w:pPr>
        <w:spacing w:before="134"/>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1"/>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left="578" w:right="96"/>
        <w:jc w:val="left"/>
      </w:pPr>
      <w:r>
        <w:rPr/>
        <w:t>①公司取得无形资产时按成本进行初始计量 </w:t>
      </w:r>
      <w:r>
        <w:rPr>
          <w:spacing w:val="2"/>
        </w:rPr>
        <w:t>无形资产按成本进行初始计量。与无形资产有关的支出，如果相关的经济利益很可能流</w:t>
      </w:r>
      <w:r>
        <w:rPr/>
      </w:r>
    </w:p>
    <w:p>
      <w:pPr>
        <w:pStyle w:val="BodyText"/>
        <w:spacing w:line="357" w:lineRule="auto"/>
        <w:ind w:right="96"/>
        <w:jc w:val="left"/>
      </w:pPr>
      <w:r>
        <w:rPr/>
        <w:t>入本公司且其成本能可靠地计量，则计入无形资产成本。除此以外的其他项目的支出，在发</w:t>
      </w:r>
      <w:r>
        <w:rPr>
          <w:spacing w:val="-91"/>
        </w:rPr>
        <w:t> </w:t>
      </w:r>
      <w:r>
        <w:rPr>
          <w:spacing w:val="-91"/>
        </w:rPr>
      </w:r>
      <w:r>
        <w:rPr/>
        <w:t>生时计入当期损益。</w:t>
      </w:r>
    </w:p>
    <w:p>
      <w:pPr>
        <w:pStyle w:val="BodyText"/>
        <w:spacing w:line="357" w:lineRule="auto"/>
        <w:ind w:right="96" w:firstLine="425"/>
        <w:jc w:val="left"/>
      </w:pPr>
      <w:r>
        <w:rPr>
          <w:spacing w:val="2"/>
        </w:rPr>
        <w:t>取得的土地使用权通常作为无形资产核算。自行开发建造厂房等建筑物，相关的土地使 </w:t>
      </w: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w:t>
      </w:r>
      <w:r>
        <w:rPr>
          <w:spacing w:val="-91"/>
        </w:rPr>
        <w:t> </w:t>
      </w:r>
      <w:r>
        <w:rPr>
          <w:spacing w:val="-91"/>
        </w:rPr>
      </w:r>
      <w:r>
        <w:rPr/>
        <w:t>理。</w:t>
      </w:r>
    </w:p>
    <w:p>
      <w:pPr>
        <w:pStyle w:val="BodyText"/>
        <w:spacing w:line="357" w:lineRule="auto"/>
        <w:ind w:left="578" w:right="5108"/>
        <w:jc w:val="left"/>
      </w:pPr>
      <w:r>
        <w:rPr/>
        <w:t>②后续计量 在取得无形资产时分析判断其使用寿命。</w:t>
      </w:r>
    </w:p>
    <w:p>
      <w:pPr>
        <w:pStyle w:val="BodyText"/>
        <w:spacing w:line="357" w:lineRule="auto"/>
        <w:ind w:right="228" w:firstLine="425"/>
        <w:jc w:val="both"/>
      </w:pPr>
      <w:r>
        <w:rPr>
          <w:spacing w:val="2"/>
        </w:rPr>
        <w:t>使用寿命有限的无形资产自可供使用时起，对其原值减去预计净残值和已计提的减值准 </w:t>
      </w:r>
      <w:r>
        <w:rPr/>
        <w:t>备累计金额在其预计使用寿命内采用直线法分期平均摊销。使用寿命不确定的无形资产不予</w:t>
      </w:r>
      <w:r>
        <w:rPr>
          <w:spacing w:val="-91"/>
        </w:rPr>
        <w:t> </w:t>
      </w:r>
      <w:r>
        <w:rPr>
          <w:spacing w:val="-91"/>
        </w:rPr>
      </w:r>
      <w:r>
        <w:rPr/>
        <w:t>摊销。</w:t>
      </w:r>
    </w:p>
    <w:p>
      <w:pPr>
        <w:spacing w:line="240" w:lineRule="auto" w:before="11"/>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573" w:right="96" w:firstLine="0"/>
        <w:jc w:val="left"/>
        <w:rPr>
          <w:rFonts w:ascii="宋体" w:hAnsi="宋体" w:cs="宋体" w:eastAsia="宋体" w:hint="default"/>
          <w:sz w:val="21"/>
          <w:szCs w:val="21"/>
        </w:rPr>
      </w:pPr>
      <w:r>
        <w:rPr>
          <w:rFonts w:ascii="宋体" w:hAnsi="宋体" w:cs="宋体" w:eastAsia="宋体" w:hint="default"/>
          <w:sz w:val="21"/>
          <w:szCs w:val="21"/>
        </w:rPr>
        <w:t>每期末，对使用寿命有限的无形资产的使用寿命及摊销方法进行复核。</w:t>
      </w:r>
      <w:r>
        <w:rPr>
          <w:rFonts w:ascii="宋体" w:hAnsi="宋体" w:cs="宋体" w:eastAsia="宋体" w:hint="default"/>
          <w:w w:val="100"/>
          <w:sz w:val="21"/>
          <w:szCs w:val="21"/>
        </w:rPr>
        <w:t> </w:t>
      </w:r>
      <w:r>
        <w:rPr>
          <w:rFonts w:ascii="宋体" w:hAnsi="宋体" w:cs="宋体" w:eastAsia="宋体" w:hint="default"/>
          <w:spacing w:val="-2"/>
          <w:sz w:val="21"/>
          <w:szCs w:val="21"/>
        </w:rPr>
        <w:t>经复核，本年期末无形资产的使用寿命及摊销方法与以前估计未有不同。</w:t>
      </w: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合同约定或参考能为公司带来经济利益的期限确定使用寿命</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合同约定或参考能为公司带来经济利益的期限确定使用寿命</w:t>
            </w:r>
          </w:p>
        </w:tc>
      </w:tr>
      <w:tr>
        <w:trPr>
          <w:trHeight w:val="40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合同约定或参考能为公司带来经济利益的期限确定使用寿命</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合同约定或参考能为公司带来经济利益的期限确定使用寿命</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合同约定或参考能为公司带来经济利益的期限确定使用寿命</w:t>
            </w:r>
          </w:p>
        </w:tc>
      </w:tr>
    </w:tbl>
    <w:p>
      <w:pPr>
        <w:spacing w:line="240" w:lineRule="auto" w:before="3"/>
        <w:rPr>
          <w:rFonts w:ascii="宋体" w:hAnsi="宋体" w:cs="宋体" w:eastAsia="宋体" w:hint="default"/>
          <w:sz w:val="19"/>
          <w:szCs w:val="19"/>
        </w:rPr>
      </w:pPr>
    </w:p>
    <w:p>
      <w:pPr>
        <w:spacing w:before="36"/>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578" w:right="96"/>
        <w:jc w:val="left"/>
      </w:pPr>
      <w:r>
        <w:rPr/>
        <w:t>截至资产负债表日</w:t>
      </w:r>
      <w:r>
        <w:rPr>
          <w:rFonts w:ascii="宋体" w:hAnsi="宋体" w:cs="宋体" w:eastAsia="宋体" w:hint="default"/>
        </w:rPr>
        <w:t>,</w:t>
      </w:r>
      <w:r>
        <w:rPr/>
        <w:t>本公司没有使用寿命不确定的无形资产。</w:t>
      </w:r>
    </w:p>
    <w:p>
      <w:pPr>
        <w:spacing w:line="240" w:lineRule="auto" w:before="10"/>
        <w:rPr>
          <w:rFonts w:ascii="宋体" w:hAnsi="宋体" w:cs="宋体" w:eastAsia="宋体" w:hint="default"/>
          <w:sz w:val="30"/>
          <w:szCs w:val="30"/>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left="578" w:right="96"/>
        <w:jc w:val="left"/>
      </w:pPr>
      <w:r>
        <w:rPr/>
        <w:t>对于使用寿命确定的无形资产，如有明显减值迹象的，期末进行减值测试。 对于使用寿命不确定的无形资产，每期末进行减值测试。 </w:t>
      </w:r>
      <w:r>
        <w:rPr>
          <w:spacing w:val="2"/>
        </w:rPr>
        <w:t>对无形资产进行减值测试，估计其可收回金额。有迹象表明一项无形资产可能发生减值</w:t>
      </w:r>
      <w:r>
        <w:rPr/>
      </w:r>
    </w:p>
    <w:p>
      <w:pPr>
        <w:pStyle w:val="BodyText"/>
        <w:spacing w:line="357" w:lineRule="auto"/>
        <w:ind w:right="96"/>
        <w:jc w:val="left"/>
      </w:pPr>
      <w:r>
        <w:rPr/>
        <w:t>的，公司以单项无形资产为基础估计其可收回金额。公司难以对单项资产的可收回金额进行</w:t>
      </w:r>
      <w:r>
        <w:rPr>
          <w:spacing w:val="-91"/>
        </w:rPr>
        <w:t> </w:t>
      </w:r>
      <w:r>
        <w:rPr>
          <w:spacing w:val="-91"/>
        </w:rPr>
      </w:r>
      <w:r>
        <w:rPr/>
        <w:t>估计的，以该无形资产所属的资产组为基础确定无形资产组的可收回金额。</w:t>
      </w:r>
    </w:p>
    <w:p>
      <w:pPr>
        <w:pStyle w:val="BodyText"/>
        <w:spacing w:line="357" w:lineRule="auto"/>
        <w:ind w:right="96" w:firstLine="425"/>
        <w:jc w:val="left"/>
      </w:pPr>
      <w:r>
        <w:rPr>
          <w:spacing w:val="2"/>
        </w:rPr>
        <w:t>可收回金额根据无形资产的公允价值减去处置费用后的净额与无形资产预计未来现金流 </w:t>
      </w:r>
      <w:r>
        <w:rPr/>
        <w:t>量的现值两者之间较高者确定。</w:t>
      </w:r>
    </w:p>
    <w:p>
      <w:pPr>
        <w:pStyle w:val="BodyText"/>
        <w:spacing w:line="357" w:lineRule="auto"/>
        <w:ind w:right="108" w:firstLine="425"/>
        <w:jc w:val="left"/>
      </w:pPr>
      <w:r>
        <w:rPr>
          <w:spacing w:val="-1"/>
        </w:rPr>
        <w:t>当无形资产的可收回金额低于其账面价值的，将无形资产的账面价值减记至可收回金额，</w:t>
      </w:r>
      <w:r>
        <w:rPr/>
        <w:t> 减记的金额确认为无形资产减值损失，计入当期损益，同时计提相应的无形资产减值准备。</w:t>
      </w:r>
    </w:p>
    <w:p>
      <w:pPr>
        <w:pStyle w:val="BodyText"/>
        <w:spacing w:line="357" w:lineRule="auto"/>
        <w:ind w:right="228" w:firstLine="425"/>
        <w:jc w:val="both"/>
      </w:pPr>
      <w:r>
        <w:rPr>
          <w:spacing w:val="2"/>
        </w:rPr>
        <w:t>无形资产减值损失确认后，减值无形资产的折耗或者摊销费用在未来期间作相应调整， </w:t>
      </w:r>
      <w:r>
        <w:rPr/>
        <w:t>以使该无形资产在剩余使用寿命内，系统地分摊调整后的无形资产账面价值（扣除预计净残</w:t>
      </w:r>
      <w:r>
        <w:rPr>
          <w:spacing w:val="-91"/>
        </w:rPr>
        <w:t> </w:t>
      </w:r>
      <w:r>
        <w:rPr>
          <w:spacing w:val="-91"/>
        </w:rPr>
      </w:r>
      <w:r>
        <w:rPr/>
        <w:t>值）。</w:t>
      </w:r>
    </w:p>
    <w:p>
      <w:pPr>
        <w:pStyle w:val="BodyText"/>
        <w:spacing w:line="240" w:lineRule="auto"/>
        <w:ind w:left="578" w:right="96"/>
        <w:jc w:val="left"/>
      </w:pPr>
      <w:r>
        <w:rPr/>
        <w:t>无形资产的减值损失一经确认，在以后会计期间不再转回。</w:t>
      </w:r>
    </w:p>
    <w:p>
      <w:pPr>
        <w:spacing w:line="240" w:lineRule="auto" w:before="10"/>
        <w:rPr>
          <w:rFonts w:ascii="宋体" w:hAnsi="宋体" w:cs="宋体" w:eastAsia="宋体" w:hint="default"/>
          <w:sz w:val="30"/>
          <w:szCs w:val="30"/>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578" w:right="232"/>
        <w:jc w:val="left"/>
      </w:pPr>
      <w:r>
        <w:rPr/>
        <w:t>公司内部研究开发项目的支出分为研究阶段支出和开发阶段支出。 </w:t>
      </w:r>
      <w:r>
        <w:rPr>
          <w:spacing w:val="2"/>
        </w:rPr>
        <w:t>研究阶段：为获取并理解新的科学或技术知识等而进行的独创性的有计划调查、研究活</w:t>
      </w:r>
    </w:p>
    <w:p>
      <w:pPr>
        <w:pStyle w:val="BodyText"/>
        <w:spacing w:line="240" w:lineRule="auto" w:before="37"/>
        <w:ind w:right="96"/>
        <w:jc w:val="left"/>
      </w:pPr>
      <w:r>
        <w:rPr/>
        <w:t>动的阶段。</w:t>
      </w:r>
    </w:p>
    <w:p>
      <w:pPr>
        <w:pStyle w:val="BodyText"/>
        <w:spacing w:line="357" w:lineRule="auto" w:before="154"/>
        <w:ind w:right="108" w:firstLine="425"/>
        <w:jc w:val="left"/>
      </w:pPr>
      <w:r>
        <w:rPr>
          <w:spacing w:val="-1"/>
        </w:rPr>
        <w:t>开发阶段：在进行商业性生产或使用前，将研究成果或其他知识应用于某项计划或设计，</w:t>
      </w:r>
      <w:r>
        <w:rPr/>
        <w:t> 以生产出新的或具有实质性改进的材料、装置、产品等活动的阶段。</w:t>
      </w:r>
    </w:p>
    <w:p>
      <w:pPr>
        <w:spacing w:after="0" w:line="357" w:lineRule="auto"/>
        <w:jc w:val="left"/>
        <w:sectPr>
          <w:pgSz w:w="11910" w:h="16840"/>
          <w:pgMar w:header="745" w:footer="1186" w:top="1060" w:bottom="1380" w:left="980" w:right="90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578" w:right="0"/>
        <w:jc w:val="left"/>
      </w:pPr>
      <w:r>
        <w:rPr/>
        <w:t>内部研究开发项目开发阶段的支出，同时满足下列条件时确认为无形资产：</w:t>
      </w:r>
    </w:p>
    <w:p>
      <w:pPr>
        <w:pStyle w:val="BodyText"/>
        <w:spacing w:line="240" w:lineRule="auto" w:before="154"/>
        <w:ind w:left="578" w:right="0"/>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54"/>
        <w:ind w:left="578" w:right="0"/>
        <w:jc w:val="left"/>
      </w:pPr>
      <w:r>
        <w:rPr/>
        <w:t>（</w:t>
      </w:r>
      <w:r>
        <w:rPr>
          <w:rFonts w:ascii="宋体" w:hAnsi="宋体" w:cs="宋体" w:eastAsia="宋体" w:hint="default"/>
        </w:rPr>
        <w:t>2</w:t>
      </w:r>
      <w:r>
        <w:rPr/>
        <w:t>）具有完成该无形资产并使用或出售的意图；</w:t>
      </w:r>
    </w:p>
    <w:p>
      <w:pPr>
        <w:pStyle w:val="BodyText"/>
        <w:spacing w:line="357" w:lineRule="auto" w:before="154"/>
        <w:ind w:right="148" w:firstLine="425"/>
        <w:jc w:val="left"/>
      </w:pPr>
      <w:r>
        <w:rPr>
          <w:spacing w:val="-1"/>
        </w:rPr>
        <w:t>（</w:t>
      </w:r>
      <w:r>
        <w:rPr>
          <w:rFonts w:ascii="宋体" w:hAnsi="宋体" w:cs="宋体" w:eastAsia="宋体" w:hint="default"/>
          <w:spacing w:val="-1"/>
        </w:rPr>
        <w:t>3</w:t>
      </w:r>
      <w:r>
        <w:rPr>
          <w:spacing w:val="-1"/>
        </w:rPr>
        <w:t>）无形资产产生经济利益的方式，包括能够证明运用该无形资产生产的产品存在市场</w:t>
      </w:r>
      <w:r>
        <w:rPr/>
        <w:t> 或无形资产自身存在市场，无形资产将在内部使用的，能够证明其有用性；</w:t>
      </w:r>
    </w:p>
    <w:p>
      <w:pPr>
        <w:pStyle w:val="BodyText"/>
        <w:spacing w:line="357" w:lineRule="auto"/>
        <w:ind w:right="148" w:firstLine="425"/>
        <w:jc w:val="left"/>
      </w:pPr>
      <w:r>
        <w:rPr>
          <w:spacing w:val="-1"/>
        </w:rPr>
        <w:t>（</w:t>
      </w:r>
      <w:r>
        <w:rPr>
          <w:rFonts w:ascii="宋体" w:hAnsi="宋体" w:cs="宋体" w:eastAsia="宋体" w:hint="default"/>
          <w:spacing w:val="-1"/>
        </w:rPr>
        <w:t>4</w:t>
      </w:r>
      <w:r>
        <w:rPr>
          <w:spacing w:val="-1"/>
        </w:rPr>
        <w:t>）有足够的技术、财务资源和其他资源支持，以完成该无形资产的开发，并有能力使</w:t>
      </w:r>
      <w:r>
        <w:rPr/>
        <w:t> 用或出售该无形资产；</w:t>
      </w:r>
    </w:p>
    <w:p>
      <w:pPr>
        <w:pStyle w:val="BodyText"/>
        <w:spacing w:line="357" w:lineRule="auto"/>
        <w:ind w:left="578" w:right="0"/>
        <w:jc w:val="left"/>
      </w:pPr>
      <w:r>
        <w:rPr/>
        <w:t>（</w:t>
      </w:r>
      <w:r>
        <w:rPr>
          <w:rFonts w:ascii="宋体" w:hAnsi="宋体" w:cs="宋体" w:eastAsia="宋体" w:hint="default"/>
        </w:rPr>
        <w:t>5</w:t>
      </w:r>
      <w:r>
        <w:rPr/>
        <w:t>）归属于该无形资产开发阶段的支出能够可靠地计量。 </w:t>
      </w:r>
      <w:r>
        <w:rPr>
          <w:spacing w:val="2"/>
        </w:rPr>
        <w:t>开发阶段的支出，若不满足上列条件的，于发生时计入当期损益。研究阶段的支出，在</w:t>
      </w:r>
      <w:r>
        <w:rPr/>
      </w:r>
    </w:p>
    <w:p>
      <w:pPr>
        <w:pStyle w:val="BodyText"/>
        <w:spacing w:line="240" w:lineRule="auto"/>
        <w:ind w:right="0"/>
        <w:jc w:val="left"/>
      </w:pPr>
      <w:r>
        <w:rPr/>
        <w:t>发生时计入当期损益。</w:t>
      </w:r>
    </w:p>
    <w:p>
      <w:pPr>
        <w:spacing w:line="240" w:lineRule="auto" w:before="10"/>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0" w:firstLine="425"/>
        <w:jc w:val="left"/>
      </w:pPr>
      <w:r>
        <w:rPr>
          <w:spacing w:val="8"/>
        </w:rPr>
        <w:t>长期待摊费用为已经发生但应由本期和以后各期负担的分摊期限在一年以上的各项费</w:t>
      </w:r>
      <w:r>
        <w:rPr/>
        <w:t> 用。</w:t>
      </w:r>
    </w:p>
    <w:p>
      <w:pPr>
        <w:pStyle w:val="BodyText"/>
        <w:spacing w:line="240" w:lineRule="auto"/>
        <w:ind w:left="578" w:right="0"/>
        <w:jc w:val="left"/>
      </w:pPr>
      <w:r>
        <w:rPr/>
        <w:t>长期待摊费用在受益期内平均摊销。</w:t>
      </w:r>
    </w:p>
    <w:p>
      <w:pPr>
        <w:spacing w:line="240" w:lineRule="auto" w:before="10"/>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、附回购条件的资产转让</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47" w:firstLine="425"/>
        <w:jc w:val="both"/>
      </w:pPr>
      <w:r>
        <w:rPr>
          <w:spacing w:val="2"/>
        </w:rPr>
        <w:t>公司销售产品或转让其他资产时，与购买方签订了所销售的产品或转让资产回购协议， </w:t>
      </w:r>
      <w:r>
        <w:rPr/>
        <w:t>根据协议条款判断销售商品是否满足收入确认条件。如售后回购属于融资交易，则在交付产</w:t>
      </w:r>
      <w:r>
        <w:rPr>
          <w:spacing w:val="-91"/>
        </w:rPr>
        <w:t> </w:t>
      </w:r>
      <w:r>
        <w:rPr>
          <w:spacing w:val="-91"/>
        </w:rPr>
      </w:r>
      <w:r>
        <w:rPr/>
        <w:t>品或资产时，本公司不确认销售收入。回购价款大于销售价款的差额，在回购期间按期计提</w:t>
      </w:r>
      <w:r>
        <w:rPr>
          <w:spacing w:val="-91"/>
        </w:rPr>
        <w:t> </w:t>
      </w:r>
      <w:r>
        <w:rPr>
          <w:spacing w:val="-91"/>
        </w:rPr>
      </w:r>
      <w:r>
        <w:rPr/>
        <w:t>利息，计入财务费用。</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0" w:firstLine="425"/>
        <w:jc w:val="left"/>
      </w:pPr>
      <w:r>
        <w:rPr>
          <w:spacing w:val="2"/>
        </w:rPr>
        <w:t>本公司涉及诉讼、债务担保、亏损合同、重组事项时，如该等事项很可能需要未来以交 </w:t>
      </w:r>
      <w:r>
        <w:rPr/>
        <w:t>付资产或提供劳务、其金额能够可靠计量的，确认为预计负债。</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578" w:right="0"/>
        <w:jc w:val="left"/>
      </w:pPr>
      <w:r>
        <w:rPr/>
        <w:t>与或有事项相关的义务同时满足下列条件时，本公司确认为预计负债：</w:t>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240" w:lineRule="auto" w:before="26"/>
        <w:ind w:left="578" w:right="0"/>
        <w:jc w:val="left"/>
      </w:pPr>
      <w:r>
        <w:rPr/>
        <w:t>（</w:t>
      </w:r>
      <w:r>
        <w:rPr>
          <w:rFonts w:ascii="宋体" w:hAnsi="宋体" w:cs="宋体" w:eastAsia="宋体" w:hint="default"/>
        </w:rPr>
        <w:t>1</w:t>
      </w:r>
      <w:r>
        <w:rPr/>
        <w:t>）该义务是本公司承担的现时义务；</w:t>
      </w:r>
    </w:p>
    <w:p>
      <w:pPr>
        <w:pStyle w:val="BodyText"/>
        <w:spacing w:line="240" w:lineRule="auto" w:before="154"/>
        <w:ind w:left="578" w:right="0"/>
        <w:jc w:val="left"/>
      </w:pPr>
      <w:r>
        <w:rPr/>
        <w:t>（</w:t>
      </w:r>
      <w:r>
        <w:rPr>
          <w:rFonts w:ascii="宋体" w:hAnsi="宋体" w:cs="宋体" w:eastAsia="宋体" w:hint="default"/>
        </w:rPr>
        <w:t>2</w:t>
      </w:r>
      <w:r>
        <w:rPr/>
        <w:t>）履行该义务很可能导致经济利益流出本公司；</w:t>
      </w:r>
    </w:p>
    <w:p>
      <w:pPr>
        <w:pStyle w:val="BodyText"/>
        <w:spacing w:line="240" w:lineRule="auto" w:before="154"/>
        <w:ind w:left="578" w:right="0"/>
        <w:jc w:val="left"/>
      </w:pPr>
      <w:r>
        <w:rPr/>
        <w:t>（</w:t>
      </w:r>
      <w:r>
        <w:rPr>
          <w:rFonts w:ascii="宋体" w:hAnsi="宋体" w:cs="宋体" w:eastAsia="宋体" w:hint="default"/>
        </w:rPr>
        <w:t>3</w:t>
      </w:r>
      <w:r>
        <w:rPr/>
        <w:t>）该义务的金额能够可靠地计量。</w:t>
      </w:r>
    </w:p>
    <w:p>
      <w:pPr>
        <w:spacing w:line="240" w:lineRule="auto" w:before="10"/>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0" w:firstLine="425"/>
        <w:jc w:val="left"/>
      </w:pPr>
      <w:r>
        <w:rPr>
          <w:spacing w:val="2"/>
        </w:rPr>
        <w:t>在资产负债表日，考虑与或有事项有关的风险、不确定性和货币时间价值等因素，按照 </w:t>
      </w:r>
      <w:r>
        <w:rPr/>
        <w:t>履行相关现时义务所需支出的最佳估计数对预计负债进行计量。</w:t>
      </w:r>
    </w:p>
    <w:p>
      <w:pPr>
        <w:pStyle w:val="BodyText"/>
        <w:spacing w:line="357" w:lineRule="auto"/>
        <w:ind w:right="0" w:firstLine="425"/>
        <w:jc w:val="left"/>
      </w:pPr>
      <w:r>
        <w:rPr>
          <w:spacing w:val="2"/>
        </w:rPr>
        <w:t>如果清偿预计负债所需支出全部或部分预期由第三方补偿的，补偿金额在基本确定能够 </w:t>
      </w:r>
      <w:r>
        <w:rPr/>
        <w:t>收到时，作为资产单独确认，且确认的补偿金额不超过预计负债的账面价值。</w:t>
      </w: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、回购本公司股份</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3" w:firstLine="905"/>
        <w:jc w:val="both"/>
      </w:pPr>
      <w:r>
        <w:rPr>
          <w:spacing w:val="2"/>
        </w:rPr>
        <w:t>公司已将商品所有权上的主要风险和报酬转移给购买方；公司既没有保留与所有权 </w:t>
      </w:r>
      <w:r>
        <w:rPr/>
        <w:t>相联系的继续管理权，也没有对已售出的商品实施有效控制；收入的金额能够可靠地计量；</w:t>
      </w:r>
      <w:r>
        <w:rPr>
          <w:spacing w:val="-91"/>
        </w:rPr>
        <w:t> </w:t>
      </w:r>
      <w:r>
        <w:rPr>
          <w:spacing w:val="-91"/>
        </w:rPr>
      </w:r>
      <w:r>
        <w:rPr/>
        <w:t>相关的经济利益很可能流入企业；相关的已发生或将发生的成本能够可靠地计量时，确认商</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tabs>
          <w:tab w:pos="2534" w:val="left" w:leader="none"/>
        </w:tabs>
        <w:spacing w:line="357" w:lineRule="auto" w:before="26"/>
        <w:ind w:right="110"/>
        <w:jc w:val="left"/>
      </w:pPr>
      <w:r>
        <w:rPr/>
        <w:t>品销售收入实现。</w:t>
        <w:tab/>
      </w:r>
      <w:r>
        <w:rPr>
          <w:spacing w:val="-2"/>
        </w:rPr>
        <w:t>公司根据销售订单，以发出商品并经客户验收（大宗商品、分销业务）</w:t>
      </w:r>
      <w:r>
        <w:rPr/>
        <w:t> 或签收（小额商品、网上商城）并取得收取货款的权利作为销售已实现、收入确认的时点和</w:t>
      </w:r>
      <w:r>
        <w:rPr>
          <w:spacing w:val="-87"/>
        </w:rPr>
        <w:t> </w:t>
      </w:r>
      <w:r>
        <w:rPr>
          <w:spacing w:val="-87"/>
        </w:rPr>
      </w:r>
      <w:r>
        <w:rPr/>
        <w:t>标准。</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96" w:firstLine="425"/>
        <w:jc w:val="left"/>
      </w:pPr>
      <w:r>
        <w:rPr>
          <w:spacing w:val="2"/>
        </w:rPr>
        <w:t>与交易相关的经济利益很可能流入企业，收入的金额能够可靠地计量时。分别下列情况 </w:t>
      </w:r>
      <w:r>
        <w:rPr/>
        <w:t>确定让渡资产使用权收入金额：</w:t>
      </w:r>
    </w:p>
    <w:p>
      <w:pPr>
        <w:pStyle w:val="BodyText"/>
        <w:spacing w:line="357" w:lineRule="auto"/>
        <w:ind w:left="578" w:right="96"/>
        <w:jc w:val="left"/>
      </w:pPr>
      <w:r>
        <w:rPr/>
        <w:t>利息收入：按照他人使用本公司货币资金的时间和实际利率计算确定。 使用费收入：根据有关合同或协议，按权责发生制确认收入。 </w:t>
      </w:r>
      <w:r>
        <w:rPr>
          <w:spacing w:val="2"/>
        </w:rPr>
        <w:t>公司根据权责发生制原则，按让渡资产使用权的时间和约定利率作为收入确认依据。资</w:t>
      </w:r>
      <w:r>
        <w:rPr/>
      </w:r>
    </w:p>
    <w:p>
      <w:pPr>
        <w:pStyle w:val="BodyText"/>
        <w:spacing w:line="240" w:lineRule="auto"/>
        <w:ind w:right="96"/>
        <w:jc w:val="left"/>
      </w:pPr>
      <w:r>
        <w:rPr/>
        <w:t>产使用权的让渡以合并范围内单位为主。</w:t>
      </w:r>
    </w:p>
    <w:p>
      <w:pPr>
        <w:spacing w:line="240" w:lineRule="auto" w:before="10"/>
        <w:rPr>
          <w:rFonts w:ascii="宋体" w:hAnsi="宋体" w:cs="宋体" w:eastAsia="宋体" w:hint="default"/>
          <w:sz w:val="30"/>
          <w:szCs w:val="30"/>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96" w:firstLine="425"/>
        <w:jc w:val="left"/>
      </w:pPr>
      <w:r>
        <w:rPr>
          <w:spacing w:val="2"/>
        </w:rPr>
        <w:t>在资产负债表日提供劳务交易的结果能够可靠估计的，采用完工百分比法确认提供劳务</w:t>
      </w:r>
      <w:r>
        <w:rPr/>
        <w:t> 收入。</w:t>
      </w:r>
    </w:p>
    <w:p>
      <w:pPr>
        <w:pStyle w:val="BodyText"/>
        <w:spacing w:line="240" w:lineRule="auto"/>
        <w:ind w:left="578" w:right="96"/>
        <w:jc w:val="left"/>
      </w:pPr>
      <w:r>
        <w:rPr/>
        <w:t>在资产负债表日提供劳务交易结果不能够可靠估计的，分别下列情况处理：</w:t>
      </w:r>
    </w:p>
    <w:p>
      <w:pPr>
        <w:pStyle w:val="BodyText"/>
        <w:spacing w:line="357" w:lineRule="auto" w:before="154"/>
        <w:ind w:right="96" w:firstLine="425"/>
        <w:jc w:val="left"/>
      </w:pPr>
      <w:r>
        <w:rPr>
          <w:spacing w:val="2"/>
        </w:rPr>
        <w:t>①已经发生的劳务成本预计能够得到补偿的，按照已经发生的劳务成本金额确认提供劳 </w:t>
      </w:r>
      <w:r>
        <w:rPr/>
        <w:t>务收入，并按相同金额结转劳务成本。</w:t>
      </w:r>
    </w:p>
    <w:p>
      <w:pPr>
        <w:pStyle w:val="BodyText"/>
        <w:spacing w:line="357" w:lineRule="auto"/>
        <w:ind w:right="96" w:firstLine="425"/>
        <w:jc w:val="left"/>
      </w:pPr>
      <w:r>
        <w:rPr>
          <w:spacing w:val="2"/>
        </w:rPr>
        <w:t>②已经发生的劳务成本预计不能够得到补偿的，将已经发生的劳务成本计入当期损益， </w:t>
      </w:r>
      <w:r>
        <w:rPr/>
        <w:t>不确认提供劳务收入。</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33" w:firstLine="905"/>
        <w:jc w:val="both"/>
      </w:pPr>
      <w:r>
        <w:rPr>
          <w:spacing w:val="2"/>
        </w:rPr>
        <w:t>提供劳务交易的完工进度，依据已经提供的劳务占应提供劳务总量的比例确定。按 </w:t>
      </w:r>
      <w:r>
        <w:rPr/>
        <w:t>照已收或应收的合同或协议价款确定提供劳务收入总额，但已收或应收的合同或协议价款不</w:t>
      </w:r>
      <w:r>
        <w:rPr>
          <w:spacing w:val="-87"/>
        </w:rPr>
        <w:t> </w:t>
      </w:r>
      <w:r>
        <w:rPr>
          <w:spacing w:val="-87"/>
        </w:rPr>
      </w:r>
      <w:r>
        <w:rPr/>
        <w:t>公允的除外。资产负债表日按照提供劳务收入总额乘以完工进度扣除以前会计期间累计已确</w:t>
      </w:r>
      <w:r>
        <w:rPr>
          <w:spacing w:val="-91"/>
        </w:rPr>
        <w:t> </w:t>
      </w:r>
      <w:r>
        <w:rPr>
          <w:spacing w:val="-91"/>
        </w:rPr>
      </w:r>
      <w:r>
        <w:rPr/>
        <w:t>认提供劳务收入后的金额，确认当期提供劳务收入；同时，按照提供劳务估计总成本乘以完</w:t>
      </w:r>
      <w:r>
        <w:rPr>
          <w:spacing w:val="-91"/>
        </w:rPr>
        <w:t> </w:t>
      </w:r>
      <w:r>
        <w:rPr>
          <w:spacing w:val="-91"/>
        </w:rPr>
      </w:r>
      <w:r>
        <w:rPr/>
        <w:t>工进度扣除以前会计期间累计已确认劳务成本后的金额，结转当期劳务成本。</w:t>
      </w:r>
    </w:p>
    <w:p>
      <w:pPr>
        <w:spacing w:after="0" w:line="357" w:lineRule="auto"/>
        <w:jc w:val="both"/>
        <w:sectPr>
          <w:pgSz w:w="11910" w:h="16840"/>
          <w:pgMar w:header="745" w:footer="1186" w:top="1060" w:bottom="1380" w:left="980" w:right="900"/>
        </w:sectPr>
      </w:pPr>
    </w:p>
    <w:p>
      <w:pPr>
        <w:spacing w:line="240" w:lineRule="auto" w:before="10"/>
        <w:rPr>
          <w:rFonts w:ascii="宋体" w:hAnsi="宋体" w:cs="宋体" w:eastAsia="宋体" w:hint="default"/>
          <w:sz w:val="24"/>
          <w:szCs w:val="24"/>
        </w:rPr>
      </w:pPr>
    </w:p>
    <w:p>
      <w:pPr>
        <w:spacing w:before="36"/>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tabs>
          <w:tab w:pos="2322" w:val="left" w:leader="none"/>
          <w:tab w:pos="4975" w:val="left" w:leader="none"/>
          <w:tab w:pos="6420" w:val="left" w:leader="none"/>
        </w:tabs>
        <w:spacing w:line="357" w:lineRule="auto" w:before="0"/>
        <w:ind w:right="112" w:firstLine="905"/>
        <w:jc w:val="left"/>
      </w:pPr>
      <w:r>
        <w:rPr>
          <w:spacing w:val="2"/>
        </w:rPr>
        <w:t>政府补助，是本公司从政府无偿取得的货币性资产与非货币性资产。分为与资产相 </w:t>
      </w:r>
      <w:r>
        <w:rPr/>
        <w:t>关的政府补助和与收益相关的政府补助。</w:t>
        <w:tab/>
        <w:t>与资产相关的政府补助，是指企业取得的、用</w:t>
      </w:r>
      <w:r>
        <w:rPr>
          <w:spacing w:val="-107"/>
        </w:rPr>
        <w:t> </w:t>
      </w:r>
      <w:r>
        <w:rPr>
          <w:spacing w:val="-107"/>
        </w:rPr>
      </w:r>
      <w:r>
        <w:rPr/>
        <w:t>于购建或以其他方式形成长期资产的政府补助，包括购买固定资产或无形资产的财政拨款、</w:t>
      </w:r>
      <w:r>
        <w:rPr>
          <w:spacing w:val="-86"/>
        </w:rPr>
        <w:t> </w:t>
      </w:r>
      <w:r>
        <w:rPr>
          <w:spacing w:val="-86"/>
        </w:rPr>
      </w:r>
      <w:r>
        <w:rPr/>
        <w:t>固定资产专门借款的财政贴息等。与收益相关的政府补助，是指除与资产相关的政府补助之</w:t>
      </w:r>
      <w:r>
        <w:rPr>
          <w:spacing w:val="-91"/>
        </w:rPr>
        <w:t> </w:t>
      </w:r>
      <w:r>
        <w:rPr>
          <w:spacing w:val="-91"/>
        </w:rPr>
      </w:r>
      <w:r>
        <w:rPr/>
        <w:t>外的政府补助。</w:t>
        <w:tab/>
        <w:t>本公司将政府补助划分为与资产相关的具体标准为：政府补助文件或企</w:t>
      </w:r>
      <w:r>
        <w:rPr>
          <w:spacing w:val="-97"/>
        </w:rPr>
        <w:t> </w:t>
      </w:r>
      <w:r>
        <w:rPr>
          <w:spacing w:val="-97"/>
        </w:rPr>
      </w:r>
      <w:r>
        <w:rPr/>
        <w:t>业申请文件中，明确规定取得的补助由企业用于购建或其他方式形成具体的长期资产，待资</w:t>
      </w:r>
      <w:r>
        <w:rPr>
          <w:spacing w:val="-91"/>
        </w:rPr>
        <w:t> </w:t>
      </w:r>
      <w:r>
        <w:rPr>
          <w:spacing w:val="-91"/>
        </w:rPr>
      </w:r>
      <w:r>
        <w:rPr/>
        <w:t>产形成达到预定可使用状态时，由政府部门予以验收。</w:t>
        <w:tab/>
        <w:t>本公司将政府补助划分为与收益</w:t>
      </w:r>
      <w:r>
        <w:rPr>
          <w:spacing w:val="-111"/>
        </w:rPr>
        <w:t> </w:t>
      </w:r>
      <w:r>
        <w:rPr>
          <w:spacing w:val="-111"/>
        </w:rPr>
      </w:r>
      <w:r>
        <w:rPr/>
        <w:t>相关的具体标准为：政府补助文件或企业申请文件中，明确规定取得的补助由企业用于已经</w:t>
      </w:r>
      <w:r>
        <w:rPr>
          <w:spacing w:val="-91"/>
        </w:rPr>
        <w:t> </w:t>
      </w:r>
      <w:r>
        <w:rPr>
          <w:spacing w:val="-91"/>
        </w:rPr>
      </w:r>
      <w:r>
        <w:rPr/>
        <w:t>发生或将来发生的费用性补偿或给予的奖励、资助、扶持、税收返还等，不形成长期资产。</w:t>
      </w:r>
      <w:r>
        <w:rPr>
          <w:spacing w:val="-91"/>
        </w:rPr>
        <w:t> </w:t>
      </w:r>
      <w:r>
        <w:rPr>
          <w:spacing w:val="-91"/>
        </w:rPr>
      </w:r>
      <w:r>
        <w:rPr>
          <w:spacing w:val="-2"/>
        </w:rPr>
        <w:t>对于政府文件未明确规定补助对象的，本公司将该政府补助划分为与收益相关的判断依据为：</w:t>
      </w:r>
      <w:r>
        <w:rPr/>
        <w:t> 企业对于综合性项目的政府补助，需要将其分解为与资产相关的部分和与收益相关的部分，</w:t>
      </w:r>
      <w:r>
        <w:rPr>
          <w:spacing w:val="-91"/>
        </w:rPr>
        <w:t> </w:t>
      </w:r>
      <w:r>
        <w:rPr>
          <w:spacing w:val="-91"/>
        </w:rPr>
      </w:r>
      <w:r>
        <w:rPr/>
        <w:t>分别进行会计处理；难以区分的，将政府补助整体归类为与收益相关的政府补助，视情况不</w:t>
      </w:r>
      <w:r>
        <w:rPr>
          <w:spacing w:val="-91"/>
        </w:rPr>
        <w:t> </w:t>
      </w:r>
      <w:r>
        <w:rPr>
          <w:spacing w:val="-91"/>
        </w:rPr>
      </w:r>
      <w:r>
        <w:rPr/>
        <w:t>同计入当期损益，或者在项目期内分期确认为当期收益。</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）会计政策</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28" w:firstLine="425"/>
        <w:jc w:val="both"/>
      </w:pPr>
      <w:r>
        <w:rPr>
          <w:spacing w:val="2"/>
        </w:rPr>
        <w:t>与资产相关的政府补助，确认为递延收益，按照所建造或购买的资产使用年限分期计入 </w:t>
      </w:r>
      <w:r>
        <w:rPr/>
        <w:t>营业外收入。</w:t>
      </w:r>
    </w:p>
    <w:p>
      <w:pPr>
        <w:pStyle w:val="BodyText"/>
        <w:spacing w:line="357" w:lineRule="auto"/>
        <w:ind w:right="228" w:firstLine="425"/>
        <w:jc w:val="both"/>
      </w:pPr>
      <w:r>
        <w:rPr>
          <w:spacing w:val="2"/>
        </w:rPr>
        <w:t>与收益相关的政府补助，用于补偿企业以后期间的相关费用或损失的，取得时确认为递 </w:t>
      </w:r>
      <w:r>
        <w:rPr/>
        <w:t>延收益，在确认相关费用的期间计入当期营业外收入；用于补偿企业已发生的相关费用或损</w:t>
      </w:r>
      <w:r>
        <w:rPr>
          <w:spacing w:val="-88"/>
        </w:rPr>
        <w:t> </w:t>
      </w:r>
      <w:r>
        <w:rPr>
          <w:spacing w:val="-88"/>
        </w:rPr>
      </w:r>
      <w:r>
        <w:rPr/>
        <w:t>失的，取得时直接计入当期营业外收入。</w:t>
      </w:r>
    </w:p>
    <w:p>
      <w:pPr>
        <w:pStyle w:val="BodyText"/>
        <w:spacing w:line="357" w:lineRule="auto"/>
        <w:ind w:right="228" w:firstLine="425"/>
        <w:jc w:val="both"/>
      </w:pPr>
      <w:r>
        <w:rPr>
          <w:spacing w:val="2"/>
        </w:rPr>
        <w:t>与收益相关的政府补助确认时点：公司按照固定的定额标准取得的政府补助，在报告期 </w:t>
      </w:r>
      <w:r>
        <w:rPr/>
        <w:t>末（月末、季末、年末）按应收金额确认，否则在实际收到时确认。</w:t>
      </w:r>
    </w:p>
    <w:p>
      <w:pPr>
        <w:pStyle w:val="BodyText"/>
        <w:spacing w:line="357" w:lineRule="auto"/>
        <w:ind w:right="228" w:firstLine="425"/>
        <w:jc w:val="both"/>
      </w:pPr>
      <w:r>
        <w:rPr>
          <w:spacing w:val="2"/>
        </w:rPr>
        <w:t>与资产相关的政府补助确认时点：起点是相关资产可供使用时，对于应计提折旧或摊销 </w:t>
      </w:r>
      <w:r>
        <w:rPr>
          <w:spacing w:val="-5"/>
        </w:rPr>
        <w:t>的长期资产，即为资产开始折旧或摊销的时点。终点是资产使用寿命结束或资产被处置时（孰</w:t>
      </w:r>
      <w:r>
        <w:rPr/>
        <w:t> 早）。相关资产在使用寿命结束时或结束前被处置（出售、转让、报废等），尚未分摊的政</w:t>
      </w:r>
      <w:r>
        <w:rPr>
          <w:spacing w:val="-91"/>
        </w:rPr>
        <w:t> </w:t>
      </w:r>
      <w:r>
        <w:rPr>
          <w:spacing w:val="-91"/>
        </w:rPr>
      </w:r>
      <w:r>
        <w:rPr/>
        <w:t>府补助余额应当一次性转入资产处置当期的收益，不再予以递延。</w:t>
      </w:r>
    </w:p>
    <w:p>
      <w:pPr>
        <w:spacing w:after="0" w:line="357" w:lineRule="auto"/>
        <w:jc w:val="both"/>
        <w:sectPr>
          <w:pgSz w:w="11910" w:h="16840"/>
          <w:pgMar w:header="745" w:footer="1186" w:top="1060" w:bottom="1380" w:left="980" w:right="900"/>
        </w:sectPr>
      </w:pPr>
    </w:p>
    <w:p>
      <w:pPr>
        <w:spacing w:line="240" w:lineRule="auto" w:before="10"/>
        <w:rPr>
          <w:rFonts w:ascii="宋体" w:hAnsi="宋体" w:cs="宋体" w:eastAsia="宋体" w:hint="default"/>
          <w:sz w:val="24"/>
          <w:szCs w:val="24"/>
        </w:rPr>
      </w:pPr>
    </w:p>
    <w:p>
      <w:pPr>
        <w:spacing w:before="36"/>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tabs>
          <w:tab w:pos="1357" w:val="left" w:leader="none"/>
          <w:tab w:pos="3528" w:val="left" w:leader="none"/>
          <w:tab w:pos="4010" w:val="left" w:leader="none"/>
          <w:tab w:pos="6420" w:val="left" w:leader="none"/>
          <w:tab w:pos="8348" w:val="left" w:leader="none"/>
        </w:tabs>
        <w:spacing w:line="357" w:lineRule="auto" w:before="0"/>
        <w:ind w:right="113" w:firstLine="742"/>
        <w:jc w:val="left"/>
      </w:pPr>
      <w:r>
        <w:rPr/>
        <w:t>某些资产、负债项目的账面价值与其计税基础之间的差额，以及未作为资产和负债确 认但按照税法规定可以确定其计税基础的项目的账面价值与计税基础之间的差额产生的暂时</w:t>
      </w:r>
      <w:r>
        <w:rPr>
          <w:spacing w:val="-91"/>
        </w:rPr>
        <w:t> </w:t>
      </w:r>
      <w:r>
        <w:rPr>
          <w:spacing w:val="-91"/>
        </w:rPr>
      </w:r>
      <w:r>
        <w:rPr/>
        <w:t>性差异，采用资产负债表债务法确认递延所得税资产及递延所得税负债。</w:t>
        <w:tab/>
        <w:t>与商誉的初始</w:t>
      </w:r>
      <w:r>
        <w:rPr/>
        <w:t> 确认有关，以及与既不是企业合并、发生时也不影响会计利润和应纳税所得额（或可抵扣亏</w:t>
      </w:r>
      <w:r>
        <w:rPr>
          <w:spacing w:val="-91"/>
        </w:rPr>
        <w:t> </w:t>
      </w:r>
      <w:r>
        <w:rPr>
          <w:spacing w:val="-91"/>
        </w:rPr>
      </w:r>
      <w:r>
        <w:rPr/>
        <w:t>损）的交易中产生的资产或负债的初始确认有关的应纳税暂时性差异，不予确认有关的递延</w:t>
      </w:r>
      <w:r>
        <w:rPr>
          <w:spacing w:val="-91"/>
        </w:rPr>
        <w:t> </w:t>
      </w:r>
      <w:r>
        <w:rPr>
          <w:spacing w:val="-91"/>
        </w:rPr>
      </w:r>
      <w:r>
        <w:rPr/>
        <w:t>所得税负债。此外，对与子公司、联营企业及合营企业投资相关的应纳税暂时性差异，如果</w:t>
      </w:r>
      <w:r>
        <w:rPr>
          <w:spacing w:val="-89"/>
        </w:rPr>
        <w:t> </w:t>
      </w:r>
      <w:r>
        <w:rPr>
          <w:spacing w:val="-89"/>
        </w:rPr>
      </w:r>
      <w:r>
        <w:rPr>
          <w:spacing w:val="-2"/>
        </w:rPr>
        <w:t>本公司能够控制暂时性差异转回的时间，而且该暂时性差异在可预见的未来很可能不会转回，</w:t>
      </w:r>
      <w:r>
        <w:rPr/>
        <w:t> 也不予确认有关的递延所得税负债。除上述例外情况，本公司确认其他所有应纳税暂时性差</w:t>
      </w:r>
      <w:r>
        <w:rPr>
          <w:spacing w:val="-91"/>
        </w:rPr>
        <w:t> </w:t>
      </w:r>
      <w:r>
        <w:rPr>
          <w:spacing w:val="-91"/>
        </w:rPr>
      </w:r>
      <w:r>
        <w:rPr/>
        <w:t>异产生的递延所得税负债。</w:t>
        <w:tab/>
        <w:t>与既不是企业合并、发生时也不影响会计利润和应纳税所得</w:t>
      </w:r>
      <w:r>
        <w:rPr>
          <w:spacing w:val="-101"/>
        </w:rPr>
        <w:t> </w:t>
      </w:r>
      <w:r>
        <w:rPr>
          <w:spacing w:val="-101"/>
        </w:rPr>
      </w:r>
      <w:r>
        <w:rPr/>
        <w:t>额（或可抵扣亏损）的交易中产生的资产或负债的初始确认有关的可抵扣暂时性差异，不予</w:t>
      </w:r>
      <w:r>
        <w:rPr>
          <w:spacing w:val="-91"/>
        </w:rPr>
        <w:t> </w:t>
      </w:r>
      <w:r>
        <w:rPr>
          <w:spacing w:val="-91"/>
        </w:rPr>
      </w:r>
      <w:r>
        <w:rPr/>
        <w:t>确认有关的递延所得税资产。此外，对与子公司、联营企业及合营企业投资相关的可抵扣暂</w:t>
      </w:r>
      <w:r>
        <w:rPr>
          <w:spacing w:val="-91"/>
        </w:rPr>
        <w:t> </w:t>
      </w:r>
      <w:r>
        <w:rPr>
          <w:spacing w:val="-91"/>
        </w:rPr>
      </w:r>
      <w:r>
        <w:rPr/>
        <w:t>时性差异，如果暂时性差异在可预见的未来不是很可能转回，或者未来不是很可能获得用来</w:t>
      </w:r>
      <w:r>
        <w:rPr>
          <w:spacing w:val="-86"/>
        </w:rPr>
        <w:t> </w:t>
      </w:r>
      <w:r>
        <w:rPr>
          <w:spacing w:val="-86"/>
        </w:rPr>
      </w:r>
      <w:r>
        <w:rPr>
          <w:spacing w:val="-2"/>
        </w:rPr>
        <w:t>抵扣可抵扣暂时性差异的应纳税所得额，不予确认有关的递延所得税资产。除上述例外情况，</w:t>
      </w:r>
      <w:r>
        <w:rPr/>
        <w:t> 本公司以很可能取得用来抵扣可抵扣暂时性差异的应纳税所得额为限，确认其他可抵扣暂时</w:t>
      </w:r>
      <w:r>
        <w:rPr>
          <w:spacing w:val="-91"/>
        </w:rPr>
        <w:t> </w:t>
      </w:r>
      <w:r>
        <w:rPr>
          <w:spacing w:val="-91"/>
        </w:rPr>
      </w:r>
      <w:r>
        <w:rPr/>
        <w:t>性差异产生的递延所得税资产。</w:t>
        <w:tab/>
        <w:tab/>
        <w:t>对于能够结转以后年度的可抵扣亏损和税款抵减，以很</w:t>
      </w:r>
      <w:r>
        <w:rPr>
          <w:spacing w:val="-103"/>
        </w:rPr>
        <w:t> </w:t>
      </w:r>
      <w:r>
        <w:rPr>
          <w:spacing w:val="-103"/>
        </w:rPr>
      </w:r>
      <w:r>
        <w:rPr/>
        <w:t>可能获得用来抵扣可抵扣亏损和税款抵减的未来应纳税所得额为限，确认相应的递延所得税</w:t>
      </w:r>
      <w:r>
        <w:rPr>
          <w:spacing w:val="-91"/>
        </w:rPr>
        <w:t> </w:t>
      </w:r>
      <w:r>
        <w:rPr>
          <w:spacing w:val="-91"/>
        </w:rPr>
      </w:r>
      <w:r>
        <w:rPr/>
        <w:t>资产。</w:t>
        <w:tab/>
        <w:t>资产负债表日，对于递延所得税资产和递延所得税负债，根据税法规定，按照预</w:t>
      </w:r>
      <w:r>
        <w:rPr>
          <w:spacing w:val="-93"/>
        </w:rPr>
        <w:t> </w:t>
      </w:r>
      <w:r>
        <w:rPr>
          <w:spacing w:val="-93"/>
        </w:rPr>
      </w:r>
      <w:r>
        <w:rPr/>
        <w:t>期收回相关资产或清偿相关负债期间的适用税率计量。</w:t>
        <w:tab/>
        <w:t>于资产负债表日，对递延所得税</w:t>
      </w:r>
      <w:r>
        <w:rPr>
          <w:spacing w:val="-109"/>
        </w:rPr>
        <w:t> </w:t>
      </w:r>
      <w:r>
        <w:rPr>
          <w:spacing w:val="-109"/>
        </w:rPr>
      </w:r>
      <w:r>
        <w:rPr/>
        <w:t>资产的账面价值进行复核，如果未来很可能无法获得足够的应纳税所得额用以抵扣递延所得</w:t>
      </w:r>
      <w:r>
        <w:rPr>
          <w:spacing w:val="-91"/>
        </w:rPr>
        <w:t> </w:t>
      </w:r>
      <w:r>
        <w:rPr>
          <w:spacing w:val="-91"/>
        </w:rPr>
      </w:r>
      <w:r>
        <w:rPr/>
        <w:t>税资产的利益，则减记递延所得税资产的账面价值。在很可能获得足够的应纳税所得额时，</w:t>
      </w:r>
      <w:r>
        <w:rPr>
          <w:spacing w:val="-91"/>
        </w:rPr>
        <w:t> </w:t>
      </w:r>
      <w:r>
        <w:rPr>
          <w:spacing w:val="-91"/>
        </w:rPr>
      </w:r>
      <w:r>
        <w:rPr/>
        <w:t>减记的金额予以转回。</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33" w:firstLine="905"/>
        <w:jc w:val="both"/>
      </w:pPr>
      <w:r>
        <w:rPr>
          <w:spacing w:val="2"/>
        </w:rPr>
        <w:t>某些资产、负债项目的账面价值与其计税基础之间的差额，以及未作为资产和负债 </w:t>
      </w:r>
      <w:r>
        <w:rPr/>
        <w:t>确认但按照税法规定可以确定其计税基础的项目的账面价值与计税基础之间的差额产生的暂</w:t>
      </w:r>
      <w:r>
        <w:rPr>
          <w:spacing w:val="-91"/>
        </w:rPr>
        <w:t> </w:t>
      </w:r>
      <w:r>
        <w:rPr>
          <w:spacing w:val="-91"/>
        </w:rPr>
      </w:r>
      <w:r>
        <w:rPr/>
        <w:t>时性差异，采用资产负债表债务法确认递延所得税资产及递延所得税负债。</w:t>
      </w:r>
      <w:r>
        <w:rPr>
          <w:spacing w:val="34"/>
        </w:rPr>
        <w:t> </w:t>
      </w:r>
      <w:r>
        <w:rPr/>
        <w:t>与商誉的初</w:t>
      </w:r>
      <w:r>
        <w:rPr/>
        <w:t> 始确认有关，以及与既不是企业合并、发生时也不影响会计利润和应纳税所得额（或可抵扣</w:t>
      </w:r>
    </w:p>
    <w:p>
      <w:pPr>
        <w:spacing w:after="0" w:line="357" w:lineRule="auto"/>
        <w:jc w:val="both"/>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tabs>
          <w:tab w:pos="1840" w:val="left" w:leader="none"/>
          <w:tab w:pos="4010" w:val="left" w:leader="none"/>
          <w:tab w:pos="4632" w:val="left" w:leader="none"/>
          <w:tab w:pos="6900" w:val="left" w:leader="none"/>
        </w:tabs>
        <w:spacing w:line="357" w:lineRule="auto" w:before="26"/>
        <w:ind w:right="112"/>
        <w:jc w:val="left"/>
      </w:pPr>
      <w:r>
        <w:rPr/>
        <w:t>亏损）的交易中产生的资产或负债的初始确认有关的应纳税暂时性差异，不予确认有关的递</w:t>
      </w:r>
      <w:r>
        <w:rPr>
          <w:spacing w:val="-91"/>
        </w:rPr>
        <w:t> </w:t>
      </w:r>
      <w:r>
        <w:rPr>
          <w:spacing w:val="-91"/>
        </w:rPr>
      </w:r>
      <w:r>
        <w:rPr/>
        <w:t>延所得税负债。此外，对与子公司、联营企业及合营企业投资相关的应纳税暂时性差异，如</w:t>
      </w:r>
      <w:r>
        <w:rPr>
          <w:spacing w:val="-91"/>
        </w:rPr>
        <w:t> </w:t>
      </w:r>
      <w:r>
        <w:rPr>
          <w:spacing w:val="-91"/>
        </w:rPr>
      </w:r>
      <w:r>
        <w:rPr/>
        <w:t>果本公司能够控制暂时性差异转回的时间，而且该暂时性差异在可预见的未来很可能不会转</w:t>
      </w:r>
      <w:r>
        <w:rPr>
          <w:spacing w:val="-91"/>
        </w:rPr>
        <w:t> </w:t>
      </w:r>
      <w:r>
        <w:rPr>
          <w:spacing w:val="-91"/>
        </w:rPr>
      </w:r>
      <w:r>
        <w:rPr/>
        <w:t>回，也不予确认有关的递延所得税负债。除上述例外情况，本公司确认其他所有应纳税暂时</w:t>
      </w:r>
      <w:r>
        <w:rPr>
          <w:spacing w:val="-91"/>
        </w:rPr>
        <w:t> </w:t>
      </w:r>
      <w:r>
        <w:rPr>
          <w:spacing w:val="-91"/>
        </w:rPr>
      </w:r>
      <w:r>
        <w:rPr/>
        <w:t>性差异产生的递延所得税负债。</w:t>
        <w:tab/>
        <w:t>与既不是企业合并、发生时也不影响会计利润和应纳税</w:t>
      </w:r>
      <w:r>
        <w:rPr>
          <w:spacing w:val="-103"/>
        </w:rPr>
        <w:t> </w:t>
      </w:r>
      <w:r>
        <w:rPr>
          <w:spacing w:val="-103"/>
        </w:rPr>
      </w:r>
      <w:r>
        <w:rPr/>
        <w:t>所得额（或可抵扣亏损）的交易中产生的资产或负债的初始确认有关的可抵扣暂时性差异，</w:t>
      </w:r>
      <w:r>
        <w:rPr>
          <w:spacing w:val="-91"/>
        </w:rPr>
        <w:t> </w:t>
      </w:r>
      <w:r>
        <w:rPr>
          <w:spacing w:val="-91"/>
        </w:rPr>
      </w:r>
      <w:r>
        <w:rPr/>
        <w:t>不予确认有关的递延所得税资产。此外，对与子公司、联营企业及合营企业投资相关的可抵</w:t>
      </w:r>
      <w:r>
        <w:rPr>
          <w:spacing w:val="-91"/>
        </w:rPr>
        <w:t> </w:t>
      </w:r>
      <w:r>
        <w:rPr>
          <w:spacing w:val="-91"/>
        </w:rPr>
      </w:r>
      <w:r>
        <w:rPr/>
        <w:t>扣暂时性差异，如果暂时性差异在可预见的未来不是很可能转回，或者未来不是很可能获得</w:t>
      </w:r>
      <w:r>
        <w:rPr>
          <w:spacing w:val="-91"/>
        </w:rPr>
        <w:t> </w:t>
      </w:r>
      <w:r>
        <w:rPr>
          <w:spacing w:val="-91"/>
        </w:rPr>
      </w:r>
      <w:r>
        <w:rPr/>
        <w:t>用来抵扣可抵扣暂时性差异的应纳税所得额，不予确认有关的递延所得税资产。除上述例外</w:t>
      </w:r>
      <w:r>
        <w:rPr>
          <w:spacing w:val="-91"/>
        </w:rPr>
        <w:t> </w:t>
      </w:r>
      <w:r>
        <w:rPr>
          <w:spacing w:val="-91"/>
        </w:rPr>
      </w:r>
      <w:r>
        <w:rPr/>
        <w:t>情况，本公司以很可能取得用来抵扣可抵扣暂时性差异的应纳税所得额为限，确认其他可抵</w:t>
      </w:r>
      <w:r>
        <w:rPr>
          <w:spacing w:val="-91"/>
        </w:rPr>
        <w:t> </w:t>
      </w:r>
      <w:r>
        <w:rPr>
          <w:spacing w:val="-91"/>
        </w:rPr>
      </w:r>
      <w:r>
        <w:rPr/>
        <w:t>扣暂时性差异产生的递延所得税资产。</w:t>
        <w:tab/>
        <w:t>对于能够结转以后年度的可抵扣亏损和税款抵减， 以很可能获得用来抵扣可抵扣亏损和税款抵减的未来应纳税所得额为限，确认相应的递延所</w:t>
      </w:r>
      <w:r>
        <w:rPr>
          <w:spacing w:val="-91"/>
        </w:rPr>
        <w:t> </w:t>
      </w:r>
      <w:r>
        <w:rPr>
          <w:spacing w:val="-91"/>
        </w:rPr>
      </w:r>
      <w:r>
        <w:rPr/>
        <w:t>得税资产。</w:t>
        <w:tab/>
        <w:t>资产负债表日，对于递延所得税资产和递延所得税负债，根据税法规定，按</w:t>
      </w:r>
      <w:r>
        <w:rPr>
          <w:spacing w:val="-94"/>
        </w:rPr>
        <w:t> </w:t>
      </w:r>
      <w:r>
        <w:rPr>
          <w:spacing w:val="-94"/>
        </w:rPr>
      </w:r>
      <w:r>
        <w:rPr/>
        <w:t>照预期收回相关资产或清偿相关负债期间的适用税率计量。</w:t>
        <w:tab/>
        <w:t>于资产负债表日，对递延所</w:t>
      </w:r>
      <w:r>
        <w:rPr>
          <w:spacing w:val="-111"/>
        </w:rPr>
        <w:t> </w:t>
      </w:r>
      <w:r>
        <w:rPr>
          <w:spacing w:val="-111"/>
        </w:rPr>
      </w:r>
      <w:r>
        <w:rPr/>
        <w:t>得税资产的账面价值进行复核，如果未来很可能无法获得足够的应纳税所得额用以抵扣递延</w:t>
      </w:r>
      <w:r>
        <w:rPr>
          <w:spacing w:val="-91"/>
        </w:rPr>
        <w:t> </w:t>
      </w:r>
      <w:r>
        <w:rPr>
          <w:spacing w:val="-91"/>
        </w:rPr>
      </w:r>
      <w:r>
        <w:rPr/>
        <w:t>所得税资产的利益，则减记递延所得税资产的账面价值。在很可能获得足够的应纳税所得额</w:t>
      </w:r>
      <w:r>
        <w:rPr>
          <w:spacing w:val="-91"/>
        </w:rPr>
        <w:t> </w:t>
      </w:r>
      <w:r>
        <w:rPr>
          <w:spacing w:val="-91"/>
        </w:rPr>
      </w:r>
      <w:r>
        <w:rPr/>
        <w:t>时，减记的金额予以转回。</w:t>
      </w:r>
    </w:p>
    <w:p>
      <w:pPr>
        <w:spacing w:line="240" w:lineRule="auto" w:before="11"/>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28" w:firstLine="425"/>
        <w:jc w:val="both"/>
      </w:pPr>
      <w:r>
        <w:rPr>
          <w:spacing w:val="2"/>
        </w:rPr>
        <w:t>经营租赁的租金支出在租赁期内的各个期间按直线法计入相关资产成本或当期损益。初 </w:t>
      </w:r>
      <w:r>
        <w:rPr/>
        <w:t>始直接费用计入当期损益。或有租金于实际发生时计入当期损益。</w:t>
      </w:r>
    </w:p>
    <w:p>
      <w:pPr>
        <w:pStyle w:val="BodyText"/>
        <w:spacing w:line="357" w:lineRule="auto"/>
        <w:ind w:right="228" w:firstLine="425"/>
        <w:jc w:val="both"/>
      </w:pPr>
      <w:r>
        <w:rPr>
          <w:spacing w:val="2"/>
        </w:rPr>
        <w:t>经营租赁的租金收入在租赁期内的各个期间按直线法确认为当期损益。对金额较大的初 </w:t>
      </w:r>
      <w:r>
        <w:rPr/>
        <w:t>始直接费用于发生时予以资本化，在整个租赁期间内按照与确认租金收入相同的基础分期计</w:t>
      </w:r>
      <w:r>
        <w:rPr>
          <w:spacing w:val="-91"/>
        </w:rPr>
        <w:t> </w:t>
      </w:r>
      <w:r>
        <w:rPr>
          <w:spacing w:val="-91"/>
        </w:rPr>
      </w:r>
      <w:r>
        <w:rPr/>
        <w:t>入当期损益；其他金额较小的初始直接费用于发生时计入当期损益。或有租金于实际发生时</w:t>
      </w:r>
      <w:r>
        <w:rPr>
          <w:spacing w:val="-91"/>
        </w:rPr>
        <w:t> </w:t>
      </w:r>
      <w:r>
        <w:rPr>
          <w:spacing w:val="-91"/>
        </w:rPr>
      </w:r>
      <w:r>
        <w:rPr/>
        <w:t>计入当期损益。</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578" w:right="96"/>
        <w:jc w:val="left"/>
      </w:pPr>
      <w:r>
        <w:rPr>
          <w:spacing w:val="2"/>
        </w:rPr>
        <w:t>于租赁期开始日，将租赁开始日租赁资产的公允价值与最低租赁付款额现值两者中较低</w:t>
      </w:r>
      <w:r>
        <w:rPr/>
      </w:r>
    </w:p>
    <w:p>
      <w:pPr>
        <w:spacing w:after="0" w:line="240" w:lineRule="auto"/>
        <w:jc w:val="left"/>
        <w:sectPr>
          <w:footerReference w:type="default" r:id="rId25"/>
          <w:pgSz w:w="11910" w:h="16840"/>
          <w:pgMar w:footer="1186" w:header="745" w:top="1060" w:bottom="1380" w:left="980" w:right="900"/>
          <w:pgNumType w:start="131"/>
        </w:sectPr>
      </w:pPr>
    </w:p>
    <w:p>
      <w:pPr>
        <w:spacing w:line="240" w:lineRule="auto" w:before="6"/>
        <w:rPr>
          <w:rFonts w:ascii="宋体" w:hAnsi="宋体" w:cs="宋体" w:eastAsia="宋体" w:hint="default"/>
          <w:sz w:val="29"/>
          <w:szCs w:val="29"/>
        </w:rPr>
      </w:pPr>
    </w:p>
    <w:p>
      <w:pPr>
        <w:pStyle w:val="BodyText"/>
        <w:spacing w:line="357" w:lineRule="auto" w:before="26"/>
        <w:ind w:right="153"/>
        <w:jc w:val="both"/>
      </w:pPr>
      <w:r>
        <w:rPr/>
        <w:t>者作为租入资产的入账价值，将最低租赁付款额作为长期应付款的入账价值，其差额作为未</w:t>
      </w:r>
      <w:r>
        <w:rPr>
          <w:spacing w:val="-91"/>
        </w:rPr>
        <w:t> </w:t>
      </w:r>
      <w:r>
        <w:rPr>
          <w:spacing w:val="-91"/>
        </w:rPr>
      </w:r>
      <w:r>
        <w:rPr/>
        <w:t>确认融资费用。此外，在租赁谈判和签订租赁合同过程中发生的，可归属于租赁项目的初始</w:t>
      </w:r>
      <w:r>
        <w:rPr>
          <w:spacing w:val="-85"/>
        </w:rPr>
        <w:t> </w:t>
      </w:r>
      <w:r>
        <w:rPr>
          <w:spacing w:val="-85"/>
        </w:rPr>
      </w:r>
      <w:r>
        <w:rPr/>
        <w:t>直接费用也计入租入资产价值。最低租赁付款额扣除未确认融资费用后的余额分别长期负债</w:t>
      </w:r>
      <w:r>
        <w:rPr>
          <w:spacing w:val="-91"/>
        </w:rPr>
        <w:t> </w:t>
      </w:r>
      <w:r>
        <w:rPr>
          <w:spacing w:val="-91"/>
        </w:rPr>
      </w:r>
      <w:r>
        <w:rPr/>
        <w:t>和一年内到期的长期负债列示。</w:t>
      </w:r>
    </w:p>
    <w:p>
      <w:pPr>
        <w:pStyle w:val="BodyText"/>
        <w:spacing w:line="357" w:lineRule="auto"/>
        <w:ind w:right="148" w:firstLine="425"/>
        <w:jc w:val="both"/>
      </w:pPr>
      <w:r>
        <w:rPr>
          <w:spacing w:val="2"/>
        </w:rPr>
        <w:t>未确认融资费用在租赁期内采用实际利率法计算确认当期的融资费用。或有租金于实际 </w:t>
      </w:r>
      <w:r>
        <w:rPr/>
        <w:t>发生时计入当期损益。</w:t>
      </w:r>
    </w:p>
    <w:p>
      <w:pPr>
        <w:pStyle w:val="BodyText"/>
        <w:spacing w:line="357" w:lineRule="auto"/>
        <w:ind w:right="148" w:firstLine="425"/>
        <w:jc w:val="both"/>
      </w:pPr>
      <w:r>
        <w:rPr>
          <w:spacing w:val="2"/>
        </w:rPr>
        <w:t>于租赁期开始日，将租赁开始日最低租赁收款额与初始直接费用之和作为应收融资租赁 </w:t>
      </w:r>
      <w:r>
        <w:rPr/>
        <w:t>款的入账价值，同时记录未担保余值；将最低租赁收款额、初始直接费用及未担保余值之和</w:t>
      </w:r>
      <w:r>
        <w:rPr>
          <w:spacing w:val="-91"/>
        </w:rPr>
        <w:t> </w:t>
      </w:r>
      <w:r>
        <w:rPr>
          <w:spacing w:val="-91"/>
        </w:rPr>
      </w:r>
      <w:r>
        <w:rPr/>
        <w:t>与其现值之和的差额确认为未实现融资收益。应收融资租赁款扣除未实现融资收益后的余额</w:t>
      </w:r>
      <w:r>
        <w:rPr>
          <w:spacing w:val="-91"/>
        </w:rPr>
        <w:t> </w:t>
      </w:r>
      <w:r>
        <w:rPr>
          <w:spacing w:val="-91"/>
        </w:rPr>
      </w:r>
      <w:r>
        <w:rPr/>
        <w:t>分别长期债权和一年内到期的长期债权列示。</w:t>
      </w:r>
    </w:p>
    <w:p>
      <w:pPr>
        <w:pStyle w:val="BodyText"/>
        <w:spacing w:line="357" w:lineRule="auto"/>
        <w:ind w:right="147" w:firstLine="425"/>
        <w:jc w:val="both"/>
      </w:pPr>
      <w:r>
        <w:rPr>
          <w:spacing w:val="2"/>
        </w:rPr>
        <w:t>未实现融资收益在租赁期内采用实际利率法计算确认当期的融资收入。或有租金于实际 </w:t>
      </w:r>
      <w:r>
        <w:rPr/>
        <w:t>发生时计入当期损益。</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）售后租回的会计处理</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578" w:right="0"/>
        <w:jc w:val="left"/>
      </w:pPr>
      <w:r>
        <w:rPr/>
        <w:t>公司将同时符合下列条件的非流动资产确认为持有待售资产：</w:t>
      </w:r>
    </w:p>
    <w:p>
      <w:pPr>
        <w:pStyle w:val="BodyText"/>
        <w:spacing w:line="240" w:lineRule="auto" w:before="154"/>
        <w:ind w:left="578" w:right="0"/>
        <w:jc w:val="left"/>
      </w:pPr>
      <w:r>
        <w:rPr/>
        <w:t>①公司已就该资产出售事项作出决议；</w:t>
      </w:r>
    </w:p>
    <w:p>
      <w:pPr>
        <w:pStyle w:val="BodyText"/>
        <w:spacing w:line="240" w:lineRule="auto" w:before="154"/>
        <w:ind w:left="578" w:right="0"/>
        <w:jc w:val="left"/>
      </w:pPr>
      <w:r>
        <w:rPr/>
        <w:t>②公司已与对方签订了不可撤消的转让协议；</w:t>
      </w:r>
    </w:p>
    <w:p>
      <w:pPr>
        <w:pStyle w:val="BodyText"/>
        <w:spacing w:line="240" w:lineRule="auto" w:before="154"/>
        <w:ind w:left="578" w:right="0"/>
        <w:jc w:val="left"/>
      </w:pPr>
      <w:r>
        <w:rPr/>
        <w:t>③该资产转让将在一年内完成。</w:t>
      </w:r>
    </w:p>
    <w:p>
      <w:pPr>
        <w:spacing w:line="240" w:lineRule="auto" w:before="10"/>
        <w:rPr>
          <w:rFonts w:ascii="宋体" w:hAnsi="宋体" w:cs="宋体" w:eastAsia="宋体" w:hint="default"/>
          <w:sz w:val="30"/>
          <w:szCs w:val="30"/>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）持有待售资产的会计处理方法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51" w:firstLine="425"/>
        <w:jc w:val="both"/>
      </w:pPr>
      <w:r>
        <w:rPr>
          <w:spacing w:val="2"/>
        </w:rPr>
        <w:t>符合持有待售条件的非流动资产</w:t>
      </w:r>
      <w:r>
        <w:rPr>
          <w:rFonts w:ascii="宋体" w:hAnsi="宋体" w:cs="宋体" w:eastAsia="宋体" w:hint="default"/>
          <w:spacing w:val="2"/>
        </w:rPr>
        <w:t>(</w:t>
      </w:r>
      <w:r>
        <w:rPr>
          <w:spacing w:val="2"/>
        </w:rPr>
        <w:t>不包括金融资产及递延所得税资产</w:t>
      </w:r>
      <w:r>
        <w:rPr>
          <w:rFonts w:ascii="宋体" w:hAnsi="宋体" w:cs="宋体" w:eastAsia="宋体" w:hint="default"/>
          <w:spacing w:val="2"/>
        </w:rPr>
        <w:t>)</w:t>
      </w:r>
      <w:r>
        <w:rPr>
          <w:spacing w:val="2"/>
        </w:rPr>
        <w:t>，以账面价值与公 </w:t>
      </w:r>
      <w:r>
        <w:rPr/>
        <w:t>允价值减去处置费用孰低的金额列示为其他流动资产。公允价值减去处置费用低于原账面价</w:t>
      </w:r>
      <w:r>
        <w:rPr>
          <w:spacing w:val="-91"/>
        </w:rPr>
        <w:t> </w:t>
      </w:r>
      <w:r>
        <w:rPr>
          <w:spacing w:val="-91"/>
        </w:rPr>
      </w:r>
      <w:r>
        <w:rPr/>
        <w:t>值的金额，确认为资产减值损失。</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、资产证券化业务</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after="0"/>
        <w:jc w:val="both"/>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、套期会计</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73" w:lineRule="auto" w:before="80"/>
        <w:ind w:left="573" w:right="5454" w:firstLine="0"/>
        <w:jc w:val="left"/>
        <w:rPr>
          <w:rFonts w:ascii="宋体" w:hAnsi="宋体" w:cs="宋体" w:eastAsia="宋体" w:hint="default"/>
          <w:sz w:val="21"/>
          <w:szCs w:val="21"/>
        </w:rPr>
      </w:pPr>
      <w:r>
        <w:rPr>
          <w:rFonts w:ascii="宋体" w:hAnsi="宋体" w:cs="宋体" w:eastAsia="宋体" w:hint="default"/>
          <w:spacing w:val="-2"/>
          <w:sz w:val="21"/>
          <w:szCs w:val="21"/>
        </w:rPr>
        <w:t>本报告期公司主要会计政策未发生变更。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本报告期公司主要会计估计未发生变更。</w:t>
      </w: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83"/>
        <w:ind w:left="573" w:right="0" w:firstLine="0"/>
        <w:jc w:val="left"/>
        <w:rPr>
          <w:rFonts w:ascii="宋体" w:hAnsi="宋体" w:cs="宋体" w:eastAsia="宋体" w:hint="default"/>
          <w:sz w:val="21"/>
          <w:szCs w:val="21"/>
        </w:rPr>
      </w:pPr>
      <w:r>
        <w:rPr>
          <w:rFonts w:ascii="宋体" w:hAnsi="宋体" w:cs="宋体" w:eastAsia="宋体" w:hint="default"/>
          <w:sz w:val="21"/>
          <w:szCs w:val="21"/>
        </w:rPr>
        <w:t>本报告期公司未发生前期会计差错更正事项。</w:t>
      </w:r>
    </w:p>
    <w:p>
      <w:pPr>
        <w:spacing w:line="240" w:lineRule="auto" w:before="10"/>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、其他主要会计政策、会计估计和财务报表编制方法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48" w:firstLine="425"/>
        <w:jc w:val="both"/>
      </w:pPr>
      <w:r>
        <w:rPr>
          <w:spacing w:val="2"/>
        </w:rPr>
        <w:t>公司在运用会计政策过程中，由于经营活动内在的不确定性，本公司需要对无法准确计 </w:t>
      </w:r>
      <w:r>
        <w:rPr/>
        <w:t>量的报表项目的账面价值进行判断、估计和假设。这些判断、估计和假设是基于公司管理层</w:t>
      </w:r>
      <w:r>
        <w:rPr>
          <w:spacing w:val="-91"/>
        </w:rPr>
        <w:t> </w:t>
      </w:r>
      <w:r>
        <w:rPr>
          <w:spacing w:val="-91"/>
        </w:rPr>
      </w:r>
      <w:r>
        <w:rPr/>
        <w:t>过去的历史经验，并在考虑其他相关因素的基础上做出的。这些判断、估计和假设会影响收</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233"/>
        <w:jc w:val="both"/>
      </w:pPr>
      <w:r>
        <w:rPr/>
        <w:t>入、费用、资产和负债的报告金额以及资产负债表日或有负债的披露。然而，这些估计的不</w:t>
      </w:r>
      <w:r>
        <w:rPr>
          <w:spacing w:val="-85"/>
        </w:rPr>
        <w:t> </w:t>
      </w:r>
      <w:r>
        <w:rPr>
          <w:spacing w:val="-85"/>
        </w:rPr>
      </w:r>
      <w:r>
        <w:rPr/>
        <w:t>确定性所导致的结果可能造成对未来受影响的资产或负债的账面金额进行重大调整。</w:t>
      </w:r>
    </w:p>
    <w:p>
      <w:pPr>
        <w:pStyle w:val="BodyText"/>
        <w:spacing w:line="357" w:lineRule="auto"/>
        <w:ind w:right="228" w:firstLine="425"/>
        <w:jc w:val="both"/>
      </w:pPr>
      <w:r>
        <w:rPr>
          <w:spacing w:val="2"/>
        </w:rPr>
        <w:t>公司对前述判断、估计和假设在持续经营的基础上进行定期复核，会计估计的变更仅影 </w:t>
      </w:r>
      <w:r>
        <w:rPr/>
        <w:t>响变更当期的，其影响数在变更当期予以确认；既影响变更当期又影响未来期间的，其影响</w:t>
      </w:r>
      <w:r>
        <w:rPr>
          <w:spacing w:val="-91"/>
        </w:rPr>
        <w:t> </w:t>
      </w:r>
      <w:r>
        <w:rPr>
          <w:spacing w:val="-91"/>
        </w:rPr>
      </w:r>
      <w:r>
        <w:rPr/>
        <w:t>数在变更当期和未来期间予以确认。</w:t>
      </w:r>
    </w:p>
    <w:p>
      <w:pPr>
        <w:pStyle w:val="BodyText"/>
        <w:spacing w:line="240" w:lineRule="auto"/>
        <w:ind w:left="578" w:right="0"/>
        <w:jc w:val="left"/>
      </w:pPr>
      <w:r>
        <w:rPr/>
        <w:t>于资产负债表日，本公司需对财务报表项目金额进行判断、估计和假设的重要领域如下：</w:t>
      </w:r>
    </w:p>
    <w:p>
      <w:pPr>
        <w:pStyle w:val="BodyText"/>
        <w:spacing w:line="357" w:lineRule="auto" w:before="154"/>
        <w:ind w:left="578" w:right="96"/>
        <w:jc w:val="left"/>
      </w:pPr>
      <w:r>
        <w:rPr/>
        <w:t>（</w:t>
      </w:r>
      <w:r>
        <w:rPr>
          <w:rFonts w:ascii="宋体" w:hAnsi="宋体" w:cs="宋体" w:eastAsia="宋体" w:hint="default"/>
        </w:rPr>
        <w:t>1</w:t>
      </w:r>
      <w:r>
        <w:rPr/>
        <w:t>）坏账准备计提 </w:t>
      </w:r>
      <w:r>
        <w:rPr>
          <w:spacing w:val="2"/>
        </w:rPr>
        <w:t>本公司根据应收款项的会计政策，采用备抵法核算坏账损失。应收账款减值是基于评估</w:t>
      </w:r>
      <w:r>
        <w:rPr/>
      </w:r>
    </w:p>
    <w:p>
      <w:pPr>
        <w:pStyle w:val="BodyText"/>
        <w:spacing w:line="357" w:lineRule="auto"/>
        <w:ind w:right="234"/>
        <w:jc w:val="both"/>
      </w:pPr>
      <w:r>
        <w:rPr/>
        <w:t>应收账款的可收回性。鉴定应收账款减值要求管理层的判断和估计。实际的结果与原先估计</w:t>
      </w:r>
      <w:r>
        <w:rPr>
          <w:spacing w:val="-86"/>
        </w:rPr>
        <w:t> </w:t>
      </w:r>
      <w:r>
        <w:rPr>
          <w:spacing w:val="-86"/>
        </w:rPr>
      </w:r>
      <w:r>
        <w:rPr/>
        <w:t>的差异将在估计被改变的期间影响应收账款的账面价值及应收账款坏账准备的计提或转回。</w:t>
      </w:r>
    </w:p>
    <w:p>
      <w:pPr>
        <w:pStyle w:val="BodyText"/>
        <w:spacing w:line="357" w:lineRule="auto"/>
        <w:ind w:left="578" w:right="96"/>
        <w:jc w:val="left"/>
      </w:pPr>
      <w:r>
        <w:rPr/>
        <w:t>（</w:t>
      </w:r>
      <w:r>
        <w:rPr>
          <w:rFonts w:ascii="宋体" w:hAnsi="宋体" w:cs="宋体" w:eastAsia="宋体" w:hint="default"/>
        </w:rPr>
        <w:t>2</w:t>
      </w:r>
      <w:r>
        <w:rPr/>
        <w:t>）存货跌价准备 </w:t>
      </w:r>
      <w:r>
        <w:rPr>
          <w:spacing w:val="2"/>
        </w:rPr>
        <w:t>本公司根据存货会计政策，按照成本与可变现净值孰低计量，对成本高于可变现净值及</w:t>
      </w:r>
      <w:r>
        <w:rPr/>
      </w:r>
    </w:p>
    <w:p>
      <w:pPr>
        <w:pStyle w:val="BodyText"/>
        <w:spacing w:line="357" w:lineRule="auto"/>
        <w:ind w:right="239"/>
        <w:jc w:val="both"/>
      </w:pPr>
      <w:r>
        <w:rPr/>
        <w:t>陈旧和滞销的存货，计提存货跌价准备。存货减值至可变现净值是基于评估存货的可售性及</w:t>
      </w:r>
      <w:r>
        <w:rPr>
          <w:spacing w:val="-91"/>
        </w:rPr>
        <w:t> </w:t>
      </w:r>
      <w:r>
        <w:rPr>
          <w:spacing w:val="-91"/>
        </w:rPr>
      </w:r>
      <w:r>
        <w:rPr/>
        <w:t>其可变现净值。鉴定存货减值要求管理层在取得确凿证据，并且考虑持有存货的目的、资产</w:t>
      </w:r>
      <w:r>
        <w:rPr>
          <w:spacing w:val="-91"/>
        </w:rPr>
        <w:t> </w:t>
      </w:r>
      <w:r>
        <w:rPr>
          <w:spacing w:val="-91"/>
        </w:rPr>
      </w:r>
      <w:r>
        <w:rPr/>
        <w:t>负债表日后事项的影响等因素的基础上作出判断和估计。实际的结果与原先估计的差异将在</w:t>
      </w:r>
      <w:r>
        <w:rPr>
          <w:spacing w:val="-91"/>
        </w:rPr>
        <w:t> </w:t>
      </w:r>
      <w:r>
        <w:rPr>
          <w:spacing w:val="-91"/>
        </w:rPr>
      </w:r>
      <w:r>
        <w:rPr/>
        <w:t>估计被改变的期间影响存货的账面价值及存货跌价准备的计提或转回。</w:t>
      </w:r>
    </w:p>
    <w:p>
      <w:pPr>
        <w:pStyle w:val="BodyText"/>
        <w:spacing w:line="357" w:lineRule="auto"/>
        <w:ind w:left="578" w:right="96"/>
        <w:jc w:val="left"/>
      </w:pPr>
      <w:r>
        <w:rPr/>
        <w:t>（</w:t>
      </w:r>
      <w:r>
        <w:rPr>
          <w:rFonts w:ascii="宋体" w:hAnsi="宋体" w:cs="宋体" w:eastAsia="宋体" w:hint="default"/>
        </w:rPr>
        <w:t>3</w:t>
      </w:r>
      <w:r>
        <w:rPr/>
        <w:t>）非金融非流动资产减值准备 </w:t>
      </w:r>
      <w:r>
        <w:rPr>
          <w:spacing w:val="2"/>
        </w:rPr>
        <w:t>本公司于资产负债表日对除金融资产之外的非流动资产判断是否存在可能发生减值的迹</w:t>
      </w:r>
      <w:r>
        <w:rPr/>
      </w:r>
    </w:p>
    <w:p>
      <w:pPr>
        <w:pStyle w:val="BodyText"/>
        <w:spacing w:line="357" w:lineRule="auto"/>
        <w:ind w:right="239"/>
        <w:jc w:val="both"/>
      </w:pPr>
      <w:r>
        <w:rPr/>
        <w:t>象。对使用寿命不确定的无形资产，除每年进行的减值测试外，当其存在减值迹象时，也进</w:t>
      </w:r>
      <w:r>
        <w:rPr>
          <w:spacing w:val="-91"/>
        </w:rPr>
        <w:t> </w:t>
      </w:r>
      <w:r>
        <w:rPr>
          <w:spacing w:val="-91"/>
        </w:rPr>
      </w:r>
      <w:r>
        <w:rPr/>
        <w:t>行减值测试。其他除金融资产之外的非流动资产，当存在迹象表明其账面金额不可收回时，</w:t>
      </w:r>
      <w:r>
        <w:rPr>
          <w:spacing w:val="-91"/>
        </w:rPr>
        <w:t> </w:t>
      </w:r>
      <w:r>
        <w:rPr>
          <w:spacing w:val="-91"/>
        </w:rPr>
      </w:r>
      <w:r>
        <w:rPr/>
        <w:t>进行减值测试。</w:t>
      </w:r>
    </w:p>
    <w:p>
      <w:pPr>
        <w:pStyle w:val="BodyText"/>
        <w:spacing w:line="357" w:lineRule="auto"/>
        <w:ind w:right="228" w:firstLine="425"/>
        <w:jc w:val="both"/>
      </w:pPr>
      <w:r>
        <w:rPr>
          <w:spacing w:val="2"/>
        </w:rPr>
        <w:t>当资产或资产组的账面价值高于可收回金额，即公允价值减去处置费用后的净额和预计 </w:t>
      </w:r>
      <w:r>
        <w:rPr/>
        <w:t>未来现金流量的现值中的较高者，表明发生了减值。</w:t>
      </w:r>
    </w:p>
    <w:p>
      <w:pPr>
        <w:pStyle w:val="BodyText"/>
        <w:spacing w:line="357" w:lineRule="auto"/>
        <w:ind w:right="228" w:firstLine="425"/>
        <w:jc w:val="both"/>
      </w:pPr>
      <w:r>
        <w:rPr>
          <w:spacing w:val="2"/>
        </w:rPr>
        <w:t>公允价值减去处置费用后的净额，参考公平交易中类似资产的销售协议价格或可观察到 </w:t>
      </w:r>
      <w:r>
        <w:rPr/>
        <w:t>的市场价格，减去可直接归属于该资产处置的增量成本确定。</w:t>
      </w:r>
    </w:p>
    <w:p>
      <w:pPr>
        <w:pStyle w:val="BodyText"/>
        <w:spacing w:line="357" w:lineRule="auto" w:before="37"/>
        <w:ind w:right="228" w:firstLine="425"/>
        <w:jc w:val="both"/>
      </w:pPr>
      <w:r>
        <w:rPr>
          <w:spacing w:val="2"/>
        </w:rPr>
        <w:t>在预计未来现金流量现值时，需要对该资产（或资产组）的产量、售价、相关经营成本 </w:t>
      </w:r>
      <w:r>
        <w:rPr/>
        <w:t>以及计算现值时使用的折现率等作出重大判断。本公司在估计可收回金额时会采用所有能够</w:t>
      </w:r>
      <w:r>
        <w:rPr>
          <w:spacing w:val="-91"/>
        </w:rPr>
        <w:t> </w:t>
      </w:r>
      <w:r>
        <w:rPr>
          <w:spacing w:val="-91"/>
        </w:rPr>
      </w:r>
      <w:r>
        <w:rPr/>
        <w:t>获得的相关资料，包括根据合理和可支持的假设所作出有关产量、售价和相关经营成本的预</w:t>
      </w:r>
      <w:r>
        <w:rPr>
          <w:spacing w:val="-91"/>
        </w:rPr>
        <w:t> </w:t>
      </w:r>
      <w:r>
        <w:rPr>
          <w:spacing w:val="-91"/>
        </w:rPr>
      </w:r>
      <w:r>
        <w:rPr/>
        <w:t>测。</w:t>
      </w:r>
    </w:p>
    <w:p>
      <w:pPr>
        <w:spacing w:after="0" w:line="357" w:lineRule="auto"/>
        <w:jc w:val="both"/>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left="578" w:right="0"/>
        <w:jc w:val="left"/>
      </w:pPr>
      <w:r>
        <w:rPr/>
        <w:t>（</w:t>
      </w:r>
      <w:r>
        <w:rPr>
          <w:rFonts w:ascii="宋体" w:hAnsi="宋体" w:cs="宋体" w:eastAsia="宋体" w:hint="default"/>
        </w:rPr>
        <w:t>4</w:t>
      </w:r>
      <w:r>
        <w:rPr/>
        <w:t>）折旧和摊销 </w:t>
      </w:r>
      <w:r>
        <w:rPr>
          <w:spacing w:val="2"/>
        </w:rPr>
        <w:t>本公司对投资性房地产、固定资产和无形资产在考虑其残值后，在使用寿命内按直线法</w:t>
      </w:r>
      <w:r>
        <w:rPr/>
      </w:r>
    </w:p>
    <w:p>
      <w:pPr>
        <w:pStyle w:val="BodyText"/>
        <w:spacing w:line="357" w:lineRule="auto"/>
        <w:ind w:right="159"/>
        <w:jc w:val="both"/>
      </w:pPr>
      <w:r>
        <w:rPr/>
        <w:t>计提折旧和摊销。本公司定期复核使用寿命，以决定将计入每个报告期的折旧和摊销费用数</w:t>
      </w:r>
      <w:r>
        <w:rPr>
          <w:spacing w:val="-91"/>
        </w:rPr>
        <w:t> </w:t>
      </w:r>
      <w:r>
        <w:rPr>
          <w:spacing w:val="-91"/>
        </w:rPr>
      </w:r>
      <w:r>
        <w:rPr/>
        <w:t>额。使用寿命是本公司根据对同类资产的以往经验并结合预期的技术更新而确定的。如果以</w:t>
      </w:r>
      <w:r>
        <w:rPr>
          <w:spacing w:val="-91"/>
        </w:rPr>
        <w:t> </w:t>
      </w:r>
      <w:r>
        <w:rPr>
          <w:spacing w:val="-91"/>
        </w:rPr>
      </w:r>
      <w:r>
        <w:rPr/>
        <w:t>前的估计发生重大变化，则会在未来期间对折旧和摊销费用进行调整。</w:t>
      </w:r>
    </w:p>
    <w:p>
      <w:pPr>
        <w:pStyle w:val="BodyText"/>
        <w:spacing w:line="357" w:lineRule="auto"/>
        <w:ind w:left="578" w:right="0"/>
        <w:jc w:val="left"/>
      </w:pPr>
      <w:r>
        <w:rPr/>
        <w:t>（</w:t>
      </w:r>
      <w:r>
        <w:rPr>
          <w:rFonts w:ascii="宋体" w:hAnsi="宋体" w:cs="宋体" w:eastAsia="宋体" w:hint="default"/>
        </w:rPr>
        <w:t>5</w:t>
      </w:r>
      <w:r>
        <w:rPr/>
        <w:t>）递延所得税资产 </w:t>
      </w:r>
      <w:r>
        <w:rPr>
          <w:spacing w:val="2"/>
        </w:rPr>
        <w:t>在很有可能有足够的应纳税利润来抵扣亏损的限度内，本公司就所有未利用的税务亏损</w:t>
      </w:r>
      <w:r>
        <w:rPr/>
      </w:r>
    </w:p>
    <w:p>
      <w:pPr>
        <w:pStyle w:val="BodyText"/>
        <w:spacing w:line="357" w:lineRule="auto"/>
        <w:ind w:right="159"/>
        <w:jc w:val="both"/>
      </w:pPr>
      <w:r>
        <w:rPr/>
        <w:t>确认递延所得税资产。这需要公司管理层运用大量的判断来估计未来应纳税利润发生的时间</w:t>
      </w:r>
      <w:r>
        <w:rPr>
          <w:spacing w:val="-91"/>
        </w:rPr>
        <w:t> </w:t>
      </w:r>
      <w:r>
        <w:rPr>
          <w:spacing w:val="-91"/>
        </w:rPr>
      </w:r>
      <w:r>
        <w:rPr/>
        <w:t>和金额，结合纳税筹划策略，以决定应确认的递延所得税资产的金额。</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5"/>
        <w:gridCol w:w="3024"/>
        <w:gridCol w:w="3027"/>
      </w:tblGrid>
      <w:tr>
        <w:trPr>
          <w:trHeight w:val="403"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17"/>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应交增值税</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5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473" w:hRule="exact"/>
        </w:trPr>
        <w:tc>
          <w:tcPr>
            <w:tcW w:w="3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161" w:hRule="exact"/>
        </w:trPr>
        <w:tc>
          <w:tcPr>
            <w:tcW w:w="3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4" w:lineRule="auto" w:before="49"/>
              <w:ind w:left="16" w:right="17"/>
              <w:jc w:val="left"/>
              <w:rPr>
                <w:rFonts w:ascii="宋体" w:hAnsi="宋体" w:cs="宋体" w:eastAsia="宋体" w:hint="default"/>
                <w:sz w:val="18"/>
                <w:szCs w:val="18"/>
              </w:rPr>
            </w:pPr>
            <w:r>
              <w:rPr>
                <w:rFonts w:ascii="宋体" w:hAnsi="宋体" w:cs="宋体" w:eastAsia="宋体" w:hint="default"/>
                <w:spacing w:val="-6"/>
                <w:sz w:val="18"/>
                <w:szCs w:val="18"/>
              </w:rPr>
              <w:t>按实际缴纳的营业税、增值税及消费税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计征</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1" w:hRule="exact"/>
        </w:trPr>
        <w:tc>
          <w:tcPr>
            <w:tcW w:w="35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161" w:hRule="exact"/>
        </w:trPr>
        <w:tc>
          <w:tcPr>
            <w:tcW w:w="3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pStyle w:val="BodyText"/>
        <w:spacing w:line="357" w:lineRule="auto" w:before="145"/>
        <w:ind w:left="578" w:right="3708"/>
        <w:jc w:val="left"/>
        <w:rPr>
          <w:rFonts w:ascii="宋体" w:hAnsi="宋体" w:cs="宋体" w:eastAsia="宋体" w:hint="default"/>
        </w:rPr>
      </w:pPr>
      <w:r>
        <w:rPr/>
        <w:t>大唐高鸿数据网路技术股份有限公司所得税税率为</w:t>
      </w:r>
      <w:r>
        <w:rPr>
          <w:rFonts w:ascii="宋体" w:hAnsi="宋体" w:cs="宋体" w:eastAsia="宋体" w:hint="default"/>
        </w:rPr>
        <w:t>25% </w:t>
      </w:r>
      <w:r>
        <w:rPr/>
        <w:t>北京大唐高鸿数据网络技术有限公司所得税税率为</w:t>
      </w:r>
      <w:r>
        <w:rPr>
          <w:rFonts w:ascii="宋体" w:hAnsi="宋体" w:cs="宋体" w:eastAsia="宋体" w:hint="default"/>
        </w:rPr>
        <w:t>15% </w:t>
      </w:r>
      <w:r>
        <w:rPr/>
        <w:t>北京大唐高鸿软件技术有限公司所得税税率为</w:t>
      </w:r>
      <w:r>
        <w:rPr>
          <w:rFonts w:ascii="宋体" w:hAnsi="宋体" w:cs="宋体" w:eastAsia="宋体" w:hint="default"/>
        </w:rPr>
        <w:t>15% </w:t>
      </w:r>
      <w:r>
        <w:rPr/>
        <w:t>大唐高鸿通信技术有限公司所得税税率为</w:t>
      </w:r>
      <w:r>
        <w:rPr>
          <w:rFonts w:ascii="宋体" w:hAnsi="宋体" w:cs="宋体" w:eastAsia="宋体" w:hint="default"/>
        </w:rPr>
        <w:t>25% </w:t>
      </w:r>
      <w:r>
        <w:rPr/>
        <w:t>大唐高鸿信息技术有限公司所得税税率为</w:t>
      </w:r>
      <w:r>
        <w:rPr>
          <w:rFonts w:ascii="宋体" w:hAnsi="宋体" w:cs="宋体" w:eastAsia="宋体" w:hint="default"/>
        </w:rPr>
        <w:t>25% </w:t>
      </w:r>
      <w:r>
        <w:rPr/>
        <w:t>北京大唐高鸿科技发展有限公司所得税税率为</w:t>
      </w:r>
      <w:r>
        <w:rPr>
          <w:rFonts w:ascii="宋体" w:hAnsi="宋体" w:cs="宋体" w:eastAsia="宋体" w:hint="default"/>
        </w:rPr>
        <w:t>25% </w:t>
      </w:r>
      <w:r>
        <w:rPr/>
        <w:t>北京大唐融合通信技术有限公司所得税税率为</w:t>
      </w:r>
      <w:r>
        <w:rPr>
          <w:rFonts w:ascii="宋体" w:hAnsi="宋体" w:cs="宋体" w:eastAsia="宋体" w:hint="default"/>
        </w:rPr>
        <w:t>15% </w:t>
      </w:r>
      <w:r>
        <w:rPr/>
        <w:t>江苏高鸿鼎恒信息技术有限公司所得税税率为</w:t>
      </w:r>
      <w:r>
        <w:rPr>
          <w:rFonts w:ascii="宋体" w:hAnsi="宋体" w:cs="宋体" w:eastAsia="宋体" w:hint="default"/>
        </w:rPr>
        <w:t>25%</w:t>
      </w:r>
    </w:p>
    <w:p>
      <w:pPr>
        <w:spacing w:after="0" w:line="357" w:lineRule="auto"/>
        <w:jc w:val="left"/>
        <w:rPr>
          <w:rFonts w:ascii="宋体" w:hAnsi="宋体" w:cs="宋体" w:eastAsia="宋体" w:hint="default"/>
        </w:rPr>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715" w:lineRule="auto" w:before="26"/>
        <w:ind w:left="578" w:right="3725"/>
        <w:jc w:val="both"/>
        <w:rPr>
          <w:rFonts w:ascii="宋体" w:hAnsi="宋体" w:cs="宋体" w:eastAsia="宋体" w:hint="default"/>
        </w:rPr>
      </w:pPr>
      <w:r>
        <w:rPr/>
        <w:t>大唐高鸿济宁电子信息技术有限公司所得税税率为</w:t>
      </w:r>
      <w:r>
        <w:rPr>
          <w:rFonts w:ascii="宋体" w:hAnsi="宋体" w:cs="宋体" w:eastAsia="宋体" w:hint="default"/>
        </w:rPr>
        <w:t>25% </w:t>
      </w:r>
      <w:r>
        <w:rPr/>
        <w:t>贵州大唐高鸿电子信息技术有限公司所得税税率为</w:t>
      </w:r>
      <w:r>
        <w:rPr>
          <w:rFonts w:ascii="宋体" w:hAnsi="宋体" w:cs="宋体" w:eastAsia="宋体" w:hint="default"/>
        </w:rPr>
        <w:t>25% </w:t>
      </w:r>
      <w:r>
        <w:rPr/>
        <w:t>北京高阳捷迅信息技术有限公司所得税税率为</w:t>
      </w:r>
      <w:r>
        <w:rPr>
          <w:rFonts w:ascii="宋体" w:hAnsi="宋体" w:cs="宋体" w:eastAsia="宋体" w:hint="default"/>
        </w:rPr>
        <w:t>15%</w:t>
      </w:r>
    </w:p>
    <w:p>
      <w:pPr>
        <w:spacing w:line="240" w:lineRule="auto" w:before="4"/>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578" w:right="150"/>
        <w:jc w:val="left"/>
      </w:pPr>
      <w:r>
        <w:rPr>
          <w:rFonts w:ascii="宋体" w:hAnsi="宋体" w:cs="宋体" w:eastAsia="宋体" w:hint="default"/>
        </w:rPr>
        <w:t>1</w:t>
      </w:r>
      <w:r>
        <w:rPr/>
        <w:t>、增值税优惠 </w:t>
      </w:r>
      <w:r>
        <w:rPr>
          <w:spacing w:val="-1"/>
        </w:rPr>
        <w:t>根据国务院国发</w:t>
      </w:r>
      <w:hyperlink r:id="rId26">
        <w:r>
          <w:rPr>
            <w:rFonts w:ascii="宋体" w:hAnsi="宋体" w:cs="宋体" w:eastAsia="宋体" w:hint="default"/>
            <w:spacing w:val="-1"/>
          </w:rPr>
          <w:t>[2011]4</w:t>
        </w:r>
        <w:r>
          <w:rPr>
            <w:spacing w:val="-1"/>
          </w:rPr>
          <w:t>号</w:t>
        </w:r>
      </w:hyperlink>
      <w:r>
        <w:rPr>
          <w:spacing w:val="-1"/>
        </w:rPr>
        <w:t>文件《</w:t>
      </w:r>
      <w:hyperlink r:id="rId26">
        <w:r>
          <w:rPr>
            <w:spacing w:val="-1"/>
          </w:rPr>
          <w:t>国务院关于印发进一步鼓励软件产业和集成电路产业发</w:t>
        </w:r>
      </w:hyperlink>
    </w:p>
    <w:p>
      <w:pPr>
        <w:pStyle w:val="BodyText"/>
        <w:spacing w:line="357" w:lineRule="auto"/>
        <w:ind w:right="0"/>
        <w:jc w:val="left"/>
      </w:pPr>
      <w:hyperlink r:id="rId26">
        <w:r>
          <w:rPr/>
          <w:t>展若干政策的通知</w:t>
        </w:r>
      </w:hyperlink>
      <w:r>
        <w:rPr/>
        <w:t>》的规定，对增值税一般纳税人销售其自行开发生产的软件产品，自</w:t>
      </w:r>
      <w:r>
        <w:rPr>
          <w:rFonts w:ascii="宋体" w:hAnsi="宋体" w:cs="宋体" w:eastAsia="宋体" w:hint="default"/>
        </w:rPr>
        <w:t>2011</w:t>
      </w:r>
      <w:r>
        <w:rPr>
          <w:rFonts w:ascii="宋体" w:hAnsi="宋体" w:cs="宋体" w:eastAsia="宋体" w:hint="default"/>
          <w:spacing w:val="-88"/>
        </w:rPr>
        <w:t> </w:t>
      </w:r>
      <w:r>
        <w:rPr/>
        <w:t>年</w:t>
      </w:r>
      <w:r>
        <w:rPr>
          <w:rFonts w:ascii="宋体" w:hAnsi="宋体" w:cs="宋体" w:eastAsia="宋体" w:hint="default"/>
        </w:rPr>
        <w:t>1</w:t>
      </w:r>
      <w:r>
        <w:rPr/>
        <w:t>月</w:t>
      </w:r>
      <w:r>
        <w:rPr>
          <w:rFonts w:ascii="宋体" w:hAnsi="宋体" w:cs="宋体" w:eastAsia="宋体" w:hint="default"/>
        </w:rPr>
        <w:t>1</w:t>
      </w:r>
      <w:r>
        <w:rPr/>
        <w:t>日起按</w:t>
      </w:r>
      <w:r>
        <w:rPr>
          <w:rFonts w:ascii="宋体" w:hAnsi="宋体" w:cs="宋体" w:eastAsia="宋体" w:hint="default"/>
        </w:rPr>
        <w:t>17%</w:t>
      </w:r>
      <w:r>
        <w:rPr/>
        <w:t>的法定税率征收增值税，对实际税负超过</w:t>
      </w:r>
      <w:r>
        <w:rPr>
          <w:rFonts w:ascii="宋体" w:hAnsi="宋体" w:cs="宋体" w:eastAsia="宋体" w:hint="default"/>
        </w:rPr>
        <w:t>3%</w:t>
      </w:r>
      <w:r>
        <w:rPr/>
        <w:t>的部分即征即退。</w:t>
      </w:r>
    </w:p>
    <w:p>
      <w:pPr>
        <w:pStyle w:val="BodyText"/>
        <w:spacing w:line="357" w:lineRule="auto"/>
        <w:ind w:right="152" w:firstLine="425"/>
        <w:jc w:val="both"/>
      </w:pPr>
      <w:r>
        <w:rPr>
          <w:spacing w:val="2"/>
        </w:rPr>
        <w:t>北京大唐融合通信技术有限公司、北京大唐高鸿软件技术有限公司、北京高阳捷迅信息</w:t>
      </w:r>
      <w:r>
        <w:rPr/>
        <w:t> 技术有限公司享受上述优惠政策。</w:t>
      </w:r>
    </w:p>
    <w:p>
      <w:pPr>
        <w:spacing w:line="240" w:lineRule="auto" w:before="0"/>
        <w:rPr>
          <w:rFonts w:ascii="宋体" w:hAnsi="宋体" w:cs="宋体" w:eastAsia="宋体" w:hint="default"/>
          <w:sz w:val="24"/>
          <w:szCs w:val="24"/>
        </w:rPr>
      </w:pPr>
    </w:p>
    <w:p>
      <w:pPr>
        <w:pStyle w:val="BodyText"/>
        <w:spacing w:line="357" w:lineRule="auto" w:before="190"/>
        <w:ind w:left="578" w:right="149"/>
        <w:jc w:val="left"/>
      </w:pPr>
      <w:r>
        <w:rPr>
          <w:rFonts w:ascii="宋体" w:hAnsi="宋体" w:cs="宋体" w:eastAsia="宋体" w:hint="default"/>
        </w:rPr>
        <w:t>2</w:t>
      </w:r>
      <w:r>
        <w:rPr/>
        <w:t>、企业所得税优惠 </w:t>
      </w:r>
      <w:r>
        <w:rPr>
          <w:spacing w:val="-1"/>
        </w:rPr>
        <w:t>北京大唐融合通信技术有限公司于</w:t>
      </w:r>
      <w:r>
        <w:rPr>
          <w:rFonts w:ascii="宋体" w:hAnsi="宋体" w:cs="宋体" w:eastAsia="宋体" w:hint="default"/>
          <w:spacing w:val="-1"/>
        </w:rPr>
        <w:t>2010</w:t>
      </w:r>
      <w:r>
        <w:rPr>
          <w:spacing w:val="-1"/>
        </w:rPr>
        <w:t>年</w:t>
      </w:r>
      <w:r>
        <w:rPr>
          <w:rFonts w:ascii="宋体" w:hAnsi="宋体" w:cs="宋体" w:eastAsia="宋体" w:hint="default"/>
          <w:spacing w:val="-1"/>
        </w:rPr>
        <w:t>4</w:t>
      </w:r>
      <w:r>
        <w:rPr>
          <w:spacing w:val="-1"/>
        </w:rPr>
        <w:t>月取得企业所得税减免税案登记书。经北京市</w:t>
      </w:r>
    </w:p>
    <w:p>
      <w:pPr>
        <w:pStyle w:val="BodyText"/>
        <w:spacing w:line="357" w:lineRule="auto" w:before="34"/>
        <w:ind w:right="0"/>
        <w:jc w:val="left"/>
      </w:pPr>
      <w:r>
        <w:rPr/>
        <w:t>海淀区国家税务局海国税</w:t>
      </w:r>
      <w:r>
        <w:rPr>
          <w:rFonts w:ascii="宋体" w:hAnsi="宋体" w:cs="宋体" w:eastAsia="宋体" w:hint="default"/>
        </w:rPr>
        <w:t>201207JMS0900354</w:t>
      </w:r>
      <w:r>
        <w:rPr/>
        <w:t>号文件批复，自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89"/>
        </w:rPr>
        <w:t> </w:t>
      </w:r>
      <w:r>
        <w:rPr/>
        <w:t>日止按</w:t>
      </w:r>
      <w:r>
        <w:rPr>
          <w:rFonts w:ascii="宋体" w:hAnsi="宋体" w:cs="宋体" w:eastAsia="宋体" w:hint="default"/>
        </w:rPr>
        <w:t>15%</w:t>
      </w:r>
      <w:r>
        <w:rPr/>
        <w:t>的税率征收企业所得税。</w:t>
      </w:r>
    </w:p>
    <w:p>
      <w:pPr>
        <w:pStyle w:val="BodyText"/>
        <w:spacing w:line="357" w:lineRule="auto"/>
        <w:ind w:right="150" w:firstLine="425"/>
        <w:jc w:val="both"/>
      </w:pPr>
      <w:r>
        <w:rPr/>
        <w:t>北京大唐高鸿数据网络技术有限公司于</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11</w:t>
      </w:r>
      <w:r>
        <w:rPr/>
        <w:t>日取得了编号为</w:t>
      </w:r>
      <w:r>
        <w:rPr>
          <w:rFonts w:ascii="宋体" w:hAnsi="宋体" w:cs="宋体" w:eastAsia="宋体" w:hint="default"/>
        </w:rPr>
        <w:t>GF201111001842</w:t>
      </w:r>
      <w:r>
        <w:rPr/>
        <w:t>的 高新技术企业证书，有效期三年，经北京市海淀区国家税务局海国税</w:t>
      </w:r>
      <w:r>
        <w:rPr>
          <w:rFonts w:ascii="宋体" w:hAnsi="宋体" w:cs="宋体" w:eastAsia="宋体" w:hint="default"/>
        </w:rPr>
        <w:t>201207JMS0900052</w:t>
      </w:r>
      <w:r>
        <w:rPr/>
        <w:t>文件</w:t>
      </w:r>
      <w:r>
        <w:rPr>
          <w:spacing w:val="-86"/>
        </w:rPr>
        <w:t> </w:t>
      </w:r>
      <w:r>
        <w:rPr/>
        <w:t>批复，自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日止按</w:t>
      </w:r>
      <w:r>
        <w:rPr>
          <w:rFonts w:ascii="宋体" w:hAnsi="宋体" w:cs="宋体" w:eastAsia="宋体" w:hint="default"/>
        </w:rPr>
        <w:t>15%</w:t>
      </w:r>
      <w:r>
        <w:rPr/>
        <w:t>税率征收企业所得税。</w:t>
      </w:r>
    </w:p>
    <w:p>
      <w:pPr>
        <w:pStyle w:val="BodyText"/>
        <w:spacing w:line="357" w:lineRule="auto"/>
        <w:ind w:right="151" w:firstLine="425"/>
        <w:jc w:val="both"/>
      </w:pPr>
      <w:r>
        <w:rPr/>
        <w:t>北京大唐高鸿软件技术有限公司于</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11</w:t>
      </w:r>
      <w:r>
        <w:rPr/>
        <w:t>日取得了编号为</w:t>
      </w:r>
      <w:r>
        <w:rPr>
          <w:rFonts w:ascii="宋体" w:hAnsi="宋体" w:cs="宋体" w:eastAsia="宋体" w:hint="default"/>
        </w:rPr>
        <w:t>GF201111001626</w:t>
      </w:r>
      <w:r>
        <w:rPr/>
        <w:t>高新技</w:t>
      </w:r>
      <w:r>
        <w:rPr>
          <w:spacing w:val="2"/>
        </w:rPr>
        <w:t> </w:t>
      </w:r>
      <w:r>
        <w:rPr/>
        <w:t>术企业证书，有效期三年，经北京市海淀区国家税务局海国税</w:t>
      </w:r>
      <w:r>
        <w:rPr>
          <w:rFonts w:ascii="宋体" w:hAnsi="宋体" w:cs="宋体" w:eastAsia="宋体" w:hint="default"/>
        </w:rPr>
        <w:t>201207JMS0900051</w:t>
      </w:r>
      <w:r>
        <w:rPr/>
        <w:t>文件批复，</w:t>
      </w:r>
      <w:r>
        <w:rPr>
          <w:spacing w:val="-85"/>
        </w:rPr>
        <w:t> </w:t>
      </w:r>
      <w:r>
        <w:rPr>
          <w:spacing w:val="-85"/>
        </w:rPr>
      </w:r>
      <w:r>
        <w:rPr/>
        <w:t>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日止按</w:t>
      </w:r>
      <w:r>
        <w:rPr>
          <w:rFonts w:ascii="宋体" w:hAnsi="宋体" w:cs="宋体" w:eastAsia="宋体" w:hint="default"/>
        </w:rPr>
        <w:t>15%</w:t>
      </w:r>
      <w:r>
        <w:rPr/>
        <w:t>税率征收企业所得税。</w:t>
      </w:r>
    </w:p>
    <w:p>
      <w:pPr>
        <w:pStyle w:val="BodyText"/>
        <w:spacing w:line="357" w:lineRule="auto" w:before="37"/>
        <w:ind w:right="151" w:firstLine="425"/>
        <w:jc w:val="both"/>
      </w:pPr>
      <w:r>
        <w:rPr/>
        <w:t>北京高阳捷迅信息技术有限公司于</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28</w:t>
      </w:r>
      <w:r>
        <w:rPr/>
        <w:t>日取得了编号为</w:t>
      </w:r>
      <w:r>
        <w:rPr>
          <w:rFonts w:ascii="宋体" w:hAnsi="宋体" w:cs="宋体" w:eastAsia="宋体" w:hint="default"/>
        </w:rPr>
        <w:t>GF201111001954</w:t>
      </w:r>
      <w:r>
        <w:rPr/>
        <w:t>的高新</w:t>
      </w:r>
      <w:r>
        <w:rPr>
          <w:spacing w:val="2"/>
        </w:rPr>
        <w:t> </w:t>
      </w:r>
      <w:r>
        <w:rPr>
          <w:spacing w:val="-2"/>
        </w:rPr>
        <w:t>技术企业证书，有效期三年，自</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日止按</w:t>
      </w:r>
      <w:r>
        <w:rPr>
          <w:rFonts w:ascii="宋体" w:hAnsi="宋体" w:cs="宋体" w:eastAsia="宋体" w:hint="default"/>
          <w:spacing w:val="-2"/>
        </w:rPr>
        <w:t>15%</w:t>
      </w:r>
      <w:r>
        <w:rPr>
          <w:spacing w:val="-2"/>
        </w:rPr>
        <w:t>税率征收企业所得</w:t>
      </w:r>
      <w:r>
        <w:rPr>
          <w:spacing w:val="-103"/>
        </w:rPr>
        <w:t> </w:t>
      </w:r>
      <w:r>
        <w:rPr/>
        <w:t>税。</w:t>
      </w:r>
    </w:p>
    <w:p>
      <w:pPr>
        <w:spacing w:after="0" w:line="357" w:lineRule="auto"/>
        <w:jc w:val="both"/>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r>
        <w:rPr/>
        <w:pict>
          <v:group style="position:absolute;margin-left:290.950012pt;margin-top:657.555969pt;width:42pt;height:109.25pt;mso-position-horizontal-relative:page;mso-position-vertical-relative:page;z-index:-1331320" coordorigin="5819,13151" coordsize="840,2185">
            <v:shape style="position:absolute;left:5819;top:13151;width:840;height:2185" coordorigin="5819,13151" coordsize="840,2185" path="m5819,15336l6659,15336,6659,13151,5819,13151,5819,15336xe" filled="true" fillcolor="#ffffff" stroked="false">
              <v:path arrowok="t"/>
              <v:fill type="solid"/>
            </v:shape>
            <w10:wrap type="none"/>
          </v:group>
        </w:pict>
      </w: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六、企业合并及合并财务报表</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528"/>
        <w:gridCol w:w="1416"/>
        <w:gridCol w:w="852"/>
        <w:gridCol w:w="566"/>
        <w:gridCol w:w="708"/>
        <w:gridCol w:w="567"/>
        <w:gridCol w:w="569"/>
        <w:gridCol w:w="425"/>
        <w:gridCol w:w="516"/>
        <w:gridCol w:w="684"/>
      </w:tblGrid>
      <w:tr>
        <w:trPr>
          <w:trHeight w:val="570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1" w:right="60" w:hanging="92"/>
              <w:jc w:val="left"/>
              <w:rPr>
                <w:rFonts w:ascii="宋体" w:hAnsi="宋体" w:cs="宋体" w:eastAsia="宋体" w:hint="default"/>
                <w:sz w:val="18"/>
                <w:szCs w:val="18"/>
              </w:rPr>
            </w:pPr>
            <w:r>
              <w:rPr>
                <w:rFonts w:ascii="宋体" w:hAnsi="宋体" w:cs="宋体" w:eastAsia="宋体" w:hint="default"/>
                <w:sz w:val="18"/>
                <w:szCs w:val="18"/>
              </w:rPr>
              <w:t>期末实际 投资额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98" w:right="96"/>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24" w:right="77"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55" w:right="50"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74" w:right="71"/>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477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北京大 唐高鸿 数据网 络技术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3" w:right="106"/>
              <w:jc w:val="both"/>
              <w:rPr>
                <w:rFonts w:ascii="宋体" w:hAnsi="宋体" w:cs="宋体" w:eastAsia="宋体" w:hint="default"/>
                <w:sz w:val="18"/>
                <w:szCs w:val="18"/>
              </w:rPr>
            </w:pPr>
            <w:r>
              <w:rPr>
                <w:rFonts w:ascii="宋体" w:hAnsi="宋体" w:cs="宋体" w:eastAsia="宋体" w:hint="default"/>
                <w:sz w:val="18"/>
                <w:szCs w:val="18"/>
              </w:rPr>
              <w:t>通讯设 备系统 集成、 贸易</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生产通信系统及 </w:t>
            </w:r>
            <w:r>
              <w:rPr>
                <w:rFonts w:ascii="宋体" w:hAnsi="宋体" w:cs="宋体" w:eastAsia="宋体" w:hint="default"/>
                <w:spacing w:val="-10"/>
                <w:sz w:val="18"/>
                <w:szCs w:val="18"/>
              </w:rPr>
              <w:t>终端设备。技术开</w:t>
            </w:r>
            <w:r>
              <w:rPr>
                <w:rFonts w:ascii="宋体" w:hAnsi="宋体" w:cs="宋体" w:eastAsia="宋体" w:hint="default"/>
                <w:sz w:val="18"/>
                <w:szCs w:val="18"/>
              </w:rPr>
              <w:t> </w:t>
            </w:r>
            <w:r>
              <w:rPr>
                <w:rFonts w:ascii="宋体" w:hAnsi="宋体" w:cs="宋体" w:eastAsia="宋体" w:hint="default"/>
                <w:spacing w:val="-10"/>
                <w:sz w:val="18"/>
                <w:szCs w:val="18"/>
              </w:rPr>
              <w:t>发、技术转让、技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术咨询、技术服 </w:t>
            </w:r>
            <w:r>
              <w:rPr>
                <w:rFonts w:ascii="宋体" w:hAnsi="宋体" w:cs="宋体" w:eastAsia="宋体" w:hint="default"/>
                <w:spacing w:val="-10"/>
                <w:sz w:val="18"/>
                <w:szCs w:val="18"/>
              </w:rPr>
              <w:t>务、技术推广；销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售通讯设备、机械</w:t>
            </w:r>
            <w:r>
              <w:rPr>
                <w:rFonts w:ascii="宋体" w:hAnsi="宋体" w:cs="宋体" w:eastAsia="宋体" w:hint="default"/>
                <w:sz w:val="18"/>
                <w:szCs w:val="18"/>
              </w:rPr>
              <w:t> </w:t>
            </w:r>
            <w:r>
              <w:rPr>
                <w:rFonts w:ascii="宋体" w:hAnsi="宋体" w:cs="宋体" w:eastAsia="宋体" w:hint="default"/>
                <w:spacing w:val="-10"/>
                <w:sz w:val="18"/>
                <w:szCs w:val="18"/>
              </w:rPr>
              <w:t>设备、计算机、软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件及辅助设备、电</w:t>
            </w:r>
            <w:r>
              <w:rPr>
                <w:rFonts w:ascii="宋体" w:hAnsi="宋体" w:cs="宋体" w:eastAsia="宋体" w:hint="default"/>
                <w:sz w:val="18"/>
                <w:szCs w:val="18"/>
              </w:rPr>
              <w:t> </w:t>
            </w:r>
            <w:r>
              <w:rPr>
                <w:rFonts w:ascii="宋体" w:hAnsi="宋体" w:cs="宋体" w:eastAsia="宋体" w:hint="default"/>
                <w:spacing w:val="-10"/>
                <w:sz w:val="18"/>
                <w:szCs w:val="18"/>
              </w:rPr>
              <w:t>子设备；计算机系</w:t>
            </w:r>
            <w:r>
              <w:rPr>
                <w:rFonts w:ascii="宋体" w:hAnsi="宋体" w:cs="宋体" w:eastAsia="宋体" w:hint="default"/>
                <w:sz w:val="18"/>
                <w:szCs w:val="18"/>
              </w:rPr>
              <w:t> </w:t>
            </w:r>
            <w:r>
              <w:rPr>
                <w:rFonts w:ascii="宋体" w:hAnsi="宋体" w:cs="宋体" w:eastAsia="宋体" w:hint="default"/>
                <w:spacing w:val="-10"/>
                <w:sz w:val="18"/>
                <w:szCs w:val="18"/>
              </w:rPr>
              <w:t>统服务；货物进出</w:t>
            </w:r>
            <w:r>
              <w:rPr>
                <w:rFonts w:ascii="宋体" w:hAnsi="宋体" w:cs="宋体" w:eastAsia="宋体" w:hint="default"/>
                <w:sz w:val="18"/>
                <w:szCs w:val="18"/>
              </w:rPr>
              <w:t> 口、技术进出口 </w:t>
            </w:r>
            <w:r>
              <w:rPr>
                <w:rFonts w:ascii="宋体" w:hAnsi="宋体" w:cs="宋体" w:eastAsia="宋体" w:hint="default"/>
                <w:spacing w:val="-10"/>
                <w:sz w:val="18"/>
                <w:szCs w:val="18"/>
              </w:rPr>
              <w:t>代理进出口；专业</w:t>
            </w:r>
            <w:r>
              <w:rPr>
                <w:rFonts w:ascii="宋体" w:hAnsi="宋体" w:cs="宋体" w:eastAsia="宋体" w:hint="default"/>
                <w:sz w:val="18"/>
                <w:szCs w:val="18"/>
              </w:rPr>
              <w:t> </w:t>
            </w:r>
            <w:r>
              <w:rPr>
                <w:rFonts w:ascii="宋体" w:hAnsi="宋体" w:cs="宋体" w:eastAsia="宋体" w:hint="default"/>
                <w:spacing w:val="-12"/>
                <w:sz w:val="18"/>
                <w:szCs w:val="18"/>
              </w:rPr>
              <w:t>承包。（未取得行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政许可的项目除 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98" w:right="0"/>
              <w:jc w:val="left"/>
              <w:rPr>
                <w:rFonts w:ascii="Times New Roman" w:hAnsi="Times New Roman" w:cs="Times New Roman" w:eastAsia="Times New Roman" w:hint="default"/>
                <w:sz w:val="18"/>
                <w:szCs w:val="18"/>
              </w:rPr>
            </w:pPr>
            <w:r>
              <w:rPr>
                <w:rFonts w:ascii="Times New Roman"/>
                <w:sz w:val="18"/>
              </w:rPr>
              <w:t>41,940.59</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56" w:right="0"/>
              <w:jc w:val="left"/>
              <w:rPr>
                <w:rFonts w:ascii="Times New Roman" w:hAnsi="Times New Roman" w:cs="Times New Roman" w:eastAsia="Times New Roman" w:hint="default"/>
                <w:sz w:val="18"/>
                <w:szCs w:val="18"/>
              </w:rPr>
            </w:pPr>
            <w:r>
              <w:rPr>
                <w:rFonts w:ascii="Times New Roman"/>
                <w:sz w:val="18"/>
              </w:rPr>
              <w:t>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15" w:right="0"/>
              <w:jc w:val="lef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39.686996pt;margin-top:72.47998pt;width:93.3pt;height:171.65pt;mso-position-horizontal-relative:page;mso-position-vertical-relative:page;z-index:-1331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0" w:right="0" w:firstLine="0"/>
                    <w:jc w:val="left"/>
                    <w:rPr>
                      <w:rFonts w:ascii="宋体" w:hAnsi="宋体" w:cs="宋体" w:eastAsia="宋体" w:hint="default"/>
                      <w:sz w:val="18"/>
                      <w:szCs w:val="18"/>
                    </w:rPr>
                  </w:pPr>
                  <w:r>
                    <w:rPr>
                      <w:rFonts w:ascii="宋体" w:hAnsi="宋体" w:cs="宋体" w:eastAsia="宋体" w:hint="default"/>
                      <w:sz w:val="18"/>
                      <w:szCs w:val="18"/>
                    </w:rPr>
                    <w:t>货物进出口、</w:t>
                  </w:r>
                </w:p>
              </w:txbxContent>
            </v:textbox>
            <w10:wrap type="none"/>
          </v:shape>
        </w:pict>
      </w:r>
      <w:r>
        <w:rPr/>
        <w:pict>
          <v:group style="position:absolute;margin-left:290.950012pt;margin-top:72.47998pt;width:42pt;height:171.65pt;mso-position-horizontal-relative:page;mso-position-vertical-relative:page;z-index:-1331272" coordorigin="5819,1450" coordsize="840,3433">
            <v:shape style="position:absolute;left:5819;top:1450;width:840;height:3433" coordorigin="5819,1450" coordsize="840,3433" path="m5819,4882l6659,4882,6659,1450,5819,1450,5819,4882xe" filled="true" fillcolor="#ffffff" stroked="false">
              <v:path arrowok="t"/>
              <v:fill type="solid"/>
            </v:shape>
            <w10:wrap type="none"/>
          </v:group>
        </w:pict>
      </w:r>
      <w:r>
        <w:rPr/>
        <w:pict>
          <v:group style="position:absolute;margin-left:290.950012pt;margin-top:263.669983pt;width:42pt;height:171.65pt;mso-position-horizontal-relative:page;mso-position-vertical-relative:page;z-index:-1331248" coordorigin="5819,5273" coordsize="840,3433">
            <v:shape style="position:absolute;left:5819;top:5273;width:840;height:3433" coordorigin="5819,5273" coordsize="840,3433" path="m5819,8706l6659,8706,6659,5273,5819,5273,5819,8706xe" filled="true" fillcolor="#ffffff" stroked="false">
              <v:path arrowok="t"/>
              <v:fill type="solid"/>
            </v:shape>
            <w10:wrap type="none"/>
          </v:group>
        </w:pict>
      </w:r>
      <w:r>
        <w:rPr/>
        <w:pict>
          <v:group style="position:absolute;margin-left:290.950012pt;margin-top:610.515991pt;width:42pt;height:154.950pt;mso-position-horizontal-relative:page;mso-position-vertical-relative:page;z-index:-1331224" coordorigin="5819,12210" coordsize="840,3099">
            <v:shape style="position:absolute;left:5819;top:12210;width:840;height:3099" coordorigin="5819,12210" coordsize="840,3099" path="m5819,15309l6659,15309,6659,12210,5819,12210,5819,1530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528"/>
        <w:gridCol w:w="1416"/>
        <w:gridCol w:w="127"/>
        <w:gridCol w:w="725"/>
        <w:gridCol w:w="566"/>
        <w:gridCol w:w="708"/>
        <w:gridCol w:w="567"/>
        <w:gridCol w:w="569"/>
        <w:gridCol w:w="425"/>
        <w:gridCol w:w="516"/>
        <w:gridCol w:w="684"/>
      </w:tblGrid>
      <w:tr>
        <w:trPr>
          <w:trHeight w:val="726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北京大 唐高鸿 软件技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互联网信息服务 </w:t>
            </w:r>
            <w:r>
              <w:rPr>
                <w:rFonts w:ascii="宋体" w:hAnsi="宋体" w:cs="宋体" w:eastAsia="宋体" w:hint="default"/>
                <w:spacing w:val="-12"/>
                <w:sz w:val="18"/>
                <w:szCs w:val="18"/>
              </w:rPr>
              <w:t>业务。（除新闻、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出版、教育、医疗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保健、药品、医疗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器械以外的内 </w:t>
            </w:r>
            <w:r>
              <w:rPr>
                <w:rFonts w:ascii="宋体" w:hAnsi="宋体" w:cs="宋体" w:eastAsia="宋体" w:hint="default"/>
                <w:spacing w:val="-31"/>
                <w:sz w:val="18"/>
                <w:szCs w:val="18"/>
              </w:rPr>
              <w:t>容）。</w:t>
            </w:r>
            <w:r>
              <w:rPr>
                <w:rFonts w:ascii="宋体" w:hAnsi="宋体" w:cs="宋体" w:eastAsia="宋体" w:hint="default"/>
                <w:sz w:val="18"/>
                <w:szCs w:val="18"/>
              </w:rPr>
              <w:t> </w:t>
            </w:r>
            <w:r>
              <w:rPr>
                <w:rFonts w:ascii="宋体" w:hAnsi="宋体" w:cs="宋体" w:eastAsia="宋体" w:hint="default"/>
                <w:spacing w:val="-10"/>
                <w:sz w:val="18"/>
                <w:szCs w:val="18"/>
              </w:rPr>
              <w:t>技术进出口、代理</w:t>
            </w:r>
            <w:r>
              <w:rPr>
                <w:rFonts w:ascii="宋体" w:hAnsi="宋体" w:cs="宋体" w:eastAsia="宋体" w:hint="default"/>
                <w:sz w:val="18"/>
                <w:szCs w:val="18"/>
              </w:rPr>
              <w:t> </w:t>
            </w:r>
            <w:r>
              <w:rPr>
                <w:rFonts w:ascii="宋体" w:hAnsi="宋体" w:cs="宋体" w:eastAsia="宋体" w:hint="default"/>
                <w:spacing w:val="-10"/>
                <w:sz w:val="18"/>
                <w:szCs w:val="18"/>
              </w:rPr>
              <w:t>进出口；应用软件</w:t>
            </w:r>
            <w:r>
              <w:rPr>
                <w:rFonts w:ascii="宋体" w:hAnsi="宋体" w:cs="宋体" w:eastAsia="宋体" w:hint="default"/>
                <w:sz w:val="18"/>
                <w:szCs w:val="18"/>
              </w:rPr>
              <w:t> </w:t>
            </w:r>
            <w:r>
              <w:rPr>
                <w:rFonts w:ascii="宋体" w:hAnsi="宋体" w:cs="宋体" w:eastAsia="宋体" w:hint="default"/>
                <w:spacing w:val="-12"/>
                <w:sz w:val="18"/>
                <w:szCs w:val="18"/>
              </w:rPr>
              <w:t>服务。（法律、行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政法规、国务院决</w:t>
            </w:r>
            <w:r>
              <w:rPr>
                <w:rFonts w:ascii="宋体" w:hAnsi="宋体" w:cs="宋体" w:eastAsia="宋体" w:hint="default"/>
                <w:sz w:val="18"/>
                <w:szCs w:val="18"/>
              </w:rPr>
              <w:t> </w:t>
            </w:r>
            <w:r>
              <w:rPr>
                <w:rFonts w:ascii="宋体" w:hAnsi="宋体" w:cs="宋体" w:eastAsia="宋体" w:hint="default"/>
                <w:spacing w:val="-10"/>
                <w:sz w:val="18"/>
                <w:szCs w:val="18"/>
              </w:rPr>
              <w:t>定禁止的，不得经</w:t>
            </w:r>
            <w:r>
              <w:rPr>
                <w:rFonts w:ascii="宋体" w:hAnsi="宋体" w:cs="宋体" w:eastAsia="宋体" w:hint="default"/>
                <w:sz w:val="18"/>
                <w:szCs w:val="18"/>
              </w:rPr>
              <w:t> </w:t>
            </w:r>
            <w:r>
              <w:rPr>
                <w:rFonts w:ascii="宋体" w:hAnsi="宋体" w:cs="宋体" w:eastAsia="宋体" w:hint="default"/>
                <w:spacing w:val="-10"/>
                <w:sz w:val="18"/>
                <w:szCs w:val="18"/>
              </w:rPr>
              <w:t>营；法律、行政法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规、国务院决定规</w:t>
            </w:r>
            <w:r>
              <w:rPr>
                <w:rFonts w:ascii="宋体" w:hAnsi="宋体" w:cs="宋体" w:eastAsia="宋体" w:hint="default"/>
                <w:sz w:val="18"/>
                <w:szCs w:val="18"/>
              </w:rPr>
              <w:t> </w:t>
            </w:r>
            <w:r>
              <w:rPr>
                <w:rFonts w:ascii="宋体" w:hAnsi="宋体" w:cs="宋体" w:eastAsia="宋体" w:hint="default"/>
                <w:spacing w:val="-10"/>
                <w:sz w:val="18"/>
                <w:szCs w:val="18"/>
              </w:rPr>
              <w:t>定应经许可的，经</w:t>
            </w:r>
            <w:r>
              <w:rPr>
                <w:rFonts w:ascii="宋体" w:hAnsi="宋体" w:cs="宋体" w:eastAsia="宋体" w:hint="default"/>
                <w:sz w:val="18"/>
                <w:szCs w:val="18"/>
              </w:rPr>
              <w:t> 审批机关批准并 经工商行政管理 机关登记注册后 方可经营；法律 </w:t>
            </w:r>
            <w:r>
              <w:rPr>
                <w:rFonts w:ascii="宋体" w:hAnsi="宋体" w:cs="宋体" w:eastAsia="宋体" w:hint="default"/>
                <w:spacing w:val="-10"/>
                <w:sz w:val="18"/>
                <w:szCs w:val="18"/>
              </w:rPr>
              <w:t>行政法规、国务院</w:t>
            </w:r>
            <w:r>
              <w:rPr>
                <w:rFonts w:ascii="宋体" w:hAnsi="宋体" w:cs="宋体" w:eastAsia="宋体" w:hint="default"/>
                <w:sz w:val="18"/>
                <w:szCs w:val="18"/>
              </w:rPr>
              <w:t> 决定未规定许可 </w:t>
            </w:r>
            <w:r>
              <w:rPr>
                <w:rFonts w:ascii="宋体" w:hAnsi="宋体" w:cs="宋体" w:eastAsia="宋体" w:hint="default"/>
                <w:spacing w:val="-10"/>
                <w:sz w:val="18"/>
                <w:szCs w:val="18"/>
              </w:rPr>
              <w:t>的，自主选择经营</w:t>
            </w:r>
            <w:r>
              <w:rPr>
                <w:rFonts w:ascii="宋体" w:hAnsi="宋体" w:cs="宋体" w:eastAsia="宋体" w:hint="default"/>
                <w:sz w:val="18"/>
                <w:szCs w:val="18"/>
              </w:rPr>
              <w:t> 项目开展经营活 </w:t>
            </w:r>
            <w:r>
              <w:rPr>
                <w:rFonts w:ascii="宋体" w:hAnsi="宋体" w:cs="宋体" w:eastAsia="宋体" w:hint="default"/>
                <w:spacing w:val="-31"/>
                <w:sz w:val="18"/>
                <w:szCs w:val="18"/>
              </w:rPr>
              <w:t>动。）</w:t>
            </w:r>
          </w:p>
        </w:tc>
        <w:tc>
          <w:tcPr>
            <w:tcW w:w="1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72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大唐高 鸿通信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106"/>
              <w:jc w:val="both"/>
              <w:rPr>
                <w:rFonts w:ascii="宋体" w:hAnsi="宋体" w:cs="宋体" w:eastAsia="宋体" w:hint="default"/>
                <w:sz w:val="18"/>
                <w:szCs w:val="18"/>
              </w:rPr>
            </w:pPr>
            <w:r>
              <w:rPr>
                <w:rFonts w:ascii="宋体" w:hAnsi="宋体" w:cs="宋体" w:eastAsia="宋体" w:hint="default"/>
                <w:sz w:val="18"/>
                <w:szCs w:val="18"/>
              </w:rPr>
              <w:t>互联网 增值信 息服务</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Times New Roman" w:hAnsi="Times New Roman" w:cs="Times New Roman" w:eastAsia="Times New Roman" w:hint="default"/>
                <w:sz w:val="18"/>
                <w:szCs w:val="18"/>
              </w:rPr>
            </w:pPr>
            <w:r>
              <w:rPr>
                <w:rFonts w:ascii="Times New Roman"/>
                <w:sz w:val="18"/>
              </w:rPr>
              <w:t>18,50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第二类增值电信 业务中的信息服 </w:t>
            </w:r>
            <w:r>
              <w:rPr>
                <w:rFonts w:ascii="宋体" w:hAnsi="宋体" w:cs="宋体" w:eastAsia="宋体" w:hint="default"/>
                <w:spacing w:val="-10"/>
                <w:sz w:val="18"/>
                <w:szCs w:val="18"/>
              </w:rPr>
              <w:t>务业务（不含固定</w:t>
            </w:r>
            <w:r>
              <w:rPr>
                <w:rFonts w:ascii="宋体" w:hAnsi="宋体" w:cs="宋体" w:eastAsia="宋体" w:hint="default"/>
                <w:sz w:val="18"/>
                <w:szCs w:val="18"/>
              </w:rPr>
              <w:t> 网电话信息服 </w:t>
            </w:r>
            <w:r>
              <w:rPr>
                <w:rFonts w:ascii="宋体" w:hAnsi="宋体" w:cs="宋体" w:eastAsia="宋体" w:hint="default"/>
                <w:spacing w:val="-12"/>
                <w:sz w:val="18"/>
                <w:szCs w:val="18"/>
              </w:rPr>
              <w:t>务）；因特网信息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服务（除新闻、出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版、教育、医疗保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健、药品、医疗器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械和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BBS </w:t>
            </w:r>
            <w:r>
              <w:rPr>
                <w:rFonts w:ascii="宋体" w:hAnsi="宋体" w:cs="宋体" w:eastAsia="宋体" w:hint="default"/>
                <w:sz w:val="18"/>
                <w:szCs w:val="18"/>
              </w:rPr>
              <w:t>以外的 </w:t>
            </w:r>
            <w:r>
              <w:rPr>
                <w:rFonts w:ascii="宋体" w:hAnsi="宋体" w:cs="宋体" w:eastAsia="宋体" w:hint="default"/>
                <w:spacing w:val="-12"/>
                <w:sz w:val="18"/>
                <w:szCs w:val="18"/>
              </w:rPr>
              <w:t>内容）、互联网的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技术服务；网络工</w:t>
            </w:r>
            <w:r>
              <w:rPr>
                <w:rFonts w:ascii="宋体" w:hAnsi="宋体" w:cs="宋体" w:eastAsia="宋体" w:hint="default"/>
                <w:sz w:val="18"/>
                <w:szCs w:val="18"/>
              </w:rPr>
              <w:t> 程技术开发、转 </w:t>
            </w:r>
            <w:r>
              <w:rPr>
                <w:rFonts w:ascii="宋体" w:hAnsi="宋体" w:cs="宋体" w:eastAsia="宋体" w:hint="default"/>
                <w:spacing w:val="-10"/>
                <w:sz w:val="18"/>
                <w:szCs w:val="18"/>
              </w:rPr>
              <w:t>让；计算机网络综</w:t>
            </w:r>
            <w:r>
              <w:rPr>
                <w:rFonts w:ascii="宋体" w:hAnsi="宋体" w:cs="宋体" w:eastAsia="宋体" w:hint="default"/>
                <w:sz w:val="18"/>
                <w:szCs w:val="18"/>
              </w:rPr>
              <w:t> </w:t>
            </w:r>
            <w:r>
              <w:rPr>
                <w:rFonts w:ascii="宋体" w:hAnsi="宋体" w:cs="宋体" w:eastAsia="宋体" w:hint="default"/>
                <w:spacing w:val="-10"/>
                <w:sz w:val="18"/>
                <w:szCs w:val="18"/>
              </w:rPr>
              <w:t>合布线、集成；研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发、销售计算机软</w:t>
            </w:r>
            <w:r>
              <w:rPr>
                <w:rFonts w:ascii="宋体" w:hAnsi="宋体" w:cs="宋体" w:eastAsia="宋体" w:hint="default"/>
                <w:sz w:val="18"/>
                <w:szCs w:val="18"/>
              </w:rPr>
              <w:t> 硬件及外围设备 </w:t>
            </w:r>
            <w:r>
              <w:rPr>
                <w:rFonts w:ascii="宋体" w:hAnsi="宋体" w:cs="宋体" w:eastAsia="宋体" w:hint="default"/>
                <w:spacing w:val="-10"/>
                <w:sz w:val="18"/>
                <w:szCs w:val="18"/>
              </w:rPr>
              <w:t>电子产品、网络产</w:t>
            </w:r>
            <w:r>
              <w:rPr>
                <w:rFonts w:ascii="宋体" w:hAnsi="宋体" w:cs="宋体" w:eastAsia="宋体" w:hint="default"/>
                <w:sz w:val="18"/>
                <w:szCs w:val="18"/>
              </w:rPr>
              <w:t> </w:t>
            </w:r>
            <w:r>
              <w:rPr>
                <w:rFonts w:ascii="宋体" w:hAnsi="宋体" w:cs="宋体" w:eastAsia="宋体" w:hint="default"/>
                <w:spacing w:val="-10"/>
                <w:sz w:val="18"/>
                <w:szCs w:val="18"/>
              </w:rPr>
              <w:t>品、通信器材、通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信终端设备、办公</w:t>
            </w:r>
            <w:r>
              <w:rPr>
                <w:rFonts w:ascii="宋体" w:hAnsi="宋体" w:cs="宋体" w:eastAsia="宋体" w:hint="default"/>
                <w:sz w:val="18"/>
                <w:szCs w:val="18"/>
              </w:rPr>
              <w:t> 用品、建筑材料 </w:t>
            </w:r>
            <w:r>
              <w:rPr>
                <w:rFonts w:ascii="宋体" w:hAnsi="宋体" w:cs="宋体" w:eastAsia="宋体" w:hint="default"/>
                <w:spacing w:val="-10"/>
                <w:sz w:val="18"/>
                <w:szCs w:val="18"/>
              </w:rPr>
              <w:t>日用百货；经济信</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18,493.00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59" w:right="0"/>
              <w:jc w:val="center"/>
              <w:rPr>
                <w:rFonts w:ascii="Times New Roman" w:hAnsi="Times New Roman" w:cs="Times New Roman" w:eastAsia="Times New Roman" w:hint="default"/>
                <w:sz w:val="18"/>
                <w:szCs w:val="18"/>
              </w:rPr>
            </w:pPr>
            <w:r>
              <w:rPr>
                <w:rFonts w:ascii="Times New Roman"/>
                <w:sz w:val="18"/>
              </w:rPr>
              <w:t>315.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72</w:t>
            </w: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39.686996pt;margin-top:562.875977pt;width:93.3pt;height:194.1pt;mso-position-horizontal-relative:page;mso-position-vertical-relative:page;z-index:-1331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计算机维修；</w:t>
                  </w:r>
                </w:p>
              </w:txbxContent>
            </v:textbox>
            <w10:wrap type="none"/>
          </v:shape>
        </w:pict>
      </w:r>
      <w:r>
        <w:rPr/>
        <w:pict>
          <v:group style="position:absolute;margin-left:290.950012pt;margin-top:297.349976pt;width:40.950pt;height:20.8pt;mso-position-horizontal-relative:page;mso-position-vertical-relative:page;z-index:-1331176" coordorigin="5819,5947" coordsize="819,416">
            <v:group style="position:absolute;left:5830;top:5958;width:2;height:394" coordorigin="5830,5958" coordsize="2,394">
              <v:shape style="position:absolute;left:5830;top:5958;width:2;height:394" coordorigin="5830,5958" coordsize="0,394" path="m5830,5958l5830,6351e" filled="false" stroked="true" strokeweight="1.08pt" strokecolor="#ffffff">
                <v:path arrowok="t"/>
              </v:shape>
            </v:group>
            <v:group style="position:absolute;left:5841;top:5958;width:797;height:394" coordorigin="5841,5958" coordsize="797,394">
              <v:shape style="position:absolute;left:5841;top:5958;width:797;height:394" coordorigin="5841,5958" coordsize="797,394" path="m5841,6351l6637,6351,6637,5958,5841,5958,5841,6351xe" filled="true" fillcolor="#ffffff" stroked="false">
                <v:path arrowok="t"/>
                <v:fill type="solid"/>
              </v:shape>
            </v:group>
            <w10:wrap type="none"/>
          </v:group>
        </w:pict>
      </w:r>
      <w:r>
        <w:rPr/>
        <w:pict>
          <v:group style="position:absolute;margin-left:290.950012pt;margin-top:349.249969pt;width:42pt;height:407.7pt;mso-position-horizontal-relative:page;mso-position-vertical-relative:page;z-index:-1331152" coordorigin="5819,6985" coordsize="840,8154">
            <v:group style="position:absolute;left:5819;top:6985;width:840;height:3882" coordorigin="5819,6985" coordsize="840,3882">
              <v:shape style="position:absolute;left:5819;top:6985;width:840;height:3882" coordorigin="5819,6985" coordsize="840,3882" path="m5819,10866l6659,10866,6659,6985,5819,6985,5819,10866xe" filled="true" fillcolor="#ffffff" stroked="false">
                <v:path arrowok="t"/>
                <v:fill type="solid"/>
              </v:shape>
            </v:group>
            <v:group style="position:absolute;left:5830;top:10866;width:2;height:392" coordorigin="5830,10866" coordsize="2,392">
              <v:shape style="position:absolute;left:5830;top:10866;width:2;height:392" coordorigin="5830,10866" coordsize="0,392" path="m5830,10866l5830,11257e" filled="false" stroked="true" strokeweight="1.08pt" strokecolor="#ffffff">
                <v:path arrowok="t"/>
              </v:shape>
            </v:group>
            <v:group style="position:absolute;left:5819;top:11258;width:840;height:3882" coordorigin="5819,11258" coordsize="840,3882">
              <v:shape style="position:absolute;left:5819;top:11258;width:840;height:3882" coordorigin="5819,11258" coordsize="840,3882" path="m5819,15139l6659,15139,6659,11258,5819,11258,5819,15139xe" filled="true" fillcolor="#ffffff" stroked="false">
                <v:path arrowok="t"/>
                <v:fill type="solid"/>
              </v:shape>
            </v:group>
            <v:group style="position:absolute;left:5841;top:10866;width:797;height:392" coordorigin="5841,10866" coordsize="797,392">
              <v:shape style="position:absolute;left:5841;top:10866;width:797;height:392" coordorigin="5841,10866" coordsize="797,392" path="m5841,11257l6637,11257,6637,10866,5841,10866,5841,1125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528"/>
        <w:gridCol w:w="1416"/>
        <w:gridCol w:w="128"/>
        <w:gridCol w:w="724"/>
        <w:gridCol w:w="566"/>
        <w:gridCol w:w="708"/>
        <w:gridCol w:w="567"/>
        <w:gridCol w:w="569"/>
        <w:gridCol w:w="425"/>
        <w:gridCol w:w="516"/>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1"/>
              <w:jc w:val="left"/>
              <w:rPr>
                <w:rFonts w:ascii="宋体" w:hAnsi="宋体" w:cs="宋体" w:eastAsia="宋体" w:hint="default"/>
                <w:sz w:val="18"/>
                <w:szCs w:val="18"/>
              </w:rPr>
            </w:pPr>
            <w:r>
              <w:rPr>
                <w:rFonts w:ascii="宋体" w:hAnsi="宋体" w:cs="宋体" w:eastAsia="宋体" w:hint="default"/>
                <w:spacing w:val="-10"/>
                <w:sz w:val="18"/>
                <w:szCs w:val="18"/>
              </w:rPr>
              <w:t>息咨询；出租自有</w:t>
            </w:r>
            <w:r>
              <w:rPr>
                <w:rFonts w:ascii="宋体" w:hAnsi="宋体" w:cs="宋体" w:eastAsia="宋体" w:hint="default"/>
                <w:sz w:val="18"/>
                <w:szCs w:val="18"/>
              </w:rPr>
              <w:t> </w:t>
            </w:r>
            <w:r>
              <w:rPr>
                <w:rFonts w:ascii="宋体" w:hAnsi="宋体" w:cs="宋体" w:eastAsia="宋体" w:hint="default"/>
                <w:spacing w:val="-10"/>
                <w:sz w:val="18"/>
                <w:szCs w:val="18"/>
              </w:rPr>
              <w:t>商业用房；货物进</w:t>
            </w:r>
            <w:r>
              <w:rPr>
                <w:rFonts w:ascii="宋体" w:hAnsi="宋体" w:cs="宋体" w:eastAsia="宋体" w:hint="default"/>
                <w:sz w:val="18"/>
                <w:szCs w:val="18"/>
              </w:rPr>
              <w:t> 出口、技术进出 口、代理进出口</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08"/>
              <w:jc w:val="both"/>
              <w:rPr>
                <w:rFonts w:ascii="宋体" w:hAnsi="宋体" w:cs="宋体" w:eastAsia="宋体" w:hint="default"/>
                <w:sz w:val="18"/>
                <w:szCs w:val="18"/>
              </w:rPr>
            </w:pPr>
            <w:r>
              <w:rPr>
                <w:rFonts w:ascii="宋体" w:hAnsi="宋体" w:cs="宋体" w:eastAsia="宋体" w:hint="default"/>
                <w:sz w:val="18"/>
                <w:szCs w:val="18"/>
              </w:rPr>
              <w:t>贵州大 唐高鸿 电子信 息技术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08"/>
              <w:jc w:val="left"/>
              <w:rPr>
                <w:rFonts w:ascii="宋体" w:hAnsi="宋体" w:cs="宋体" w:eastAsia="宋体" w:hint="default"/>
                <w:sz w:val="18"/>
                <w:szCs w:val="18"/>
              </w:rPr>
            </w:pPr>
            <w:r>
              <w:rPr>
                <w:rFonts w:ascii="宋体" w:hAnsi="宋体" w:cs="宋体" w:eastAsia="宋体" w:hint="default"/>
                <w:sz w:val="18"/>
                <w:szCs w:val="18"/>
              </w:rPr>
              <w:t>贵州贵 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06"/>
              <w:jc w:val="left"/>
              <w:rPr>
                <w:rFonts w:ascii="宋体" w:hAnsi="宋体" w:cs="宋体" w:eastAsia="宋体" w:hint="default"/>
                <w:sz w:val="18"/>
                <w:szCs w:val="18"/>
              </w:rPr>
            </w:pPr>
            <w:r>
              <w:rPr>
                <w:rFonts w:ascii="宋体" w:hAnsi="宋体" w:cs="宋体" w:eastAsia="宋体" w:hint="default"/>
                <w:sz w:val="18"/>
                <w:szCs w:val="18"/>
              </w:rPr>
              <w:t>电子产 品销售</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left"/>
              <w:rPr>
                <w:rFonts w:ascii="宋体" w:hAnsi="宋体" w:cs="宋体" w:eastAsia="宋体" w:hint="default"/>
                <w:sz w:val="18"/>
                <w:szCs w:val="18"/>
              </w:rPr>
            </w:pPr>
            <w:r>
              <w:rPr>
                <w:rFonts w:ascii="宋体" w:hAnsi="宋体" w:cs="宋体" w:eastAsia="宋体" w:hint="default"/>
                <w:spacing w:val="-10"/>
                <w:sz w:val="18"/>
                <w:szCs w:val="18"/>
              </w:rPr>
              <w:t>电子科技、计算机</w:t>
            </w:r>
            <w:r>
              <w:rPr>
                <w:rFonts w:ascii="宋体" w:hAnsi="宋体" w:cs="宋体" w:eastAsia="宋体" w:hint="default"/>
                <w:sz w:val="18"/>
                <w:szCs w:val="18"/>
              </w:rPr>
              <w:t> 及网络的技术开 </w:t>
            </w:r>
            <w:r>
              <w:rPr>
                <w:rFonts w:ascii="宋体" w:hAnsi="宋体" w:cs="宋体" w:eastAsia="宋体" w:hint="default"/>
                <w:spacing w:val="-10"/>
                <w:sz w:val="18"/>
                <w:szCs w:val="18"/>
              </w:rPr>
              <w:t>发、技术咨询、技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术服务、技术转 让</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计算机系统集 </w:t>
            </w:r>
            <w:r>
              <w:rPr>
                <w:rFonts w:ascii="宋体" w:hAnsi="宋体" w:cs="宋体" w:eastAsia="宋体" w:hint="default"/>
                <w:spacing w:val="-10"/>
                <w:sz w:val="18"/>
                <w:szCs w:val="18"/>
              </w:rPr>
              <w:t>成的技术开发、服</w:t>
            </w:r>
            <w:r>
              <w:rPr>
                <w:rFonts w:ascii="宋体" w:hAnsi="宋体" w:cs="宋体" w:eastAsia="宋体" w:hint="default"/>
                <w:sz w:val="18"/>
                <w:szCs w:val="18"/>
              </w:rPr>
              <w:t> 务、转让</w:t>
            </w:r>
            <w:r>
              <w:rPr>
                <w:rFonts w:ascii="Times New Roman" w:hAnsi="Times New Roman" w:cs="Times New Roman" w:eastAsia="Times New Roman" w:hint="default"/>
                <w:sz w:val="18"/>
                <w:szCs w:val="18"/>
              </w:rPr>
              <w:t>;</w:t>
            </w:r>
            <w:r>
              <w:rPr>
                <w:rFonts w:ascii="宋体" w:hAnsi="宋体" w:cs="宋体" w:eastAsia="宋体" w:hint="default"/>
                <w:sz w:val="18"/>
                <w:szCs w:val="18"/>
              </w:rPr>
              <w:t>房屋出 租</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87" w:right="0"/>
              <w:jc w:val="left"/>
              <w:rPr>
                <w:rFonts w:ascii="Times New Roman" w:hAnsi="Times New Roman" w:cs="Times New Roman" w:eastAsia="Times New Roman" w:hint="default"/>
                <w:sz w:val="18"/>
                <w:szCs w:val="18"/>
              </w:rPr>
            </w:pPr>
            <w:r>
              <w:rPr>
                <w:rFonts w:ascii="Times New Roman"/>
                <w:sz w:val="18"/>
              </w:rPr>
              <w:t>1,000.00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北京大 唐高鸿 科技发 展有限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6"/>
              <w:jc w:val="both"/>
              <w:rPr>
                <w:rFonts w:ascii="宋体" w:hAnsi="宋体" w:cs="宋体" w:eastAsia="宋体" w:hint="default"/>
                <w:sz w:val="18"/>
                <w:szCs w:val="18"/>
              </w:rPr>
            </w:pPr>
            <w:r>
              <w:rPr>
                <w:rFonts w:ascii="宋体" w:hAnsi="宋体" w:cs="宋体" w:eastAsia="宋体" w:hint="default"/>
                <w:sz w:val="18"/>
                <w:szCs w:val="18"/>
              </w:rPr>
              <w:t>计算机 软硬件 销售</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6,500.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1"/>
              <w:jc w:val="left"/>
              <w:rPr>
                <w:rFonts w:ascii="宋体" w:hAnsi="宋体" w:cs="宋体" w:eastAsia="宋体" w:hint="default"/>
                <w:sz w:val="18"/>
                <w:szCs w:val="18"/>
              </w:rPr>
            </w:pPr>
            <w:r>
              <w:rPr>
                <w:rFonts w:ascii="宋体" w:hAnsi="宋体" w:cs="宋体" w:eastAsia="宋体" w:hint="default"/>
                <w:spacing w:val="-10"/>
                <w:sz w:val="18"/>
                <w:szCs w:val="18"/>
              </w:rPr>
              <w:t>计算机软、硬件开</w:t>
            </w:r>
            <w:r>
              <w:rPr>
                <w:rFonts w:ascii="宋体" w:hAnsi="宋体" w:cs="宋体" w:eastAsia="宋体" w:hint="default"/>
                <w:sz w:val="18"/>
                <w:szCs w:val="18"/>
              </w:rPr>
              <w:t> 发；销售计算机 软件及辅助设备</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69.23%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73.3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大唐高 鸿济宁 电子信 息技术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山东济 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4" w:lineRule="auto"/>
              <w:ind w:left="23" w:right="106"/>
              <w:jc w:val="left"/>
              <w:rPr>
                <w:rFonts w:ascii="宋体" w:hAnsi="宋体" w:cs="宋体" w:eastAsia="宋体" w:hint="default"/>
                <w:sz w:val="18"/>
                <w:szCs w:val="18"/>
              </w:rPr>
            </w:pPr>
            <w:r>
              <w:rPr>
                <w:rFonts w:ascii="宋体" w:hAnsi="宋体" w:cs="宋体" w:eastAsia="宋体" w:hint="default"/>
                <w:sz w:val="18"/>
                <w:szCs w:val="18"/>
              </w:rPr>
              <w:t>电子产 品销售</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制造通信设备及 </w:t>
            </w:r>
            <w:r>
              <w:rPr>
                <w:rFonts w:ascii="宋体" w:hAnsi="宋体" w:cs="宋体" w:eastAsia="宋体" w:hint="default"/>
                <w:spacing w:val="-10"/>
                <w:sz w:val="18"/>
                <w:szCs w:val="18"/>
              </w:rPr>
              <w:t>其他电子设备；技</w:t>
            </w:r>
            <w:r>
              <w:rPr>
                <w:rFonts w:ascii="宋体" w:hAnsi="宋体" w:cs="宋体" w:eastAsia="宋体" w:hint="default"/>
                <w:sz w:val="18"/>
                <w:szCs w:val="18"/>
              </w:rPr>
              <w:t> 术开发、技术服 </w:t>
            </w:r>
            <w:r>
              <w:rPr>
                <w:rFonts w:ascii="宋体" w:hAnsi="宋体" w:cs="宋体" w:eastAsia="宋体" w:hint="default"/>
                <w:spacing w:val="-10"/>
                <w:sz w:val="18"/>
                <w:szCs w:val="18"/>
              </w:rPr>
              <w:t>务、技术转让；生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产加工计算机软 </w:t>
            </w:r>
            <w:r>
              <w:rPr>
                <w:rFonts w:ascii="宋体" w:hAnsi="宋体" w:cs="宋体" w:eastAsia="宋体" w:hint="default"/>
                <w:spacing w:val="-10"/>
                <w:sz w:val="18"/>
                <w:szCs w:val="18"/>
              </w:rPr>
              <w:t>硬件；销售自行开</w:t>
            </w:r>
            <w:r>
              <w:rPr>
                <w:rFonts w:ascii="宋体" w:hAnsi="宋体" w:cs="宋体" w:eastAsia="宋体" w:hint="default"/>
                <w:sz w:val="18"/>
                <w:szCs w:val="18"/>
              </w:rPr>
              <w:t> 发的产品、计算 </w:t>
            </w:r>
            <w:r>
              <w:rPr>
                <w:rFonts w:ascii="宋体" w:hAnsi="宋体" w:cs="宋体" w:eastAsia="宋体" w:hint="default"/>
                <w:spacing w:val="-10"/>
                <w:sz w:val="18"/>
                <w:szCs w:val="18"/>
              </w:rPr>
              <w:t>机、软件及辅助设</w:t>
            </w:r>
            <w:r>
              <w:rPr>
                <w:rFonts w:ascii="宋体" w:hAnsi="宋体" w:cs="宋体" w:eastAsia="宋体" w:hint="default"/>
                <w:sz w:val="18"/>
                <w:szCs w:val="18"/>
              </w:rPr>
              <w:t> </w:t>
            </w:r>
            <w:r>
              <w:rPr>
                <w:rFonts w:ascii="宋体" w:hAnsi="宋体" w:cs="宋体" w:eastAsia="宋体" w:hint="default"/>
                <w:spacing w:val="-10"/>
                <w:sz w:val="18"/>
                <w:szCs w:val="18"/>
              </w:rPr>
              <w:t>备、通讯设备、机</w:t>
            </w:r>
            <w:r>
              <w:rPr>
                <w:rFonts w:ascii="宋体" w:hAnsi="宋体" w:cs="宋体" w:eastAsia="宋体" w:hint="default"/>
                <w:sz w:val="18"/>
                <w:szCs w:val="18"/>
              </w:rPr>
              <w:t> 械设备、文化用 </w:t>
            </w:r>
            <w:r>
              <w:rPr>
                <w:rFonts w:ascii="宋体" w:hAnsi="宋体" w:cs="宋体" w:eastAsia="宋体" w:hint="default"/>
                <w:spacing w:val="-10"/>
                <w:sz w:val="18"/>
                <w:szCs w:val="18"/>
              </w:rPr>
              <w:t>品、家用电器、工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艺品、箱包、针纺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2"/>
                <w:sz w:val="18"/>
                <w:szCs w:val="18"/>
              </w:rPr>
              <w:t>织品、服装、鞋帽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首饰、花卉、汽车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零配件、五金交 </w:t>
            </w:r>
            <w:r>
              <w:rPr>
                <w:rFonts w:ascii="宋体" w:hAnsi="宋体" w:cs="宋体" w:eastAsia="宋体" w:hint="default"/>
                <w:spacing w:val="-10"/>
                <w:sz w:val="18"/>
                <w:szCs w:val="18"/>
              </w:rPr>
              <w:t>电、体育用品、建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筑材料、医疗器械</w:t>
            </w:r>
            <w:r>
              <w:rPr>
                <w:rFonts w:ascii="宋体" w:hAnsi="宋体" w:cs="宋体" w:eastAsia="宋体" w:hint="default"/>
                <w:sz w:val="18"/>
                <w:szCs w:val="18"/>
              </w:rPr>
              <w:t> </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类； </w:t>
            </w:r>
            <w:r>
              <w:rPr>
                <w:rFonts w:ascii="宋体" w:hAnsi="宋体" w:cs="宋体" w:eastAsia="宋体" w:hint="default"/>
                <w:spacing w:val="-10"/>
                <w:sz w:val="18"/>
                <w:szCs w:val="18"/>
              </w:rPr>
              <w:t>仪器仪表维修；办</w:t>
            </w:r>
            <w:r>
              <w:rPr>
                <w:rFonts w:ascii="宋体" w:hAnsi="宋体" w:cs="宋体" w:eastAsia="宋体" w:hint="default"/>
                <w:sz w:val="18"/>
                <w:szCs w:val="18"/>
              </w:rPr>
              <w:t> </w:t>
            </w:r>
            <w:r>
              <w:rPr>
                <w:rFonts w:ascii="宋体" w:hAnsi="宋体" w:cs="宋体" w:eastAsia="宋体" w:hint="default"/>
                <w:spacing w:val="-10"/>
                <w:sz w:val="18"/>
                <w:szCs w:val="18"/>
              </w:rPr>
              <w:t>公设备维修；出租</w:t>
            </w:r>
            <w:r>
              <w:rPr>
                <w:rFonts w:ascii="宋体" w:hAnsi="宋体" w:cs="宋体" w:eastAsia="宋体" w:hint="default"/>
                <w:sz w:val="18"/>
                <w:szCs w:val="18"/>
              </w:rPr>
              <w:t> </w:t>
            </w:r>
            <w:r>
              <w:rPr>
                <w:rFonts w:ascii="宋体" w:hAnsi="宋体" w:cs="宋体" w:eastAsia="宋体" w:hint="default"/>
                <w:spacing w:val="-10"/>
                <w:sz w:val="18"/>
                <w:szCs w:val="18"/>
              </w:rPr>
              <w:t>办公用房；物业管</w:t>
            </w:r>
            <w:r>
              <w:rPr>
                <w:rFonts w:ascii="宋体" w:hAnsi="宋体" w:cs="宋体" w:eastAsia="宋体" w:hint="default"/>
                <w:sz w:val="18"/>
                <w:szCs w:val="18"/>
              </w:rPr>
              <w:t> </w:t>
            </w:r>
            <w:r>
              <w:rPr>
                <w:rFonts w:ascii="宋体" w:hAnsi="宋体" w:cs="宋体" w:eastAsia="宋体" w:hint="default"/>
                <w:spacing w:val="-10"/>
                <w:sz w:val="18"/>
                <w:szCs w:val="18"/>
              </w:rPr>
              <w:t>理；机动车公共停</w:t>
            </w:r>
            <w:r>
              <w:rPr>
                <w:rFonts w:ascii="宋体" w:hAnsi="宋体" w:cs="宋体" w:eastAsia="宋体" w:hint="default"/>
                <w:sz w:val="18"/>
                <w:szCs w:val="18"/>
              </w:rPr>
              <w:t> </w:t>
            </w:r>
            <w:r>
              <w:rPr>
                <w:rFonts w:ascii="宋体" w:hAnsi="宋体" w:cs="宋体" w:eastAsia="宋体" w:hint="default"/>
                <w:spacing w:val="-10"/>
                <w:sz w:val="18"/>
                <w:szCs w:val="18"/>
              </w:rPr>
              <w:t>车场服务；体育运</w:t>
            </w:r>
            <w:r>
              <w:rPr>
                <w:rFonts w:ascii="宋体" w:hAnsi="宋体" w:cs="宋体" w:eastAsia="宋体" w:hint="default"/>
                <w:sz w:val="18"/>
                <w:szCs w:val="18"/>
              </w:rPr>
              <w:t> </w:t>
            </w:r>
            <w:r>
              <w:rPr>
                <w:rFonts w:ascii="宋体" w:hAnsi="宋体" w:cs="宋体" w:eastAsia="宋体" w:hint="default"/>
                <w:spacing w:val="-10"/>
                <w:sz w:val="18"/>
                <w:szCs w:val="18"/>
              </w:rPr>
              <w:t>动项目经营（高危</w:t>
            </w:r>
            <w:r>
              <w:rPr>
                <w:rFonts w:ascii="宋体" w:hAnsi="宋体" w:cs="宋体" w:eastAsia="宋体" w:hint="default"/>
                <w:sz w:val="18"/>
                <w:szCs w:val="18"/>
              </w:rPr>
              <w:t> 险性体育项目除 </w:t>
            </w:r>
            <w:r>
              <w:rPr>
                <w:rFonts w:ascii="宋体" w:hAnsi="宋体" w:cs="宋体" w:eastAsia="宋体" w:hint="default"/>
                <w:spacing w:val="-16"/>
                <w:sz w:val="18"/>
                <w:szCs w:val="18"/>
              </w:rPr>
              <w:t>外）。</w:t>
            </w: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未取得行政</w:t>
            </w:r>
          </w:p>
        </w:tc>
        <w:tc>
          <w:tcPr>
            <w:tcW w:w="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7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5,880.00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4.88</w:t>
            </w: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66.804016pt;margin-top:235.469986pt;width:66.150pt;height:163.85pt;mso-position-horizontal-relative:page;mso-position-vertical-relative:page;z-index:-13311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line="636" w:lineRule="auto" w:before="0"/>
                    <w:ind w:left="0" w:right="780" w:firstLine="0"/>
                    <w:jc w:val="left"/>
                    <w:rPr>
                      <w:rFonts w:ascii="宋体" w:hAnsi="宋体" w:cs="宋体" w:eastAsia="宋体" w:hint="default"/>
                      <w:sz w:val="18"/>
                      <w:szCs w:val="18"/>
                    </w:rPr>
                  </w:pPr>
                  <w:r>
                    <w:rPr>
                      <w:rFonts w:ascii="宋体" w:hAnsi="宋体" w:cs="宋体" w:eastAsia="宋体" w:hint="default"/>
                      <w:sz w:val="18"/>
                      <w:szCs w:val="18"/>
                    </w:rPr>
                    <w:t>箱包、 花卉、</w:t>
                  </w:r>
                </w:p>
              </w:txbxContent>
            </v:textbox>
            <w10:wrap type="none"/>
          </v:shape>
        </w:pict>
      </w:r>
      <w:r>
        <w:rPr/>
        <w:pict>
          <v:group style="position:absolute;margin-left:290.950012pt;margin-top:90.595985pt;width:42pt;height:62.45pt;mso-position-horizontal-relative:page;mso-position-vertical-relative:page;z-index:-1331104" coordorigin="5819,1812" coordsize="840,1249">
            <v:shape style="position:absolute;left:5819;top:1812;width:840;height:1249" coordorigin="5819,1812" coordsize="840,1249" path="m5819,3060l6659,3060,6659,1812,5819,1812,5819,3060xe" filled="true" fillcolor="#ffffff" stroked="false">
              <v:path arrowok="t"/>
              <v:fill type="solid"/>
            </v:shape>
            <w10:wrap type="none"/>
          </v:group>
        </w:pict>
      </w:r>
      <w:r>
        <w:rPr/>
        <w:pict>
          <v:group style="position:absolute;margin-left:284.209991pt;margin-top:235.469986pt;width:48.75pt;height:184.05pt;mso-position-horizontal-relative:page;mso-position-vertical-relative:page;z-index:-1331032" coordorigin="5684,4709" coordsize="975,3681">
            <v:group style="position:absolute;left:5819;top:4709;width:840;height:3277" coordorigin="5819,4709" coordsize="840,3277">
              <v:shape style="position:absolute;left:5819;top:4709;width:840;height:3277" coordorigin="5819,4709" coordsize="840,3277" path="m5819,7986l6659,7986,6659,4709,5819,4709,5819,7986xe" filled="true" fillcolor="#ffffff" stroked="false">
                <v:path arrowok="t"/>
                <v:fill type="solid"/>
              </v:shape>
            </v:group>
            <v:group style="position:absolute;left:5830;top:7986;width:2;height:394" coordorigin="5830,7986" coordsize="2,394">
              <v:shape style="position:absolute;left:5830;top:7986;width:2;height:394" coordorigin="5830,7986" coordsize="0,394" path="m5830,7986l5830,8379e" filled="false" stroked="true" strokeweight="1.08pt" strokecolor="#ffffff">
                <v:path arrowok="t"/>
              </v:shape>
            </v:group>
            <v:group style="position:absolute;left:5841;top:7986;width:797;height:394" coordorigin="5841,7986" coordsize="797,394">
              <v:shape style="position:absolute;left:5841;top:7986;width:797;height:394" coordorigin="5841,7986" coordsize="797,394" path="m5841,8379l6637,8379,6637,7986,5841,7986,5841,8379xe" filled="true" fillcolor="#ffffff" stroked="false">
                <v:path arrowok="t"/>
                <v:fill type="solid"/>
              </v:shape>
              <v:shape style="position:absolute;left:5684;top:699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5684;top:793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528"/>
        <w:gridCol w:w="1416"/>
        <w:gridCol w:w="84"/>
        <w:gridCol w:w="768"/>
        <w:gridCol w:w="566"/>
        <w:gridCol w:w="708"/>
        <w:gridCol w:w="567"/>
        <w:gridCol w:w="569"/>
        <w:gridCol w:w="425"/>
        <w:gridCol w:w="516"/>
        <w:gridCol w:w="684"/>
      </w:tblGrid>
      <w:tr>
        <w:trPr>
          <w:trHeight w:val="362"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许可的项目除外</w:t>
            </w:r>
            <w:r>
              <w:rPr>
                <w:rFonts w:ascii="Times New Roman" w:hAnsi="Times New Roman" w:cs="Times New Roman" w:eastAsia="Times New Roman" w:hint="default"/>
                <w:sz w:val="18"/>
                <w:szCs w:val="18"/>
              </w:rPr>
              <w:t>)</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江苏高 鸿鼎恒 信息技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8"/>
              <w:jc w:val="left"/>
              <w:rPr>
                <w:rFonts w:ascii="宋体" w:hAnsi="宋体" w:cs="宋体" w:eastAsia="宋体" w:hint="default"/>
                <w:sz w:val="18"/>
                <w:szCs w:val="18"/>
              </w:rPr>
            </w:pPr>
            <w:r>
              <w:rPr>
                <w:rFonts w:ascii="宋体" w:hAnsi="宋体" w:cs="宋体" w:eastAsia="宋体" w:hint="default"/>
                <w:sz w:val="18"/>
                <w:szCs w:val="18"/>
              </w:rPr>
              <w:t>江苏南 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6"/>
              <w:jc w:val="left"/>
              <w:rPr>
                <w:rFonts w:ascii="宋体" w:hAnsi="宋体" w:cs="宋体" w:eastAsia="宋体" w:hint="default"/>
                <w:sz w:val="18"/>
                <w:szCs w:val="18"/>
              </w:rPr>
            </w:pPr>
            <w:r>
              <w:rPr>
                <w:rFonts w:ascii="宋体" w:hAnsi="宋体" w:cs="宋体" w:eastAsia="宋体" w:hint="default"/>
                <w:sz w:val="18"/>
                <w:szCs w:val="18"/>
              </w:rPr>
              <w:t>电子产 品销售</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pacing w:val="-10"/>
                <w:sz w:val="18"/>
                <w:szCs w:val="18"/>
              </w:rPr>
              <w:t>电子技术开发、技</w:t>
            </w:r>
            <w:r>
              <w:rPr>
                <w:rFonts w:ascii="宋体" w:hAnsi="宋体" w:cs="宋体" w:eastAsia="宋体" w:hint="default"/>
                <w:sz w:val="18"/>
                <w:szCs w:val="18"/>
              </w:rPr>
              <w:t> 术服务、技术转 </w:t>
            </w:r>
            <w:r>
              <w:rPr>
                <w:rFonts w:ascii="宋体" w:hAnsi="宋体" w:cs="宋体" w:eastAsia="宋体" w:hint="default"/>
                <w:spacing w:val="-10"/>
                <w:sz w:val="18"/>
                <w:szCs w:val="18"/>
              </w:rPr>
              <w:t>让；计算机及辅助</w:t>
            </w:r>
            <w:r>
              <w:rPr>
                <w:rFonts w:ascii="宋体" w:hAnsi="宋体" w:cs="宋体" w:eastAsia="宋体" w:hint="default"/>
                <w:sz w:val="18"/>
                <w:szCs w:val="18"/>
              </w:rPr>
              <w:t> 设备、通讯设备 </w:t>
            </w:r>
            <w:r>
              <w:rPr>
                <w:rFonts w:ascii="宋体" w:hAnsi="宋体" w:cs="宋体" w:eastAsia="宋体" w:hint="default"/>
                <w:spacing w:val="-10"/>
                <w:sz w:val="18"/>
                <w:szCs w:val="18"/>
              </w:rPr>
              <w:t>电子产品、照明设</w:t>
            </w:r>
            <w:r>
              <w:rPr>
                <w:rFonts w:ascii="宋体" w:hAnsi="宋体" w:cs="宋体" w:eastAsia="宋体" w:hint="default"/>
                <w:sz w:val="18"/>
                <w:szCs w:val="18"/>
              </w:rPr>
              <w:t> </w:t>
            </w:r>
            <w:r>
              <w:rPr>
                <w:rFonts w:ascii="宋体" w:hAnsi="宋体" w:cs="宋体" w:eastAsia="宋体" w:hint="default"/>
                <w:spacing w:val="-10"/>
                <w:sz w:val="18"/>
                <w:szCs w:val="18"/>
              </w:rPr>
              <w:t>备、办公用品、塑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料制品、工艺美术</w:t>
            </w:r>
            <w:r>
              <w:rPr>
                <w:rFonts w:ascii="宋体" w:hAnsi="宋体" w:cs="宋体" w:eastAsia="宋体" w:hint="default"/>
                <w:sz w:val="18"/>
                <w:szCs w:val="18"/>
              </w:rPr>
              <w:t> </w:t>
            </w:r>
            <w:r>
              <w:rPr>
                <w:rFonts w:ascii="宋体" w:hAnsi="宋体" w:cs="宋体" w:eastAsia="宋体" w:hint="default"/>
                <w:spacing w:val="-10"/>
                <w:sz w:val="18"/>
                <w:szCs w:val="18"/>
              </w:rPr>
              <w:t>品、服装、橡胶制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品销售</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98" w:right="0"/>
              <w:jc w:val="left"/>
              <w:rPr>
                <w:rFonts w:ascii="Times New Roman" w:hAnsi="Times New Roman" w:cs="Times New Roman" w:eastAsia="Times New Roman" w:hint="default"/>
                <w:sz w:val="18"/>
                <w:szCs w:val="18"/>
              </w:rPr>
            </w:pPr>
            <w:r>
              <w:rPr>
                <w:rFonts w:ascii="Times New Roman"/>
                <w:sz w:val="18"/>
              </w:rPr>
              <w:t>17,468.90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58.23%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58.23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59" w:right="0"/>
              <w:jc w:val="center"/>
              <w:rPr>
                <w:rFonts w:ascii="Times New Roman" w:hAnsi="Times New Roman" w:cs="Times New Roman" w:eastAsia="Times New Roman" w:hint="default"/>
                <w:sz w:val="18"/>
                <w:szCs w:val="18"/>
              </w:rPr>
            </w:pPr>
            <w:r>
              <w:rPr>
                <w:rFonts w:ascii="Times New Roman"/>
                <w:sz w:val="18"/>
              </w:rPr>
              <w:t>919.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60</w:t>
            </w: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95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大唐高 鸿信息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电子产 品销售</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技术开发、技术服</w:t>
            </w:r>
            <w:r>
              <w:rPr>
                <w:rFonts w:ascii="宋体" w:hAnsi="宋体" w:cs="宋体" w:eastAsia="宋体" w:hint="default"/>
                <w:sz w:val="18"/>
                <w:szCs w:val="18"/>
              </w:rPr>
              <w:t> </w:t>
            </w:r>
            <w:r>
              <w:rPr>
                <w:rFonts w:ascii="宋体" w:hAnsi="宋体" w:cs="宋体" w:eastAsia="宋体" w:hint="default"/>
                <w:spacing w:val="-10"/>
                <w:sz w:val="18"/>
                <w:szCs w:val="18"/>
              </w:rPr>
              <w:t>务、技术转让；销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售计算机、软件及</w:t>
            </w:r>
            <w:r>
              <w:rPr>
                <w:rFonts w:ascii="宋体" w:hAnsi="宋体" w:cs="宋体" w:eastAsia="宋体" w:hint="default"/>
                <w:sz w:val="18"/>
                <w:szCs w:val="18"/>
              </w:rPr>
              <w:t> </w:t>
            </w:r>
            <w:r>
              <w:rPr>
                <w:rFonts w:ascii="宋体" w:hAnsi="宋体" w:cs="宋体" w:eastAsia="宋体" w:hint="default"/>
                <w:spacing w:val="-10"/>
                <w:sz w:val="18"/>
                <w:szCs w:val="18"/>
              </w:rPr>
              <w:t>辅助设备、通讯设</w:t>
            </w:r>
            <w:r>
              <w:rPr>
                <w:rFonts w:ascii="宋体" w:hAnsi="宋体" w:cs="宋体" w:eastAsia="宋体" w:hint="default"/>
                <w:sz w:val="18"/>
                <w:szCs w:val="18"/>
              </w:rPr>
              <w:t> </w:t>
            </w:r>
            <w:r>
              <w:rPr>
                <w:rFonts w:ascii="宋体" w:hAnsi="宋体" w:cs="宋体" w:eastAsia="宋体" w:hint="default"/>
                <w:spacing w:val="-10"/>
                <w:sz w:val="18"/>
                <w:szCs w:val="18"/>
              </w:rPr>
              <w:t>备、机械设备、文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化用品、家用电 </w:t>
            </w:r>
            <w:r>
              <w:rPr>
                <w:rFonts w:ascii="宋体" w:hAnsi="宋体" w:cs="宋体" w:eastAsia="宋体" w:hint="default"/>
                <w:spacing w:val="-15"/>
                <w:sz w:val="18"/>
                <w:szCs w:val="18"/>
              </w:rPr>
              <w:t>器、工艺品、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针纺织品、服装 </w:t>
            </w:r>
            <w:r>
              <w:rPr>
                <w:rFonts w:ascii="宋体" w:hAnsi="宋体" w:cs="宋体" w:eastAsia="宋体" w:hint="default"/>
                <w:spacing w:val="-15"/>
                <w:sz w:val="18"/>
                <w:szCs w:val="18"/>
              </w:rPr>
              <w:t>鞋帽、首饰、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汽车零配件、五金</w:t>
            </w:r>
            <w:r>
              <w:rPr>
                <w:rFonts w:ascii="宋体" w:hAnsi="宋体" w:cs="宋体" w:eastAsia="宋体" w:hint="default"/>
                <w:sz w:val="18"/>
                <w:szCs w:val="18"/>
              </w:rPr>
              <w:t> 交电、体育用品 </w:t>
            </w:r>
            <w:r>
              <w:rPr>
                <w:rFonts w:ascii="宋体" w:hAnsi="宋体" w:cs="宋体" w:eastAsia="宋体" w:hint="default"/>
                <w:spacing w:val="-10"/>
                <w:sz w:val="18"/>
                <w:szCs w:val="18"/>
              </w:rPr>
              <w:t>建筑材料、医疗器</w:t>
            </w:r>
            <w:r>
              <w:rPr>
                <w:rFonts w:ascii="宋体" w:hAnsi="宋体" w:cs="宋体" w:eastAsia="宋体" w:hint="default"/>
                <w:sz w:val="18"/>
                <w:szCs w:val="18"/>
              </w:rPr>
              <w:t> 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类；计算机维</w:t>
            </w:r>
            <w:r>
              <w:rPr>
                <w:rFonts w:ascii="宋体" w:hAnsi="宋体" w:cs="宋体" w:eastAsia="宋体" w:hint="default"/>
                <w:sz w:val="18"/>
                <w:szCs w:val="18"/>
              </w:rPr>
              <w:t> 修；仪器仪表维 修；办公设备维 修；出租办公用 </w:t>
            </w:r>
            <w:r>
              <w:rPr>
                <w:rFonts w:ascii="宋体" w:hAnsi="宋体" w:cs="宋体" w:eastAsia="宋体" w:hint="default"/>
                <w:spacing w:val="-10"/>
                <w:sz w:val="18"/>
                <w:szCs w:val="18"/>
              </w:rPr>
              <w:t>房；物业管理；机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动车公共停车场 </w:t>
            </w:r>
            <w:r>
              <w:rPr>
                <w:rFonts w:ascii="宋体" w:hAnsi="宋体" w:cs="宋体" w:eastAsia="宋体" w:hint="default"/>
                <w:spacing w:val="-10"/>
                <w:sz w:val="18"/>
                <w:szCs w:val="18"/>
              </w:rPr>
              <w:t>服务；体育运动项</w:t>
            </w:r>
            <w:r>
              <w:rPr>
                <w:rFonts w:ascii="宋体" w:hAnsi="宋体" w:cs="宋体" w:eastAsia="宋体" w:hint="default"/>
                <w:sz w:val="18"/>
                <w:szCs w:val="18"/>
              </w:rPr>
              <w:t> 目经营</w:t>
            </w:r>
            <w:r>
              <w:rPr>
                <w:rFonts w:ascii="Times New Roman" w:hAnsi="Times New Roman" w:cs="Times New Roman" w:eastAsia="Times New Roman" w:hint="default"/>
                <w:sz w:val="18"/>
                <w:szCs w:val="18"/>
              </w:rPr>
              <w:t>(</w:t>
            </w:r>
            <w:r>
              <w:rPr>
                <w:rFonts w:ascii="宋体" w:hAnsi="宋体" w:cs="宋体" w:eastAsia="宋体" w:hint="default"/>
                <w:sz w:val="18"/>
                <w:szCs w:val="18"/>
              </w:rPr>
              <w:t>未取得行 政许可的项目除 外</w:t>
            </w:r>
            <w:r>
              <w:rPr>
                <w:rFonts w:ascii="Times New Roman" w:hAnsi="Times New Roman" w:cs="Times New Roman" w:eastAsia="Times New Roman" w:hint="default"/>
                <w:sz w:val="18"/>
                <w:szCs w:val="18"/>
              </w:rPr>
              <w:t>)</w:t>
            </w:r>
          </w:p>
        </w:tc>
        <w:tc>
          <w:tcPr>
            <w:tcW w:w="84" w:type="dxa"/>
            <w:tcBorders>
              <w:top w:val="single" w:sz="4" w:space="0" w:color="000000"/>
              <w:left w:val="single" w:sz="4" w:space="0" w:color="000000"/>
              <w:bottom w:val="single" w:sz="4" w:space="0" w:color="000000"/>
              <w:right w:val="nil" w:sz="6" w:space="0" w:color="auto"/>
            </w:tcBorders>
          </w:tcPr>
          <w:p>
            <w:pPr/>
          </w:p>
        </w:tc>
        <w:tc>
          <w:tcPr>
            <w:tcW w:w="76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27,162.08</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91.89%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z w:val="18"/>
              </w:rPr>
              <w:t>96.99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59" w:right="0"/>
              <w:jc w:val="center"/>
              <w:rPr>
                <w:rFonts w:ascii="Times New Roman" w:hAnsi="Times New Roman" w:cs="Times New Roman" w:eastAsia="Times New Roman" w:hint="default"/>
                <w:sz w:val="18"/>
                <w:szCs w:val="18"/>
              </w:rPr>
            </w:pPr>
            <w:r>
              <w:rPr>
                <w:rFonts w:ascii="Times New Roman"/>
                <w:sz w:val="18"/>
              </w:rPr>
              <w:t>994.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44</w:t>
            </w: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pStyle w:val="BodyText"/>
        <w:spacing w:line="357" w:lineRule="auto" w:before="145"/>
        <w:ind w:left="633" w:right="137" w:hanging="481"/>
        <w:jc w:val="left"/>
      </w:pPr>
      <w:r>
        <w:rPr/>
        <w:t>在被投资单位持股比例与表决权比例不一致的说明： </w:t>
      </w:r>
      <w:r>
        <w:rPr>
          <w:rFonts w:ascii="宋体" w:hAnsi="宋体" w:cs="宋体" w:eastAsia="宋体" w:hint="default"/>
          <w:spacing w:val="-2"/>
        </w:rPr>
        <w:t>1</w:t>
      </w:r>
      <w:r>
        <w:rPr>
          <w:spacing w:val="-2"/>
        </w:rPr>
        <w:t>、北京大唐高鸿科技发展有限公司：公司直接持有其</w:t>
      </w:r>
      <w:r>
        <w:rPr>
          <w:rFonts w:ascii="宋体" w:hAnsi="宋体" w:cs="宋体" w:eastAsia="宋体" w:hint="default"/>
          <w:spacing w:val="-2"/>
        </w:rPr>
        <w:t>69.23%</w:t>
      </w:r>
      <w:r>
        <w:rPr>
          <w:spacing w:val="-2"/>
        </w:rPr>
        <w:t>股权，通过大唐高鸿信息技</w:t>
      </w:r>
    </w:p>
    <w:p>
      <w:pPr>
        <w:pStyle w:val="BodyText"/>
        <w:spacing w:line="357" w:lineRule="auto" w:before="37"/>
        <w:ind w:right="0"/>
        <w:jc w:val="left"/>
      </w:pPr>
      <w:r>
        <w:rPr/>
        <w:t>术有限公司间接持有其</w:t>
      </w:r>
      <w:r>
        <w:rPr>
          <w:rFonts w:ascii="宋体" w:hAnsi="宋体" w:cs="宋体" w:eastAsia="宋体" w:hint="default"/>
        </w:rPr>
        <w:t>30.77%</w:t>
      </w:r>
      <w:r>
        <w:rPr/>
        <w:t>股权，因此公司直接、间接共持有北京大唐高鸿科技发展有限</w:t>
      </w:r>
      <w:r>
        <w:rPr>
          <w:spacing w:val="-89"/>
        </w:rPr>
        <w:t> </w:t>
      </w:r>
      <w:r>
        <w:rPr>
          <w:spacing w:val="-89"/>
        </w:rPr>
      </w:r>
      <w:r>
        <w:rPr/>
        <w:t>公司</w:t>
      </w:r>
      <w:r>
        <w:rPr>
          <w:rFonts w:ascii="宋体" w:hAnsi="宋体" w:cs="宋体" w:eastAsia="宋体" w:hint="default"/>
        </w:rPr>
        <w:t>100%</w:t>
      </w:r>
      <w:r>
        <w:rPr/>
        <w:t>股权；</w:t>
      </w:r>
    </w:p>
    <w:p>
      <w:pPr>
        <w:pStyle w:val="BodyText"/>
        <w:spacing w:line="357" w:lineRule="auto"/>
        <w:ind w:right="156" w:firstLine="480"/>
        <w:jc w:val="both"/>
      </w:pPr>
      <w:r>
        <w:rPr>
          <w:rFonts w:ascii="宋体" w:hAnsi="宋体" w:cs="宋体" w:eastAsia="宋体" w:hint="default"/>
        </w:rPr>
        <w:t>2</w:t>
      </w:r>
      <w:r>
        <w:rPr/>
        <w:t>、大唐高鸿济宁电子信息技术有限公司：公司直接持有其</w:t>
      </w:r>
      <w:r>
        <w:rPr>
          <w:rFonts w:ascii="宋体" w:hAnsi="宋体" w:cs="宋体" w:eastAsia="宋体" w:hint="default"/>
        </w:rPr>
        <w:t>98%</w:t>
      </w:r>
      <w:r>
        <w:rPr/>
        <w:t>股权，通过大唐高鸿信息 技术有限公司间接持有其</w:t>
      </w:r>
      <w:r>
        <w:rPr>
          <w:rFonts w:ascii="宋体" w:hAnsi="宋体" w:cs="宋体" w:eastAsia="宋体" w:hint="default"/>
        </w:rPr>
        <w:t>2%</w:t>
      </w:r>
      <w:r>
        <w:rPr/>
        <w:t>股权，因此公司直接、间接共持有大唐高鸿济宁电子信息技术有</w:t>
      </w:r>
      <w:r>
        <w:rPr>
          <w:spacing w:val="-90"/>
        </w:rPr>
        <w:t> </w:t>
      </w:r>
      <w:r>
        <w:rPr>
          <w:spacing w:val="-90"/>
        </w:rPr>
      </w:r>
      <w:r>
        <w:rPr/>
        <w:t>限公司</w:t>
      </w:r>
      <w:r>
        <w:rPr>
          <w:rFonts w:ascii="宋体" w:hAnsi="宋体" w:cs="宋体" w:eastAsia="宋体" w:hint="default"/>
        </w:rPr>
        <w:t>100%</w:t>
      </w:r>
      <w:r>
        <w:rPr/>
        <w:t>股权；</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149" w:firstLine="480"/>
        <w:jc w:val="both"/>
      </w:pPr>
      <w:r>
        <w:rPr>
          <w:rFonts w:ascii="宋体" w:hAnsi="宋体" w:cs="宋体" w:eastAsia="宋体" w:hint="default"/>
          <w:spacing w:val="-2"/>
        </w:rPr>
        <w:t>3</w:t>
      </w:r>
      <w:r>
        <w:rPr>
          <w:spacing w:val="-2"/>
        </w:rPr>
        <w:t>、大唐高鸿信息技术有限公司：公司直接持有其</w:t>
      </w:r>
      <w:r>
        <w:rPr>
          <w:rFonts w:ascii="宋体" w:hAnsi="宋体" w:cs="宋体" w:eastAsia="宋体" w:hint="default"/>
          <w:spacing w:val="-2"/>
        </w:rPr>
        <w:t>91.89%</w:t>
      </w:r>
      <w:r>
        <w:rPr>
          <w:spacing w:val="-2"/>
        </w:rPr>
        <w:t>股权，通过北京大唐高鸿数据网</w:t>
      </w:r>
      <w:r>
        <w:rPr/>
        <w:t> 络技术有限公司间接持有其</w:t>
      </w:r>
      <w:r>
        <w:rPr>
          <w:rFonts w:ascii="宋体" w:hAnsi="宋体" w:cs="宋体" w:eastAsia="宋体" w:hint="default"/>
        </w:rPr>
        <w:t>5.1%</w:t>
      </w:r>
      <w:r>
        <w:rPr/>
        <w:t>股权，因此公司直接、间接共持有大唐高鸿信息技术有限公</w:t>
      </w:r>
      <w:r>
        <w:rPr>
          <w:spacing w:val="-89"/>
        </w:rPr>
        <w:t> </w:t>
      </w:r>
      <w:r>
        <w:rPr>
          <w:spacing w:val="-89"/>
        </w:rPr>
      </w:r>
      <w:r>
        <w:rPr/>
        <w:t>司</w:t>
      </w:r>
      <w:r>
        <w:rPr>
          <w:rFonts w:ascii="宋体" w:hAnsi="宋体" w:cs="宋体" w:eastAsia="宋体" w:hint="default"/>
        </w:rPr>
        <w:t>96.99%</w:t>
      </w:r>
      <w:r>
        <w:rPr/>
        <w:t>股权。</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）同一控制下企业合并取得的子公司</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5708"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3"/>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535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北京大 唐融合 通信技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电信增 值业务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第二类 增值电 信业务 中的呼 叫中心 业务； 技术服 务；销 售通 信、机 电和计 算机系 统集成 设备； 开发、 生产、 销售计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75%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98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算机 软、硬 件</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814"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 无</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）非同一控制下企业合并取得的子公司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570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3"/>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504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北京高 阳捷迅 信息技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 w:right="0"/>
              <w:jc w:val="left"/>
              <w:rPr>
                <w:rFonts w:ascii="Times New Roman" w:hAnsi="Times New Roman" w:cs="Times New Roman" w:eastAsia="Times New Roman" w:hint="default"/>
                <w:sz w:val="18"/>
                <w:szCs w:val="18"/>
              </w:rPr>
            </w:pPr>
            <w:r>
              <w:rPr>
                <w:rFonts w:ascii="Times New Roman"/>
                <w:sz w:val="18"/>
              </w:rPr>
              <w:t>1,352.8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互联网 信息服 务业务</w:t>
            </w:r>
          </w:p>
          <w:p>
            <w:pPr>
              <w:pStyle w:val="TableParagraph"/>
              <w:spacing w:line="316" w:lineRule="auto" w:before="19"/>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（除新 闻、出 版、教 育、医 疗保 健、药 品、医 疗器械 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BBS</w:t>
            </w: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以外的 </w:t>
            </w:r>
            <w:r>
              <w:rPr>
                <w:rFonts w:ascii="宋体" w:hAnsi="宋体" w:cs="宋体" w:eastAsia="宋体" w:hint="default"/>
                <w:spacing w:val="-23"/>
                <w:sz w:val="18"/>
                <w:szCs w:val="18"/>
              </w:rPr>
              <w:t>内容）；</w:t>
            </w:r>
            <w:r>
              <w:rPr>
                <w:rFonts w:ascii="宋体" w:hAnsi="宋体" w:cs="宋体" w:eastAsia="宋体" w:hint="default"/>
                <w:sz w:val="18"/>
                <w:szCs w:val="18"/>
              </w:rPr>
              <w:t> 第二类 增值电</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26,900.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36.35%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36.35%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14,378.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315" w:hRule="exact"/>
        </w:trPr>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信业务</w:t>
            </w: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中的信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息服务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（不含</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固定网</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电话信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息服务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和互联</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网信息</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术转</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术咨</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询、技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术服</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术推</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算机系</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统服</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售自行</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开发的</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（未取</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得行政</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许可的</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项目除</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60" w:hRule="exact"/>
        </w:trPr>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w:t>
            </w: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bl>
    <w:p>
      <w:pPr>
        <w:spacing w:line="357" w:lineRule="auto" w:before="49"/>
        <w:ind w:left="152" w:right="5634"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 无</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9"/>
        <w:gridCol w:w="2381"/>
        <w:gridCol w:w="4689"/>
      </w:tblGrid>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6"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pStyle w:val="BodyText"/>
        <w:spacing w:line="357" w:lineRule="auto" w:before="145"/>
        <w:ind w:right="149" w:firstLine="360"/>
        <w:jc w:val="both"/>
      </w:pPr>
      <w:r>
        <w:rPr>
          <w:rFonts w:ascii="宋体" w:hAnsi="宋体" w:cs="宋体" w:eastAsia="宋体" w:hint="default"/>
          <w:spacing w:val="-3"/>
        </w:rPr>
        <w:t>1</w:t>
      </w:r>
      <w:r>
        <w:rPr>
          <w:spacing w:val="-3"/>
        </w:rPr>
        <w:t>、与上期相比本期新增合并单位</w:t>
      </w:r>
      <w:r>
        <w:rPr>
          <w:rFonts w:ascii="宋体" w:hAnsi="宋体" w:cs="宋体" w:eastAsia="宋体" w:hint="default"/>
          <w:spacing w:val="-3"/>
        </w:rPr>
        <w:t>3</w:t>
      </w:r>
      <w:r>
        <w:rPr>
          <w:spacing w:val="-3"/>
        </w:rPr>
        <w:t>家，原因为：本期公司新设江苏高鸿鼎恒信息技术有限</w:t>
      </w:r>
      <w:r>
        <w:rPr/>
        <w:t> 公司、贵州大唐高鸿电子信息技术有限公司，非同一控制下收购北京高阳捷迅信息技术有限</w:t>
      </w:r>
      <w:r>
        <w:rPr>
          <w:spacing w:val="-91"/>
        </w:rPr>
        <w:t> </w:t>
      </w:r>
      <w:r>
        <w:rPr>
          <w:spacing w:val="-91"/>
        </w:rPr>
      </w:r>
      <w:r>
        <w:rPr/>
        <w:t>公司。</w:t>
      </w:r>
    </w:p>
    <w:p>
      <w:pPr>
        <w:pStyle w:val="BodyText"/>
        <w:spacing w:line="357" w:lineRule="auto"/>
        <w:ind w:right="152" w:firstLine="360"/>
        <w:jc w:val="both"/>
      </w:pPr>
      <w:r>
        <w:rPr>
          <w:rFonts w:ascii="宋体" w:hAnsi="宋体" w:cs="宋体" w:eastAsia="宋体" w:hint="default"/>
          <w:spacing w:val="-3"/>
        </w:rPr>
        <w:t>2</w:t>
      </w:r>
      <w:r>
        <w:rPr>
          <w:spacing w:val="-3"/>
        </w:rPr>
        <w:t>、本期减少合并单位</w:t>
      </w:r>
      <w:r>
        <w:rPr>
          <w:rFonts w:ascii="宋体" w:hAnsi="宋体" w:cs="宋体" w:eastAsia="宋体" w:hint="default"/>
          <w:spacing w:val="-3"/>
        </w:rPr>
        <w:t>6</w:t>
      </w:r>
      <w:r>
        <w:rPr>
          <w:spacing w:val="-3"/>
        </w:rPr>
        <w:t>家，原因为：本期高鸿恒昌科技有限公司将其控股子公司沈阳高鸿</w:t>
      </w:r>
      <w:r>
        <w:rPr/>
        <w:t> 恒昌科技有限公司、厦门大唐高鸿电子技术有限公司予以转让，将山东高鸿恒昌电子科技有</w:t>
      </w:r>
      <w:r>
        <w:rPr>
          <w:spacing w:val="-91"/>
        </w:rPr>
        <w:t> </w:t>
      </w:r>
      <w:r>
        <w:rPr>
          <w:spacing w:val="-91"/>
        </w:rPr>
      </w:r>
      <w:r>
        <w:rPr/>
        <w:t>限公司、大连大唐高鸿电子技术有限公司、昆明高鸿电子技术有限公司、无锡高鸿电子技术</w:t>
      </w:r>
      <w:r>
        <w:rPr>
          <w:spacing w:val="-91"/>
        </w:rPr>
        <w:t> </w:t>
      </w:r>
      <w:r>
        <w:rPr>
          <w:spacing w:val="-91"/>
        </w:rPr>
      </w:r>
      <w:r>
        <w:rPr/>
        <w:t>有限公司予以注销。</w:t>
      </w:r>
    </w:p>
    <w:p>
      <w:pPr>
        <w:spacing w:before="4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left="513" w:right="0"/>
        <w:jc w:val="left"/>
      </w:pPr>
      <w:r>
        <w:rPr/>
        <w:t>与上年相比本年（期）新增合并单位</w:t>
      </w:r>
      <w:r>
        <w:rPr>
          <w:rFonts w:ascii="宋体" w:hAnsi="宋体" w:cs="宋体" w:eastAsia="宋体" w:hint="default"/>
        </w:rPr>
        <w:t>3</w:t>
      </w:r>
      <w:r>
        <w:rPr/>
        <w:t>家，原因为 </w:t>
      </w:r>
      <w:r>
        <w:rPr>
          <w:spacing w:val="-3"/>
        </w:rPr>
        <w:t>本期公司新设江苏高鸿鼎恒信息技术有限公司、贵州大唐高鸿电子信息技术有限公司，非</w:t>
      </w:r>
    </w:p>
    <w:p>
      <w:pPr>
        <w:pStyle w:val="BodyText"/>
        <w:spacing w:line="357" w:lineRule="auto"/>
        <w:ind w:left="513" w:right="0" w:hanging="361"/>
        <w:jc w:val="left"/>
      </w:pPr>
      <w:r>
        <w:rPr/>
        <w:t>同一控制下收购北京高阳捷迅信息技术有限公司 与上年相比本年（期）减少合并单位</w:t>
      </w:r>
      <w:r>
        <w:rPr>
          <w:rFonts w:ascii="宋体" w:hAnsi="宋体" w:cs="宋体" w:eastAsia="宋体" w:hint="default"/>
        </w:rPr>
        <w:t>6</w:t>
      </w:r>
      <w:r>
        <w:rPr/>
        <w:t>家，原因为 </w:t>
      </w:r>
      <w:r>
        <w:rPr>
          <w:spacing w:val="-3"/>
        </w:rPr>
        <w:t>本期高鸿恒昌科技有限公司将其控股子公司沈阳高鸿恒昌科技有限公司、厦门大唐高鸿电</w:t>
      </w:r>
    </w:p>
    <w:p>
      <w:pPr>
        <w:pStyle w:val="BodyText"/>
        <w:spacing w:line="357" w:lineRule="auto"/>
        <w:ind w:right="0"/>
        <w:jc w:val="left"/>
      </w:pPr>
      <w:r>
        <w:rPr/>
        <w:t>子技术有限公司予以转让，将山东高鸿恒昌电子科技有限公司、大连大唐高鸿电子技术有限</w:t>
      </w:r>
      <w:r>
        <w:rPr>
          <w:spacing w:val="-91"/>
        </w:rPr>
        <w:t> </w:t>
      </w:r>
      <w:r>
        <w:rPr>
          <w:spacing w:val="-91"/>
        </w:rPr>
      </w:r>
      <w:r>
        <w:rPr/>
        <w:t>公司、昆明高鸿电子技术有限公司、无锡高鸿电子技术有限公司予以注销。</w:t>
      </w: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、报告期内新纳入合并范围的主体和报告期内不再纳入合并范围的主体</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2"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214,623,545.16</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21,595,174.32</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贵州大唐高鸿电子信息技术有限公司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9,994,799.21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-5,200.79</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196,704,810.06</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22,015,810.06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沈阳高鸿恒昌科技有限公司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-55,375.69</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-420,244.01</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山东高鸿恒昌电子科技有限公司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-2,898.89</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厦门大唐高鸿电子技术有限公司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557,540.10</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大连大唐高鸿电子技术有限公司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2,068.67</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340,249.19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昆明高鸿电子技术有限公司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368,321.92</w:t>
            </w:r>
          </w:p>
        </w:tc>
      </w:tr>
      <w:tr>
        <w:trPr>
          <w:trHeight w:val="404"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无锡高鸿电子技术有限公司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905,905.26</w:t>
            </w:r>
          </w:p>
        </w:tc>
      </w:tr>
    </w:tbl>
    <w:p>
      <w:pPr>
        <w:spacing w:line="240" w:lineRule="auto" w:before="2"/>
        <w:rPr>
          <w:rFonts w:ascii="宋体" w:hAnsi="宋体" w:cs="宋体" w:eastAsia="宋体" w:hint="default"/>
          <w:sz w:val="27"/>
          <w:szCs w:val="27"/>
        </w:rPr>
      </w:pPr>
    </w:p>
    <w:p>
      <w:pPr>
        <w:spacing w:line="360" w:lineRule="auto" w:before="44"/>
        <w:ind w:left="152" w:right="4914"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 无</w:t>
      </w:r>
    </w:p>
    <w:p>
      <w:pPr>
        <w:spacing w:line="240" w:lineRule="auto" w:before="4"/>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、报告期内发生的同一控制下企业合并</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5"/>
        <w:gridCol w:w="1557"/>
        <w:gridCol w:w="1554"/>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23" w:right="50"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1" w:right="5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、报告期内发生的非同一控制下企业合并</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7"/>
        <w:gridCol w:w="3032"/>
        <w:gridCol w:w="3863"/>
      </w:tblGrid>
      <w:tr>
        <w:trPr>
          <w:trHeight w:val="401"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2276"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76" w:right="0"/>
              <w:jc w:val="left"/>
              <w:rPr>
                <w:rFonts w:ascii="Times New Roman" w:hAnsi="Times New Roman" w:cs="Times New Roman" w:eastAsia="Times New Roman" w:hint="default"/>
                <w:sz w:val="18"/>
                <w:szCs w:val="18"/>
              </w:rPr>
            </w:pPr>
            <w:r>
              <w:rPr>
                <w:rFonts w:ascii="Times New Roman"/>
                <w:sz w:val="18"/>
              </w:rPr>
              <w:t>194,420,526.00</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本公司的合并成本为人民币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269,000,000.00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在合并中取得北京高阳捷迅信息技术有限公司 </w:t>
            </w:r>
            <w:r>
              <w:rPr>
                <w:rFonts w:ascii="Times New Roman" w:hAnsi="Times New Roman" w:cs="Times New Roman" w:eastAsia="Times New Roman" w:hint="default"/>
                <w:spacing w:val="-4"/>
                <w:sz w:val="18"/>
                <w:szCs w:val="18"/>
              </w:rPr>
              <w:t>36.351%</w:t>
            </w:r>
            <w:r>
              <w:rPr>
                <w:rFonts w:ascii="宋体" w:hAnsi="宋体" w:cs="宋体" w:eastAsia="宋体" w:hint="default"/>
                <w:spacing w:val="-4"/>
                <w:sz w:val="18"/>
                <w:szCs w:val="18"/>
              </w:rPr>
              <w:t>权益，北京高阳捷迅信息技术有限公司可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辨认净资产在购买日的公允价值为人民币 </w:t>
            </w:r>
            <w:r>
              <w:rPr>
                <w:rFonts w:ascii="Times New Roman" w:hAnsi="Times New Roman" w:cs="Times New Roman" w:eastAsia="Times New Roman" w:hint="default"/>
                <w:sz w:val="18"/>
                <w:szCs w:val="18"/>
              </w:rPr>
              <w:t>205,164,848.30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元，投资成本大于被收购企业可辨</w:t>
            </w:r>
            <w:r>
              <w:rPr>
                <w:rFonts w:ascii="宋体" w:hAnsi="宋体" w:cs="宋体" w:eastAsia="宋体" w:hint="default"/>
                <w:sz w:val="18"/>
                <w:szCs w:val="18"/>
              </w:rPr>
              <w:t> 认净资产公允价值份额的差额人民币 </w:t>
            </w:r>
            <w:r>
              <w:rPr>
                <w:rFonts w:ascii="Times New Roman" w:hAnsi="Times New Roman" w:cs="Times New Roman" w:eastAsia="Times New Roman" w:hint="default"/>
                <w:sz w:val="18"/>
                <w:szCs w:val="18"/>
              </w:rPr>
              <w:t>194,420,526.00 </w:t>
            </w:r>
            <w:r>
              <w:rPr>
                <w:rFonts w:ascii="宋体" w:hAnsi="宋体" w:cs="宋体" w:eastAsia="宋体" w:hint="default"/>
                <w:sz w:val="18"/>
                <w:szCs w:val="18"/>
              </w:rPr>
              <w:t>元确认为商誉。</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pStyle w:val="BodyText"/>
        <w:spacing w:line="357" w:lineRule="auto" w:before="145"/>
        <w:ind w:right="150" w:firstLine="360"/>
        <w:jc w:val="both"/>
      </w:pPr>
      <w:r>
        <w:rPr/>
        <w:t>本公司以</w:t>
      </w: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26</w:t>
      </w:r>
      <w:r>
        <w:rPr/>
        <w:t>日为购买日，支付现金人民币</w:t>
      </w:r>
      <w:r>
        <w:rPr>
          <w:rFonts w:ascii="宋体" w:hAnsi="宋体" w:cs="宋体" w:eastAsia="宋体" w:hint="default"/>
        </w:rPr>
        <w:t>169,000,000.00</w:t>
      </w:r>
      <w:r>
        <w:rPr/>
        <w:t>元收购股权、支付现 </w:t>
      </w:r>
      <w:r>
        <w:rPr>
          <w:spacing w:val="20"/>
        </w:rPr>
        <w:t>金人民币增资</w:t>
      </w:r>
      <w:r>
        <w:rPr>
          <w:spacing w:val="-88"/>
        </w:rPr>
        <w:t> </w:t>
      </w:r>
      <w:r>
        <w:rPr>
          <w:rFonts w:ascii="宋体" w:hAnsi="宋体" w:cs="宋体" w:eastAsia="宋体" w:hint="default"/>
        </w:rPr>
        <w:t>100,000,000.00</w:t>
      </w:r>
      <w:r>
        <w:rPr>
          <w:rFonts w:ascii="宋体" w:hAnsi="宋体" w:cs="宋体" w:eastAsia="宋体" w:hint="default"/>
          <w:spacing w:val="-89"/>
        </w:rPr>
        <w:t> </w:t>
      </w:r>
      <w:r>
        <w:rPr>
          <w:spacing w:val="23"/>
        </w:rPr>
        <w:t>元作为合并成本购买了北京高阳捷迅信息技术有限公司</w:t>
      </w:r>
      <w:r>
        <w:rPr>
          <w:spacing w:val="-116"/>
        </w:rPr>
        <w:t> </w:t>
      </w:r>
      <w:r>
        <w:rPr>
          <w:spacing w:val="-116"/>
        </w:rPr>
      </w:r>
      <w:r>
        <w:rPr>
          <w:rFonts w:ascii="宋体" w:hAnsi="宋体" w:cs="宋体" w:eastAsia="宋体" w:hint="default"/>
        </w:rPr>
        <w:t>36.351%</w:t>
      </w:r>
      <w:r>
        <w:rPr/>
        <w:t>的权益。合并成本在购买日的总额为人民币</w:t>
      </w:r>
      <w:r>
        <w:rPr>
          <w:rFonts w:ascii="宋体" w:hAnsi="宋体" w:cs="宋体" w:eastAsia="宋体" w:hint="default"/>
        </w:rPr>
        <w:t>269,000,000.00</w:t>
      </w:r>
      <w:r>
        <w:rPr/>
        <w:t>元。</w:t>
      </w:r>
    </w:p>
    <w:p>
      <w:pPr>
        <w:pStyle w:val="BodyText"/>
        <w:spacing w:line="357" w:lineRule="auto"/>
        <w:ind w:left="513" w:right="0"/>
        <w:jc w:val="left"/>
      </w:pPr>
      <w:r>
        <w:rPr/>
        <w:t>购买日的确定依据：以完成股权转让的工商变更登记手续作为购买日确定的依据。 合并对价公允价值以中联资产评估集团有限公司出具的中联评报字</w:t>
      </w:r>
      <w:r>
        <w:rPr>
          <w:rFonts w:ascii="宋体" w:hAnsi="宋体" w:cs="宋体" w:eastAsia="宋体" w:hint="default"/>
        </w:rPr>
        <w:t>[2013]</w:t>
      </w:r>
      <w:r>
        <w:rPr/>
        <w:t>第</w:t>
      </w:r>
      <w:r>
        <w:rPr>
          <w:rFonts w:ascii="宋体" w:hAnsi="宋体" w:cs="宋体" w:eastAsia="宋体" w:hint="default"/>
        </w:rPr>
        <w:t>399</w:t>
      </w:r>
      <w:r>
        <w:rPr/>
        <w:t>号资产评</w:t>
      </w:r>
    </w:p>
    <w:p>
      <w:pPr>
        <w:pStyle w:val="BodyText"/>
        <w:spacing w:line="357" w:lineRule="auto"/>
        <w:ind w:right="0"/>
        <w:jc w:val="left"/>
      </w:pPr>
      <w:r>
        <w:rPr/>
        <w:t>估报告书评估的北京高阳捷迅信息技术有限公司在评估基准日</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日的净资产评估</w:t>
      </w:r>
      <w:r>
        <w:rPr>
          <w:spacing w:val="-87"/>
        </w:rPr>
        <w:t> </w:t>
      </w:r>
      <w:r>
        <w:rPr>
          <w:spacing w:val="-87"/>
        </w:rPr>
      </w:r>
      <w:r>
        <w:rPr/>
        <w:t>值为基础来确定。</w:t>
      </w:r>
    </w:p>
    <w:p>
      <w:pPr>
        <w:pStyle w:val="BodyText"/>
        <w:spacing w:line="357" w:lineRule="auto" w:before="37"/>
        <w:ind w:right="153" w:firstLine="840"/>
        <w:jc w:val="both"/>
      </w:pPr>
      <w:r>
        <w:rPr/>
        <w:t>北京高阳捷迅信息技术有限公司是于</w:t>
      </w:r>
      <w:r>
        <w:rPr>
          <w:rFonts w:ascii="宋体" w:hAnsi="宋体" w:cs="宋体" w:eastAsia="宋体" w:hint="default"/>
        </w:rPr>
        <w:t>2005</w:t>
      </w:r>
      <w:r>
        <w:rPr/>
        <w:t>年</w:t>
      </w:r>
      <w:r>
        <w:rPr>
          <w:rFonts w:ascii="宋体" w:hAnsi="宋体" w:cs="宋体" w:eastAsia="宋体" w:hint="default"/>
        </w:rPr>
        <w:t>6</w:t>
      </w:r>
      <w:r>
        <w:rPr/>
        <w:t>月</w:t>
      </w:r>
      <w:r>
        <w:rPr>
          <w:rFonts w:ascii="宋体" w:hAnsi="宋体" w:cs="宋体" w:eastAsia="宋体" w:hint="default"/>
        </w:rPr>
        <w:t>24</w:t>
      </w:r>
      <w:r>
        <w:rPr/>
        <w:t>日在北京市注册成立的公司，总部 位于北京市海淀区农大南路</w:t>
      </w:r>
      <w:r>
        <w:rPr>
          <w:rFonts w:ascii="宋体" w:hAnsi="宋体" w:cs="宋体" w:eastAsia="宋体" w:hint="default"/>
        </w:rPr>
        <w:t>88</w:t>
      </w:r>
      <w:r>
        <w:rPr/>
        <w:t>号，主要从事互联网信息服务业务、第二类增值电信业务中的</w:t>
      </w:r>
      <w:r>
        <w:rPr>
          <w:spacing w:val="-90"/>
        </w:rPr>
        <w:t> </w:t>
      </w:r>
      <w:r>
        <w:rPr>
          <w:spacing w:val="-90"/>
        </w:rPr>
      </w:r>
      <w:r>
        <w:rPr/>
        <w:t>信息服务业务。</w:t>
      </w: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是否存在通过多次交易分步实现企业合并且在本报告期取得控制权的情形</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、报告期内出售丧失控制权的股权而减少子公司</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97"/>
      </w:tblGrid>
      <w:tr>
        <w:trPr>
          <w:trHeight w:val="401"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spacing w:line="360" w:lineRule="auto" w:before="49"/>
        <w:ind w:left="152" w:right="5814"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 无</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是否存在通过多次交易分步处置对子公司投资且至本报告期丧失控制权的情形</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、报告期内发生的反向购买</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1" w:right="111"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反向购买的其他说明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、本报告期发生的吸收合并</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3"/>
        <w:gridCol w:w="1481"/>
        <w:gridCol w:w="1484"/>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吸收合并的其他说明</w:t>
      </w:r>
    </w:p>
    <w:p>
      <w:pPr>
        <w:spacing w:line="240" w:lineRule="auto" w:before="0"/>
        <w:rPr>
          <w:rFonts w:ascii="宋体" w:hAnsi="宋体" w:cs="宋体" w:eastAsia="宋体" w:hint="default"/>
          <w:sz w:val="18"/>
          <w:szCs w:val="18"/>
        </w:rPr>
      </w:pPr>
    </w:p>
    <w:p>
      <w:pPr>
        <w:spacing w:line="487" w:lineRule="auto" w:before="118"/>
        <w:ind w:left="152" w:right="545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、境外经营实体主要报表项目的折算汇率</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7"/>
        <w:gridCol w:w="1328"/>
        <w:gridCol w:w="929"/>
        <w:gridCol w:w="1462"/>
        <w:gridCol w:w="1330"/>
        <w:gridCol w:w="929"/>
        <w:gridCol w:w="1594"/>
      </w:tblGrid>
      <w:tr>
        <w:trPr>
          <w:trHeight w:val="204" w:hRule="exact"/>
        </w:trPr>
        <w:tc>
          <w:tcPr>
            <w:tcW w:w="1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9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7"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426,193.82</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96"/>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165,653.58</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426,193.82</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96"/>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165,653.58</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1,119,004,962.08</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96"/>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1,187,842,465.08</w:t>
            </w:r>
          </w:p>
        </w:tc>
      </w:tr>
      <w:tr>
        <w:trPr>
          <w:trHeight w:val="404"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1,119,004,962.08</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96"/>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1,187,842,429.57</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8"/>
              <w:jc w:val="right"/>
              <w:rPr>
                <w:rFonts w:ascii="Times New Roman" w:hAnsi="Times New Roman" w:cs="Times New Roman" w:eastAsia="Times New Roman" w:hint="default"/>
                <w:sz w:val="18"/>
                <w:szCs w:val="18"/>
              </w:rPr>
            </w:pPr>
            <w:r>
              <w:rPr>
                <w:rFonts w:ascii="Times New Roman"/>
                <w:spacing w:val="-1"/>
                <w:sz w:val="18"/>
              </w:rPr>
              <w:t>6.2855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35.51</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26,352,947.93</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96"/>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1,006,894.45</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26,352,947.93</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96"/>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1,006,894.45</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1,145,784,103.83</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96"/>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1,189,015,013.11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5"/>
        <w:gridCol w:w="2657"/>
        <w:gridCol w:w="2658"/>
      </w:tblGrid>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）变现有限制的交易性金融资产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3"/>
        <w:gridCol w:w="2177"/>
      </w:tblGrid>
      <w:tr>
        <w:trPr>
          <w:trHeight w:val="401"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）套期工具及对相关套期交易的说明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2"/>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）期末已质押的应收票据情况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6"/>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spacing w:line="259" w:lineRule="auto"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）因出票人无力履约而将票据转为应收账款的票据，以及期末公司已经背书给他方但尚未到期的票据</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情况</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6"/>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1186" w:top="1060" w:bottom="1380" w:left="980" w:right="980"/>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3393" w:space="54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6"/>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after="0"/>
        <w:jc w:val="left"/>
        <w:rPr>
          <w:rFonts w:ascii="宋体" w:hAnsi="宋体" w:cs="宋体" w:eastAsia="宋体" w:hint="default"/>
          <w:sz w:val="18"/>
          <w:szCs w:val="18"/>
        </w:rPr>
        <w:sectPr>
          <w:type w:val="continuous"/>
          <w:pgSz w:w="11910" w:h="16840"/>
          <w:pgMar w:top="1060" w:bottom="13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已贴现或质押的商业承兑票据的说明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1340"/>
        <w:gridCol w:w="1339"/>
        <w:gridCol w:w="1433"/>
        <w:gridCol w:w="1339"/>
        <w:gridCol w:w="1337"/>
        <w:gridCol w:w="1340"/>
      </w:tblGrid>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3" w:right="34"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394"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40" w:type="dxa"/>
            <w:vMerge/>
            <w:tcBorders>
              <w:left w:val="single" w:sz="4" w:space="0" w:color="000000"/>
              <w:right w:val="single" w:sz="4" w:space="0" w:color="000000"/>
            </w:tcBorders>
            <w:shd w:val="clear" w:color="auto" w:fill="D2D2D2"/>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账龄一年以内的 应收股利</w:t>
            </w:r>
          </w:p>
        </w:tc>
        <w:tc>
          <w:tcPr>
            <w:tcW w:w="1340" w:type="dxa"/>
            <w:tcBorders>
              <w:top w:val="single" w:sz="4" w:space="0" w:color="000000"/>
              <w:left w:val="single" w:sz="9" w:space="0" w:color="D2D2D2"/>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36,743,865.86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36,611,820.00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132,045.86</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北京海岸淘金创 业投资有限公司</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36,611,820.00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36,611,820.00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大唐高新创业投 资有限公司</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132,045.86</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132,045.86</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9" w:space="0" w:color="D2D2D2"/>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36,743,865.86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36,611,820.00</w:t>
            </w:r>
          </w:p>
        </w:tc>
        <w:tc>
          <w:tcPr>
            <w:tcW w:w="13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132,045.86</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40" w:lineRule="auto" w:before="145"/>
        <w:ind w:left="513" w:right="0"/>
        <w:jc w:val="left"/>
      </w:pPr>
      <w:r>
        <w:rPr>
          <w:rFonts w:ascii="宋体" w:hAnsi="宋体" w:cs="宋体" w:eastAsia="宋体" w:hint="default"/>
        </w:rPr>
        <w:t>2013</w:t>
      </w:r>
      <w:r>
        <w:rPr/>
        <w:t>年</w:t>
      </w:r>
      <w:r>
        <w:rPr>
          <w:rFonts w:ascii="宋体" w:hAnsi="宋体" w:cs="宋体" w:eastAsia="宋体" w:hint="default"/>
        </w:rPr>
        <w:t>12</w:t>
      </w:r>
      <w:r>
        <w:rPr/>
        <w:t>月，根据北京海岸淘金创业投资有限公司</w:t>
      </w:r>
      <w:r>
        <w:rPr>
          <w:rFonts w:ascii="宋体" w:hAnsi="宋体" w:cs="宋体" w:eastAsia="宋体" w:hint="default"/>
        </w:rPr>
        <w:t>2013</w:t>
      </w:r>
      <w:r>
        <w:rPr/>
        <w:t>年第二次临时股东会决议，本公司</w:t>
      </w:r>
    </w:p>
    <w:p>
      <w:pPr>
        <w:spacing w:line="240" w:lineRule="auto" w:before="10"/>
        <w:rPr>
          <w:rFonts w:ascii="宋体" w:hAnsi="宋体" w:cs="宋体" w:eastAsia="宋体" w:hint="default"/>
          <w:sz w:val="9"/>
          <w:szCs w:val="9"/>
        </w:rPr>
      </w:pPr>
    </w:p>
    <w:p>
      <w:pPr>
        <w:pStyle w:val="BodyText"/>
        <w:spacing w:line="357" w:lineRule="auto" w:before="26"/>
        <w:ind w:left="513" w:right="0" w:hanging="361"/>
        <w:jc w:val="left"/>
      </w:pPr>
      <w:r>
        <w:rPr/>
        <w:t>分得红利</w:t>
      </w:r>
      <w:r>
        <w:rPr>
          <w:rFonts w:ascii="宋体" w:hAnsi="宋体" w:cs="宋体" w:eastAsia="宋体" w:hint="default"/>
        </w:rPr>
        <w:t>36,611,820.00</w:t>
      </w:r>
      <w:r>
        <w:rPr/>
        <w:t>元。 </w:t>
      </w:r>
      <w:r>
        <w:rPr>
          <w:rFonts w:ascii="宋体" w:hAnsi="宋体" w:cs="宋体" w:eastAsia="宋体" w:hint="default"/>
          <w:spacing w:val="3"/>
        </w:rPr>
        <w:t>2013</w:t>
      </w:r>
      <w:r>
        <w:rPr>
          <w:spacing w:val="3"/>
        </w:rPr>
        <w:t>年</w:t>
      </w:r>
      <w:r>
        <w:rPr>
          <w:rFonts w:ascii="宋体" w:hAnsi="宋体" w:cs="宋体" w:eastAsia="宋体" w:hint="default"/>
          <w:spacing w:val="3"/>
        </w:rPr>
        <w:t>12</w:t>
      </w:r>
      <w:r>
        <w:rPr>
          <w:spacing w:val="3"/>
        </w:rPr>
        <w:t>月，根据大唐高新创业投资有限公司</w:t>
      </w:r>
      <w:r>
        <w:rPr>
          <w:rFonts w:ascii="宋体" w:hAnsi="宋体" w:cs="宋体" w:eastAsia="宋体" w:hint="default"/>
          <w:spacing w:val="3"/>
        </w:rPr>
        <w:t>2012</w:t>
      </w:r>
      <w:r>
        <w:rPr>
          <w:spacing w:val="3"/>
        </w:rPr>
        <w:t>年年度股东会决议，本公司分得红利</w:t>
      </w:r>
      <w:r>
        <w:rPr/>
      </w:r>
    </w:p>
    <w:p>
      <w:pPr>
        <w:pStyle w:val="BodyText"/>
        <w:spacing w:line="240" w:lineRule="auto"/>
        <w:ind w:right="0"/>
        <w:jc w:val="left"/>
      </w:pPr>
      <w:r>
        <w:rPr>
          <w:rFonts w:ascii="宋体" w:hAnsi="宋体" w:cs="宋体" w:eastAsia="宋体" w:hint="default"/>
        </w:rPr>
        <w:t>132,045.86</w:t>
      </w:r>
      <w:r>
        <w:rPr/>
        <w:t>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2"/>
        <w:gridCol w:w="1861"/>
        <w:gridCol w:w="1863"/>
        <w:gridCol w:w="1861"/>
        <w:gridCol w:w="2127"/>
      </w:tblGrid>
      <w:tr>
        <w:trPr>
          <w:trHeight w:val="402"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）逾期利息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1"/>
        <w:gridCol w:w="3189"/>
        <w:gridCol w:w="318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）应收利息的说明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3"/>
        <w:gridCol w:w="1066"/>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6"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按账龄分析法</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1,151,154,2</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45.31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43,696,269.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907,768,0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86.13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43,250,198.8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1,151,154,2</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45.31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43,696,269.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907,768,0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86.13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43,250,198.8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w:t>
            </w:r>
          </w:p>
        </w:tc>
      </w:tr>
      <w:tr>
        <w:trPr>
          <w:trHeight w:val="1027"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64,168.60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64,168.60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1,151,218,4</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13.91</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43,760,438.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907,768,0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86.13</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43,250,198.8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360" w:lineRule="auto" w:before="49"/>
        <w:ind w:left="152" w:right="23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无</w:t>
      </w:r>
    </w:p>
    <w:p>
      <w:pPr>
        <w:spacing w:before="27"/>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2" w:right="2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60"/>
        <w:gridCol w:w="931"/>
        <w:gridCol w:w="1460"/>
      </w:tblGrid>
      <w:tr>
        <w:trPr>
          <w:trHeight w:val="401"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4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843,028,551.12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4,215,142.77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662,490,075.43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72.98%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3,312,450.40</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843,028,551.12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4,215,142.77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662,490,075.43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72.98%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3,312,450.40</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203,100,017.67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17.64%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4,062,000.35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73,538,894.98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1,470,777.92</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38,516,534.73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3,851,653.48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93,642,551.06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9,364,255.11</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66,509,141.79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31,567,472.88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78,096,564.66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29,102,715.39</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31,100,436.41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9,330,130.93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64,021,047.92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19,206,314.38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60"/>
        <w:gridCol w:w="931"/>
        <w:gridCol w:w="1460"/>
      </w:tblGrid>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26,342,726.87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2.29%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13,171,363.44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8,358,231.46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0.92%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4,179,115.73</w:t>
            </w:r>
          </w:p>
        </w:tc>
      </w:tr>
      <w:tr>
        <w:trPr>
          <w:trHeight w:val="404"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9,065,978.51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1" w:right="0"/>
              <w:jc w:val="left"/>
              <w:rPr>
                <w:rFonts w:ascii="Times New Roman" w:hAnsi="Times New Roman" w:cs="Times New Roman" w:eastAsia="Times New Roman" w:hint="default"/>
                <w:sz w:val="18"/>
                <w:szCs w:val="18"/>
              </w:rPr>
            </w:pPr>
            <w:r>
              <w:rPr>
                <w:rFonts w:ascii="Times New Roman"/>
                <w:sz w:val="18"/>
              </w:rPr>
              <w:t>0.79%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9,065,978.51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5,717,285.28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4" w:right="0"/>
              <w:jc w:val="left"/>
              <w:rPr>
                <w:rFonts w:ascii="Times New Roman" w:hAnsi="Times New Roman" w:cs="Times New Roman" w:eastAsia="Times New Roman" w:hint="default"/>
                <w:sz w:val="18"/>
                <w:szCs w:val="18"/>
              </w:rPr>
            </w:pPr>
            <w:r>
              <w:rPr>
                <w:rFonts w:ascii="Times New Roman"/>
                <w:sz w:val="18"/>
              </w:rPr>
              <w:t>0.63%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5,717,285.28</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1,151,154,245.31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43,696,269.48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907,768,086.13</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43,250,198.82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9"/>
              <w:jc w:val="left"/>
              <w:rPr>
                <w:rFonts w:ascii="宋体" w:hAnsi="宋体" w:cs="宋体" w:eastAsia="宋体" w:hint="default"/>
                <w:sz w:val="18"/>
                <w:szCs w:val="18"/>
              </w:rPr>
            </w:pPr>
            <w:r>
              <w:rPr>
                <w:rFonts w:ascii="宋体" w:hAnsi="宋体" w:cs="宋体" w:eastAsia="宋体" w:hint="default"/>
                <w:sz w:val="18"/>
                <w:szCs w:val="18"/>
              </w:rPr>
              <w:t>中国联合网络通信有限 公司山西分公司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31,568.60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31,568.60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已无法收回</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中国联合网络通信有限 公司江西分公司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64,168.60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64,168.60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4" w:right="51"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line="357"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 无</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0"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个人客户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524,530.49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8"/>
              <w:jc w:val="right"/>
              <w:rPr>
                <w:rFonts w:ascii="宋体" w:hAnsi="宋体" w:cs="宋体" w:eastAsia="宋体" w:hint="default"/>
                <w:sz w:val="18"/>
                <w:szCs w:val="18"/>
              </w:rPr>
            </w:pPr>
            <w:r>
              <w:rPr>
                <w:rFonts w:ascii="宋体" w:hAnsi="宋体" w:cs="宋体" w:eastAsia="宋体" w:hint="default"/>
                <w:sz w:val="18"/>
                <w:szCs w:val="18"/>
              </w:rPr>
              <w:t>预期无法收回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深圳市邦彦信息技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预期无法收回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铁岗</w:t>
            </w:r>
            <w:r>
              <w:rPr>
                <w:rFonts w:ascii="Times New Roman" w:hAnsi="Times New Roman" w:cs="Times New Roman" w:eastAsia="Times New Roman" w:hint="default"/>
                <w:sz w:val="18"/>
                <w:szCs w:val="18"/>
              </w:rPr>
              <w:t>.</w:t>
            </w:r>
            <w:r>
              <w:rPr>
                <w:rFonts w:ascii="宋体" w:hAnsi="宋体" w:cs="宋体" w:eastAsia="宋体" w:hint="default"/>
                <w:sz w:val="18"/>
                <w:szCs w:val="18"/>
              </w:rPr>
              <w:t>石岩水库管理 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27,546.00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预期无法收回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深圳市水务规划设 计院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穆迪软件开发（深 圳）有限公司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深圳佳慧聪有限公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咏传电子科技（上 </w:t>
            </w:r>
            <w:r>
              <w:rPr>
                <w:rFonts w:ascii="宋体" w:hAnsi="宋体" w:cs="宋体" w:eastAsia="宋体" w:hint="default"/>
                <w:spacing w:val="-9"/>
                <w:sz w:val="18"/>
                <w:szCs w:val="18"/>
              </w:rPr>
              <w:t>海）有限公司深圳分</w:t>
            </w:r>
            <w:r>
              <w:rPr>
                <w:rFonts w:ascii="宋体" w:hAnsi="宋体" w:cs="宋体" w:eastAsia="宋体" w:hint="default"/>
                <w:sz w:val="18"/>
                <w:szCs w:val="18"/>
              </w:rPr>
              <w:t>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预期无法收回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长沙恒昌开拓科技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604,608.49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864" w:firstLine="0"/>
        <w:jc w:val="left"/>
        <w:rPr>
          <w:rFonts w:ascii="宋体" w:hAnsi="宋体" w:cs="宋体" w:eastAsia="宋体" w:hint="default"/>
          <w:sz w:val="18"/>
          <w:szCs w:val="18"/>
        </w:rPr>
      </w:pPr>
      <w:r>
        <w:rPr>
          <w:rFonts w:ascii="宋体" w:hAnsi="宋体" w:cs="宋体" w:eastAsia="宋体" w:hint="default"/>
          <w:sz w:val="18"/>
          <w:szCs w:val="18"/>
        </w:rPr>
        <w:t>应收账款核销说明 下属深圳大唐高鸿互动科技有限公司经董事会批准，将预期无法收回的应收账款核销，核销金额为</w:t>
      </w:r>
      <w:r>
        <w:rPr>
          <w:rFonts w:ascii="Times New Roman" w:hAnsi="Times New Roman" w:cs="Times New Roman" w:eastAsia="Times New Roman" w:hint="default"/>
          <w:sz w:val="18"/>
          <w:szCs w:val="18"/>
        </w:rPr>
        <w:t>604,608.49</w:t>
      </w:r>
      <w:r>
        <w:rPr>
          <w:rFonts w:ascii="宋体" w:hAnsi="宋体" w:cs="宋体" w:eastAsia="宋体" w:hint="default"/>
          <w:sz w:val="18"/>
          <w:szCs w:val="18"/>
        </w:rPr>
        <w:t>元。</w:t>
      </w:r>
    </w:p>
    <w:p>
      <w:pPr>
        <w:spacing w:line="240" w:lineRule="auto" w:before="9"/>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）本报告期应收账款中持有公司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728"/>
        <w:gridCol w:w="1594"/>
        <w:gridCol w:w="1861"/>
        <w:gridCol w:w="1726"/>
      </w:tblGrid>
      <w:tr>
        <w:trPr>
          <w:trHeight w:val="401" w:hRule="exact"/>
        </w:trPr>
        <w:tc>
          <w:tcPr>
            <w:tcW w:w="2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60"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648.45</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648.45</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苏宁云商集团股份有限 公司苏宁采购中心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236,241,638.00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南京庆亚贸易有限公司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127,029,239.91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南京安纳佳电子科技有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103,560,782.78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江苏好家居网络科技有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55,902,650.00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南京驰飞电子科技有限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50,247,096.42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572,981,407.11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30"/>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北京畅通达通信技术有限公 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590.00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北京大唐实创投资中心</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北京大唐实创投资中心后勤 服务部</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7,190.00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北京大唐智能卡技术有限公 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大唐电信（成都）信息技术 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25,430.00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大唐电信科技产业控股有限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27,030.00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大唐联诚信息系统技术有限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279,961.00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1,782,215.00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大唐投资管理（北京）有限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20,688.00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9,036.00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330,264.37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电信科学技术第四研究所</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82,676.70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控股母公司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129,690.00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112,020.00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盛耀无线通讯科技（北京） 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29,049.00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296,276.00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3,278,786.07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）终止确认的应收款项情况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89"/>
      </w:tblGrid>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）以应收款项为标的进行证券化的，列示继续涉入形成的资产、负债的金额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104pt" strokecolor="#d2d2d2">
                <v:path arrowok="t"/>
              </v:shape>
            </v:group>
            <v:group style="position:absolute;left:3846;top:14;width:2;height:394" coordorigin="3846,14" coordsize="2,394">
              <v:shape style="position:absolute;left:3846;top:14;width:2;height:394" coordorigin="3846,14" coordsize="0,394" path="m3846,14l3846,408e" filled="false" stroked="true" strokeweight="1.2pt" strokecolor="#d2d2d2">
                <v:path arrowok="t"/>
              </v:shape>
            </v:group>
            <v:group style="position:absolute;left:34;top:14;width:3800;height:394" coordorigin="34,14" coordsize="3800,394">
              <v:shape style="position:absolute;left:34;top:14;width:3800;height:394" coordorigin="34,14" coordsize="3800,394" path="m34,408l3834,408,3834,14,34,14,34,408xe" filled="true" fillcolor="#d2d2d2" stroked="false">
                <v:path arrowok="t"/>
                <v:fill type="solid"/>
              </v:shape>
            </v:group>
            <v:group style="position:absolute;left:3879;top:14;width:2;height:394" coordorigin="3879,14" coordsize="2,394">
              <v:shape style="position:absolute;left:3879;top:14;width:2;height:394" coordorigin="3879,14" coordsize="0,394" path="m3879,14l3879,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891;top:14;width:5656;height:394" coordorigin="3891,14" coordsize="5656,394">
              <v:shape style="position:absolute;left:3891;top:14;width:5656;height:394" coordorigin="3891,14" coordsize="5656,394" path="m3891,408l9547,408,9547,14,3891,14,3891,408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3" coordorigin="3863,5" coordsize="2,413">
              <v:shape style="position:absolute;left:3863;top:5;width:2;height:413" coordorigin="3863,5" coordsize="0,413" path="m3863,5l3863,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104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849;height:2" coordorigin="10,413" coordsize="3849,2">
              <v:shape style="position:absolute;left:10;top:413;width:3849;height:2" coordorigin="10,413" coordsize="3849,0" path="m10,413l3858,413e" filled="false" stroked="true" strokeweight=".48pt" strokecolor="#000000">
                <v:path arrowok="t"/>
              </v:shape>
            </v:group>
            <v:group style="position:absolute;left:3867;top:413;width:5704;height:2" coordorigin="3867,413" coordsize="5704,2">
              <v:shape style="position:absolute;left:3867;top:413;width:5704;height:2" coordorigin="3867,413" coordsize="5704,0" path="m3867,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104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001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004pt" strokecolor="#000000">
                <v:path arrowok="t"/>
              </v:shape>
              <v:shape style="position:absolute;left:175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9"/>
        <w:gridCol w:w="794"/>
        <w:gridCol w:w="1058"/>
        <w:gridCol w:w="927"/>
        <w:gridCol w:w="1190"/>
        <w:gridCol w:w="790"/>
      </w:tblGrid>
      <w:tr>
        <w:trPr>
          <w:trHeight w:val="401"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102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67"/>
              <w:jc w:val="both"/>
              <w:rPr>
                <w:rFonts w:ascii="宋体" w:hAnsi="宋体" w:cs="宋体" w:eastAsia="宋体" w:hint="default"/>
                <w:sz w:val="18"/>
                <w:szCs w:val="18"/>
              </w:rPr>
            </w:pPr>
            <w:r>
              <w:rPr>
                <w:rFonts w:ascii="宋体" w:hAnsi="宋体" w:cs="宋体" w:eastAsia="宋体" w:hint="default"/>
                <w:spacing w:val="-9"/>
                <w:sz w:val="18"/>
                <w:szCs w:val="18"/>
              </w:rPr>
              <w:t>其中：（</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）按账龄分析</w:t>
            </w:r>
            <w:r>
              <w:rPr>
                <w:rFonts w:ascii="宋体" w:hAnsi="宋体" w:cs="宋体" w:eastAsia="宋体" w:hint="default"/>
                <w:spacing w:val="-82"/>
                <w:sz w:val="18"/>
                <w:szCs w:val="18"/>
              </w:rPr>
              <w:t> </w:t>
            </w:r>
            <w:r>
              <w:rPr>
                <w:rFonts w:ascii="宋体" w:hAnsi="宋体" w:cs="宋体" w:eastAsia="宋体" w:hint="default"/>
                <w:sz w:val="18"/>
                <w:szCs w:val="18"/>
              </w:rPr>
              <w:t>法计提坏账准备的其他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82,084,405.4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69.61%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11,155,730.6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13.59%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138,365,695.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99</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12,897,586.61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9.32%</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）按其他组合方法计</w:t>
            </w:r>
            <w:r>
              <w:rPr>
                <w:rFonts w:ascii="宋体" w:hAnsi="宋体" w:cs="宋体" w:eastAsia="宋体" w:hint="default"/>
                <w:sz w:val="18"/>
                <w:szCs w:val="18"/>
              </w:rPr>
              <w:t> 提坏账准备的其他应收 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35,829,278.0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30.39%</w:t>
            </w:r>
          </w:p>
        </w:tc>
        <w:tc>
          <w:tcPr>
            <w:tcW w:w="105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117,913,683.</w:t>
            </w:r>
          </w:p>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sz w:val="18"/>
              </w:rPr>
              <w:t>45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11,155,730.6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138,365,695.</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99</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12,897,586.61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9.32%</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117,913,683.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45</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11,155,730.6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138,365,695.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12,897,586.61</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357" w:lineRule="auto" w:before="49"/>
        <w:ind w:left="152" w:right="23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无</w:t>
      </w:r>
    </w:p>
    <w:p>
      <w:pPr>
        <w:spacing w:before="2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1"/>
        <w:ind w:left="152" w:right="2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4"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847"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bl>
    <w:p>
      <w:pPr>
        <w:spacing w:after="0" w:line="240" w:lineRule="auto"/>
        <w:jc w:val="left"/>
        <w:rPr>
          <w:rFonts w:ascii="宋体" w:hAnsi="宋体" w:cs="宋体" w:eastAsia="宋体" w:hint="default"/>
          <w:sz w:val="18"/>
          <w:szCs w:val="18"/>
        </w:rPr>
        <w:sectPr>
          <w:type w:val="continuous"/>
          <w:pgSz w:w="11910" w:h="16840"/>
          <w:pgMar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184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41,580,683.86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50.65%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207,903.41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65,821,114.00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47.58%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329,105.55</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41,580,683.86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50.65%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207,903.41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65,821,114.00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47.58%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329,105.55</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19,962,844.71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24.32%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399,256.90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42,705,916.08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30.86%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854,118.32</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6,258,020.02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625,802.00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17,918,495.95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1,791,849.59</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14,282,856.84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17.41%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9,922,768.33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11,920,169.96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8.61%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9,922,513.15</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5,578,613.33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1,673,584.00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2,301,981.30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690,594.40</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910,118.37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455,059.19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772,539.83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386,269.92</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7,794,125.14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7,794,125.14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8,845,648.83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8,845,648.83</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82,084,405.43</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11,155,730.64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138,365,695.99</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12,897,586.61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61"/>
        <w:gridCol w:w="2856"/>
        <w:gridCol w:w="2754"/>
      </w:tblGrid>
      <w:tr>
        <w:trPr>
          <w:trHeight w:val="403"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无风险其他应收款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35,829,278.02</w:t>
            </w:r>
          </w:p>
        </w:tc>
        <w:tc>
          <w:tcPr>
            <w:tcW w:w="27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35,829,278.02</w:t>
            </w:r>
          </w:p>
        </w:tc>
        <w:tc>
          <w:tcPr>
            <w:tcW w:w="275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期末单项金额虽不重大但单项计提坏账准备的其他应收款</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714"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4" w:right="51"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2"/>
        <w:gridCol w:w="1464"/>
        <w:gridCol w:w="1517"/>
        <w:gridCol w:w="1803"/>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个人客户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1,705,900.17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1"/>
              <w:jc w:val="right"/>
              <w:rPr>
                <w:rFonts w:ascii="宋体" w:hAnsi="宋体" w:cs="宋体" w:eastAsia="宋体" w:hint="default"/>
                <w:sz w:val="18"/>
                <w:szCs w:val="18"/>
              </w:rPr>
            </w:pPr>
            <w:r>
              <w:rPr>
                <w:rFonts w:ascii="宋体" w:hAnsi="宋体" w:cs="宋体" w:eastAsia="宋体" w:hint="default"/>
                <w:sz w:val="18"/>
                <w:szCs w:val="18"/>
              </w:rPr>
              <w:t>预期无法收回</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王吉</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198,252.29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1"/>
              <w:jc w:val="right"/>
              <w:rPr>
                <w:rFonts w:ascii="宋体" w:hAnsi="宋体" w:cs="宋体" w:eastAsia="宋体" w:hint="default"/>
                <w:sz w:val="18"/>
                <w:szCs w:val="18"/>
              </w:rPr>
            </w:pPr>
            <w:r>
              <w:rPr>
                <w:rFonts w:ascii="宋体" w:hAnsi="宋体" w:cs="宋体" w:eastAsia="宋体" w:hint="default"/>
                <w:sz w:val="18"/>
                <w:szCs w:val="18"/>
              </w:rPr>
              <w:t>预期无法收回</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2"/>
        <w:gridCol w:w="1464"/>
        <w:gridCol w:w="1517"/>
        <w:gridCol w:w="1803"/>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1,904,152.46</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1089" w:firstLine="0"/>
        <w:jc w:val="left"/>
        <w:rPr>
          <w:rFonts w:ascii="宋体" w:hAnsi="宋体" w:cs="宋体" w:eastAsia="宋体" w:hint="default"/>
          <w:sz w:val="18"/>
          <w:szCs w:val="18"/>
        </w:rPr>
      </w:pPr>
      <w:r>
        <w:rPr>
          <w:rFonts w:ascii="宋体" w:hAnsi="宋体" w:cs="宋体" w:eastAsia="宋体" w:hint="default"/>
          <w:sz w:val="18"/>
          <w:szCs w:val="18"/>
        </w:rPr>
        <w:t>其他应收款核销说明 下属高鸿恒昌科技有限公司经董事会批准，将预期无法收回的其他应收账款核销，核销金额为</w:t>
      </w:r>
      <w:r>
        <w:rPr>
          <w:rFonts w:ascii="Times New Roman" w:hAnsi="Times New Roman" w:cs="Times New Roman" w:eastAsia="Times New Roman" w:hint="default"/>
          <w:sz w:val="18"/>
          <w:szCs w:val="18"/>
        </w:rPr>
        <w:t>1,904,152.46</w:t>
      </w:r>
      <w:r>
        <w:rPr>
          <w:rFonts w:ascii="宋体" w:hAnsi="宋体" w:cs="宋体" w:eastAsia="宋体" w:hint="default"/>
          <w:sz w:val="18"/>
          <w:szCs w:val="18"/>
        </w:rPr>
        <w:t>元。</w:t>
      </w:r>
    </w:p>
    <w:p>
      <w:pPr>
        <w:spacing w:line="240" w:lineRule="auto" w:before="9"/>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）金额较大的其他应收款的性质或内容</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3"/>
        <w:gridCol w:w="2391"/>
        <w:gridCol w:w="1915"/>
        <w:gridCol w:w="2871"/>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北京微科思创科技有限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贵州达众磨料磨具有限 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本公司原参股公司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深圳市腾讯计算机系统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贵阳城南地产有限公司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合作开发商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贵州天邦招标咨询有限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24,235,000.00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）其他应收关联方账款情况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30"/>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0.08%</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87,701.40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187,701.40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）终止确认的其他应收款项情况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89"/>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）以其他应收款为标的进行证券化的，列示继续涉入形成的资产、负债的金额</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104pt" strokecolor="#d2d2d2">
                <v:path arrowok="t"/>
              </v:shape>
            </v:group>
            <v:group style="position:absolute;left:3713;top:14;width:2;height:394" coordorigin="3713,14" coordsize="2,394">
              <v:shape style="position:absolute;left:3713;top:14;width:2;height:394" coordorigin="3713,14" coordsize="0,394" path="m3713,14l3713,408e" filled="false" stroked="true" strokeweight="1.08pt" strokecolor="#d2d2d2">
                <v:path arrowok="t"/>
              </v:shape>
            </v:group>
            <v:group style="position:absolute;left:34;top:14;width:3668;height:394" coordorigin="34,14" coordsize="3668,394">
              <v:shape style="position:absolute;left:34;top:14;width:3668;height:394" coordorigin="34,14" coordsize="3668,394" path="m34,408l3702,408,3702,14,34,14,34,408xe" filled="true" fillcolor="#d2d2d2" stroked="false">
                <v:path arrowok="t"/>
                <v:fill type="solid"/>
              </v:shape>
            </v:group>
            <v:group style="position:absolute;left:3745;top:14;width:2;height:394" coordorigin="3745,14" coordsize="2,394">
              <v:shape style="position:absolute;left:3745;top:14;width:2;height:394" coordorigin="3745,14" coordsize="0,394" path="m3745,14l3745,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757;top:14;width:5791;height:394" coordorigin="3757,14" coordsize="5791,394">
              <v:shape style="position:absolute;left:3757;top:14;width:5791;height:394" coordorigin="3757,14" coordsize="5791,394" path="m3757,408l9547,408,9547,14,3757,14,3757,408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9;height:2" coordorigin="3733,10" coordsize="5839,2">
              <v:shape style="position:absolute;left:3733;top:10;width:5839;height:2" coordorigin="3733,10" coordsize="5839,0" path="m3733,10l9571,10e" filled="false" stroked="true" strokeweight=".48pt" strokecolor="#000000">
                <v:path arrowok="t"/>
              </v:shape>
            </v:group>
            <v:group style="position:absolute;left:3728;top:5;width:2;height:413" coordorigin="3728,5" coordsize="2,413">
              <v:shape style="position:absolute;left:3728;top:5;width:2;height:413" coordorigin="3728,5" coordsize="0,413" path="m3728,5l3728,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104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714;height:2" coordorigin="10,413" coordsize="3714,2">
              <v:shape style="position:absolute;left:10;top:413;width:3714;height:2" coordorigin="10,413" coordsize="3714,0" path="m10,413l3723,413e" filled="false" stroked="true" strokeweight=".48pt" strokecolor="#000000">
                <v:path arrowok="t"/>
              </v:shape>
            </v:group>
            <v:group style="position:absolute;left:3733;top:413;width:5839;height:2" coordorigin="3733,413" coordsize="5839,2">
              <v:shape style="position:absolute;left:3733;top:413;width:5839;height:2" coordorigin="3733,413" coordsize="5839,0" path="m3733,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104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799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004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2"/>
        <w:rPr>
          <w:rFonts w:ascii="宋体" w:hAnsi="宋体" w:cs="宋体" w:eastAsia="宋体" w:hint="default"/>
          <w:sz w:val="18"/>
          <w:szCs w:val="18"/>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）报告期末按应收金额确认的政府补助</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261"/>
        <w:gridCol w:w="929"/>
        <w:gridCol w:w="931"/>
        <w:gridCol w:w="1196"/>
        <w:gridCol w:w="1330"/>
        <w:gridCol w:w="1196"/>
        <w:gridCol w:w="1594"/>
      </w:tblGrid>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3" w:right="86" w:hanging="360"/>
              <w:jc w:val="left"/>
              <w:rPr>
                <w:rFonts w:ascii="宋体" w:hAnsi="宋体" w:cs="宋体" w:eastAsia="宋体" w:hint="default"/>
                <w:sz w:val="18"/>
                <w:szCs w:val="18"/>
              </w:rPr>
            </w:pPr>
            <w:r>
              <w:rPr>
                <w:rFonts w:ascii="宋体" w:hAnsi="宋体" w:cs="宋体" w:eastAsia="宋体" w:hint="default"/>
                <w:sz w:val="18"/>
                <w:szCs w:val="18"/>
              </w:rPr>
              <w:t>政府补助项目 名称</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预计收取时间</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9" w:right="0"/>
              <w:jc w:val="left"/>
              <w:rPr>
                <w:rFonts w:ascii="宋体" w:hAnsi="宋体" w:cs="宋体" w:eastAsia="宋体" w:hint="default"/>
                <w:sz w:val="18"/>
                <w:szCs w:val="18"/>
              </w:rPr>
            </w:pPr>
            <w:r>
              <w:rPr>
                <w:rFonts w:ascii="宋体" w:hAnsi="宋体" w:cs="宋体" w:eastAsia="宋体" w:hint="default"/>
                <w:sz w:val="18"/>
                <w:szCs w:val="18"/>
              </w:rPr>
              <w:t>预计收取金额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预计收取依据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未能在预计时点收 到预计金额的原因</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（如有）</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2"/>
        <w:gridCol w:w="3199"/>
        <w:gridCol w:w="1064"/>
        <w:gridCol w:w="3053"/>
        <w:gridCol w:w="1064"/>
      </w:tblGrid>
      <w:tr>
        <w:trPr>
          <w:trHeight w:val="207"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4"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892,582,390.40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84.27%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510,901,430.73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84.94%</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105,505,373.16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36,440,793.04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20,974,344.11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24,192,559.70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4.02%</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40,107,586.68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29,969,813.12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1,059,169,694.35</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601,504,596.59</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）预付款项金额前五名单位情况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中国成套工程有限公司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296,841,483.91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合同尚未完成</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5"/>
              <w:jc w:val="center"/>
              <w:rPr>
                <w:rFonts w:ascii="宋体" w:hAnsi="宋体" w:cs="宋体" w:eastAsia="宋体" w:hint="default"/>
                <w:sz w:val="18"/>
                <w:szCs w:val="18"/>
              </w:rPr>
            </w:pPr>
            <w:r>
              <w:rPr>
                <w:rFonts w:ascii="宋体" w:hAnsi="宋体" w:cs="宋体" w:eastAsia="宋体" w:hint="default"/>
                <w:sz w:val="18"/>
                <w:szCs w:val="18"/>
              </w:rPr>
              <w:t>东芝电脑网络（上海）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71,969,780.42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合同尚未完成</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南京驰飞电子科技有限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70,310,030.00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合同尚未完成</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南京庆亚贸易有限公司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49,632,554.90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合同尚未完成</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北京蓝海领航科技发展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46,046,100.00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合同尚未完成</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534,799,949.23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）本报告期预付款项中持有本公司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728"/>
        <w:gridCol w:w="1594"/>
        <w:gridCol w:w="1729"/>
        <w:gridCol w:w="1726"/>
      </w:tblGrid>
      <w:tr>
        <w:trPr>
          <w:trHeight w:val="403" w:hRule="exact"/>
        </w:trPr>
        <w:tc>
          <w:tcPr>
            <w:tcW w:w="2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827,000.00</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827,000.00</w:t>
            </w: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8"/>
        <w:gridCol w:w="1473"/>
        <w:gridCol w:w="1193"/>
        <w:gridCol w:w="1330"/>
        <w:gridCol w:w="1327"/>
        <w:gridCol w:w="1330"/>
        <w:gridCol w:w="1328"/>
      </w:tblGrid>
      <w:tr>
        <w:trPr>
          <w:trHeight w:val="206"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88"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186,806,988.20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7,145,771.17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179,661,217.03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17,950,755.06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5,635,352.66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12,315,402.40</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8,392,652.86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8,392,652.86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15,634,017.99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15,634,017.99</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528,092,977.30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37,876,201.08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490,216,776.22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258,123,025.05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14,414,997.69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243,708,027.36</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936.75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936.75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3,900,272.80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3,900,272.80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3,900,272.80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3,900,272.80</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727,193,827.91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45,021,972.25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682,171,855.66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295,608,070.90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20,050,350.35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275,557,720.55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7"/>
        <w:gridCol w:w="1616"/>
        <w:gridCol w:w="1616"/>
        <w:gridCol w:w="1414"/>
        <w:gridCol w:w="1431"/>
        <w:gridCol w:w="1757"/>
      </w:tblGrid>
      <w:tr>
        <w:trPr>
          <w:trHeight w:val="401" w:hRule="exact"/>
        </w:trPr>
        <w:tc>
          <w:tcPr>
            <w:tcW w:w="1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37"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37"/>
        <w:gridCol w:w="1616"/>
        <w:gridCol w:w="1616"/>
        <w:gridCol w:w="1414"/>
        <w:gridCol w:w="1431"/>
        <w:gridCol w:w="1757"/>
      </w:tblGrid>
      <w:tr>
        <w:trPr>
          <w:trHeight w:val="401"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5,635,352.66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1,535,421.50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25,002.99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7,145,771.17</w:t>
            </w:r>
          </w:p>
        </w:tc>
      </w:tr>
      <w:tr>
        <w:trPr>
          <w:trHeight w:val="404"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14,414,997.69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23,461,630.74</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427.35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37,876,201.08</w:t>
            </w:r>
          </w:p>
        </w:tc>
      </w:tr>
      <w:tr>
        <w:trPr>
          <w:trHeight w:val="403"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20,050,350.35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24,997,052.24</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25,430.34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45,021,972.25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）存货跌价准备情况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3"/>
        <w:gridCol w:w="2391"/>
        <w:gridCol w:w="2394"/>
        <w:gridCol w:w="2392"/>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2"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4" w:right="111"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1"/>
      </w:tblGrid>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垫付的充值卡话费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211,874,064.36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待摊费用－房租</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414,728.76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158,752.61</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待摊费用－物业费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待摊费用－资源费</w:t>
            </w:r>
          </w:p>
        </w:tc>
        <w:tc>
          <w:tcPr>
            <w:tcW w:w="2924"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待摊费用－装修费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126,975.01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待摊费用－网络使用费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455,598.86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1,011,425.90</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182,054.43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335,489.64</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137,081,905.00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41,480,000.00</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550,155,456.42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43,025,668.15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pStyle w:val="BodyText"/>
        <w:spacing w:line="357" w:lineRule="auto" w:before="148"/>
        <w:ind w:left="513" w:right="0"/>
        <w:jc w:val="left"/>
      </w:pPr>
      <w:r>
        <w:rPr/>
        <w:t>其他流动资产的说明： </w:t>
      </w:r>
      <w:r>
        <w:rPr>
          <w:rFonts w:ascii="宋体" w:hAnsi="宋体" w:cs="宋体" w:eastAsia="宋体" w:hint="default"/>
        </w:rPr>
        <w:t>1</w:t>
      </w:r>
      <w:r>
        <w:rPr/>
        <w:t>、预付土地款</w:t>
      </w:r>
      <w:r>
        <w:rPr>
          <w:rFonts w:ascii="宋体" w:hAnsi="宋体" w:cs="宋体" w:eastAsia="宋体" w:hint="default"/>
        </w:rPr>
        <w:t>137,081,905.00</w:t>
      </w:r>
      <w:r>
        <w:rPr/>
        <w:t>元系已支付尚未交付或办妥交割手续的土地款，主要为贵</w:t>
      </w:r>
    </w:p>
    <w:p>
      <w:pPr>
        <w:pStyle w:val="BodyText"/>
        <w:spacing w:line="357" w:lineRule="auto"/>
        <w:ind w:right="0"/>
        <w:jc w:val="left"/>
      </w:pPr>
      <w:r>
        <w:rPr/>
        <w:t>阳花溪地块购置支出</w:t>
      </w:r>
      <w:r>
        <w:rPr>
          <w:rFonts w:ascii="宋体" w:hAnsi="宋体" w:cs="宋体" w:eastAsia="宋体" w:hint="default"/>
        </w:rPr>
        <w:t>62,218,000.00</w:t>
      </w:r>
      <w:r>
        <w:rPr/>
        <w:t>元，济宁任城地块购置支出</w:t>
      </w:r>
      <w:r>
        <w:rPr>
          <w:rFonts w:ascii="宋体" w:hAnsi="宋体" w:cs="宋体" w:eastAsia="宋体" w:hint="default"/>
        </w:rPr>
        <w:t>70,000,000.00</w:t>
      </w:r>
      <w:r>
        <w:rPr/>
        <w:t>元，义乌产业</w:t>
      </w:r>
      <w:r>
        <w:rPr>
          <w:spacing w:val="-86"/>
        </w:rPr>
        <w:t> </w:t>
      </w:r>
      <w:r>
        <w:rPr>
          <w:spacing w:val="-86"/>
        </w:rPr>
      </w:r>
      <w:r>
        <w:rPr/>
        <w:t>园地块购置支出</w:t>
      </w:r>
      <w:r>
        <w:rPr>
          <w:rFonts w:ascii="宋体" w:hAnsi="宋体" w:cs="宋体" w:eastAsia="宋体" w:hint="default"/>
        </w:rPr>
        <w:t>4,863,905.00</w:t>
      </w:r>
      <w:r>
        <w:rPr/>
        <w:t>元；</w:t>
      </w:r>
    </w:p>
    <w:p>
      <w:pPr>
        <w:pStyle w:val="BodyText"/>
        <w:spacing w:line="357" w:lineRule="auto" w:before="37"/>
        <w:ind w:right="0" w:firstLine="360"/>
        <w:jc w:val="left"/>
      </w:pPr>
      <w:r>
        <w:rPr>
          <w:rFonts w:ascii="宋体" w:hAnsi="宋体" w:cs="宋体" w:eastAsia="宋体" w:hint="default"/>
        </w:rPr>
        <w:t>2</w:t>
      </w:r>
      <w:r>
        <w:rPr/>
        <w:t>、其他</w:t>
      </w:r>
      <w:r>
        <w:rPr>
          <w:rFonts w:ascii="宋体" w:hAnsi="宋体" w:cs="宋体" w:eastAsia="宋体" w:hint="default"/>
        </w:rPr>
        <w:t>200,000,000.00</w:t>
      </w:r>
      <w:r>
        <w:rPr/>
        <w:t>元系截至期末本公司购买的保本、固定利率、无公开活跃市场报 价的银行理财产品。</w:t>
      </w:r>
    </w:p>
    <w:p>
      <w:pPr>
        <w:spacing w:after="0" w:line="357" w:lineRule="auto"/>
        <w:jc w:val="left"/>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58"/>
      </w:tblGrid>
      <w:tr>
        <w:trPr>
          <w:trHeight w:val="401"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360" w:lineRule="auto" w:before="49"/>
        <w:ind w:left="152" w:right="94"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可供出售金融资产的说明</w:t>
      </w:r>
    </w:p>
    <w:p>
      <w:pPr>
        <w:spacing w:line="240" w:lineRule="auto" w:before="2"/>
        <w:rPr>
          <w:rFonts w:ascii="宋体" w:hAnsi="宋体" w:cs="宋体" w:eastAsia="宋体" w:hint="default"/>
          <w:sz w:val="20"/>
          <w:szCs w:val="20"/>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）可供出售金融资产中的长期债权投资</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4"/>
        <w:gridCol w:w="1063"/>
        <w:gridCol w:w="1064"/>
        <w:gridCol w:w="1063"/>
        <w:gridCol w:w="1064"/>
      </w:tblGrid>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5" w:right="74"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52" w:right="94"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w:t>
      </w:r>
    </w:p>
    <w:p>
      <w:pPr>
        <w:spacing w:line="240" w:lineRule="auto" w:before="0"/>
        <w:rPr>
          <w:rFonts w:ascii="宋体" w:hAnsi="宋体" w:cs="宋体" w:eastAsia="宋体" w:hint="default"/>
          <w:sz w:val="18"/>
          <w:szCs w:val="18"/>
        </w:rPr>
      </w:pPr>
    </w:p>
    <w:p>
      <w:pPr>
        <w:spacing w:before="118"/>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）可供出售金融资产的减值情况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40"/>
        <w:gridCol w:w="1816"/>
        <w:gridCol w:w="1860"/>
        <w:gridCol w:w="1059"/>
        <w:gridCol w:w="1995"/>
      </w:tblGrid>
      <w:tr>
        <w:trPr>
          <w:trHeight w:val="402" w:hRule="exact"/>
        </w:trPr>
        <w:tc>
          <w:tcPr>
            <w:tcW w:w="2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5"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8"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spacing w:before="36"/>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39"/>
        <w:gridCol w:w="1556"/>
        <w:gridCol w:w="1594"/>
        <w:gridCol w:w="2144"/>
        <w:gridCol w:w="2235"/>
      </w:tblGrid>
      <w:tr>
        <w:trPr>
          <w:trHeight w:val="402" w:hRule="exact"/>
        </w:trPr>
        <w:tc>
          <w:tcPr>
            <w:tcW w:w="2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4"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spacing w:before="36"/>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）可供出售权益工具期末公允价值大幅下跌或持续下跌相关说明</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1196"/>
        <w:gridCol w:w="1063"/>
        <w:gridCol w:w="1063"/>
        <w:gridCol w:w="1196"/>
        <w:gridCol w:w="1330"/>
        <w:gridCol w:w="2520"/>
      </w:tblGrid>
      <w:tr>
        <w:trPr>
          <w:trHeight w:val="1339"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6" w:right="53"/>
              <w:jc w:val="left"/>
              <w:rPr>
                <w:rFonts w:ascii="宋体" w:hAnsi="宋体" w:cs="宋体" w:eastAsia="宋体" w:hint="default"/>
                <w:sz w:val="18"/>
                <w:szCs w:val="18"/>
              </w:rPr>
            </w:pPr>
            <w:r>
              <w:rPr>
                <w:rFonts w:ascii="宋体" w:hAnsi="宋体" w:cs="宋体" w:eastAsia="宋体" w:hint="default"/>
                <w:sz w:val="18"/>
                <w:szCs w:val="18"/>
              </w:rPr>
              <w:t>可供出售权益 工具（分项）</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both"/>
              <w:rPr>
                <w:rFonts w:ascii="宋体" w:hAnsi="宋体" w:cs="宋体" w:eastAsia="宋体" w:hint="default"/>
                <w:sz w:val="18"/>
                <w:szCs w:val="18"/>
              </w:rPr>
            </w:pPr>
            <w:r>
              <w:rPr>
                <w:rFonts w:ascii="宋体" w:hAnsi="宋体" w:cs="宋体" w:eastAsia="宋体" w:hint="default"/>
                <w:sz w:val="18"/>
                <w:szCs w:val="18"/>
              </w:rPr>
              <w:t>公允价值相 对于成本的 下跌幅度</w:t>
            </w:r>
          </w:p>
          <w:p>
            <w:pPr>
              <w:pStyle w:val="TableParagraph"/>
              <w:spacing w:line="240" w:lineRule="auto" w:before="19"/>
              <w:ind w:left="2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持续下跌时间</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6" w:right="82" w:hanging="180"/>
              <w:jc w:val="left"/>
              <w:rPr>
                <w:rFonts w:ascii="宋体" w:hAnsi="宋体" w:cs="宋体" w:eastAsia="宋体" w:hint="default"/>
                <w:sz w:val="18"/>
                <w:szCs w:val="18"/>
              </w:rPr>
            </w:pPr>
            <w:r>
              <w:rPr>
                <w:rFonts w:ascii="宋体" w:hAnsi="宋体" w:cs="宋体" w:eastAsia="宋体" w:hint="default"/>
                <w:sz w:val="18"/>
                <w:szCs w:val="18"/>
              </w:rPr>
              <w:t>未根据成本与期末公允价值的 差额计提减值的理由说明</w:t>
            </w:r>
          </w:p>
        </w:tc>
      </w:tr>
    </w:tbl>
    <w:p>
      <w:pPr>
        <w:spacing w:line="240" w:lineRule="auto" w:before="3"/>
        <w:rPr>
          <w:rFonts w:ascii="宋体" w:hAnsi="宋体" w:cs="宋体" w:eastAsia="宋体" w:hint="default"/>
          <w:sz w:val="19"/>
          <w:szCs w:val="19"/>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3"/>
        <w:gridCol w:w="3191"/>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49"/>
        <w:ind w:left="152" w:right="94"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w:t>
      </w:r>
    </w:p>
    <w:p>
      <w:pPr>
        <w:spacing w:after="0"/>
        <w:jc w:val="left"/>
        <w:rPr>
          <w:rFonts w:ascii="宋体" w:hAnsi="宋体" w:cs="宋体" w:eastAsia="宋体" w:hint="default"/>
          <w:sz w:val="18"/>
          <w:szCs w:val="18"/>
        </w:rPr>
        <w:sectPr>
          <w:pgSz w:w="11910" w:h="16840"/>
          <w:pgMar w:header="745" w:footer="1186" w:top="1060" w:bottom="1380" w:left="980" w:right="94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）本报告期内出售但尚未到期的持有至到期投资情况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8"/>
        <w:gridCol w:w="2789"/>
        <w:gridCol w:w="3983"/>
      </w:tblGrid>
      <w:tr>
        <w:trPr>
          <w:trHeight w:val="403" w:hRule="exact"/>
        </w:trPr>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3324"/>
        <w:gridCol w:w="3455"/>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、对合营企业投资和联营企业投资</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6"/>
        <w:gridCol w:w="1195"/>
        <w:gridCol w:w="1196"/>
        <w:gridCol w:w="1198"/>
        <w:gridCol w:w="1193"/>
        <w:gridCol w:w="1198"/>
        <w:gridCol w:w="1198"/>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4"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69" w:right="51"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1" w:right="50"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4"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北京海岸淘金 创业投资有限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40,734,897.27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11,391,928.80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29,342,968.47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102,827,180.53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96,811,189.01</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大唐高新创业 投资有限公司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102,768,432.08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659,933.80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102,108,498.28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941,814.17</w:t>
            </w:r>
          </w:p>
        </w:tc>
      </w:tr>
    </w:tbl>
    <w:p>
      <w:pPr>
        <w:spacing w:line="360" w:lineRule="auto" w:before="49"/>
        <w:ind w:left="152" w:right="2034"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 无</w:t>
      </w:r>
    </w:p>
    <w:p>
      <w:pPr>
        <w:spacing w:line="240" w:lineRule="auto" w:before="4"/>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800"/>
        <w:gridCol w:w="797"/>
        <w:gridCol w:w="799"/>
        <w:gridCol w:w="797"/>
        <w:gridCol w:w="799"/>
        <w:gridCol w:w="797"/>
        <w:gridCol w:w="800"/>
        <w:gridCol w:w="797"/>
        <w:gridCol w:w="799"/>
        <w:gridCol w:w="797"/>
      </w:tblGrid>
      <w:tr>
        <w:trPr>
          <w:trHeight w:val="196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301" w:right="31"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3"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4"/>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98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8"/>
              <w:jc w:val="both"/>
              <w:rPr>
                <w:rFonts w:ascii="宋体" w:hAnsi="宋体" w:cs="宋体" w:eastAsia="宋体" w:hint="default"/>
                <w:sz w:val="18"/>
                <w:szCs w:val="18"/>
              </w:rPr>
            </w:pPr>
            <w:r>
              <w:rPr>
                <w:rFonts w:ascii="宋体" w:hAnsi="宋体" w:cs="宋体" w:eastAsia="宋体" w:hint="default"/>
                <w:sz w:val="18"/>
                <w:szCs w:val="18"/>
              </w:rPr>
              <w:t>北京海岸 淘金创业 投资有限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7,320,000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20,440,88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-11,734,8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26.63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8,706,058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11" w:right="0"/>
              <w:jc w:val="left"/>
              <w:rPr>
                <w:rFonts w:ascii="Times New Roman" w:hAnsi="Times New Roman" w:cs="Times New Roman" w:eastAsia="Times New Roman" w:hint="default"/>
                <w:sz w:val="18"/>
                <w:szCs w:val="18"/>
              </w:rPr>
            </w:pPr>
            <w:r>
              <w:rPr>
                <w:rFonts w:ascii="Times New Roman"/>
                <w:sz w:val="18"/>
              </w:rPr>
              <w:t>29.67%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11" w:right="0"/>
              <w:jc w:val="left"/>
              <w:rPr>
                <w:rFonts w:ascii="Times New Roman" w:hAnsi="Times New Roman" w:cs="Times New Roman" w:eastAsia="Times New Roman" w:hint="default"/>
                <w:sz w:val="18"/>
                <w:szCs w:val="18"/>
              </w:rPr>
            </w:pPr>
            <w:r>
              <w:rPr>
                <w:rFonts w:ascii="Times New Roman"/>
                <w:sz w:val="18"/>
              </w:rPr>
              <w:t>29.67%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36,611,82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800"/>
        <w:gridCol w:w="797"/>
        <w:gridCol w:w="799"/>
        <w:gridCol w:w="797"/>
        <w:gridCol w:w="799"/>
        <w:gridCol w:w="797"/>
        <w:gridCol w:w="800"/>
        <w:gridCol w:w="797"/>
        <w:gridCol w:w="799"/>
        <w:gridCol w:w="797"/>
      </w:tblGrid>
      <w:tr>
        <w:trPr>
          <w:trHeight w:val="36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26,435,36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112,825.8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26,548,19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132,045.8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北京金吾 创业投资 中心（有 限合伙）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16.67%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昆山雷石 雨花股权 投资合伙 企业（有 限合伙）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国泰君安 投资管理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国泰君安 证券股份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635,958.0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635,958.0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635,958.0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贵州达众 磨料磨具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61,719,92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-61,719,9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21.46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92,517,14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111,493,3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13.96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-17,041,9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94,451,39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1.69</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36,743,86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）向投资企业转移资金的能力受到限制的有关情况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58"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1"/>
        <w:gridCol w:w="2127"/>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840" w:right="0"/>
              <w:jc w:val="left"/>
              <w:rPr>
                <w:rFonts w:ascii="Times New Roman" w:hAnsi="Times New Roman" w:cs="Times New Roman" w:eastAsia="Times New Roman" w:hint="default"/>
                <w:sz w:val="18"/>
                <w:szCs w:val="18"/>
              </w:rPr>
            </w:pPr>
            <w:r>
              <w:rPr>
                <w:rFonts w:ascii="Times New Roman"/>
                <w:sz w:val="18"/>
              </w:rPr>
              <w:t>144,682,000.50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9" w:right="0"/>
              <w:jc w:val="left"/>
              <w:rPr>
                <w:rFonts w:ascii="Times New Roman" w:hAnsi="Times New Roman" w:cs="Times New Roman" w:eastAsia="Times New Roman" w:hint="default"/>
                <w:sz w:val="18"/>
                <w:szCs w:val="18"/>
              </w:rPr>
            </w:pPr>
            <w:r>
              <w:rPr>
                <w:rFonts w:ascii="Times New Roman"/>
                <w:sz w:val="18"/>
              </w:rPr>
              <w:t>144,682,000.50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1"/>
        <w:gridCol w:w="2127"/>
      </w:tblGrid>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144,682,000.50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144,682,000.50</w:t>
            </w:r>
          </w:p>
        </w:tc>
      </w:tr>
      <w:tr>
        <w:trPr>
          <w:trHeight w:val="716"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6,249,767.28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3,436,728.44</w:t>
            </w:r>
          </w:p>
        </w:tc>
        <w:tc>
          <w:tcPr>
            <w:tcW w:w="186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9,686,495.72</w:t>
            </w:r>
          </w:p>
        </w:tc>
      </w:tr>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6,249,767.28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3,436,728.44</w:t>
            </w:r>
          </w:p>
        </w:tc>
        <w:tc>
          <w:tcPr>
            <w:tcW w:w="186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9,686,495.72</w:t>
            </w:r>
          </w:p>
        </w:tc>
      </w:tr>
      <w:tr>
        <w:trPr>
          <w:trHeight w:val="715"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138,432,233.22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-3,436,728.44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134,995,504.78</w:t>
            </w:r>
          </w:p>
        </w:tc>
      </w:tr>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138,432,233.22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-3,436,728.44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134,995,504.78</w:t>
            </w:r>
          </w:p>
        </w:tc>
      </w:tr>
      <w:tr>
        <w:trPr>
          <w:trHeight w:val="715"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138,432,233.22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-3,436,728.44</w:t>
            </w:r>
          </w:p>
        </w:tc>
        <w:tc>
          <w:tcPr>
            <w:tcW w:w="186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134,995,504.78</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138,432,233.22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-3,436,728.44</w:t>
            </w:r>
          </w:p>
        </w:tc>
        <w:tc>
          <w:tcPr>
            <w:tcW w:w="186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134,995,504.78</w:t>
            </w:r>
          </w:p>
        </w:tc>
      </w:tr>
    </w:tbl>
    <w:p>
      <w:pPr>
        <w:spacing w:before="4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3,436,728.44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）按公允价值计量的投资性房地产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4"/>
        <w:gridCol w:w="1010"/>
        <w:gridCol w:w="1010"/>
        <w:gridCol w:w="1011"/>
        <w:gridCol w:w="1010"/>
        <w:gridCol w:w="1011"/>
        <w:gridCol w:w="1018"/>
        <w:gridCol w:w="956"/>
      </w:tblGrid>
      <w:tr>
        <w:trPr>
          <w:trHeight w:val="402" w:hRule="exact"/>
        </w:trPr>
        <w:tc>
          <w:tcPr>
            <w:tcW w:w="25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412" w:right="47" w:hanging="360"/>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92" w:right="111"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6" w:type="dxa"/>
            <w:vMerge/>
            <w:tcBorders>
              <w:left w:val="single" w:sz="4" w:space="0" w:color="000000"/>
              <w:bottom w:val="single" w:sz="4" w:space="0" w:color="000000"/>
              <w:right w:val="single" w:sz="4" w:space="0" w:color="000000"/>
            </w:tcBorders>
            <w:shd w:val="clear" w:color="auto" w:fill="D2D2D2"/>
          </w:tcPr>
          <w:p>
            <w:pPr/>
          </w:p>
        </w:tc>
      </w:tr>
    </w:tbl>
    <w:p>
      <w:pPr>
        <w:spacing w:line="314" w:lineRule="auto" w:before="5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办结时间</w:t>
      </w:r>
    </w:p>
    <w:p>
      <w:pPr>
        <w:spacing w:line="240" w:lineRule="auto" w:before="13"/>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1328"/>
        <w:gridCol w:w="1594"/>
        <w:gridCol w:w="1597"/>
        <w:gridCol w:w="1460"/>
      </w:tblGrid>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272,760,026.54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5" w:right="0"/>
              <w:jc w:val="left"/>
              <w:rPr>
                <w:rFonts w:ascii="Times New Roman" w:hAnsi="Times New Roman" w:cs="Times New Roman" w:eastAsia="Times New Roman" w:hint="default"/>
                <w:sz w:val="18"/>
                <w:szCs w:val="18"/>
              </w:rPr>
            </w:pPr>
            <w:r>
              <w:rPr>
                <w:rFonts w:ascii="Times New Roman"/>
                <w:sz w:val="18"/>
              </w:rPr>
              <w:t>44,905,101.62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23,451,549.15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294,213,579.01</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103,017,978.35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932,478.60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102,090,499.75</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65,828,168.07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575,990.77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65,800.00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66,338,358.84</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6,114,679.73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839,282.92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6,771,962.65</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87,548,271.60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5" w:right="0"/>
              <w:jc w:val="left"/>
              <w:rPr>
                <w:rFonts w:ascii="Times New Roman" w:hAnsi="Times New Roman" w:cs="Times New Roman" w:eastAsia="Times New Roman" w:hint="default"/>
                <w:sz w:val="18"/>
                <w:szCs w:val="18"/>
              </w:rPr>
            </w:pPr>
            <w:r>
              <w:rPr>
                <w:rFonts w:ascii="Times New Roman"/>
                <w:sz w:val="18"/>
              </w:rPr>
              <w:t>42,474,988.94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20,537,205.11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109,486,055.43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10,250,928.79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1,009,838.99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1,734,065.44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9,526,702.34</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112,379,382.47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27,203,343.03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25,223,223.06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21,139,006.78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143,666,941.78</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8,003,417.97</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2,525,215.56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597,965.77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9,930,667.76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6"/>
        <w:gridCol w:w="1594"/>
        <w:gridCol w:w="1585"/>
        <w:gridCol w:w="1472"/>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40,669,382.86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6,725,379.98</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62,399.32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47,332,363.52</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2,524,546.20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25,993.65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664,502.17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
              <w:jc w:val="right"/>
              <w:rPr>
                <w:rFonts w:ascii="Times New Roman" w:hAnsi="Times New Roman" w:cs="Times New Roman" w:eastAsia="Times New Roman" w:hint="default"/>
                <w:sz w:val="18"/>
                <w:szCs w:val="18"/>
              </w:rPr>
            </w:pPr>
            <w:r>
              <w:rPr>
                <w:rFonts w:ascii="Times New Roman"/>
                <w:spacing w:val="-1"/>
                <w:sz w:val="18"/>
              </w:rPr>
              <w:t>133,278.19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3,081,763.83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55,251,543.17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27,177,349.38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14,456,855.14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19,007,105.62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77,878,642.07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5,930,492.27</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851,270.21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1,338,257.88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5,443,504.60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160,380,644.07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150,546,637.23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95,014,560.38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92,159,831.99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25,158,785.21</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19,005,995.32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3,590,133.53</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3,690,198.82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32,296,728.43</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31,607,413.36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4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4,320,436.52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4,083,197.74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280,349.62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280,349.62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280,349.62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280,349.62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474" w:type="dxa"/>
            <w:tcBorders>
              <w:top w:val="single" w:sz="4" w:space="0" w:color="000000"/>
              <w:left w:val="single" w:sz="4" w:space="0" w:color="000000"/>
              <w:bottom w:val="single" w:sz="4" w:space="0" w:color="000000"/>
              <w:right w:val="single" w:sz="10" w:space="0" w:color="D2D2D2"/>
            </w:tcBorders>
          </w:tcPr>
          <w:p>
            <w:pP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160,100,294.45</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150,266,287.61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95,014,560.38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92,159,831.99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25,158,785.21</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19,005,995.32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3,590,133.53</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3,690,198.82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32,016,378.81</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31,327,063.74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4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4,320,436.52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4,083,197.74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25,223,223.06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3"/>
        <w:gridCol w:w="2391"/>
        <w:gridCol w:w="2394"/>
        <w:gridCol w:w="2392"/>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6"/>
        <w:gridCol w:w="4784"/>
      </w:tblGrid>
      <w:tr>
        <w:trPr>
          <w:trHeight w:val="401"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）期末持有待售的固定资产情况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5"/>
        <w:gridCol w:w="1875"/>
      </w:tblGrid>
      <w:tr>
        <w:trPr>
          <w:trHeight w:val="403"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1"/>
        <w:gridCol w:w="3189"/>
        <w:gridCol w:w="318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6"/>
        <w:gridCol w:w="1195"/>
        <w:gridCol w:w="1193"/>
        <w:gridCol w:w="1195"/>
        <w:gridCol w:w="1330"/>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大唐高鸿电子信息产业园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8,538,646.34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8,538,646.34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济宁大唐高鸿科技大厦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2,454,963.00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2,454,963.00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842,000.00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842,000.00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10,993,609.34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10,993,609.34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842,000.00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842,000.00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）重大在建工程项目变动情况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4"/>
        <w:gridCol w:w="737"/>
        <w:gridCol w:w="737"/>
        <w:gridCol w:w="734"/>
        <w:gridCol w:w="737"/>
        <w:gridCol w:w="737"/>
      </w:tblGrid>
      <w:tr>
        <w:trPr>
          <w:trHeight w:val="1338"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4"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4" w:right="89" w:hanging="181"/>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3"/>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33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大唐高 鸿电子 信息产 业园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16,451,0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8,538,64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6.34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8,538,64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6.34</w:t>
            </w:r>
          </w:p>
        </w:tc>
      </w:tr>
      <w:tr>
        <w:trPr>
          <w:trHeight w:val="1340"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济宁大 唐高鸿 科技大 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255,510,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842,000.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1,612,96</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3.00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0.96%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2,454,96</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3.00</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271,961,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021.00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842,000.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10,151,6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09.34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10,993,6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09.34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pStyle w:val="BodyText"/>
        <w:spacing w:line="240" w:lineRule="auto" w:before="145"/>
        <w:ind w:left="513" w:right="0"/>
        <w:jc w:val="left"/>
      </w:pPr>
      <w:r>
        <w:rPr>
          <w:rFonts w:ascii="宋体" w:hAnsi="宋体" w:cs="宋体" w:eastAsia="宋体" w:hint="default"/>
          <w:spacing w:val="-3"/>
        </w:rPr>
        <w:t>1.</w:t>
      </w:r>
      <w:r>
        <w:rPr>
          <w:spacing w:val="-3"/>
        </w:rPr>
        <w:t>大唐高鸿电子信息产业园项目：本期有多项增加，其中金额较大的有：付晟元集团有限</w:t>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149"/>
        <w:jc w:val="both"/>
      </w:pPr>
      <w:r>
        <w:rPr>
          <w:spacing w:val="-2"/>
        </w:rPr>
        <w:t>公司义乌分公司厂房工程款，金额为</w:t>
      </w:r>
      <w:r>
        <w:rPr>
          <w:rFonts w:ascii="宋体" w:hAnsi="宋体" w:cs="宋体" w:eastAsia="宋体" w:hint="default"/>
          <w:spacing w:val="-2"/>
        </w:rPr>
        <w:t>8,130,200</w:t>
      </w:r>
      <w:r>
        <w:rPr>
          <w:spacing w:val="-2"/>
        </w:rPr>
        <w:t>元；付浙江金华南方尖峰水泥有限公司、浦江</w:t>
      </w:r>
      <w:r>
        <w:rPr>
          <w:spacing w:val="-110"/>
        </w:rPr>
        <w:t> </w:t>
      </w:r>
      <w:r>
        <w:rPr>
          <w:spacing w:val="-110"/>
        </w:rPr>
      </w:r>
      <w:r>
        <w:rPr>
          <w:spacing w:val="-2"/>
        </w:rPr>
        <w:t>万固建筑材料有限公司修路款，金额为</w:t>
      </w:r>
      <w:r>
        <w:rPr>
          <w:rFonts w:ascii="宋体" w:hAnsi="宋体" w:cs="宋体" w:eastAsia="宋体" w:hint="default"/>
          <w:spacing w:val="-2"/>
        </w:rPr>
        <w:t>147,400</w:t>
      </w:r>
      <w:r>
        <w:rPr>
          <w:spacing w:val="-2"/>
        </w:rPr>
        <w:t>元；剩余为付规划设计费、地质勘查费、工程</w:t>
      </w:r>
      <w:r>
        <w:rPr>
          <w:spacing w:val="-112"/>
        </w:rPr>
        <w:t> </w:t>
      </w:r>
      <w:r>
        <w:rPr>
          <w:spacing w:val="-112"/>
        </w:rPr>
      </w:r>
      <w:r>
        <w:rPr/>
        <w:t>招标交易费等共计</w:t>
      </w:r>
      <w:r>
        <w:rPr>
          <w:rFonts w:ascii="宋体" w:hAnsi="宋体" w:cs="宋体" w:eastAsia="宋体" w:hint="default"/>
        </w:rPr>
        <w:t>261,046.34</w:t>
      </w:r>
      <w:r>
        <w:rPr/>
        <w:t>元。</w:t>
      </w:r>
    </w:p>
    <w:p>
      <w:pPr>
        <w:pStyle w:val="BodyText"/>
        <w:spacing w:line="357" w:lineRule="auto"/>
        <w:ind w:right="149" w:firstLine="360"/>
        <w:jc w:val="both"/>
      </w:pPr>
      <w:r>
        <w:rPr>
          <w:rFonts w:ascii="宋体" w:hAnsi="宋体" w:cs="宋体" w:eastAsia="宋体" w:hint="default"/>
          <w:spacing w:val="-3"/>
        </w:rPr>
        <w:t>2.</w:t>
      </w:r>
      <w:r>
        <w:rPr>
          <w:spacing w:val="-3"/>
        </w:rPr>
        <w:t>济宁大唐高鸿科技大厦项目：本期共增加五项，第一项为付北京宜和人文开元建筑设计</w:t>
      </w:r>
      <w:r>
        <w:rPr/>
        <w:t> </w:t>
      </w:r>
      <w:r>
        <w:rPr>
          <w:spacing w:val="3"/>
        </w:rPr>
        <w:t>事务所设计费，金额为</w:t>
      </w:r>
      <w:r>
        <w:rPr>
          <w:rFonts w:ascii="宋体" w:hAnsi="宋体" w:cs="宋体" w:eastAsia="宋体" w:hint="default"/>
          <w:spacing w:val="3"/>
        </w:rPr>
        <w:t>1,218,000</w:t>
      </w:r>
      <w:r>
        <w:rPr>
          <w:spacing w:val="3"/>
        </w:rPr>
        <w:t>元；第二项为付济宁市环境保护科学研究所环评费，金额</w:t>
      </w:r>
      <w:r>
        <w:rPr>
          <w:spacing w:val="-118"/>
        </w:rPr>
        <w:t> </w:t>
      </w:r>
      <w:r>
        <w:rPr>
          <w:spacing w:val="-118"/>
        </w:rPr>
      </w:r>
      <w:r>
        <w:rPr>
          <w:rFonts w:ascii="宋体" w:hAnsi="宋体" w:cs="宋体" w:eastAsia="宋体" w:hint="default"/>
        </w:rPr>
        <w:t>9,000</w:t>
      </w:r>
      <w:r>
        <w:rPr/>
        <w:t>元；第三项为付济宁市规划咨询中心规划服务费，金额为</w:t>
      </w:r>
      <w:r>
        <w:rPr>
          <w:rFonts w:ascii="宋体" w:hAnsi="宋体" w:cs="宋体" w:eastAsia="宋体" w:hint="default"/>
        </w:rPr>
        <w:t>175,463</w:t>
      </w:r>
      <w:r>
        <w:rPr/>
        <w:t>元；第四项为付济宁</w:t>
      </w:r>
      <w:r>
        <w:rPr>
          <w:spacing w:val="-84"/>
        </w:rPr>
        <w:t> </w:t>
      </w:r>
      <w:r>
        <w:rPr>
          <w:spacing w:val="-84"/>
        </w:rPr>
      </w:r>
      <w:r>
        <w:rPr/>
        <w:t>美誉工程咨询有限公司咨询费，金额为</w:t>
      </w:r>
      <w:r>
        <w:rPr>
          <w:rFonts w:ascii="宋体" w:hAnsi="宋体" w:cs="宋体" w:eastAsia="宋体" w:hint="default"/>
        </w:rPr>
        <w:t>30,000</w:t>
      </w:r>
      <w:r>
        <w:rPr/>
        <w:t>元；第五项为付济宁天创广告装饰有限责任公</w:t>
      </w:r>
      <w:r>
        <w:rPr>
          <w:spacing w:val="-88"/>
        </w:rPr>
        <w:t> </w:t>
      </w:r>
      <w:r>
        <w:rPr>
          <w:spacing w:val="-88"/>
        </w:rPr>
      </w:r>
      <w:r>
        <w:rPr/>
        <w:t>司制作费，金额为</w:t>
      </w:r>
      <w:r>
        <w:rPr>
          <w:rFonts w:ascii="宋体" w:hAnsi="宋体" w:cs="宋体" w:eastAsia="宋体" w:hint="default"/>
        </w:rPr>
        <w:t>180,500</w:t>
      </w:r>
      <w:r>
        <w:rPr/>
        <w:t>元。</w:t>
      </w:r>
    </w:p>
    <w:p>
      <w:pPr>
        <w:spacing w:line="240" w:lineRule="auto" w:before="11"/>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）在建工程减值准备</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7"/>
        <w:gridCol w:w="159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）重大在建工程的工程进度情况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1"/>
        <w:gridCol w:w="3189"/>
        <w:gridCol w:w="318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594"/>
        <w:gridCol w:w="1462"/>
        <w:gridCol w:w="1594"/>
        <w:gridCol w:w="1860"/>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2127"/>
        <w:gridCol w:w="2512"/>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年的固定资产清理进展情况</w:t>
      </w:r>
    </w:p>
    <w:p>
      <w:pPr>
        <w:spacing w:line="240" w:lineRule="auto" w:before="0"/>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）以成本计量</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footerReference w:type="default" r:id="rId27"/>
          <w:pgSz w:w="11910" w:h="16840"/>
          <w:pgMar w:footer="1186" w:header="745" w:top="1060" w:bottom="1380" w:left="980" w:right="980"/>
          <w:pgNumType w:start="165"/>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0"/>
      </w:tblGrid>
      <w:tr>
        <w:trPr>
          <w:trHeight w:val="402"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73"/>
        <w:gridCol w:w="1709"/>
        <w:gridCol w:w="1841"/>
        <w:gridCol w:w="2106"/>
        <w:gridCol w:w="1840"/>
      </w:tblGrid>
      <w:tr>
        <w:trPr>
          <w:trHeight w:val="402"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4"/>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114,818,509.58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86,893,079.85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13,081,074.20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188,630,515.23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96,131,060.35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31,361,186.25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13,081,074.20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114,411,172.40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19,225,203.80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19,225,203.80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11,457,849.23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32,523,259.93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43,981,109.16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3,783,429.87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3,783,429.87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760,000.00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760,000.00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6,469,600.00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6,469,600.00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32,865,980.20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19,643,779.18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2,870,333.22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49,639,426.16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30,506,986.42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15,067,714.05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2,870,333.22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42,704,367.25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4"/>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352,462.07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352,462.07</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676,852.43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3,268,266.82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3,945,119.25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151,370.44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151,370.44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702,500.00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708,500.00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979,641.35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797,965.80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1,777,607.15</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三、无形资产账面净值合 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81,952,529.38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67,249,300.67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10,210,740.98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138,991,089.07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65,624,073.93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16,293,472.20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10,210,740.98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71,706,805.15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18,872,741.73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18,872,741.73</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10,780,996.80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29,254,993.11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40,035,989.91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3,632,059.43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3,632,059.43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51,500.00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5,489,958.65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-797,965.80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4,691,992.85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81,952,529.38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67,249,300.67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10,210,740.98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138,991,089.07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65,624,073.93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16,293,472.20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10,210,740.98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71,706,805.15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18,872,741.73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18,872,741.73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10,780,996.80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29,254,993.11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40,035,989.91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3,632,059.43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3,632,059.43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51,500.00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5,489,958.65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-797,965.80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4,691,992.85</w:t>
            </w:r>
          </w:p>
        </w:tc>
      </w:tr>
    </w:tbl>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19,643,779.18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）公司开发项目支出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1"/>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84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0"/>
              <w:ind w:left="24" w:right="23"/>
              <w:jc w:val="left"/>
              <w:rPr>
                <w:rFonts w:ascii="宋体" w:hAnsi="宋体" w:cs="宋体" w:eastAsia="宋体" w:hint="default"/>
                <w:sz w:val="18"/>
                <w:szCs w:val="18"/>
              </w:rPr>
            </w:pPr>
            <w:r>
              <w:rPr>
                <w:rFonts w:ascii="宋体" w:hAnsi="宋体" w:cs="宋体" w:eastAsia="宋体" w:hint="default"/>
                <w:sz w:val="18"/>
                <w:szCs w:val="18"/>
              </w:rPr>
              <w:t>大唐高鸿 </w:t>
            </w:r>
            <w:r>
              <w:rPr>
                <w:rFonts w:ascii="Times New Roman" w:hAnsi="Times New Roman" w:cs="Times New Roman" w:eastAsia="Times New Roman" w:hint="default"/>
                <w:sz w:val="18"/>
                <w:szCs w:val="18"/>
              </w:rPr>
              <w:t>B2C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电子 商务平台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6,765,978.34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5,267,808.01</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12,033,786.35</w:t>
            </w:r>
          </w:p>
        </w:tc>
      </w:tr>
      <w:tr>
        <w:trPr>
          <w:trHeight w:val="46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话机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4,109,176.47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951,530.55</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5,060,707.02</w:t>
            </w:r>
          </w:p>
        </w:tc>
      </w:tr>
      <w:tr>
        <w:trPr>
          <w:trHeight w:val="46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MG3000-X300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3,049,253.25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w w:val="95"/>
                <w:sz w:val="18"/>
              </w:rPr>
              <w:t>2,281.15</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3,051,534.40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MG3000-X50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2,776,531.49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804,296.25</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3,580,827.74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Times New Roman" w:hAnsi="Times New Roman" w:cs="Times New Roman" w:eastAsia="Times New Roman" w:hint="default"/>
                <w:sz w:val="18"/>
                <w:szCs w:val="18"/>
              </w:rPr>
            </w:pPr>
            <w:r>
              <w:rPr>
                <w:rFonts w:ascii="Times New Roman"/>
                <w:sz w:val="18"/>
              </w:rPr>
              <w:t>MG3000-R96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1,072,367.46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292,042.70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1,364,410.16</w:t>
            </w:r>
          </w:p>
        </w:tc>
      </w:tr>
      <w:tr>
        <w:trPr>
          <w:trHeight w:val="46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MG3000-X5000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1,355,439.94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1,035,763.31</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2,391,203.25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MG3000-X500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474,556.21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1,068,623.78</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1,543,179.99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83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0"/>
              <w:ind w:left="24"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SS3000-I</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企业信息 </w:t>
            </w:r>
            <w:r>
              <w:rPr>
                <w:rFonts w:ascii="宋体" w:hAnsi="宋体" w:cs="宋体" w:eastAsia="宋体" w:hint="default"/>
                <w:sz w:val="18"/>
                <w:szCs w:val="18"/>
              </w:rPr>
              <w:t>化平台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5,446,841.28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2,043,154.45</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7,489,995.73</w:t>
            </w:r>
          </w:p>
        </w:tc>
      </w:tr>
      <w:tr>
        <w:trPr>
          <w:trHeight w:val="46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多媒体调度系统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3,786,955.80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2,841,649.65</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6,628,605.45</w:t>
            </w:r>
          </w:p>
        </w:tc>
      </w:tr>
      <w:tr>
        <w:trPr>
          <w:trHeight w:val="83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SS3000-C-MS</w:t>
            </w:r>
            <w:r>
              <w:rPr>
                <w:rFonts w:ascii="宋体" w:hAnsi="宋体" w:cs="宋体" w:eastAsia="宋体" w:hint="default"/>
                <w:spacing w:val="-5"/>
                <w:sz w:val="18"/>
                <w:szCs w:val="18"/>
              </w:rPr>
              <w:t>（呼叫</w:t>
            </w: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中心中间件）</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2,542,929.59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1,421,704.46</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3,964,634.05</w:t>
            </w:r>
          </w:p>
        </w:tc>
      </w:tr>
      <w:tr>
        <w:trPr>
          <w:trHeight w:val="46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办公协同管理</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3,210,063.00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3,210,063.00</w:t>
            </w:r>
          </w:p>
        </w:tc>
      </w:tr>
      <w:tr>
        <w:trPr>
          <w:trHeight w:val="4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继教管理</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722,030.47</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722,030.47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资源共享平台</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357,559.48</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357,559.48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数字化校园</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965,801.50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965,801.50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家校互动平台</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1,012,458.55</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1,012,458.55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精品录播系统</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322,675.67</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322,675.67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资源管理软件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402,904.20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402,904.20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CCone3.0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794,879.94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127,723.88</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922,603.82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CCPS-XP</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752,143.54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145,160.39</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897,303.93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Times New Roman" w:hAnsi="Times New Roman" w:cs="Times New Roman" w:eastAsia="Times New Roman" w:hint="default"/>
                <w:sz w:val="18"/>
                <w:szCs w:val="18"/>
              </w:rPr>
            </w:pPr>
            <w:r>
              <w:rPr>
                <w:rFonts w:ascii="Times New Roman"/>
                <w:sz w:val="18"/>
              </w:rPr>
              <w:t>CCPS-XP2.0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645,439.15</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645,439.15</w:t>
            </w:r>
          </w:p>
        </w:tc>
      </w:tr>
      <w:tr>
        <w:trPr>
          <w:trHeight w:val="46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综合资源管理系统</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2,140,640.64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2,140,640.64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省网呼叫中心系统</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678,566.22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678,566.22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呼叫中心实训系统</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915,085.84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915,085.84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1"/>
        <w:gridCol w:w="1594"/>
        <w:gridCol w:w="1594"/>
      </w:tblGrid>
      <w:tr>
        <w:trPr>
          <w:trHeight w:val="4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营销管理系统</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767,154.88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767,154.88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物联网智慧园区</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657,812.15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657,812.15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增值业务平台开发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3,147,550.25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710,502.85</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3,858,053.10</w:t>
            </w:r>
          </w:p>
        </w:tc>
      </w:tr>
      <w:tr>
        <w:trPr>
          <w:trHeight w:val="12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82"/>
              <w:ind w:left="24" w:right="7"/>
              <w:jc w:val="both"/>
              <w:rPr>
                <w:rFonts w:ascii="宋体" w:hAnsi="宋体" w:cs="宋体" w:eastAsia="宋体" w:hint="default"/>
                <w:sz w:val="18"/>
                <w:szCs w:val="18"/>
              </w:rPr>
            </w:pPr>
            <w:r>
              <w:rPr>
                <w:rFonts w:ascii="宋体" w:hAnsi="宋体" w:cs="宋体" w:eastAsia="宋体" w:hint="default"/>
                <w:spacing w:val="14"/>
                <w:sz w:val="18"/>
                <w:szCs w:val="18"/>
              </w:rPr>
              <w:t>基于移动互联网的 动漫内容采集发布 </w:t>
            </w:r>
            <w:r>
              <w:rPr>
                <w:rFonts w:ascii="宋体" w:hAnsi="宋体" w:cs="宋体" w:eastAsia="宋体" w:hint="default"/>
                <w:sz w:val="18"/>
                <w:szCs w:val="18"/>
              </w:rPr>
              <w:t>平台示范项目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116,931.72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1,432,724.59</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1,549,656.31</w:t>
            </w:r>
          </w:p>
        </w:tc>
      </w:tr>
      <w:tr>
        <w:trPr>
          <w:trHeight w:val="121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80"/>
              <w:ind w:left="24" w:right="7"/>
              <w:jc w:val="both"/>
              <w:rPr>
                <w:rFonts w:ascii="宋体" w:hAnsi="宋体" w:cs="宋体" w:eastAsia="宋体" w:hint="default"/>
                <w:sz w:val="18"/>
                <w:szCs w:val="18"/>
              </w:rPr>
            </w:pPr>
            <w:r>
              <w:rPr>
                <w:rFonts w:ascii="宋体" w:hAnsi="宋体" w:cs="宋体" w:eastAsia="宋体" w:hint="default"/>
                <w:spacing w:val="14"/>
                <w:sz w:val="18"/>
                <w:szCs w:val="18"/>
              </w:rPr>
              <w:t>移动互联网图文混 排平台研发及产业 </w:t>
            </w:r>
            <w:r>
              <w:rPr>
                <w:rFonts w:ascii="宋体" w:hAnsi="宋体" w:cs="宋体" w:eastAsia="宋体" w:hint="default"/>
                <w:sz w:val="18"/>
                <w:szCs w:val="18"/>
              </w:rPr>
              <w:t>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1,506,076.92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8,345,121.77</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9,851,198.69</w:t>
            </w:r>
          </w:p>
        </w:tc>
      </w:tr>
      <w:tr>
        <w:trPr>
          <w:trHeight w:val="12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82"/>
              <w:ind w:left="24" w:right="7"/>
              <w:jc w:val="both"/>
              <w:rPr>
                <w:rFonts w:ascii="宋体" w:hAnsi="宋体" w:cs="宋体" w:eastAsia="宋体" w:hint="default"/>
                <w:sz w:val="18"/>
                <w:szCs w:val="18"/>
              </w:rPr>
            </w:pPr>
            <w:r>
              <w:rPr>
                <w:rFonts w:ascii="宋体" w:hAnsi="宋体" w:cs="宋体" w:eastAsia="宋体" w:hint="default"/>
                <w:spacing w:val="14"/>
                <w:sz w:val="18"/>
                <w:szCs w:val="18"/>
              </w:rPr>
              <w:t>面向移动互联网的 交互式动画与游戏 </w:t>
            </w:r>
            <w:r>
              <w:rPr>
                <w:rFonts w:ascii="宋体" w:hAnsi="宋体" w:cs="宋体" w:eastAsia="宋体" w:hint="default"/>
                <w:sz w:val="18"/>
                <w:szCs w:val="18"/>
              </w:rPr>
              <w:t>引擎研发及产业化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37,697,612.20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39,788,279.54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5,159,259.73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16,170,083.00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56,156,549.01</w:t>
            </w:r>
          </w:p>
        </w:tc>
      </w:tr>
    </w:tbl>
    <w:p>
      <w:pPr>
        <w:spacing w:line="338" w:lineRule="auto" w:before="49"/>
        <w:ind w:left="152" w:right="220"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77%</w:t>
      </w:r>
      <w:r>
        <w:rPr>
          <w:rFonts w:ascii="宋体" w:hAnsi="宋体" w:cs="宋体" w:eastAsia="宋体" w:hint="default"/>
          <w:sz w:val="18"/>
          <w:szCs w:val="18"/>
        </w:rPr>
        <w:t>。 通过公司内部研发形成的无形资产占无形资产期末账面价值的比例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 </w:t>
      </w: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万元以上且以评估值为入账依据的，应披露评估机构名称、评估方法</w:t>
      </w:r>
    </w:p>
    <w:p>
      <w:pPr>
        <w:spacing w:line="240" w:lineRule="auto" w:before="9"/>
        <w:rPr>
          <w:rFonts w:ascii="宋体" w:hAnsi="宋体" w:cs="宋体" w:eastAsia="宋体" w:hint="default"/>
          <w:sz w:val="19"/>
          <w:szCs w:val="19"/>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2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2"/>
              <w:jc w:val="left"/>
              <w:rPr>
                <w:rFonts w:ascii="宋体" w:hAnsi="宋体" w:cs="宋体" w:eastAsia="宋体" w:hint="default"/>
                <w:sz w:val="18"/>
                <w:szCs w:val="18"/>
              </w:rPr>
            </w:pPr>
            <w:r>
              <w:rPr>
                <w:rFonts w:ascii="宋体" w:hAnsi="宋体" w:cs="宋体" w:eastAsia="宋体" w:hint="default"/>
                <w:sz w:val="18"/>
                <w:szCs w:val="18"/>
              </w:rPr>
              <w:t>北京高阳捷迅信息技术有限公 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194,420,526.00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194,420,526.00</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10" w:space="0" w:color="D2D2D2"/>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194,420,526.00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194,420,526.00</w:t>
            </w: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6"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pStyle w:val="BodyText"/>
        <w:spacing w:line="357" w:lineRule="auto" w:before="145"/>
        <w:ind w:right="96" w:firstLine="600"/>
        <w:jc w:val="left"/>
      </w:pPr>
      <w:r>
        <w:rPr>
          <w:spacing w:val="-3"/>
        </w:rPr>
        <w:t>本公司进行商誉减值测试，对于因企业合并形成的商誉的账面价值，自购买日起按照合</w:t>
      </w:r>
      <w:r>
        <w:rPr/>
        <w:t> </w:t>
      </w:r>
      <w:r>
        <w:rPr>
          <w:spacing w:val="-2"/>
        </w:rPr>
        <w:t>理的方法分摊至相关的资产组；难以分摊至相关的资产组的，将其分摊至相关的资产组组合。</w:t>
      </w:r>
      <w:r>
        <w:rPr/>
        <w:t> 在将商誉的账面价值分摊至相关的资产组或者资产组组合时，按照各资产组或者资产组组合</w:t>
      </w:r>
      <w:r>
        <w:rPr>
          <w:spacing w:val="-91"/>
        </w:rPr>
        <w:t> </w:t>
      </w:r>
      <w:r>
        <w:rPr>
          <w:spacing w:val="-91"/>
        </w:rPr>
      </w:r>
      <w:r>
        <w:rPr/>
        <w:t>的公允价值占相关资产组或者资产组组合公允价值总额的比例进行分摊。公允价值难以可靠</w:t>
      </w:r>
      <w:r>
        <w:rPr>
          <w:spacing w:val="-91"/>
        </w:rPr>
        <w:t> </w:t>
      </w:r>
      <w:r>
        <w:rPr>
          <w:spacing w:val="-91"/>
        </w:rPr>
      </w:r>
      <w:r>
        <w:rPr/>
        <w:t>计量的，按照各资产组或者资产组组合的账面价值占相关资产组或者资产组组合账面价值总</w:t>
      </w:r>
      <w:r>
        <w:rPr>
          <w:spacing w:val="-91"/>
        </w:rPr>
        <w:t> </w:t>
      </w:r>
      <w:r>
        <w:rPr>
          <w:spacing w:val="-91"/>
        </w:rPr>
      </w:r>
      <w:r>
        <w:rPr/>
        <w:t>额的比例进行分摊。</w:t>
      </w:r>
    </w:p>
    <w:p>
      <w:pPr>
        <w:pStyle w:val="BodyText"/>
        <w:spacing w:line="357" w:lineRule="auto"/>
        <w:ind w:right="96" w:firstLine="600"/>
        <w:jc w:val="left"/>
      </w:pPr>
      <w:r>
        <w:rPr>
          <w:spacing w:val="-3"/>
        </w:rPr>
        <w:t>在对包含商誉的相关资产组或者资产组组合进行减值测试时，如与商誉相关的资产组或</w:t>
      </w:r>
      <w:r>
        <w:rPr/>
        <w:t> 者资产组组合存在减值迹象的，先对不包含商誉的资产组或者资产组组合进行减值测试，计</w:t>
      </w:r>
    </w:p>
    <w:p>
      <w:pPr>
        <w:spacing w:after="0" w:line="357"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159"/>
        <w:jc w:val="both"/>
      </w:pPr>
      <w:r>
        <w:rPr/>
        <w:t>算可收回金额，并与相关账面价值相比较，确认相应的减值损失。再对包含商誉的资产组或</w:t>
      </w:r>
      <w:r>
        <w:rPr>
          <w:spacing w:val="-91"/>
        </w:rPr>
        <w:t> </w:t>
      </w:r>
      <w:r>
        <w:rPr>
          <w:spacing w:val="-91"/>
        </w:rPr>
      </w:r>
      <w:r>
        <w:rPr/>
        <w:t>者资产组组合进行减值测试，比较这些相关资产组或者资产组组合的账面价值（包括所分摊</w:t>
      </w:r>
      <w:r>
        <w:rPr>
          <w:spacing w:val="-91"/>
        </w:rPr>
        <w:t> </w:t>
      </w:r>
      <w:r>
        <w:rPr>
          <w:spacing w:val="-91"/>
        </w:rPr>
      </w:r>
      <w:r>
        <w:rPr/>
        <w:t>的商誉的账面价值部分）与其可收回金额，如相关资产组或者资产组组合的可收回金额低于</w:t>
      </w:r>
      <w:r>
        <w:rPr>
          <w:spacing w:val="-91"/>
        </w:rPr>
        <w:t> </w:t>
      </w:r>
      <w:r>
        <w:rPr>
          <w:spacing w:val="-91"/>
        </w:rPr>
      </w:r>
      <w:r>
        <w:rPr/>
        <w:t>其账面价值的，确认商誉的减值损失。</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4,069,665.45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4,098,857.01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3,385,415.20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4,783,107.26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版权使用费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147,018.28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54,361.32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92,656.96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互联网支付牌照 检测费用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15,625.00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584,351.69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586,848.21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697,503.48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4,801,035.42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4,864,482.01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4,042,249.73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5,623,267.70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6"/>
        <w:gridCol w:w="2929"/>
        <w:gridCol w:w="2921"/>
      </w:tblGrid>
      <w:tr>
        <w:trPr>
          <w:trHeight w:val="408"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10,445,610.05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8,466,349.67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10,445,610.05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8,466,349.67</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0"/>
        <w:gridCol w:w="2934"/>
        <w:gridCol w:w="2922"/>
      </w:tblGrid>
      <w:tr>
        <w:trPr>
          <w:trHeight w:val="404" w:hRule="exact"/>
        </w:trPr>
        <w:tc>
          <w:tcPr>
            <w:tcW w:w="3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35,972,751.32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77,437,455.89</w:t>
            </w:r>
          </w:p>
        </w:tc>
      </w:tr>
      <w:tr>
        <w:trPr>
          <w:trHeight w:val="403" w:hRule="exact"/>
        </w:trPr>
        <w:tc>
          <w:tcPr>
            <w:tcW w:w="3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109,755,009.79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99,185,125.63</w:t>
            </w:r>
          </w:p>
        </w:tc>
      </w:tr>
      <w:tr>
        <w:trPr>
          <w:trHeight w:val="401" w:hRule="exact"/>
        </w:trPr>
        <w:tc>
          <w:tcPr>
            <w:tcW w:w="3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145,727,761.11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176,622,581.52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10,886,414.15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12,664,637.64</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17,835,855.54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23,326,720.61</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24,196,563.05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28,364,406.53</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30,298,263.11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34,829,360.85</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26,537,913.94</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109,755,009.79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99,185,125.63</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1"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4"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35,972,751.32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77,437,455.89</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35,972,751.32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77,437,455.89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）递延所得税资产和递延所得税负债以抵销后的净额列示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1"/>
        <w:gridCol w:w="1626"/>
        <w:gridCol w:w="1627"/>
        <w:gridCol w:w="1628"/>
        <w:gridCol w:w="1617"/>
      </w:tblGrid>
      <w:tr>
        <w:trPr>
          <w:trHeight w:val="31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7"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7" w:type="dxa"/>
            <w:vMerge/>
            <w:tcBorders>
              <w:left w:val="single" w:sz="4" w:space="0" w:color="000000"/>
              <w:right w:val="single" w:sz="4" w:space="0" w:color="000000"/>
            </w:tcBorders>
            <w:shd w:val="clear" w:color="auto" w:fill="D2D2D2"/>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7"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10,445,610.05</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8,466,349.67</w:t>
            </w:r>
          </w:p>
        </w:tc>
        <w:tc>
          <w:tcPr>
            <w:tcW w:w="161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4"/>
        <w:gridCol w:w="1527"/>
        <w:gridCol w:w="1529"/>
        <w:gridCol w:w="1399"/>
        <w:gridCol w:w="1397"/>
        <w:gridCol w:w="1452"/>
      </w:tblGrid>
      <w:tr>
        <w:trPr>
          <w:trHeight w:val="207" w:hRule="exact"/>
        </w:trPr>
        <w:tc>
          <w:tcPr>
            <w:tcW w:w="2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54"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56,147,785.43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1,277,144.24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2,508,760.95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54,916,168.72</w:t>
            </w:r>
          </w:p>
        </w:tc>
      </w:tr>
      <w:tr>
        <w:trPr>
          <w:trHeight w:val="401"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20,050,350.35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24,997,052.24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25,430.34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45,021,972.25</w:t>
            </w: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52,510,421.46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52,510,421.46</w:t>
            </w:r>
          </w:p>
        </w:tc>
        <w:tc>
          <w:tcPr>
            <w:tcW w:w="14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5"/>
        <w:gridCol w:w="1527"/>
        <w:gridCol w:w="1529"/>
        <w:gridCol w:w="1399"/>
        <w:gridCol w:w="1397"/>
        <w:gridCol w:w="1452"/>
      </w:tblGrid>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280,349.62</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280,349.62</w:t>
            </w:r>
          </w:p>
        </w:tc>
      </w:tr>
      <w:tr>
        <w:trPr>
          <w:trHeight w:val="40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128,988,906.86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63" w:right="0"/>
              <w:jc w:val="left"/>
              <w:rPr>
                <w:rFonts w:ascii="Times New Roman" w:hAnsi="Times New Roman" w:cs="Times New Roman" w:eastAsia="Times New Roman" w:hint="default"/>
                <w:sz w:val="18"/>
                <w:szCs w:val="18"/>
              </w:rPr>
            </w:pPr>
            <w:r>
              <w:rPr>
                <w:rFonts w:ascii="Times New Roman"/>
                <w:sz w:val="18"/>
              </w:rPr>
              <w:t>26,274,196.48</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31" w:right="0"/>
              <w:jc w:val="left"/>
              <w:rPr>
                <w:rFonts w:ascii="Times New Roman" w:hAnsi="Times New Roman" w:cs="Times New Roman" w:eastAsia="Times New Roman" w:hint="default"/>
                <w:sz w:val="18"/>
                <w:szCs w:val="18"/>
              </w:rPr>
            </w:pPr>
            <w:r>
              <w:rPr>
                <w:rFonts w:ascii="Times New Roman"/>
                <w:sz w:val="18"/>
              </w:rPr>
              <w:t>55,044,612.75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100,218,490.59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9"/>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贵阳花溪项目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58,587,300.00</w:t>
            </w: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58,587,300.00</w:t>
            </w:r>
          </w:p>
        </w:tc>
        <w:tc>
          <w:tcPr>
            <w:tcW w:w="3059"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before="95"/>
        <w:ind w:left="152" w:right="0" w:firstLine="0"/>
        <w:jc w:val="left"/>
        <w:rPr>
          <w:rFonts w:ascii="宋体" w:hAnsi="宋体" w:cs="宋体" w:eastAsia="宋体" w:hint="default"/>
          <w:sz w:val="21"/>
          <w:szCs w:val="21"/>
        </w:rPr>
      </w:pPr>
      <w:r>
        <w:rPr>
          <w:rFonts w:ascii="宋体" w:hAnsi="宋体" w:cs="宋体" w:eastAsia="宋体" w:hint="default"/>
          <w:sz w:val="21"/>
          <w:szCs w:val="21"/>
        </w:rPr>
        <w:t>贵阳花溪项目系前期土地开发支出。</w:t>
      </w:r>
    </w:p>
    <w:p>
      <w:pPr>
        <w:spacing w:line="240" w:lineRule="auto" w:before="10"/>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79"/>
        <w:gridCol w:w="2932"/>
        <w:gridCol w:w="3059"/>
      </w:tblGrid>
      <w:tr>
        <w:trPr>
          <w:trHeight w:val="401" w:hRule="exact"/>
        </w:trPr>
        <w:tc>
          <w:tcPr>
            <w:tcW w:w="3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9,400,000.00</w:t>
            </w: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640,000,000.00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3" w:hRule="exact"/>
        </w:trPr>
        <w:tc>
          <w:tcPr>
            <w:tcW w:w="3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641,000,000.00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620,000,000.00</w:t>
            </w:r>
          </w:p>
        </w:tc>
      </w:tr>
      <w:tr>
        <w:trPr>
          <w:trHeight w:val="401" w:hRule="exact"/>
        </w:trPr>
        <w:tc>
          <w:tcPr>
            <w:tcW w:w="3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1,290,400,000.00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）已到期未偿还的短期借款情况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3"/>
        <w:gridCol w:w="1995"/>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line="357"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 短期借款的说明，包括已到期短期借款获展期的，说明展期条件、新的到期日</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3"/>
        <w:gridCol w:w="2921"/>
        <w:gridCol w:w="3054"/>
      </w:tblGrid>
      <w:tr>
        <w:trPr>
          <w:trHeight w:val="401"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79"/>
        <w:gridCol w:w="2932"/>
        <w:gridCol w:w="3059"/>
      </w:tblGrid>
      <w:tr>
        <w:trPr>
          <w:trHeight w:val="403" w:hRule="exact"/>
        </w:trPr>
        <w:tc>
          <w:tcPr>
            <w:tcW w:w="3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441,157,064.00</w:t>
            </w: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451,157,064.00</w:t>
            </w:r>
          </w:p>
        </w:tc>
        <w:tc>
          <w:tcPr>
            <w:tcW w:w="305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7254"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下一会计期间将到期的金额元。 应付票据的说明</w:t>
      </w:r>
    </w:p>
    <w:p>
      <w:pPr>
        <w:spacing w:before="4"/>
        <w:ind w:left="152" w:right="0" w:firstLine="0"/>
        <w:jc w:val="left"/>
        <w:rPr>
          <w:rFonts w:ascii="宋体" w:hAnsi="宋体" w:cs="宋体" w:eastAsia="宋体" w:hint="default"/>
          <w:sz w:val="21"/>
          <w:szCs w:val="21"/>
        </w:rPr>
      </w:pPr>
      <w:r>
        <w:rPr>
          <w:rFonts w:ascii="宋体" w:hAnsi="宋体" w:cs="宋体" w:eastAsia="宋体" w:hint="default"/>
          <w:sz w:val="21"/>
          <w:szCs w:val="21"/>
        </w:rPr>
        <w:t>下一会计期间将到期的票据金额</w:t>
      </w:r>
      <w:r>
        <w:rPr>
          <w:rFonts w:ascii="Times New Roman" w:hAnsi="Times New Roman" w:cs="Times New Roman" w:eastAsia="Times New Roman" w:hint="default"/>
          <w:sz w:val="21"/>
          <w:szCs w:val="21"/>
        </w:rPr>
        <w:t>451,157,064.00</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9"/>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545,338,403.45</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284,754,060.36</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5,190,100.00</w:t>
            </w: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其他合同款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1,284,612.97</w:t>
            </w: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551,813,116.42</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284,754,060.36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）本报告期应付账款中应付持有公司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1"/>
        <w:gridCol w:w="2920"/>
        <w:gridCol w:w="3059"/>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）账龄超过一年的大额应付账款情况的说明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1"/>
          <w:szCs w:val="11"/>
        </w:rPr>
      </w:pPr>
    </w:p>
    <w:p>
      <w:pPr>
        <w:spacing w:line="2010" w:lineRule="exact"/>
        <w:ind w:left="153"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4358747" cy="127635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8" cstate="print"/>
                    <a:stretch>
                      <a:fillRect/>
                    </a:stretch>
                  </pic:blipFill>
                  <pic:spPr>
                    <a:xfrm>
                      <a:off x="0" y="0"/>
                      <a:ext cx="4358747" cy="1276350"/>
                    </a:xfrm>
                    <a:prstGeom prst="rect">
                      <a:avLst/>
                    </a:prstGeom>
                  </pic:spPr>
                </pic:pic>
              </a:graphicData>
            </a:graphic>
          </wp:inline>
        </w:drawing>
      </w:r>
      <w:r>
        <w:rPr>
          <w:rFonts w:ascii="宋体" w:hAnsi="宋体" w:cs="宋体" w:eastAsia="宋体" w:hint="default"/>
          <w:position w:val="-39"/>
          <w:sz w:val="20"/>
          <w:szCs w:val="20"/>
        </w:rPr>
      </w:r>
    </w:p>
    <w:p>
      <w:pPr>
        <w:spacing w:after="0" w:line="2010" w:lineRule="exact"/>
        <w:rPr>
          <w:rFonts w:ascii="宋体" w:hAnsi="宋体" w:cs="宋体" w:eastAsia="宋体" w:hint="default"/>
          <w:sz w:val="20"/>
          <w:szCs w:val="20"/>
        </w:rPr>
        <w:sectPr>
          <w:pgSz w:w="11910" w:h="16840"/>
          <w:pgMar w:header="745" w:footer="1186" w:top="1060" w:bottom="1380" w:left="980" w:right="980"/>
        </w:sectPr>
      </w:pPr>
    </w:p>
    <w:p>
      <w:pPr>
        <w:spacing w:line="240" w:lineRule="auto" w:before="10"/>
        <w:rPr>
          <w:rFonts w:ascii="宋体" w:hAnsi="宋体" w:cs="宋体" w:eastAsia="宋体" w:hint="default"/>
          <w:b/>
          <w:bCs/>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、预收账款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2"/>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567,926,414.70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197,594,747.50</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567,926,414.70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197,594,747.50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）本报告期预收账款中预收持有公司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2"/>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154,545.00</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154,545.00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）账龄超过一年的大额预收账款情况的说明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0"/>
          <w:szCs w:val="10"/>
        </w:rPr>
      </w:pPr>
    </w:p>
    <w:p>
      <w:pPr>
        <w:spacing w:line="2055" w:lineRule="exact"/>
        <w:ind w:left="153" w:right="0" w:firstLine="0"/>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4161789" cy="1304925"/>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9" cstate="print"/>
                    <a:stretch>
                      <a:fillRect/>
                    </a:stretch>
                  </pic:blipFill>
                  <pic:spPr>
                    <a:xfrm>
                      <a:off x="0" y="0"/>
                      <a:ext cx="4161789" cy="1304925"/>
                    </a:xfrm>
                    <a:prstGeom prst="rect">
                      <a:avLst/>
                    </a:prstGeom>
                  </pic:spPr>
                </pic:pic>
              </a:graphicData>
            </a:graphic>
          </wp:inline>
        </w:drawing>
      </w:r>
      <w:r>
        <w:rPr>
          <w:rFonts w:ascii="宋体" w:hAnsi="宋体" w:cs="宋体" w:eastAsia="宋体" w:hint="default"/>
          <w:position w:val="-40"/>
          <w:sz w:val="20"/>
          <w:szCs w:val="20"/>
        </w:rPr>
      </w:r>
    </w:p>
    <w:p>
      <w:pPr>
        <w:spacing w:line="240" w:lineRule="auto" w:before="3"/>
        <w:rPr>
          <w:rFonts w:ascii="宋体" w:hAnsi="宋体" w:cs="宋体" w:eastAsia="宋体" w:hint="default"/>
          <w:b/>
          <w:bCs/>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86,102,665.83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76,544,668.41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9,557,997.42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4,220,910.67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4,220,910.67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267,024.96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16,742,060.34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16,408,122.59</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600,962.71</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 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33,410.91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5,924,525.83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5,848,804.16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109,132.58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215,351.49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8,860,372.10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8,636,730.56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438,993.03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、年金缴费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885,548.14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885,548.14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12,951.33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472,169.95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454,702.48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30,418.80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3,363.34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232,761.91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222,268.51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13,856.74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1,947.89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366,682.41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360,068.74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8,561.56</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350,369.00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5,947,183.80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6,161,885.80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135,667.00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3,180,138.66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1,966,501.18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1,078,788.23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4,067,851.61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1"/>
                <w:sz w:val="18"/>
                <w:szCs w:val="18"/>
              </w:rPr>
              <w:t> </w:t>
            </w:r>
            <w:r>
              <w:rPr>
                <w:rFonts w:ascii="宋体" w:hAnsi="宋体" w:cs="宋体" w:eastAsia="宋体" w:hint="default"/>
                <w:sz w:val="18"/>
                <w:szCs w:val="18"/>
              </w:rPr>
              <w:t>工会经费和</w:t>
            </w:r>
            <w:r>
              <w:rPr>
                <w:rFonts w:ascii="宋体" w:hAnsi="宋体" w:cs="宋体" w:eastAsia="宋体" w:hint="default"/>
                <w:sz w:val="18"/>
                <w:szCs w:val="18"/>
              </w:rPr>
              <w:t> 职工教育经费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3,180,138.66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1,966,501.18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1,078,788.23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4,067,851.61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3,797,532.62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114,979,321.82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104,414,375.70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14,362,478.74</w:t>
            </w:r>
          </w:p>
        </w:tc>
      </w:tr>
    </w:tbl>
    <w:p>
      <w:pPr>
        <w:pStyle w:val="BodyText"/>
        <w:spacing w:line="357" w:lineRule="auto" w:before="39"/>
        <w:ind w:left="753" w:right="145"/>
        <w:jc w:val="left"/>
      </w:pPr>
      <w:r>
        <w:rPr/>
        <w:t>应付职工薪酬中属于拖欠性质的金额</w:t>
      </w:r>
      <w:r>
        <w:rPr>
          <w:rFonts w:ascii="宋体" w:hAnsi="宋体" w:cs="宋体" w:eastAsia="宋体" w:hint="default"/>
        </w:rPr>
        <w:t>0.00</w:t>
      </w:r>
      <w:r>
        <w:rPr/>
        <w:t>元。 </w:t>
      </w:r>
      <w:r>
        <w:rPr>
          <w:spacing w:val="-2"/>
        </w:rPr>
        <w:t>工会经费和职工教育经费金额</w:t>
      </w:r>
      <w:r>
        <w:rPr>
          <w:rFonts w:ascii="宋体" w:hAnsi="宋体" w:cs="宋体" w:eastAsia="宋体" w:hint="default"/>
          <w:spacing w:val="-2"/>
        </w:rPr>
        <w:t>4,067,851.61</w:t>
      </w:r>
      <w:r>
        <w:rPr>
          <w:spacing w:val="-2"/>
        </w:rPr>
        <w:t>元，非货币性福利金额</w:t>
      </w:r>
      <w:r>
        <w:rPr>
          <w:rFonts w:ascii="宋体" w:hAnsi="宋体" w:cs="宋体" w:eastAsia="宋体" w:hint="default"/>
          <w:spacing w:val="-2"/>
        </w:rPr>
        <w:t>0.00</w:t>
      </w:r>
      <w:r>
        <w:rPr>
          <w:spacing w:val="-2"/>
        </w:rPr>
        <w:t>元，因解除劳动</w:t>
      </w:r>
    </w:p>
    <w:p>
      <w:pPr>
        <w:pStyle w:val="BodyText"/>
        <w:spacing w:line="357" w:lineRule="auto"/>
        <w:ind w:left="753" w:right="4853" w:hanging="601"/>
        <w:jc w:val="left"/>
      </w:pPr>
      <w:r>
        <w:rPr/>
        <w:t>关系给予补偿</w:t>
      </w:r>
      <w:r>
        <w:rPr>
          <w:rFonts w:ascii="宋体" w:hAnsi="宋体" w:cs="宋体" w:eastAsia="宋体" w:hint="default"/>
        </w:rPr>
        <w:t>0.00</w:t>
      </w:r>
      <w:r>
        <w:rPr/>
        <w:t>元。 应付职工薪酬预计发放时间、金额等安排</w:t>
      </w:r>
    </w:p>
    <w:p>
      <w:pPr>
        <w:pStyle w:val="BodyText"/>
        <w:spacing w:line="357" w:lineRule="auto" w:before="37"/>
        <w:ind w:right="151" w:firstLine="600"/>
        <w:jc w:val="both"/>
      </w:pPr>
      <w:r>
        <w:rPr>
          <w:spacing w:val="-3"/>
        </w:rPr>
        <w:t>每月上旬根据绩效考核结果发放上月各项工资，每月根据当月工资总额按</w:t>
      </w:r>
      <w:r>
        <w:rPr>
          <w:rFonts w:ascii="宋体" w:hAnsi="宋体" w:cs="宋体" w:eastAsia="宋体" w:hint="default"/>
          <w:spacing w:val="-3"/>
        </w:rPr>
        <w:t>2%</w:t>
      </w:r>
      <w:r>
        <w:rPr>
          <w:spacing w:val="-3"/>
        </w:rPr>
        <w:t>计提工会经</w:t>
      </w:r>
      <w:r>
        <w:rPr/>
        <w:t> 费，每月根据实际计提职工福利费和职工教育经费，每月按要求缴纳各项社会保险费和住房</w:t>
      </w:r>
      <w:r>
        <w:rPr>
          <w:spacing w:val="-91"/>
        </w:rPr>
        <w:t> </w:t>
      </w:r>
      <w:r>
        <w:rPr>
          <w:spacing w:val="-91"/>
        </w:rPr>
      </w:r>
      <w:r>
        <w:rPr/>
        <w:t>公积金。</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8"/>
      </w:tblGrid>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-42,763,122.94</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-13,111,480.37</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789"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3,084,965.87</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1,212,061.60</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20,012,819.77</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-2,055,777.18</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549,524.48</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176,170.72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779,507.49</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502,199.46</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61,218.52</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38,957.24</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546,762.86</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379,720.54</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44,628.83</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59,118.70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16,634.67</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811.02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价格基金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2,762.11</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9,666.53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748,692.14</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736,925.12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-16,915,206.20</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-12,051,626.62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3"/>
        <w:gridCol w:w="2790"/>
        <w:gridCol w:w="2658"/>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995"/>
        <w:gridCol w:w="2127"/>
        <w:gridCol w:w="2658"/>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高鸿公司自派股东</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189,679.13</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189,679.13</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90"/>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232,311,191.12</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159,405,690.13</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26,840,383.78</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10,522,023.61</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8,680,970.93</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6,464,416.40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937,692.27</w:t>
            </w:r>
          </w:p>
        </w:tc>
        <w:tc>
          <w:tcPr>
            <w:tcW w:w="2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4,301,098.27</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3,766,164.62</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273,071,336.37</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180,158,294.76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）本报告期其他应付款中应付持有公司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90"/>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2,611,712.87</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93,257.59</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2,611,712.87</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93,257.59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）账龄超过一年的大额其他应付款情况的说明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2"/>
          <w:szCs w:val="12"/>
        </w:rPr>
      </w:pPr>
    </w:p>
    <w:p>
      <w:pPr>
        <w:spacing w:line="2010" w:lineRule="exact"/>
        <w:ind w:left="153"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3874747" cy="1276350"/>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30" cstate="print"/>
                    <a:stretch>
                      <a:fillRect/>
                    </a:stretch>
                  </pic:blipFill>
                  <pic:spPr>
                    <a:xfrm>
                      <a:off x="0" y="0"/>
                      <a:ext cx="3874747" cy="1276350"/>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12"/>
        <w:rPr>
          <w:rFonts w:ascii="宋体" w:hAnsi="宋体" w:cs="宋体" w:eastAsia="宋体" w:hint="default"/>
          <w:b/>
          <w:bCs/>
          <w:sz w:val="25"/>
          <w:szCs w:val="25"/>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）金额较大的其他应付款说明内容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p>
      <w:pPr>
        <w:spacing w:line="2010" w:lineRule="exact"/>
        <w:ind w:left="153"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3874747" cy="1276350"/>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31" cstate="print"/>
                    <a:stretch>
                      <a:fillRect/>
                    </a:stretch>
                  </pic:blipFill>
                  <pic:spPr>
                    <a:xfrm>
                      <a:off x="0" y="0"/>
                      <a:ext cx="3874747" cy="1276350"/>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13"/>
        <w:rPr>
          <w:rFonts w:ascii="宋体" w:hAnsi="宋体" w:cs="宋体" w:eastAsia="宋体" w:hint="default"/>
          <w:b/>
          <w:bCs/>
          <w:sz w:val="25"/>
          <w:szCs w:val="25"/>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861"/>
        <w:gridCol w:w="1860"/>
        <w:gridCol w:w="1861"/>
        <w:gridCol w:w="1995"/>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1"/>
        <w:gridCol w:w="2788"/>
        <w:gridCol w:w="3191"/>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）一年内到期的长期借款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1"/>
        <w:gridCol w:w="2788"/>
        <w:gridCol w:w="3191"/>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1186" w:top="1060" w:bottom="1380" w:left="980" w:right="980"/>
        </w:sectPr>
      </w:pPr>
    </w:p>
    <w:p>
      <w:pPr>
        <w:spacing w:line="357" w:lineRule="auto" w:before="50"/>
        <w:ind w:left="152" w:right="-2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4833" w:space="3996"/>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2128"/>
        <w:gridCol w:w="2115"/>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type w:val="continuous"/>
          <w:pgSz w:w="11910" w:h="16840"/>
          <w:pgMar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5"/>
        <w:gridCol w:w="1064"/>
        <w:gridCol w:w="1061"/>
      </w:tblGrid>
      <w:tr>
        <w:trPr>
          <w:trHeight w:val="40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line="360"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资产负债表日后已偿还的金额元。 一年内到期的长期借款说明</w:t>
      </w:r>
    </w:p>
    <w:p>
      <w:pPr>
        <w:spacing w:line="240" w:lineRule="auto" w:before="2"/>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）一年内到期的应付债券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6"/>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3" w:hanging="361"/>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）一年内到期的长期应付款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1"/>
        <w:gridCol w:w="2920"/>
        <w:gridCol w:w="3059"/>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1"/>
        <w:gridCol w:w="2920"/>
        <w:gridCol w:w="3059"/>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）金额前五名的长期借款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3"/>
        <w:gridCol w:w="1065"/>
        <w:gridCol w:w="1064"/>
        <w:gridCol w:w="1056"/>
      </w:tblGrid>
      <w:tr>
        <w:trPr>
          <w:trHeight w:val="401"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6"/>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3" w:hanging="361"/>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）金额前五名长期应付款情况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）长期应付款中的应付融资租赁款明细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3"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spacing w:line="360" w:lineRule="auto" w:before="49"/>
        <w:ind w:left="152" w:right="5814"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 长期应付款的说明</w:t>
      </w:r>
    </w:p>
    <w:p>
      <w:pPr>
        <w:spacing w:line="240" w:lineRule="auto" w:before="2"/>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4"/>
        <w:gridCol w:w="1327"/>
        <w:gridCol w:w="1330"/>
        <w:gridCol w:w="1198"/>
        <w:gridCol w:w="1328"/>
        <w:gridCol w:w="1995"/>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r>
        <w:trPr>
          <w:trHeight w:val="715"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高可靠高性效入侵防御系统 研发与产业化项目</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center"/>
              <w:rPr>
                <w:rFonts w:ascii="宋体" w:hAnsi="宋体" w:cs="宋体" w:eastAsia="宋体" w:hint="default"/>
                <w:sz w:val="18"/>
                <w:szCs w:val="18"/>
              </w:rPr>
            </w:pPr>
            <w:r>
              <w:rPr>
                <w:rFonts w:ascii="宋体" w:hAnsi="宋体" w:cs="宋体" w:eastAsia="宋体" w:hint="default"/>
                <w:sz w:val="18"/>
                <w:szCs w:val="18"/>
              </w:rPr>
              <w:t>物资领域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技术应用项目</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基于云计算模式的智能手机 恶意软件实时检测预警追踪 系统</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基于物联网云构架的企业综 合管理系统的研究及产业化</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0"/>
              <w:jc w:val="left"/>
              <w:rPr>
                <w:rFonts w:ascii="宋体" w:hAnsi="宋体" w:cs="宋体" w:eastAsia="宋体" w:hint="default"/>
                <w:sz w:val="18"/>
                <w:szCs w:val="18"/>
              </w:rPr>
            </w:pPr>
            <w:r>
              <w:rPr>
                <w:rFonts w:ascii="宋体" w:hAnsi="宋体" w:cs="宋体" w:eastAsia="宋体" w:hint="default"/>
                <w:sz w:val="18"/>
                <w:szCs w:val="18"/>
              </w:rPr>
              <w:t>医药领域物流、溯源及电子商 务管理系统的研制与应用示 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TD-SCDMA\RFID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的冷链物流监控系统研发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center"/>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3G/GPS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的移动车联网终</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9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4"/>
        <w:gridCol w:w="1327"/>
        <w:gridCol w:w="1330"/>
        <w:gridCol w:w="1198"/>
        <w:gridCol w:w="1328"/>
        <w:gridCol w:w="1995"/>
      </w:tblGrid>
      <w:tr>
        <w:trPr>
          <w:trHeight w:val="362"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端产业化项目</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新型综合通信业务的研究</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印度铁路系统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语音对讲系 统指定开发项目</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 </w:t>
            </w:r>
            <w:r>
              <w:rPr>
                <w:rFonts w:ascii="宋体" w:hAnsi="宋体" w:cs="宋体" w:eastAsia="宋体" w:hint="default"/>
                <w:sz w:val="18"/>
                <w:szCs w:val="18"/>
              </w:rPr>
              <w:t>虚拟运营平台</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面向经济作物的智能农业信 息系统与绿色农产品溯源平 台的研制及应用示范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服务（通用管理）综合支</w:t>
            </w:r>
            <w:r>
              <w:rPr>
                <w:rFonts w:ascii="宋体" w:hAnsi="宋体" w:cs="宋体" w:eastAsia="宋体" w:hint="default"/>
                <w:sz w:val="18"/>
                <w:szCs w:val="18"/>
              </w:rPr>
              <w:t> 撑平台</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基于移动互联网图文混排的 平台研发与产业化项目</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基于移动互联网的动漫内容 采集发布平台示范项目</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面向移动互联网的交互式动 画与游戏引擎及产业化</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29,180,000.00</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专项应付款说明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9,395,833.58</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12,848,333.50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9,395,833.58</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12,848,333.50</w:t>
            </w:r>
          </w:p>
        </w:tc>
      </w:tr>
    </w:tbl>
    <w:p>
      <w:pPr>
        <w:spacing w:line="338" w:lineRule="auto" w:before="49"/>
        <w:ind w:left="152" w:right="3834" w:firstLine="0"/>
        <w:jc w:val="left"/>
        <w:rPr>
          <w:rFonts w:ascii="宋体" w:hAnsi="宋体" w:cs="宋体" w:eastAsia="宋体" w:hint="default"/>
          <w:sz w:val="18"/>
          <w:szCs w:val="18"/>
        </w:rPr>
      </w:pPr>
      <w:r>
        <w:rPr>
          <w:rFonts w:ascii="宋体" w:hAnsi="宋体" w:cs="宋体" w:eastAsia="宋体" w:hint="default"/>
          <w:sz w:val="18"/>
          <w:szCs w:val="18"/>
        </w:rPr>
        <w:t>其他非流动负债说明 包括本报告期取得的各类与资产相关、与收益相关的政府补助及其期末金额 其中，递延收益的明细如下：</w:t>
      </w:r>
    </w:p>
    <w:p>
      <w:pPr>
        <w:spacing w:line="240" w:lineRule="auto" w:before="6"/>
        <w:rPr>
          <w:rFonts w:ascii="宋体" w:hAnsi="宋体" w:cs="宋体" w:eastAsia="宋体" w:hint="default"/>
          <w:sz w:val="6"/>
          <w:szCs w:val="6"/>
        </w:rPr>
      </w:pPr>
    </w:p>
    <w:p>
      <w:pPr>
        <w:spacing w:line="2310" w:lineRule="exact"/>
        <w:ind w:left="153"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5788694" cy="1466850"/>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32" cstate="print"/>
                    <a:stretch>
                      <a:fillRect/>
                    </a:stretch>
                  </pic:blipFill>
                  <pic:spPr>
                    <a:xfrm>
                      <a:off x="0" y="0"/>
                      <a:ext cx="5788694" cy="1466850"/>
                    </a:xfrm>
                    <a:prstGeom prst="rect">
                      <a:avLst/>
                    </a:prstGeom>
                  </pic:spPr>
                </pic:pic>
              </a:graphicData>
            </a:graphic>
          </wp:inline>
        </w:drawing>
      </w:r>
      <w:r>
        <w:rPr>
          <w:rFonts w:ascii="宋体" w:hAnsi="宋体" w:cs="宋体" w:eastAsia="宋体" w:hint="default"/>
          <w:position w:val="-45"/>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涉及政府补助的负债项目</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56"/>
        <w:gridCol w:w="1407"/>
        <w:gridCol w:w="1241"/>
        <w:gridCol w:w="1433"/>
        <w:gridCol w:w="1152"/>
        <w:gridCol w:w="1117"/>
        <w:gridCol w:w="1565"/>
      </w:tblGrid>
      <w:tr>
        <w:trPr>
          <w:trHeight w:val="713" w:hRule="exact"/>
        </w:trPr>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4" w:right="74"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3" w:right="81"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7" w:right="33" w:hanging="56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40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项目</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1,958,333.42</w:t>
            </w:r>
          </w:p>
        </w:tc>
        <w:tc>
          <w:tcPr>
            <w:tcW w:w="12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249,999.96</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1,708,333.46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both"/>
              <w:rPr>
                <w:rFonts w:ascii="宋体" w:hAnsi="宋体" w:cs="宋体" w:eastAsia="宋体" w:hint="default"/>
                <w:sz w:val="18"/>
                <w:szCs w:val="18"/>
              </w:rPr>
            </w:pPr>
            <w:r>
              <w:rPr>
                <w:rFonts w:ascii="宋体" w:hAnsi="宋体" w:cs="宋体" w:eastAsia="宋体" w:hint="default"/>
                <w:sz w:val="18"/>
                <w:szCs w:val="18"/>
              </w:rPr>
              <w:t>煤矿安全生产信息 化标准体系研究制 定</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2,229,166.71</w:t>
            </w:r>
          </w:p>
        </w:tc>
        <w:tc>
          <w:tcPr>
            <w:tcW w:w="12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249,999.96</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1,979,166.75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中间件平台</w:t>
            </w:r>
          </w:p>
          <w:p>
            <w:pPr>
              <w:pStyle w:val="TableParagraph"/>
              <w:spacing w:line="300" w:lineRule="auto" w:before="60"/>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-SmartMW</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平台项目 补助资金</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2,350,000.00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芯片级网络处理器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安全引擎系统项 目</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4" w:right="38"/>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的电子标 签产品研发与标准 研究制定项目</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3,566,666.71</w:t>
            </w:r>
          </w:p>
        </w:tc>
        <w:tc>
          <w:tcPr>
            <w:tcW w:w="12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399,999.96</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3,166,666.75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344,166.66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52,500.04</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441,666.62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12,848,333.50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3,602,499.92</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9,395,833.58</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210"/>
        <w:gridCol w:w="1183"/>
        <w:gridCol w:w="1196"/>
        <w:gridCol w:w="1198"/>
        <w:gridCol w:w="1196"/>
        <w:gridCol w:w="1184"/>
        <w:gridCol w:w="1209"/>
      </w:tblGrid>
      <w:tr>
        <w:trPr>
          <w:trHeight w:val="205"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515,940,000.00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515,940,000.00</w:t>
            </w:r>
          </w:p>
        </w:tc>
      </w:tr>
    </w:tbl>
    <w:p>
      <w:pPr>
        <w:spacing w:before="49"/>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2"/>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1,488,357,988.56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2" w:right="0"/>
              <w:jc w:val="left"/>
              <w:rPr>
                <w:rFonts w:ascii="Times New Roman" w:hAnsi="Times New Roman" w:cs="Times New Roman" w:eastAsia="Times New Roman" w:hint="default"/>
                <w:sz w:val="18"/>
                <w:szCs w:val="18"/>
              </w:rPr>
            </w:pPr>
            <w:r>
              <w:rPr>
                <w:rFonts w:ascii="Times New Roman"/>
                <w:sz w:val="18"/>
              </w:rPr>
              <w:t>5,731,511.57</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1,494,089,500.13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6"/>
        <w:gridCol w:w="1860"/>
        <w:gridCol w:w="1992"/>
        <w:gridCol w:w="1729"/>
        <w:gridCol w:w="1594"/>
      </w:tblGrid>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、其他综合收益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1,376,513.18</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1,376,513.18</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1,489,734,501.74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22" w:right="0"/>
              <w:jc w:val="left"/>
              <w:rPr>
                <w:rFonts w:ascii="Times New Roman" w:hAnsi="Times New Roman" w:cs="Times New Roman" w:eastAsia="Times New Roman" w:hint="default"/>
                <w:sz w:val="18"/>
                <w:szCs w:val="18"/>
              </w:rPr>
            </w:pPr>
            <w:r>
              <w:rPr>
                <w:rFonts w:ascii="Times New Roman"/>
                <w:sz w:val="18"/>
              </w:rPr>
              <w:t>5,731,511.57</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1,495,466,013.31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pStyle w:val="BodyText"/>
        <w:spacing w:line="357" w:lineRule="auto" w:before="145"/>
        <w:ind w:right="150" w:firstLine="600"/>
        <w:jc w:val="both"/>
      </w:pP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月，根据公司第七届第二十次董事会会议决议及股权转让协议，本公司收购大</w:t>
      </w:r>
      <w:r>
        <w:rPr/>
        <w:t> </w:t>
      </w:r>
      <w:r>
        <w:rPr>
          <w:spacing w:val="5"/>
        </w:rPr>
        <w:t>唐高鸿信息技术有限公司少数股权</w:t>
      </w:r>
      <w:r>
        <w:rPr>
          <w:rFonts w:ascii="宋体" w:hAnsi="宋体" w:cs="宋体" w:eastAsia="宋体" w:hint="default"/>
          <w:spacing w:val="5"/>
        </w:rPr>
        <w:t>6.12%</w:t>
      </w:r>
      <w:r>
        <w:rPr>
          <w:spacing w:val="5"/>
        </w:rPr>
        <w:t>，收购价</w:t>
      </w:r>
      <w:r>
        <w:rPr>
          <w:rFonts w:ascii="宋体" w:hAnsi="宋体" w:cs="宋体" w:eastAsia="宋体" w:hint="default"/>
          <w:spacing w:val="5"/>
        </w:rPr>
        <w:t>14,320,800.00</w:t>
      </w:r>
      <w:r>
        <w:rPr>
          <w:spacing w:val="5"/>
        </w:rPr>
        <w:t>元，取得的少数股权份额</w:t>
      </w:r>
      <w:r>
        <w:rPr>
          <w:spacing w:val="-97"/>
        </w:rPr>
        <w:t> </w:t>
      </w:r>
      <w:r>
        <w:rPr>
          <w:spacing w:val="-97"/>
        </w:rPr>
      </w:r>
      <w:r>
        <w:rPr>
          <w:rFonts w:ascii="宋体" w:hAnsi="宋体" w:cs="宋体" w:eastAsia="宋体" w:hint="default"/>
        </w:rPr>
        <w:t>20,380,221.38</w:t>
      </w:r>
      <w:r>
        <w:rPr/>
        <w:t>元，调增合并报表资本公积－资本溢价</w:t>
      </w:r>
      <w:r>
        <w:rPr>
          <w:rFonts w:ascii="宋体" w:hAnsi="宋体" w:cs="宋体" w:eastAsia="宋体" w:hint="default"/>
        </w:rPr>
        <w:t>6,059,421.38</w:t>
      </w:r>
      <w:r>
        <w:rPr/>
        <w:t>元；</w:t>
      </w:r>
    </w:p>
    <w:p>
      <w:pPr>
        <w:pStyle w:val="BodyText"/>
        <w:spacing w:line="357" w:lineRule="auto"/>
        <w:ind w:right="151" w:firstLine="600"/>
        <w:jc w:val="both"/>
      </w:pPr>
      <w:r>
        <w:rPr/>
        <w:t>同时由于收购大唐高鸿信息技术有限公司少数股权</w:t>
      </w:r>
      <w:r>
        <w:rPr>
          <w:rFonts w:ascii="宋体" w:hAnsi="宋体" w:cs="宋体" w:eastAsia="宋体" w:hint="default"/>
        </w:rPr>
        <w:t>6.12%</w:t>
      </w:r>
      <w:r>
        <w:rPr/>
        <w:t>，该少数股权间接持有宁波高 </w:t>
      </w:r>
      <w:r>
        <w:rPr>
          <w:spacing w:val="-2"/>
        </w:rPr>
        <w:t>鸿恒昌电子科技有限公司</w:t>
      </w:r>
      <w:r>
        <w:rPr>
          <w:rFonts w:ascii="宋体" w:hAnsi="宋体" w:cs="宋体" w:eastAsia="宋体" w:hint="default"/>
          <w:spacing w:val="-2"/>
        </w:rPr>
        <w:t>0.23%</w:t>
      </w:r>
      <w:r>
        <w:rPr>
          <w:spacing w:val="-2"/>
        </w:rPr>
        <w:t>股权同步减少，由于收购前该少数股权间接享有宁波高鸿恒昌</w:t>
      </w:r>
      <w:r>
        <w:rPr>
          <w:spacing w:val="-115"/>
        </w:rPr>
        <w:t> </w:t>
      </w:r>
      <w:r>
        <w:rPr>
          <w:spacing w:val="-115"/>
        </w:rPr>
      </w:r>
      <w:r>
        <w:rPr>
          <w:spacing w:val="-2"/>
        </w:rPr>
        <w:t>电子科技有限公司净资产份额为</w:t>
      </w:r>
      <w:r>
        <w:rPr>
          <w:rFonts w:ascii="宋体" w:hAnsi="宋体" w:cs="宋体" w:eastAsia="宋体" w:hint="default"/>
          <w:spacing w:val="-2"/>
        </w:rPr>
        <w:t>-199,332.94</w:t>
      </w:r>
      <w:r>
        <w:rPr>
          <w:spacing w:val="-2"/>
        </w:rPr>
        <w:t>元，收购后该少数股权间接享有宁波高鸿恒昌电</w:t>
      </w:r>
      <w:r>
        <w:rPr>
          <w:spacing w:val="-109"/>
        </w:rPr>
        <w:t> </w:t>
      </w:r>
      <w:r>
        <w:rPr>
          <w:spacing w:val="-109"/>
        </w:rPr>
      </w:r>
      <w:r>
        <w:rPr>
          <w:spacing w:val="5"/>
        </w:rPr>
        <w:t>子科技有限公司净资产份额为</w:t>
      </w:r>
      <w:r>
        <w:rPr>
          <w:rFonts w:ascii="宋体" w:hAnsi="宋体" w:cs="宋体" w:eastAsia="宋体" w:hint="default"/>
          <w:spacing w:val="5"/>
        </w:rPr>
        <w:t>128,576.87</w:t>
      </w:r>
      <w:r>
        <w:rPr>
          <w:spacing w:val="5"/>
        </w:rPr>
        <w:t>元，从而导致调减合并报表资本公积－资本溢价</w:t>
      </w:r>
      <w:r>
        <w:rPr>
          <w:spacing w:val="-84"/>
        </w:rPr>
        <w:t> </w:t>
      </w:r>
      <w:r>
        <w:rPr>
          <w:spacing w:val="-84"/>
        </w:rPr>
      </w:r>
      <w:r>
        <w:rPr>
          <w:rFonts w:ascii="宋体" w:hAnsi="宋体" w:cs="宋体" w:eastAsia="宋体" w:hint="default"/>
        </w:rPr>
        <w:t>327,909.81</w:t>
      </w:r>
      <w:r>
        <w:rPr/>
        <w:t>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2"/>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11,635,547.40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11,635,547.40</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11,635,547.40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11,635,547.40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、一般风险准备</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53"/>
        <w:gridCol w:w="2098"/>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99,510,284.99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99,510,284.99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52,176,395.94</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30,956,400.00</w:t>
            </w: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120,730,280.93</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、由于《企业会计准则》及其相关新规定进行追溯调整，影响年初未分配利润元。</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、由于会计政策变更，影响年初未分配利润元。</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、其他调整合计影响年初未分配利润元。</w:t>
      </w:r>
    </w:p>
    <w:p>
      <w:pPr>
        <w:pStyle w:val="BodyText"/>
        <w:spacing w:line="312" w:lineRule="exact" w:before="86"/>
        <w:ind w:right="191" w:firstLine="480"/>
        <w:jc w:val="both"/>
      </w:pPr>
      <w:r>
        <w:rPr/>
        <w:t>未分配利润说明，对于首次公开发行证券的公司，如果发行前的滚存利润经股东大会决 议由新老股东共同享有，应明确予以说明；如果发行前的滚存利润经股东大会决议在发行前 进行分配并由老股东享有，公司应明确披露应付股利中老股东享有的经审计的利润数</w:t>
      </w:r>
    </w:p>
    <w:p>
      <w:pPr>
        <w:pStyle w:val="BodyText"/>
        <w:spacing w:line="313" w:lineRule="exact" w:before="7"/>
        <w:ind w:left="0" w:right="153"/>
        <w:jc w:val="right"/>
      </w:pPr>
      <w:r>
        <w:rPr>
          <w:rFonts w:ascii="宋体" w:hAnsi="宋体" w:cs="宋体" w:eastAsia="宋体" w:hint="default"/>
        </w:rPr>
        <w:t>2013</w:t>
      </w:r>
      <w:r>
        <w:rPr>
          <w:rFonts w:ascii="宋体" w:hAnsi="宋体" w:cs="宋体" w:eastAsia="宋体" w:hint="default"/>
          <w:spacing w:val="-65"/>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月，根据公司</w:t>
      </w:r>
      <w:r>
        <w:rPr>
          <w:spacing w:val="-64"/>
        </w:rPr>
        <w:t> </w:t>
      </w:r>
      <w:r>
        <w:rPr>
          <w:rFonts w:ascii="宋体" w:hAnsi="宋体" w:cs="宋体" w:eastAsia="宋体" w:hint="default"/>
        </w:rPr>
        <w:t>2012</w:t>
      </w:r>
      <w:r>
        <w:rPr>
          <w:rFonts w:ascii="宋体" w:hAnsi="宋体" w:cs="宋体" w:eastAsia="宋体" w:hint="default"/>
          <w:spacing w:val="-64"/>
        </w:rPr>
        <w:t> </w:t>
      </w:r>
      <w:r>
        <w:rPr/>
        <w:t>年度股东大会决议审议通过的《关于公司</w:t>
      </w:r>
      <w:r>
        <w:rPr>
          <w:spacing w:val="-63"/>
        </w:rPr>
        <w:t> </w:t>
      </w:r>
      <w:r>
        <w:rPr>
          <w:rFonts w:ascii="宋体" w:hAnsi="宋体" w:cs="宋体" w:eastAsia="宋体" w:hint="default"/>
        </w:rPr>
        <w:t>2012</w:t>
      </w:r>
      <w:r>
        <w:rPr>
          <w:rFonts w:ascii="宋体" w:hAnsi="宋体" w:cs="宋体" w:eastAsia="宋体" w:hint="default"/>
          <w:spacing w:val="-64"/>
        </w:rPr>
        <w:t> </w:t>
      </w:r>
      <w:r>
        <w:rPr/>
        <w:t>年度利润分</w:t>
      </w:r>
    </w:p>
    <w:p>
      <w:pPr>
        <w:pStyle w:val="BodyText"/>
        <w:spacing w:line="313" w:lineRule="exact" w:before="0"/>
        <w:ind w:right="0"/>
        <w:jc w:val="left"/>
      </w:pPr>
      <w:r>
        <w:rPr/>
        <w:t>配方案》，公司以股本</w:t>
      </w:r>
      <w:r>
        <w:rPr>
          <w:spacing w:val="-59"/>
        </w:rPr>
        <w:t> </w:t>
      </w:r>
      <w:r>
        <w:rPr>
          <w:rFonts w:ascii="宋体" w:hAnsi="宋体" w:cs="宋体" w:eastAsia="宋体" w:hint="default"/>
        </w:rPr>
        <w:t>515,940,000</w:t>
      </w:r>
      <w:r>
        <w:rPr>
          <w:rFonts w:ascii="宋体" w:hAnsi="宋体" w:cs="宋体" w:eastAsia="宋体" w:hint="default"/>
          <w:spacing w:val="-60"/>
        </w:rPr>
        <w:t> </w:t>
      </w:r>
      <w:r>
        <w:rPr/>
        <w:t>股为基数，每</w:t>
      </w:r>
      <w:r>
        <w:rPr>
          <w:spacing w:val="-60"/>
        </w:rPr>
        <w:t> </w:t>
      </w:r>
      <w:r>
        <w:rPr>
          <w:rFonts w:ascii="宋体" w:hAnsi="宋体" w:cs="宋体" w:eastAsia="宋体" w:hint="default"/>
        </w:rPr>
        <w:t>10</w:t>
      </w:r>
      <w:r>
        <w:rPr>
          <w:rFonts w:ascii="宋体" w:hAnsi="宋体" w:cs="宋体" w:eastAsia="宋体" w:hint="default"/>
          <w:spacing w:val="-60"/>
        </w:rPr>
        <w:t> </w:t>
      </w:r>
      <w:r>
        <w:rPr/>
        <w:t>股派</w:t>
      </w:r>
      <w:r>
        <w:rPr>
          <w:spacing w:val="-60"/>
        </w:rPr>
        <w:t> </w:t>
      </w:r>
      <w:r>
        <w:rPr>
          <w:rFonts w:ascii="宋体" w:hAnsi="宋体" w:cs="宋体" w:eastAsia="宋体" w:hint="default"/>
        </w:rPr>
        <w:t>0.6</w:t>
      </w:r>
      <w:r>
        <w:rPr>
          <w:rFonts w:ascii="宋体" w:hAnsi="宋体" w:cs="宋体" w:eastAsia="宋体" w:hint="default"/>
          <w:spacing w:val="-60"/>
        </w:rPr>
        <w:t> </w:t>
      </w:r>
      <w:r>
        <w:rPr/>
        <w:t>元现金（含税）。</w:t>
      </w:r>
    </w:p>
    <w:p>
      <w:pPr>
        <w:spacing w:line="240" w:lineRule="auto" w:before="12"/>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1"/>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6,193,685,383.87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4,610,656,132.64</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4,673,213.96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6,203,583.12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5,885,282,681.14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4,331,854,396.10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企业信息化服务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948,495,094.81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835,721,587.36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730,471,455.89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568,016,795.09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215,233,163.21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133,891,186.28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100,136,620.98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78,389,702.31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5,029,957,125.85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2"/>
                <w:sz w:val="18"/>
              </w:rPr>
              <w:t>4,911,332,011.08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3,780,048,055.77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3,679,730,334.19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6,193,685,383.87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5,880,944,784.72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4,610,656,132.64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4,326,136,831.59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通信设备产品及制造</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242,317,608.98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150,631,899.74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193,455,479.59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42,385,437.72</w:t>
            </w:r>
          </w:p>
        </w:tc>
      </w:tr>
      <w:tr>
        <w:trPr>
          <w:trHeight w:val="7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计算机涉密、系统集成业务及外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围设备销售业务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706,177,485.83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685,089,687.62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537,015,976.30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525,631,357.37</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215,233,163.21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133,891,186.28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100,136,620.98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78,389,702.31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5,029,957,125.85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4,911,332,011.08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3,780,048,055.77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3,679,730,334.19</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6,193,685,383.87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5,880,944,784.72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4,610,656,132.64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4,326,136,831.59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53,867,428.22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41,643,563.25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70,009,355.45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58,275,208.42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1,757,383,867.59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1,559,010,253.49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1,602,355,653.31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1,436,432,080.77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4,222,986,597.89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4,142,580,569.11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2,753,990,869.10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2,663,879,673.71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159,447,490.17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137,710,398.87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184,300,254.78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167,549,868.69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6,193,685,383.87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5,880,944,784.72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4,610,656,132.64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4,326,136,831.59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）公司来自前五名客户的营业收入情况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49"/>
        <w:gridCol w:w="4127"/>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南京庆亚贸易有限公司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751,468,509.44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12.12%</w:t>
            </w:r>
          </w:p>
        </w:tc>
      </w:tr>
      <w:tr>
        <w:trPr>
          <w:trHeight w:val="715"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苏宁云商集团股份有限公司苏宁 采购中心</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717,810,413.68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11.58%</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江苏好家居网络科技有限公司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609,484,316.33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565,750,854.90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南京东州科技有限公司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450,348,962.05</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3,094,863,056.40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49.93%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、合同项目收入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合同项目的说明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2"/>
        <w:gridCol w:w="2922"/>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4"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1992" w:type="dxa"/>
            <w:tcBorders>
              <w:top w:val="single" w:sz="4" w:space="0" w:color="000000"/>
              <w:left w:val="single" w:sz="9" w:space="0" w:color="D2D2D2"/>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8,597,383.56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4,744,452.64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2,783,625.15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3,237,039.11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1,999,515.48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2,321,229.03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1992" w:type="dxa"/>
            <w:tcBorders>
              <w:top w:val="single" w:sz="4" w:space="0" w:color="000000"/>
              <w:left w:val="single" w:sz="9" w:space="0" w:color="D2D2D2"/>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16,125.71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109,949.09</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价格基金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11,751.39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20,948.15</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文教基金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5,925.00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6,145.94</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82,512.58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13,496,838.87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10,439,763.96</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1"/>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36,614,157.01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24,451,361.25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1,505,286.68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3,194,967.99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5,025,749.89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3,067,912.11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5,582,280.81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3,033,313.65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4,391,415.20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2,944,379.70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2,254,771.69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1,856,102.68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2,199,412.47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1,479,318.05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1,809,782.72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1,410,134.07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2,429,289.43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590,524.59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1,298,021.48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612,436.49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18,166,792.25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25,046,346.22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81,276,959.63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67,686,796.80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1"/>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39,204,989.29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28,012,597.50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1"/>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17,113,608.00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2,085,524.27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11,884,333.87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12,709,612.00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9,220,103.96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8,681,091.07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5,256,910.72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6,057,939.73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3,097,993.27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4,720,658.41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6,442,217.46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6,296,060.92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4,218,526.12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4,022,827.31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3,041,064.59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1,774,940.17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4,858,506.22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1,665,536.30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14,336,611.47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8,712,406.67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118,674,864.97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84,739,194.35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1"/>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69,874,744.05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58,790,845.86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-7,779,429.84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-2,903,941.51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19,130.35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10,445.89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-25,490.15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-41,225.47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976,717.65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1,082,214.16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1,636,347.43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4,313.53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64,702,019.49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56,942,652.46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2"/>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27" w:right="0"/>
              <w:jc w:val="left"/>
              <w:rPr>
                <w:rFonts w:ascii="Times New Roman" w:hAnsi="Times New Roman" w:cs="Times New Roman" w:eastAsia="Times New Roman" w:hint="default"/>
                <w:sz w:val="18"/>
                <w:szCs w:val="18"/>
              </w:rPr>
            </w:pPr>
            <w:r>
              <w:rPr>
                <w:rFonts w:ascii="Times New Roman"/>
                <w:sz w:val="18"/>
              </w:rPr>
              <w:t>37,801,865.05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602,854.42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46"/>
        <w:gridCol w:w="2800"/>
        <w:gridCol w:w="2922"/>
      </w:tblGrid>
      <w:tr>
        <w:trPr>
          <w:trHeight w:val="402"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61,307.02</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5,788,712.33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2,213,492.42</w:t>
            </w:r>
          </w:p>
        </w:tc>
      </w:tr>
      <w:tr>
        <w:trPr>
          <w:trHeight w:val="403"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43,651,884.40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2,816,346.84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22"/>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2"/>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715"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北京海岸淘金创业投资有限公司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37,556,993.37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272,739.76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6"/>
              <w:jc w:val="left"/>
              <w:rPr>
                <w:rFonts w:ascii="宋体" w:hAnsi="宋体" w:cs="宋体" w:eastAsia="宋体" w:hint="default"/>
                <w:sz w:val="18"/>
                <w:szCs w:val="18"/>
              </w:rPr>
            </w:pPr>
            <w:r>
              <w:rPr>
                <w:rFonts w:ascii="宋体" w:hAnsi="宋体" w:cs="宋体" w:eastAsia="宋体" w:hint="default"/>
                <w:sz w:val="18"/>
                <w:szCs w:val="18"/>
              </w:rPr>
              <w:t>被投资单位处置股票获取得利及损 益调整</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244,871.68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330,114.66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损益调整</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37,801,865.05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602,854.42</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pStyle w:val="BodyText"/>
        <w:spacing w:line="312" w:lineRule="exact" w:before="97"/>
        <w:ind w:right="139" w:firstLine="480"/>
        <w:jc w:val="left"/>
      </w:pPr>
      <w:r>
        <w:rPr/>
        <w:t>其他项本期金额</w:t>
      </w:r>
      <w:r>
        <w:rPr>
          <w:spacing w:val="-53"/>
        </w:rPr>
        <w:t> </w:t>
      </w:r>
      <w:r>
        <w:rPr>
          <w:rFonts w:ascii="宋体" w:hAnsi="宋体" w:cs="宋体" w:eastAsia="宋体" w:hint="default"/>
        </w:rPr>
        <w:t>5,788,712.33</w:t>
      </w:r>
      <w:r>
        <w:rPr>
          <w:rFonts w:ascii="宋体" w:hAnsi="宋体" w:cs="宋体" w:eastAsia="宋体" w:hint="default"/>
          <w:spacing w:val="-52"/>
        </w:rPr>
        <w:t> </w:t>
      </w:r>
      <w:r>
        <w:rPr>
          <w:spacing w:val="-4"/>
        </w:rPr>
        <w:t>元系公司购买理财产品取得的投资收益。本公司不存在投</w:t>
      </w:r>
      <w:r>
        <w:rPr/>
        <w:t> 资收益汇回的重大限制。</w:t>
      </w:r>
    </w:p>
    <w:p>
      <w:pPr>
        <w:spacing w:line="240" w:lineRule="auto" w:before="9"/>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90"/>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1,067,040.36</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15,582,342.16</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24,997,052.24</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8,545,126.37</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37" w:type="dxa"/>
            <w:tcBorders>
              <w:top w:val="single" w:sz="4" w:space="0" w:color="000000"/>
              <w:left w:val="single" w:sz="10" w:space="0" w:color="D2D2D2"/>
              <w:bottom w:val="single" w:sz="4" w:space="0" w:color="000000"/>
              <w:right w:val="single" w:sz="4" w:space="0" w:color="000000"/>
            </w:tcBorders>
          </w:tcPr>
          <w:p>
            <w:pP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10,116,000.00</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26,064,092.60</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34,243,468.53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3282"/>
        <w:gridCol w:w="1956"/>
        <w:gridCol w:w="2160"/>
        <w:gridCol w:w="2149"/>
      </w:tblGrid>
      <w:tr>
        <w:trPr>
          <w:trHeight w:val="161" w:hRule="exact"/>
        </w:trPr>
        <w:tc>
          <w:tcPr>
            <w:tcW w:w="3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895" w:right="70" w:hanging="809"/>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49" w:type="dxa"/>
            <w:vMerge/>
            <w:tcBorders>
              <w:left w:val="single" w:sz="4" w:space="0" w:color="000000"/>
              <w:right w:val="single" w:sz="4" w:space="0" w:color="000000"/>
            </w:tcBorders>
            <w:shd w:val="clear" w:color="auto" w:fill="D2D2D2"/>
          </w:tcPr>
          <w:p>
            <w:pPr/>
          </w:p>
        </w:tc>
      </w:tr>
      <w:tr>
        <w:trPr>
          <w:trHeight w:val="161" w:hRule="exact"/>
        </w:trPr>
        <w:tc>
          <w:tcPr>
            <w:tcW w:w="3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22,087.90</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8" w:right="0"/>
              <w:jc w:val="left"/>
              <w:rPr>
                <w:rFonts w:ascii="Times New Roman" w:hAnsi="Times New Roman" w:cs="Times New Roman" w:eastAsia="Times New Roman" w:hint="default"/>
                <w:sz w:val="18"/>
                <w:szCs w:val="18"/>
              </w:rPr>
            </w:pPr>
            <w:r>
              <w:rPr>
                <w:rFonts w:ascii="Times New Roman"/>
                <w:sz w:val="18"/>
              </w:rPr>
              <w:t>22,087.90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82"/>
        <w:gridCol w:w="1967"/>
        <w:gridCol w:w="2161"/>
        <w:gridCol w:w="2160"/>
      </w:tblGrid>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22,087.90</w:t>
            </w:r>
          </w:p>
        </w:tc>
        <w:tc>
          <w:tcPr>
            <w:tcW w:w="216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22,087.90</w:t>
            </w:r>
          </w:p>
        </w:tc>
      </w:tr>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67" w:type="dxa"/>
            <w:tcBorders>
              <w:top w:val="single" w:sz="4" w:space="0" w:color="000000"/>
              <w:left w:val="single" w:sz="9" w:space="0" w:color="D2D2D2"/>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967" w:type="dxa"/>
            <w:tcBorders>
              <w:top w:val="single" w:sz="4" w:space="0" w:color="000000"/>
              <w:left w:val="single" w:sz="9" w:space="0" w:color="D2D2D2"/>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967" w:type="dxa"/>
            <w:tcBorders>
              <w:top w:val="single" w:sz="4" w:space="0" w:color="000000"/>
              <w:left w:val="single" w:sz="9" w:space="0" w:color="D2D2D2"/>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967" w:type="dxa"/>
            <w:tcBorders>
              <w:top w:val="single" w:sz="4" w:space="0" w:color="000000"/>
              <w:left w:val="single" w:sz="9" w:space="0" w:color="D2D2D2"/>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54,465,269.38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8,536,852.50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48,700,146.92</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1,482,990.88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416,695.04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1,482,990.88</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55,970,348.16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8,953,547.54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50,205,225.70</w:t>
            </w:r>
          </w:p>
        </w:tc>
      </w:tr>
    </w:tbl>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0"/>
        <w:rPr>
          <w:rFonts w:ascii="宋体" w:hAnsi="宋体" w:cs="宋体" w:eastAsia="宋体" w:hint="default"/>
          <w:sz w:val="18"/>
          <w:szCs w:val="18"/>
        </w:rPr>
      </w:pPr>
    </w:p>
    <w:p>
      <w:pPr>
        <w:spacing w:before="12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）计入当期损益的政府补助</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是否属于非经常性损益</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软件增值税返还</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5,765,122.46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3,554,072.28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扶持基金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北京商委促消费奖励资 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国家知识产权专利局北 京代办处拨来专利资助 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年第一批中小企业 国际市场开拓费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78,297.00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58,397.00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年中央国有资本经 营预算重大技术创新及 产业化资金</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年中央国有资本经 营预算重大技术创新及 产业化资金项目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济宁政府招商引资项目 扶持资金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年度工业企业流动 资金贷款贴息资金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中关村科技园区海淀管 委会信用报告评估费补 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项目、煤矿安全生</w:t>
            </w:r>
            <w:r>
              <w:rPr>
                <w:rFonts w:ascii="宋体" w:hAnsi="宋体" w:cs="宋体" w:eastAsia="宋体" w:hint="default"/>
                <w:w w:val="99"/>
                <w:sz w:val="18"/>
                <w:szCs w:val="18"/>
              </w:rPr>
              <w:t> </w:t>
            </w:r>
            <w:r>
              <w:rPr>
                <w:rFonts w:ascii="宋体" w:hAnsi="宋体" w:cs="宋体" w:eastAsia="宋体" w:hint="default"/>
                <w:sz w:val="18"/>
                <w:szCs w:val="18"/>
              </w:rPr>
              <w:t>产信息化标准体系研究</w:t>
            </w:r>
            <w:r>
              <w:rPr>
                <w:rFonts w:ascii="宋体" w:hAnsi="宋体" w:cs="宋体" w:eastAsia="宋体" w:hint="default"/>
                <w:w w:val="99"/>
                <w:sz w:val="18"/>
                <w:szCs w:val="18"/>
              </w:rPr>
              <w:t> </w:t>
            </w:r>
            <w:r>
              <w:rPr>
                <w:rFonts w:ascii="宋体" w:hAnsi="宋体" w:cs="宋体" w:eastAsia="宋体" w:hint="default"/>
                <w:sz w:val="18"/>
                <w:szCs w:val="18"/>
              </w:rPr>
              <w:t>制定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499,999.92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499,999.92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产品专项补助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3,049,999.96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999,999.96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5,833.34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54,465,269.38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8,536,852.50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6"/>
        <w:gridCol w:w="1913"/>
      </w:tblGrid>
      <w:tr>
        <w:trPr>
          <w:trHeight w:val="162"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681"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1,616,099.70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581,375.93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1,616,099.70</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1,569,335.68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581,375.93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1,569,335.68</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349,766.53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1,684,779.52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349,766.53</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1,965,866.23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2,266,155.45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1,965,866.23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32,895,084.55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21,742,382.15</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-1,951,306.24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-3,784,234.77</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30,943,778.31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17,958,147.38</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68" w:lineRule="auto" w:before="0"/>
        <w:ind w:left="633" w:right="7133"/>
        <w:jc w:val="left"/>
        <w:rPr>
          <w:rFonts w:ascii="宋体" w:hAnsi="宋体" w:cs="宋体" w:eastAsia="宋体" w:hint="default"/>
        </w:rPr>
      </w:pPr>
      <w:r>
        <w:rPr/>
        <w:t>计算公式： </w:t>
      </w:r>
      <w:r>
        <w:rPr>
          <w:rFonts w:ascii="宋体" w:hAnsi="宋体" w:cs="宋体" w:eastAsia="宋体" w:hint="default"/>
        </w:rPr>
        <w:t>1</w:t>
      </w:r>
      <w:r>
        <w:rPr/>
        <w:t>、基本每股收益 基本每股收益</w:t>
      </w:r>
      <w:r>
        <w:rPr>
          <w:rFonts w:ascii="宋体" w:hAnsi="宋体" w:cs="宋体" w:eastAsia="宋体" w:hint="default"/>
        </w:rPr>
        <w:t>=P0</w:t>
      </w:r>
      <w:r>
        <w:rPr/>
        <w:t>÷</w:t>
      </w:r>
      <w:r>
        <w:rPr>
          <w:rFonts w:ascii="宋体" w:hAnsi="宋体" w:cs="宋体" w:eastAsia="宋体" w:hint="default"/>
        </w:rPr>
        <w:t>S</w:t>
      </w:r>
    </w:p>
    <w:p>
      <w:pPr>
        <w:pStyle w:val="BodyText"/>
        <w:spacing w:line="240" w:lineRule="auto" w:before="10"/>
        <w:ind w:left="633" w:right="0"/>
        <w:jc w:val="left"/>
        <w:rPr>
          <w:rFonts w:ascii="宋体" w:hAnsi="宋体" w:cs="宋体" w:eastAsia="宋体" w:hint="default"/>
        </w:rPr>
      </w:pPr>
      <w:r>
        <w:rPr>
          <w:rFonts w:ascii="宋体" w:hAnsi="宋体" w:cs="宋体" w:eastAsia="宋体" w:hint="default"/>
        </w:rPr>
        <w:t>S=S0</w:t>
      </w:r>
      <w:r>
        <w:rPr/>
        <w:t>＋</w:t>
      </w:r>
      <w:r>
        <w:rPr>
          <w:rFonts w:ascii="宋体" w:hAnsi="宋体" w:cs="宋体" w:eastAsia="宋体" w:hint="default"/>
        </w:rPr>
        <w:t>S1</w:t>
      </w:r>
      <w:r>
        <w:rPr/>
        <w:t>＋</w:t>
      </w:r>
      <w:r>
        <w:rPr>
          <w:rFonts w:ascii="宋体" w:hAnsi="宋体" w:cs="宋体" w:eastAsia="宋体" w:hint="default"/>
        </w:rPr>
        <w:t>Si</w:t>
      </w:r>
      <w:r>
        <w:rPr/>
        <w:t>×</w:t>
      </w:r>
      <w:r>
        <w:rPr>
          <w:rFonts w:ascii="宋体" w:hAnsi="宋体" w:cs="宋体" w:eastAsia="宋体" w:hint="default"/>
        </w:rPr>
        <w:t>Mi</w:t>
      </w:r>
      <w:r>
        <w:rPr/>
        <w:t>÷</w:t>
      </w:r>
      <w:r>
        <w:rPr>
          <w:rFonts w:ascii="宋体" w:hAnsi="宋体" w:cs="宋体" w:eastAsia="宋体" w:hint="default"/>
        </w:rPr>
        <w:t>M0</w:t>
      </w:r>
      <w:r>
        <w:rPr/>
        <w:t>–</w:t>
      </w:r>
      <w:r>
        <w:rPr>
          <w:rFonts w:ascii="宋体" w:hAnsi="宋体" w:cs="宋体" w:eastAsia="宋体" w:hint="default"/>
        </w:rPr>
        <w:t>Sj</w:t>
      </w:r>
      <w:r>
        <w:rPr/>
        <w:t>×</w:t>
      </w:r>
      <w:r>
        <w:rPr>
          <w:rFonts w:ascii="宋体" w:hAnsi="宋体" w:cs="宋体" w:eastAsia="宋体" w:hint="default"/>
        </w:rPr>
        <w:t>Mj</w:t>
      </w:r>
      <w:r>
        <w:rPr/>
        <w:t>÷</w:t>
      </w:r>
      <w:r>
        <w:rPr>
          <w:rFonts w:ascii="宋体" w:hAnsi="宋体" w:cs="宋体" w:eastAsia="宋体" w:hint="default"/>
        </w:rPr>
        <w:t>M0</w:t>
      </w:r>
      <w:r>
        <w:rPr/>
        <w:t>–</w:t>
      </w:r>
      <w:r>
        <w:rPr>
          <w:rFonts w:ascii="宋体" w:hAnsi="宋体" w:cs="宋体" w:eastAsia="宋体" w:hint="default"/>
        </w:rPr>
        <w:t>Sk</w:t>
      </w:r>
    </w:p>
    <w:p>
      <w:pPr>
        <w:pStyle w:val="BodyText"/>
        <w:spacing w:line="237" w:lineRule="auto" w:before="39"/>
        <w:ind w:right="134" w:firstLine="480"/>
        <w:jc w:val="left"/>
      </w:pPr>
      <w:r>
        <w:rPr>
          <w:spacing w:val="-5"/>
        </w:rPr>
        <w:t>其中：</w:t>
      </w:r>
      <w:r>
        <w:rPr>
          <w:rFonts w:ascii="宋体" w:hAnsi="宋体" w:cs="宋体" w:eastAsia="宋体" w:hint="default"/>
          <w:spacing w:val="-5"/>
        </w:rPr>
        <w:t>P0</w:t>
      </w:r>
      <w:r>
        <w:rPr>
          <w:rFonts w:ascii="宋体" w:hAnsi="宋体" w:cs="宋体" w:eastAsia="宋体" w:hint="default"/>
          <w:spacing w:val="-57"/>
        </w:rPr>
        <w:t> </w:t>
      </w:r>
      <w:r>
        <w:rPr/>
        <w:t>为归属于公司普通股股东的净利润或扣除非经常性损益后归属于普通股股东的 净利润；</w:t>
      </w:r>
      <w:r>
        <w:rPr>
          <w:rFonts w:ascii="宋体" w:hAnsi="宋体" w:cs="宋体" w:eastAsia="宋体" w:hint="default"/>
        </w:rPr>
        <w:t>S</w:t>
      </w:r>
      <w:r>
        <w:rPr>
          <w:rFonts w:ascii="宋体" w:hAnsi="宋体" w:cs="宋体" w:eastAsia="宋体" w:hint="default"/>
          <w:spacing w:val="-67"/>
        </w:rPr>
        <w:t> </w:t>
      </w:r>
      <w:r>
        <w:rPr/>
        <w:t>为发行在外的普通股加权平均数；</w:t>
      </w:r>
      <w:r>
        <w:rPr>
          <w:rFonts w:ascii="宋体" w:hAnsi="宋体" w:cs="宋体" w:eastAsia="宋体" w:hint="default"/>
        </w:rPr>
        <w:t>S0</w:t>
      </w:r>
      <w:r>
        <w:rPr>
          <w:rFonts w:ascii="宋体" w:hAnsi="宋体" w:cs="宋体" w:eastAsia="宋体" w:hint="default"/>
          <w:spacing w:val="-67"/>
        </w:rPr>
        <w:t> </w:t>
      </w:r>
      <w:r>
        <w:rPr/>
        <w:t>为期初股份总数；</w:t>
      </w:r>
      <w:r>
        <w:rPr>
          <w:rFonts w:ascii="宋体" w:hAnsi="宋体" w:cs="宋体" w:eastAsia="宋体" w:hint="default"/>
        </w:rPr>
        <w:t>S1</w:t>
      </w:r>
      <w:r>
        <w:rPr>
          <w:rFonts w:ascii="宋体" w:hAnsi="宋体" w:cs="宋体" w:eastAsia="宋体" w:hint="default"/>
          <w:spacing w:val="-67"/>
        </w:rPr>
        <w:t> </w:t>
      </w:r>
      <w:r>
        <w:rPr/>
        <w:t>为报告期因公积金转增 </w:t>
      </w:r>
      <w:r>
        <w:rPr>
          <w:spacing w:val="-3"/>
        </w:rPr>
        <w:t>股本或股票股利分配等增加股份数；</w:t>
      </w:r>
      <w:r>
        <w:rPr>
          <w:rFonts w:ascii="宋体" w:hAnsi="宋体" w:cs="宋体" w:eastAsia="宋体" w:hint="default"/>
          <w:spacing w:val="-3"/>
        </w:rPr>
        <w:t>Si</w:t>
      </w:r>
      <w:r>
        <w:rPr>
          <w:rFonts w:ascii="宋体" w:hAnsi="宋体" w:cs="宋体" w:eastAsia="宋体" w:hint="default"/>
          <w:spacing w:val="-73"/>
        </w:rPr>
        <w:t> </w:t>
      </w:r>
      <w:r>
        <w:rPr/>
        <w:t>为报告期因发行新股或债转股等增加股份数；</w:t>
      </w:r>
      <w:r>
        <w:rPr>
          <w:rFonts w:ascii="宋体" w:hAnsi="宋体" w:cs="宋体" w:eastAsia="宋体" w:hint="default"/>
        </w:rPr>
        <w:t>Sj</w:t>
      </w:r>
      <w:r>
        <w:rPr>
          <w:rFonts w:ascii="宋体" w:hAnsi="宋体" w:cs="宋体" w:eastAsia="宋体" w:hint="default"/>
          <w:spacing w:val="-73"/>
        </w:rPr>
        <w:t> </w:t>
      </w:r>
      <w:r>
        <w:rPr/>
        <w:t>为报 告期因回购等减少股份数；</w:t>
      </w:r>
      <w:r>
        <w:rPr>
          <w:rFonts w:ascii="宋体" w:hAnsi="宋体" w:cs="宋体" w:eastAsia="宋体" w:hint="default"/>
        </w:rPr>
        <w:t>Sk</w:t>
      </w:r>
      <w:r>
        <w:rPr>
          <w:rFonts w:ascii="宋体" w:hAnsi="宋体" w:cs="宋体" w:eastAsia="宋体" w:hint="default"/>
          <w:spacing w:val="-60"/>
        </w:rPr>
        <w:t> </w:t>
      </w:r>
      <w:r>
        <w:rPr/>
        <w:t>为报告期缩股数；</w:t>
      </w:r>
      <w:r>
        <w:rPr>
          <w:rFonts w:ascii="宋体" w:hAnsi="宋体" w:cs="宋体" w:eastAsia="宋体" w:hint="default"/>
        </w:rPr>
        <w:t>M0</w:t>
      </w:r>
      <w:r>
        <w:rPr>
          <w:rFonts w:ascii="宋体" w:hAnsi="宋体" w:cs="宋体" w:eastAsia="宋体" w:hint="default"/>
          <w:spacing w:val="-60"/>
        </w:rPr>
        <w:t> </w:t>
      </w:r>
      <w:r>
        <w:rPr/>
        <w:t>报告期月份数；</w:t>
      </w:r>
      <w:r>
        <w:rPr>
          <w:rFonts w:ascii="宋体" w:hAnsi="宋体" w:cs="宋体" w:eastAsia="宋体" w:hint="default"/>
        </w:rPr>
        <w:t>Mi</w:t>
      </w:r>
      <w:r>
        <w:rPr>
          <w:rFonts w:ascii="宋体" w:hAnsi="宋体" w:cs="宋体" w:eastAsia="宋体" w:hint="default"/>
          <w:spacing w:val="-60"/>
        </w:rPr>
        <w:t> </w:t>
      </w:r>
      <w:r>
        <w:rPr/>
        <w:t>为增加股份次月起至 报告期期末的累计月数；</w:t>
      </w:r>
      <w:r>
        <w:rPr>
          <w:rFonts w:ascii="宋体" w:hAnsi="宋体" w:cs="宋体" w:eastAsia="宋体" w:hint="default"/>
        </w:rPr>
        <w:t>Mj</w:t>
      </w:r>
      <w:r>
        <w:rPr>
          <w:rFonts w:ascii="宋体" w:hAnsi="宋体" w:cs="宋体" w:eastAsia="宋体" w:hint="default"/>
          <w:spacing w:val="-59"/>
        </w:rPr>
        <w:t> </w:t>
      </w:r>
      <w:r>
        <w:rPr/>
        <w:t>为减少股份次月起至报告期期末的累计月数。</w:t>
      </w:r>
    </w:p>
    <w:p>
      <w:pPr>
        <w:spacing w:line="240" w:lineRule="auto" w:before="12"/>
        <w:rPr>
          <w:rFonts w:ascii="宋体" w:hAnsi="宋体" w:cs="宋体" w:eastAsia="宋体" w:hint="default"/>
          <w:sz w:val="29"/>
          <w:szCs w:val="29"/>
        </w:rPr>
      </w:pPr>
    </w:p>
    <w:p>
      <w:pPr>
        <w:pStyle w:val="BodyText"/>
        <w:spacing w:line="240" w:lineRule="auto" w:before="0"/>
        <w:ind w:left="633" w:right="0"/>
        <w:jc w:val="left"/>
      </w:pPr>
      <w:r>
        <w:rPr>
          <w:rFonts w:ascii="宋体" w:hAnsi="宋体" w:cs="宋体" w:eastAsia="宋体" w:hint="default"/>
        </w:rPr>
        <w:t>2</w:t>
      </w:r>
      <w:r>
        <w:rPr/>
        <w:t>、稀释每股收益</w:t>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3"/>
          <w:szCs w:val="23"/>
        </w:rPr>
      </w:pPr>
    </w:p>
    <w:p>
      <w:pPr>
        <w:pStyle w:val="BodyText"/>
        <w:spacing w:line="240" w:lineRule="auto" w:before="26"/>
        <w:ind w:right="254" w:firstLine="480"/>
        <w:jc w:val="left"/>
        <w:rPr>
          <w:rFonts w:ascii="宋体" w:hAnsi="宋体" w:cs="宋体" w:eastAsia="宋体" w:hint="default"/>
        </w:rPr>
      </w:pPr>
      <w:r>
        <w:rPr/>
        <w:t>稀释每股收益</w:t>
      </w:r>
      <w:r>
        <w:rPr>
          <w:rFonts w:ascii="宋体" w:hAnsi="宋体" w:cs="宋体" w:eastAsia="宋体" w:hint="default"/>
        </w:rPr>
        <w:t>=P1/(S0</w:t>
      </w:r>
      <w:r>
        <w:rPr/>
        <w:t>＋</w:t>
      </w:r>
      <w:r>
        <w:rPr>
          <w:rFonts w:ascii="宋体" w:hAnsi="宋体" w:cs="宋体" w:eastAsia="宋体" w:hint="default"/>
        </w:rPr>
        <w:t>S1</w:t>
      </w:r>
      <w:r>
        <w:rPr/>
        <w:t>＋</w:t>
      </w:r>
      <w:r>
        <w:rPr>
          <w:rFonts w:ascii="宋体" w:hAnsi="宋体" w:cs="宋体" w:eastAsia="宋体" w:hint="default"/>
        </w:rPr>
        <w:t>Si</w:t>
      </w:r>
      <w:r>
        <w:rPr/>
        <w:t>×</w:t>
      </w:r>
      <w:r>
        <w:rPr>
          <w:rFonts w:ascii="宋体" w:hAnsi="宋体" w:cs="宋体" w:eastAsia="宋体" w:hint="default"/>
        </w:rPr>
        <w:t>Mi</w:t>
      </w:r>
      <w:r>
        <w:rPr/>
        <w:t>÷</w:t>
      </w:r>
      <w:r>
        <w:rPr>
          <w:rFonts w:ascii="宋体" w:hAnsi="宋体" w:cs="宋体" w:eastAsia="宋体" w:hint="default"/>
        </w:rPr>
        <w:t>M0</w:t>
      </w:r>
      <w:r>
        <w:rPr/>
        <w:t>–</w:t>
      </w:r>
      <w:r>
        <w:rPr>
          <w:rFonts w:ascii="宋体" w:hAnsi="宋体" w:cs="宋体" w:eastAsia="宋体" w:hint="default"/>
        </w:rPr>
        <w:t>Sj</w:t>
      </w:r>
      <w:r>
        <w:rPr/>
        <w:t>×</w:t>
      </w:r>
      <w:r>
        <w:rPr>
          <w:rFonts w:ascii="宋体" w:hAnsi="宋体" w:cs="宋体" w:eastAsia="宋体" w:hint="default"/>
        </w:rPr>
        <w:t>Mj</w:t>
      </w:r>
      <w:r>
        <w:rPr/>
        <w:t>÷</w:t>
      </w:r>
      <w:r>
        <w:rPr>
          <w:rFonts w:ascii="宋体" w:hAnsi="宋体" w:cs="宋体" w:eastAsia="宋体" w:hint="default"/>
        </w:rPr>
        <w:t>M0</w:t>
      </w:r>
      <w:r>
        <w:rPr/>
        <w:t>–</w:t>
      </w:r>
      <w:r>
        <w:rPr>
          <w:rFonts w:ascii="宋体" w:hAnsi="宋体" w:cs="宋体" w:eastAsia="宋体" w:hint="default"/>
        </w:rPr>
        <w:t>Sk+</w:t>
      </w:r>
      <w:r>
        <w:rPr/>
        <w:t>认股权证、股份期权、可转 换债券等增加的普通股加权平均数</w:t>
      </w:r>
      <w:r>
        <w:rPr>
          <w:rFonts w:ascii="宋体" w:hAnsi="宋体" w:cs="宋体" w:eastAsia="宋体" w:hint="default"/>
        </w:rPr>
        <w:t>)</w:t>
      </w:r>
    </w:p>
    <w:p>
      <w:pPr>
        <w:pStyle w:val="BodyText"/>
        <w:spacing w:line="312" w:lineRule="exact" w:before="69"/>
        <w:ind w:right="96" w:firstLine="480"/>
        <w:jc w:val="left"/>
      </w:pPr>
      <w:r>
        <w:rPr>
          <w:spacing w:val="-5"/>
        </w:rPr>
        <w:t>其中，</w:t>
      </w:r>
      <w:r>
        <w:rPr>
          <w:rFonts w:ascii="宋体" w:hAnsi="宋体" w:cs="宋体" w:eastAsia="宋体" w:hint="default"/>
          <w:spacing w:val="-5"/>
        </w:rPr>
        <w:t>P1</w:t>
      </w:r>
      <w:r>
        <w:rPr>
          <w:rFonts w:ascii="宋体" w:hAnsi="宋体" w:cs="宋体" w:eastAsia="宋体" w:hint="default"/>
          <w:spacing w:val="-60"/>
        </w:rPr>
        <w:t> </w:t>
      </w:r>
      <w:r>
        <w:rPr/>
        <w:t>为归属于公司普通股股东的净利润或扣除非经常性损益后归属于公司普通股股 </w:t>
      </w:r>
      <w:r>
        <w:rPr>
          <w:spacing w:val="-2"/>
        </w:rPr>
        <w:t>东的净利润，并考虑稀释性潜在普通股对其影响，按《企业会计准则》及有关规定进行调整。</w:t>
      </w:r>
      <w:r>
        <w:rPr/>
        <w:t> 公司在计算稀释每股收益时，应考虑所有稀释性潜在普通股对归属于公司普通股股东的净利 润或扣除非经常性损益后归属于公司普通股股东的净利润和加权平均股数的影响，按照其稀 释程度从大到小的顺序计入稀释每股收益，直至稀释每股收益达到最小值。</w:t>
      </w:r>
    </w:p>
    <w:p>
      <w:pPr>
        <w:spacing w:line="240" w:lineRule="auto" w:before="6"/>
        <w:rPr>
          <w:rFonts w:ascii="宋体" w:hAnsi="宋体" w:cs="宋体" w:eastAsia="宋体" w:hint="default"/>
          <w:sz w:val="24"/>
          <w:szCs w:val="24"/>
        </w:rPr>
      </w:pPr>
    </w:p>
    <w:p>
      <w:pPr>
        <w:pStyle w:val="BodyText"/>
        <w:spacing w:line="240" w:lineRule="auto" w:before="0"/>
        <w:ind w:left="633" w:right="96"/>
        <w:jc w:val="left"/>
      </w:pPr>
      <w:r>
        <w:rPr/>
        <w:t>计算过程：</w:t>
      </w:r>
    </w:p>
    <w:p>
      <w:pPr>
        <w:pStyle w:val="BodyText"/>
        <w:spacing w:line="268" w:lineRule="auto" w:before="38"/>
        <w:ind w:left="633" w:right="253"/>
        <w:jc w:val="left"/>
      </w:pPr>
      <w:r>
        <w:rPr/>
        <w:t>（</w:t>
      </w:r>
      <w:r>
        <w:rPr>
          <w:rFonts w:ascii="宋体" w:hAnsi="宋体" w:cs="宋体" w:eastAsia="宋体" w:hint="default"/>
        </w:rPr>
        <w:t>1</w:t>
      </w:r>
      <w:r>
        <w:rPr/>
        <w:t>）基本每股收益 基本每股收益以归属于本公司普通股股东的合并净利润除以本公司发行在外普通股的加</w:t>
      </w:r>
    </w:p>
    <w:p>
      <w:pPr>
        <w:pStyle w:val="BodyText"/>
        <w:spacing w:line="283" w:lineRule="exact" w:before="0"/>
        <w:ind w:right="96"/>
        <w:jc w:val="left"/>
      </w:pPr>
      <w:r>
        <w:rPr/>
        <w:t>权平均数计算：</w:t>
      </w:r>
    </w:p>
    <w:p>
      <w:pPr>
        <w:spacing w:line="240" w:lineRule="auto" w:before="10"/>
        <w:rPr>
          <w:rFonts w:ascii="宋体" w:hAnsi="宋体" w:cs="宋体" w:eastAsia="宋体" w:hint="default"/>
          <w:sz w:val="29"/>
          <w:szCs w:val="29"/>
        </w:rPr>
      </w:pPr>
    </w:p>
    <w:tbl>
      <w:tblPr>
        <w:tblW w:w="0" w:type="auto"/>
        <w:jc w:val="left"/>
        <w:tblInd w:w="726" w:type="dxa"/>
        <w:tblLayout w:type="fixed"/>
        <w:tblCellMar>
          <w:top w:w="0" w:type="dxa"/>
          <w:left w:w="0" w:type="dxa"/>
          <w:bottom w:w="0" w:type="dxa"/>
          <w:right w:w="0" w:type="dxa"/>
        </w:tblCellMar>
        <w:tblLook w:val="01E0"/>
      </w:tblPr>
      <w:tblGrid>
        <w:gridCol w:w="4868"/>
        <w:gridCol w:w="1928"/>
        <w:gridCol w:w="1925"/>
      </w:tblGrid>
      <w:tr>
        <w:trPr>
          <w:trHeight w:val="355" w:hRule="exact"/>
        </w:trPr>
        <w:tc>
          <w:tcPr>
            <w:tcW w:w="48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7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77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3" w:hRule="exact"/>
        </w:trPr>
        <w:tc>
          <w:tcPr>
            <w:tcW w:w="48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w:t>
            </w:r>
          </w:p>
        </w:tc>
        <w:tc>
          <w:tcPr>
            <w:tcW w:w="19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52,176,395.94</w:t>
            </w:r>
          </w:p>
        </w:tc>
        <w:tc>
          <w:tcPr>
            <w:tcW w:w="19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25,005,713.64</w:t>
            </w:r>
          </w:p>
        </w:tc>
      </w:tr>
      <w:tr>
        <w:trPr>
          <w:trHeight w:val="350" w:hRule="exact"/>
        </w:trPr>
        <w:tc>
          <w:tcPr>
            <w:tcW w:w="48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19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515,940,000.00</w:t>
            </w:r>
          </w:p>
        </w:tc>
        <w:tc>
          <w:tcPr>
            <w:tcW w:w="19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348,153,333.33</w:t>
            </w:r>
          </w:p>
        </w:tc>
      </w:tr>
      <w:tr>
        <w:trPr>
          <w:trHeight w:val="353" w:hRule="exact"/>
        </w:trPr>
        <w:tc>
          <w:tcPr>
            <w:tcW w:w="48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0.101</w:t>
            </w:r>
          </w:p>
        </w:tc>
        <w:tc>
          <w:tcPr>
            <w:tcW w:w="19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0.072</w:t>
            </w:r>
          </w:p>
        </w:tc>
      </w:tr>
    </w:tbl>
    <w:p>
      <w:pPr>
        <w:spacing w:line="240" w:lineRule="auto" w:before="2"/>
        <w:rPr>
          <w:rFonts w:ascii="宋体" w:hAnsi="宋体" w:cs="宋体" w:eastAsia="宋体" w:hint="default"/>
          <w:sz w:val="20"/>
          <w:szCs w:val="20"/>
        </w:rPr>
      </w:pPr>
    </w:p>
    <w:p>
      <w:pPr>
        <w:spacing w:before="36"/>
        <w:ind w:left="573" w:right="96" w:firstLine="0"/>
        <w:jc w:val="left"/>
        <w:rPr>
          <w:rFonts w:ascii="宋体" w:hAnsi="宋体" w:cs="宋体" w:eastAsia="宋体" w:hint="default"/>
          <w:sz w:val="21"/>
          <w:szCs w:val="21"/>
        </w:rPr>
      </w:pPr>
      <w:r>
        <w:rPr>
          <w:rFonts w:ascii="宋体" w:hAnsi="宋体" w:cs="宋体" w:eastAsia="宋体" w:hint="default"/>
          <w:sz w:val="21"/>
          <w:szCs w:val="21"/>
        </w:rPr>
        <w:t>普通股的加权平均数计算过程如下：</w:t>
      </w:r>
    </w:p>
    <w:p>
      <w:pPr>
        <w:spacing w:line="240" w:lineRule="auto" w:before="10"/>
        <w:rPr>
          <w:rFonts w:ascii="宋体" w:hAnsi="宋体" w:cs="宋体" w:eastAsia="宋体" w:hint="default"/>
          <w:sz w:val="3"/>
          <w:szCs w:val="3"/>
        </w:rPr>
      </w:pPr>
    </w:p>
    <w:tbl>
      <w:tblPr>
        <w:tblW w:w="0" w:type="auto"/>
        <w:jc w:val="left"/>
        <w:tblInd w:w="722" w:type="dxa"/>
        <w:tblLayout w:type="fixed"/>
        <w:tblCellMar>
          <w:top w:w="0" w:type="dxa"/>
          <w:left w:w="0" w:type="dxa"/>
          <w:bottom w:w="0" w:type="dxa"/>
          <w:right w:w="0" w:type="dxa"/>
        </w:tblCellMar>
        <w:tblLook w:val="01E0"/>
      </w:tblPr>
      <w:tblGrid>
        <w:gridCol w:w="4873"/>
        <w:gridCol w:w="1930"/>
        <w:gridCol w:w="1928"/>
      </w:tblGrid>
      <w:tr>
        <w:trPr>
          <w:trHeight w:val="355" w:hRule="exact"/>
        </w:trPr>
        <w:tc>
          <w:tcPr>
            <w:tcW w:w="48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3" w:hRule="exact"/>
        </w:trPr>
        <w:tc>
          <w:tcPr>
            <w:tcW w:w="4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年初已发行普通股股数</w:t>
            </w:r>
          </w:p>
        </w:tc>
        <w:tc>
          <w:tcPr>
            <w:tcW w:w="1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515,940,000.00</w:t>
            </w:r>
          </w:p>
        </w:tc>
        <w:tc>
          <w:tcPr>
            <w:tcW w:w="19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332,900,000.00</w:t>
            </w:r>
          </w:p>
        </w:tc>
      </w:tr>
      <w:tr>
        <w:trPr>
          <w:trHeight w:val="350" w:hRule="exact"/>
        </w:trPr>
        <w:tc>
          <w:tcPr>
            <w:tcW w:w="4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加：本期发行的普通股加权数</w:t>
            </w:r>
          </w:p>
        </w:tc>
        <w:tc>
          <w:tcPr>
            <w:tcW w:w="1930" w:type="dxa"/>
            <w:tcBorders>
              <w:top w:val="single" w:sz="12" w:space="0" w:color="000000"/>
              <w:left w:val="single" w:sz="6" w:space="0" w:color="000000"/>
              <w:bottom w:val="single" w:sz="12" w:space="0" w:color="000000"/>
              <w:right w:val="single" w:sz="6" w:space="0" w:color="000000"/>
            </w:tcBorders>
          </w:tcPr>
          <w:p>
            <w:pPr/>
          </w:p>
        </w:tc>
        <w:tc>
          <w:tcPr>
            <w:tcW w:w="19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15,253,333.33</w:t>
            </w:r>
          </w:p>
        </w:tc>
      </w:tr>
      <w:tr>
        <w:trPr>
          <w:trHeight w:val="353" w:hRule="exact"/>
        </w:trPr>
        <w:tc>
          <w:tcPr>
            <w:tcW w:w="4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减：本期回购的普通股加权数</w:t>
            </w:r>
          </w:p>
        </w:tc>
        <w:tc>
          <w:tcPr>
            <w:tcW w:w="1930" w:type="dxa"/>
            <w:tcBorders>
              <w:top w:val="single" w:sz="12" w:space="0" w:color="000000"/>
              <w:left w:val="single" w:sz="6" w:space="0" w:color="000000"/>
              <w:bottom w:val="single" w:sz="12" w:space="0" w:color="000000"/>
              <w:right w:val="single" w:sz="6" w:space="0" w:color="000000"/>
            </w:tcBorders>
          </w:tcPr>
          <w:p>
            <w:pPr/>
          </w:p>
        </w:tc>
        <w:tc>
          <w:tcPr>
            <w:tcW w:w="192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1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515,940,000.00</w:t>
            </w:r>
          </w:p>
        </w:tc>
        <w:tc>
          <w:tcPr>
            <w:tcW w:w="19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348,153,333.33</w:t>
            </w:r>
          </w:p>
        </w:tc>
      </w:tr>
    </w:tbl>
    <w:p>
      <w:pPr>
        <w:spacing w:line="240" w:lineRule="auto" w:before="11"/>
        <w:rPr>
          <w:rFonts w:ascii="宋体" w:hAnsi="宋体" w:cs="宋体" w:eastAsia="宋体" w:hint="default"/>
          <w:sz w:val="24"/>
          <w:szCs w:val="24"/>
        </w:rPr>
      </w:pPr>
    </w:p>
    <w:p>
      <w:pPr>
        <w:pStyle w:val="BodyText"/>
        <w:spacing w:line="268" w:lineRule="auto" w:before="26"/>
        <w:ind w:left="633" w:right="253"/>
        <w:jc w:val="left"/>
      </w:pPr>
      <w:r>
        <w:rPr/>
        <w:t>（</w:t>
      </w:r>
      <w:r>
        <w:rPr>
          <w:rFonts w:ascii="宋体" w:hAnsi="宋体" w:cs="宋体" w:eastAsia="宋体" w:hint="default"/>
        </w:rPr>
        <w:t>2</w:t>
      </w:r>
      <w:r>
        <w:rPr/>
        <w:t>）稀释每股收益 稀释每股收益以调整后的归属于本公司普通股股东的合并净利润除以调整后的本公司发</w:t>
      </w:r>
    </w:p>
    <w:p>
      <w:pPr>
        <w:pStyle w:val="BodyText"/>
        <w:spacing w:line="283" w:lineRule="exact" w:before="0"/>
        <w:ind w:right="96"/>
        <w:jc w:val="left"/>
      </w:pPr>
      <w:r>
        <w:rPr/>
        <w:t>行在外普通股的加权平均数计算：</w:t>
      </w:r>
    </w:p>
    <w:p>
      <w:pPr>
        <w:spacing w:line="240" w:lineRule="auto" w:before="1"/>
        <w:rPr>
          <w:rFonts w:ascii="宋体" w:hAnsi="宋体" w:cs="宋体" w:eastAsia="宋体" w:hint="default"/>
          <w:sz w:val="6"/>
          <w:szCs w:val="6"/>
        </w:rPr>
      </w:pPr>
    </w:p>
    <w:tbl>
      <w:tblPr>
        <w:tblW w:w="0" w:type="auto"/>
        <w:jc w:val="left"/>
        <w:tblInd w:w="722" w:type="dxa"/>
        <w:tblLayout w:type="fixed"/>
        <w:tblCellMar>
          <w:top w:w="0" w:type="dxa"/>
          <w:left w:w="0" w:type="dxa"/>
          <w:bottom w:w="0" w:type="dxa"/>
          <w:right w:w="0" w:type="dxa"/>
        </w:tblCellMar>
        <w:tblLook w:val="01E0"/>
      </w:tblPr>
      <w:tblGrid>
        <w:gridCol w:w="4892"/>
        <w:gridCol w:w="1935"/>
        <w:gridCol w:w="1935"/>
      </w:tblGrid>
      <w:tr>
        <w:trPr>
          <w:trHeight w:val="353" w:hRule="exact"/>
        </w:trPr>
        <w:tc>
          <w:tcPr>
            <w:tcW w:w="48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6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78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78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3" w:hRule="exact"/>
        </w:trPr>
        <w:tc>
          <w:tcPr>
            <w:tcW w:w="48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归属于本公司普通股股东的合并净利润（稀释）</w:t>
            </w:r>
          </w:p>
        </w:tc>
        <w:tc>
          <w:tcPr>
            <w:tcW w:w="19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52,176,395.94</w:t>
            </w:r>
          </w:p>
        </w:tc>
        <w:tc>
          <w:tcPr>
            <w:tcW w:w="19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25,005,713.64</w:t>
            </w:r>
          </w:p>
        </w:tc>
      </w:tr>
      <w:tr>
        <w:trPr>
          <w:trHeight w:val="353" w:hRule="exact"/>
        </w:trPr>
        <w:tc>
          <w:tcPr>
            <w:tcW w:w="48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本公司发行在外普通股的加权平均数（稀释）</w:t>
            </w:r>
          </w:p>
        </w:tc>
        <w:tc>
          <w:tcPr>
            <w:tcW w:w="19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515,940,000.00</w:t>
            </w:r>
          </w:p>
        </w:tc>
        <w:tc>
          <w:tcPr>
            <w:tcW w:w="19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348,153,333.33</w:t>
            </w:r>
          </w:p>
        </w:tc>
      </w:tr>
      <w:tr>
        <w:trPr>
          <w:trHeight w:val="353" w:hRule="exact"/>
        </w:trPr>
        <w:tc>
          <w:tcPr>
            <w:tcW w:w="48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0.101</w:t>
            </w:r>
          </w:p>
        </w:tc>
        <w:tc>
          <w:tcPr>
            <w:tcW w:w="19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0.072</w:t>
            </w:r>
          </w:p>
        </w:tc>
      </w:tr>
    </w:tbl>
    <w:p>
      <w:pPr>
        <w:spacing w:line="240" w:lineRule="auto" w:before="2"/>
        <w:rPr>
          <w:rFonts w:ascii="宋体" w:hAnsi="宋体" w:cs="宋体" w:eastAsia="宋体" w:hint="default"/>
          <w:sz w:val="20"/>
          <w:szCs w:val="20"/>
        </w:rPr>
      </w:pPr>
    </w:p>
    <w:p>
      <w:pPr>
        <w:spacing w:before="36"/>
        <w:ind w:left="573" w:right="96" w:firstLine="0"/>
        <w:jc w:val="left"/>
        <w:rPr>
          <w:rFonts w:ascii="宋体" w:hAnsi="宋体" w:cs="宋体" w:eastAsia="宋体" w:hint="default"/>
          <w:sz w:val="21"/>
          <w:szCs w:val="21"/>
        </w:rPr>
      </w:pPr>
      <w:r>
        <w:rPr>
          <w:rFonts w:ascii="宋体" w:hAnsi="宋体" w:cs="宋体" w:eastAsia="宋体" w:hint="default"/>
          <w:sz w:val="21"/>
          <w:szCs w:val="21"/>
        </w:rPr>
        <w:t>普通股的加权平均数（稀释）计算过程如下：</w:t>
      </w:r>
    </w:p>
    <w:p>
      <w:pPr>
        <w:spacing w:line="240" w:lineRule="auto" w:before="10"/>
        <w:rPr>
          <w:rFonts w:ascii="宋体" w:hAnsi="宋体" w:cs="宋体" w:eastAsia="宋体" w:hint="default"/>
          <w:sz w:val="3"/>
          <w:szCs w:val="3"/>
        </w:rPr>
      </w:pPr>
    </w:p>
    <w:tbl>
      <w:tblPr>
        <w:tblW w:w="0" w:type="auto"/>
        <w:jc w:val="left"/>
        <w:tblInd w:w="722" w:type="dxa"/>
        <w:tblLayout w:type="fixed"/>
        <w:tblCellMar>
          <w:top w:w="0" w:type="dxa"/>
          <w:left w:w="0" w:type="dxa"/>
          <w:bottom w:w="0" w:type="dxa"/>
          <w:right w:w="0" w:type="dxa"/>
        </w:tblCellMar>
        <w:tblLook w:val="01E0"/>
      </w:tblPr>
      <w:tblGrid>
        <w:gridCol w:w="4916"/>
        <w:gridCol w:w="1945"/>
        <w:gridCol w:w="1947"/>
      </w:tblGrid>
      <w:tr>
        <w:trPr>
          <w:trHeight w:val="353" w:hRule="exact"/>
        </w:trPr>
        <w:tc>
          <w:tcPr>
            <w:tcW w:w="4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6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7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78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3" w:hRule="exact"/>
        </w:trPr>
        <w:tc>
          <w:tcPr>
            <w:tcW w:w="4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计算基本每股收益时年末发行在外的普通股加权平均数</w:t>
            </w:r>
          </w:p>
        </w:tc>
        <w:tc>
          <w:tcPr>
            <w:tcW w:w="19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803" w:right="0"/>
              <w:jc w:val="left"/>
              <w:rPr>
                <w:rFonts w:ascii="Times New Roman" w:hAnsi="Times New Roman" w:cs="Times New Roman" w:eastAsia="Times New Roman" w:hint="default"/>
                <w:sz w:val="18"/>
                <w:szCs w:val="18"/>
              </w:rPr>
            </w:pPr>
            <w:r>
              <w:rPr>
                <w:rFonts w:ascii="Times New Roman"/>
                <w:sz w:val="18"/>
              </w:rPr>
              <w:t>515,940,000.00</w:t>
            </w:r>
          </w:p>
        </w:tc>
        <w:tc>
          <w:tcPr>
            <w:tcW w:w="19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803" w:right="0"/>
              <w:jc w:val="left"/>
              <w:rPr>
                <w:rFonts w:ascii="Times New Roman" w:hAnsi="Times New Roman" w:cs="Times New Roman" w:eastAsia="Times New Roman" w:hint="default"/>
                <w:sz w:val="18"/>
                <w:szCs w:val="18"/>
              </w:rPr>
            </w:pPr>
            <w:r>
              <w:rPr>
                <w:rFonts w:ascii="Times New Roman"/>
                <w:sz w:val="18"/>
              </w:rPr>
              <w:t>348,153,333.33</w:t>
            </w:r>
          </w:p>
        </w:tc>
      </w:tr>
      <w:tr>
        <w:trPr>
          <w:trHeight w:val="353" w:hRule="exact"/>
        </w:trPr>
        <w:tc>
          <w:tcPr>
            <w:tcW w:w="4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可转换债券的影响</w:t>
            </w:r>
          </w:p>
        </w:tc>
        <w:tc>
          <w:tcPr>
            <w:tcW w:w="1945" w:type="dxa"/>
            <w:tcBorders>
              <w:top w:val="single" w:sz="12" w:space="0" w:color="000000"/>
              <w:left w:val="single" w:sz="6" w:space="0" w:color="000000"/>
              <w:bottom w:val="single" w:sz="12" w:space="0" w:color="000000"/>
              <w:right w:val="single" w:sz="6" w:space="0" w:color="000000"/>
            </w:tcBorders>
          </w:tcPr>
          <w:p>
            <w:pPr/>
          </w:p>
        </w:tc>
        <w:tc>
          <w:tcPr>
            <w:tcW w:w="1947"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4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股份期权的影响</w:t>
            </w:r>
          </w:p>
        </w:tc>
        <w:tc>
          <w:tcPr>
            <w:tcW w:w="1945" w:type="dxa"/>
            <w:tcBorders>
              <w:top w:val="single" w:sz="12" w:space="0" w:color="000000"/>
              <w:left w:val="single" w:sz="6" w:space="0" w:color="000000"/>
              <w:bottom w:val="single" w:sz="12" w:space="0" w:color="000000"/>
              <w:right w:val="single" w:sz="6" w:space="0" w:color="000000"/>
            </w:tcBorders>
          </w:tcPr>
          <w:p>
            <w:pPr/>
          </w:p>
        </w:tc>
        <w:tc>
          <w:tcPr>
            <w:tcW w:w="1947"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4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年末普通股的加权平均数（稀释）</w:t>
            </w:r>
          </w:p>
        </w:tc>
        <w:tc>
          <w:tcPr>
            <w:tcW w:w="19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803" w:right="0"/>
              <w:jc w:val="left"/>
              <w:rPr>
                <w:rFonts w:ascii="Times New Roman" w:hAnsi="Times New Roman" w:cs="Times New Roman" w:eastAsia="Times New Roman" w:hint="default"/>
                <w:sz w:val="18"/>
                <w:szCs w:val="18"/>
              </w:rPr>
            </w:pPr>
            <w:r>
              <w:rPr>
                <w:rFonts w:ascii="Times New Roman"/>
                <w:sz w:val="18"/>
              </w:rPr>
              <w:t>515,940,000.00</w:t>
            </w:r>
          </w:p>
        </w:tc>
        <w:tc>
          <w:tcPr>
            <w:tcW w:w="19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803" w:right="0"/>
              <w:jc w:val="left"/>
              <w:rPr>
                <w:rFonts w:ascii="Times New Roman" w:hAnsi="Times New Roman" w:cs="Times New Roman" w:eastAsia="Times New Roman" w:hint="default"/>
                <w:sz w:val="18"/>
                <w:szCs w:val="18"/>
              </w:rPr>
            </w:pPr>
            <w:r>
              <w:rPr>
                <w:rFonts w:ascii="Times New Roman"/>
                <w:sz w:val="18"/>
              </w:rPr>
              <w:t>348,153,333.33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0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1"/>
        <w:gridCol w:w="2526"/>
        <w:gridCol w:w="2392"/>
      </w:tblGrid>
      <w:tr>
        <w:trPr>
          <w:trHeight w:val="403"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、现金流量表附注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244,070,523.73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47,760,610.99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27,955,750.89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收回个人借款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18,431,010.38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7,779,429.84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罚款、违约金、赔偿金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455,817.40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9,771,525,768.73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10,123,408,911.96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pStyle w:val="BodyText"/>
        <w:spacing w:line="312" w:lineRule="exact" w:before="100"/>
        <w:ind w:right="174" w:firstLine="480"/>
        <w:jc w:val="left"/>
      </w:pPr>
      <w:r>
        <w:rPr/>
        <w:t>收到的其他与经营活动有关的现金说明：其他项本期金额增加较大，主要系新收购北京 高阳捷迅信息技术有限公司收取的商户预收及结算款</w:t>
      </w:r>
      <w:r>
        <w:rPr>
          <w:spacing w:val="-59"/>
        </w:rPr>
        <w:t> </w:t>
      </w:r>
      <w:r>
        <w:rPr>
          <w:rFonts w:ascii="宋体" w:hAnsi="宋体" w:cs="宋体" w:eastAsia="宋体" w:hint="default"/>
        </w:rPr>
        <w:t>9,771,472,008.55</w:t>
      </w:r>
      <w:r>
        <w:rPr>
          <w:rFonts w:ascii="宋体" w:hAnsi="宋体" w:cs="宋体" w:eastAsia="宋体" w:hint="default"/>
          <w:spacing w:val="-60"/>
        </w:rPr>
        <w:t> </w:t>
      </w:r>
      <w:r>
        <w:rPr/>
        <w:t>元所致。</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136,383,872.47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8,289,429.53</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9,205,043.53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6,826,037.86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4,606,082.54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1,809,672.55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3,399,452.43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2,497,213.79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301,565.84</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2,401,804.91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9,014,873.28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4,870,395.93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4,495,773.67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广告宣传展览费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1,663,686.02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10,679,785.11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6,086,193.96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976,717.65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9,977,066,644.61</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10,190,574,245.68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pStyle w:val="BodyText"/>
        <w:spacing w:line="312" w:lineRule="exact" w:before="97"/>
        <w:ind w:right="174" w:firstLine="480"/>
        <w:jc w:val="left"/>
      </w:pPr>
      <w:r>
        <w:rPr/>
        <w:t>支付的其他与经营活动有关的现金说明：其他项本期金额增加较大，主要系新收购北京 高阳捷迅信息技术有限公司支付的商户预收及结算款</w:t>
      </w:r>
      <w:r>
        <w:rPr>
          <w:spacing w:val="-59"/>
        </w:rPr>
        <w:t> </w:t>
      </w:r>
      <w:r>
        <w:rPr>
          <w:rFonts w:ascii="宋体" w:hAnsi="宋体" w:cs="宋体" w:eastAsia="宋体" w:hint="default"/>
        </w:rPr>
        <w:t>9,971,621,210.32</w:t>
      </w:r>
      <w:r>
        <w:rPr>
          <w:rFonts w:ascii="宋体" w:hAnsi="宋体" w:cs="宋体" w:eastAsia="宋体" w:hint="default"/>
          <w:spacing w:val="-60"/>
        </w:rPr>
        <w:t> </w:t>
      </w:r>
      <w:r>
        <w:rPr/>
        <w:t>元所致。</w:t>
      </w:r>
    </w:p>
    <w:p>
      <w:pPr>
        <w:spacing w:line="240" w:lineRule="auto" w:before="9"/>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85"/>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财务顾问费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85"/>
      </w:tblGrid>
      <w:tr>
        <w:trPr>
          <w:trHeight w:val="404"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委托贷款手续费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195,000.00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资本增值额印花税</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筹资咨询费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69,924.14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299,924.14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8"/>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75,573,729.15</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22,499,035.11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26,064,092.60</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34,243,468.53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28,659,951.50</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31,502,119.96</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16,249,402.18</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14,295,144.30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4,042,249.73</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6,234,694.91</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1,594,011.80</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507,104.65</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74,271.28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69,597,632.94</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58,790,845.86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-43,651,884.40</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-2,816,346.84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-1,951,306.24</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-3,784,234.77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-428,992,074.78</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92,670,425.31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-681,656,758.24</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-458,573,983.44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1,086,409,452.52</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167,785,223.25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-1,517,071.72</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150,421,427.04</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-36,572,231.89</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1,144,267,032.11</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1,189,015,013.11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1,189,015,013.11</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313,912,044.28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-44,747,981.00</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875,102,968.83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）本报告期取得或处置子公司及其他营业单位的相关信息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3"/>
        <w:gridCol w:w="2539"/>
        <w:gridCol w:w="2658"/>
      </w:tblGrid>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269,000,000.00</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255,253,390.00</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110,551,662.23</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144,701,727.77</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193,028,370.84</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454,201,818.28</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13,443,410.38</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274,616,857.82</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处置子公司及其他营业单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收到的现金和现金等价物</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-53,307.02</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8,434,738.09</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15,684.32</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8,503,729.43</w:t>
            </w:r>
          </w:p>
        </w:tc>
        <w:tc>
          <w:tcPr>
            <w:tcW w:w="26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8"/>
      </w:tblGrid>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1,144,267,032.11</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1,189,015,013.11</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1,144,267,032.11</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1,189,015,013.11</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426,193.82</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165,653.58</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6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1,119,004,962.08</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1,187,842,465.08</w:t>
            </w:r>
          </w:p>
        </w:tc>
      </w:tr>
      <w:tr>
        <w:trPr>
          <w:trHeight w:val="404"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6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24,835,876.21</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1,006,894.45</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1,144,267,032.11</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1,189,015,013.11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项目名称及调整金额、由同一控制下企业合并产生的追溯调整等事项</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、说明资产证券化业务的主要交易安排及其会计处理、破产隔离条款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、公司不具有控制权但实质上承担其风险的特殊目的主体情况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2"/>
        <w:gridCol w:w="869"/>
        <w:gridCol w:w="871"/>
        <w:gridCol w:w="869"/>
        <w:gridCol w:w="871"/>
        <w:gridCol w:w="869"/>
        <w:gridCol w:w="871"/>
        <w:gridCol w:w="869"/>
        <w:gridCol w:w="862"/>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341" w:right="69" w:hanging="269"/>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339"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电信科学 技术研究 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116"/>
              <w:jc w:val="left"/>
              <w:rPr>
                <w:rFonts w:ascii="宋体" w:hAnsi="宋体" w:cs="宋体" w:eastAsia="宋体" w:hint="default"/>
                <w:sz w:val="18"/>
                <w:szCs w:val="18"/>
              </w:rPr>
            </w:pPr>
            <w:r>
              <w:rPr>
                <w:rFonts w:ascii="宋体" w:hAnsi="宋体" w:cs="宋体" w:eastAsia="宋体" w:hint="default"/>
                <w:sz w:val="18"/>
                <w:szCs w:val="18"/>
              </w:rPr>
              <w:t>全民所有 制企业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真才基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8"/>
                <w:sz w:val="18"/>
                <w:szCs w:val="18"/>
              </w:rPr>
              <w:t>通信、电子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设备的开 发、生产 销售</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160" w:lineRule="exact"/>
              <w:ind w:left="23" w:right="0"/>
              <w:jc w:val="left"/>
              <w:rPr>
                <w:rFonts w:ascii="Times New Roman" w:hAnsi="Times New Roman" w:cs="Times New Roman" w:eastAsia="Times New Roman" w:hint="default"/>
                <w:sz w:val="18"/>
                <w:szCs w:val="18"/>
              </w:rPr>
            </w:pPr>
            <w:r>
              <w:rPr>
                <w:rFonts w:ascii="Times New Roman"/>
                <w:sz w:val="18"/>
              </w:rPr>
              <w:t>743,025</w:t>
            </w:r>
          </w:p>
          <w:p>
            <w:pPr>
              <w:pStyle w:val="TableParagraph"/>
              <w:spacing w:line="189"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13.04%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13.04%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13"/>
              <w:jc w:val="both"/>
              <w:rPr>
                <w:rFonts w:ascii="宋体" w:hAnsi="宋体" w:cs="宋体" w:eastAsia="宋体" w:hint="default"/>
                <w:sz w:val="18"/>
                <w:szCs w:val="18"/>
              </w:rPr>
            </w:pPr>
            <w:r>
              <w:rPr>
                <w:rFonts w:ascii="宋体" w:hAnsi="宋体" w:cs="宋体" w:eastAsia="宋体" w:hint="default"/>
                <w:sz w:val="18"/>
                <w:szCs w:val="18"/>
              </w:rPr>
              <w:t>电信科学 技术研究 院</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400011016</w:t>
            </w:r>
          </w:p>
        </w:tc>
      </w:tr>
    </w:tbl>
    <w:p>
      <w:pPr>
        <w:spacing w:before="49"/>
        <w:ind w:left="152" w:right="0" w:firstLine="0"/>
        <w:jc w:val="left"/>
        <w:rPr>
          <w:rFonts w:ascii="宋体" w:hAnsi="宋体" w:cs="宋体" w:eastAsia="宋体" w:hint="default"/>
          <w:sz w:val="18"/>
          <w:szCs w:val="18"/>
        </w:rPr>
      </w:pPr>
      <w:r>
        <w:rPr/>
        <w:pict>
          <v:group style="position:absolute;margin-left:318.190002pt;margin-top:-44.118294pt;width:43pt;height:43.65pt;mso-position-horizontal-relative:page;mso-position-vertical-relative:paragraph;z-index:-1330768" coordorigin="6364,-882" coordsize="860,873">
            <v:group style="position:absolute;left:6375;top:-872;width:2;height:394" coordorigin="6375,-872" coordsize="2,394">
              <v:shape style="position:absolute;left:6375;top:-872;width:2;height:394" coordorigin="6375,-872" coordsize="0,394" path="m6375,-872l6375,-478e" filled="false" stroked="true" strokeweight="1.08pt" strokecolor="#ffffff">
                <v:path arrowok="t"/>
              </v:shape>
            </v:group>
            <v:group style="position:absolute;left:6364;top:-478;width:860;height:468" coordorigin="6364,-478" coordsize="860,468">
              <v:shape style="position:absolute;left:6364;top:-478;width:860;height:468" coordorigin="6364,-478" coordsize="860,468" path="m6364,-10l7223,-10,7223,-478,6364,-478,6364,-10xe" filled="true" fillcolor="#ffffff" stroked="false">
                <v:path arrowok="t"/>
                <v:fill type="solid"/>
              </v:shape>
            </v:group>
            <v:group style="position:absolute;left:6385;top:-872;width:816;height:394" coordorigin="6385,-872" coordsize="816,394">
              <v:shape style="position:absolute;left:6385;top:-872;width:816;height:394" coordorigin="6385,-872" coordsize="816,394" path="m6385,-478l7201,-478,7201,-872,6385,-872,6385,-478xe" filled="true" fillcolor="#ffffff" stroked="false">
                <v:path arrowok="t"/>
                <v:fill type="solid"/>
              </v:shape>
            </v:group>
            <w10:wrap type="none"/>
          </v:group>
        </w:pict>
      </w:r>
      <w:r>
        <w:rPr>
          <w:rFonts w:ascii="宋体" w:hAnsi="宋体" w:cs="宋体" w:eastAsia="宋体" w:hint="default"/>
          <w:sz w:val="18"/>
          <w:szCs w:val="18"/>
        </w:rPr>
        <w:t>本企业的母公司情况的说明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5"/>
        <w:gridCol w:w="958"/>
        <w:gridCol w:w="956"/>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北京大唐高 鸿数据网络 技术有限公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z w:val="18"/>
                <w:szCs w:val="18"/>
              </w:rPr>
              <w:t>通讯设备系 统集成、贸 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801170093</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北京大唐高 鸿软件技术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86"/>
              <w:jc w:val="center"/>
              <w:rPr>
                <w:rFonts w:ascii="Times New Roman" w:hAnsi="Times New Roman" w:cs="Times New Roman" w:eastAsia="Times New Roman" w:hint="default"/>
                <w:sz w:val="18"/>
                <w:szCs w:val="18"/>
              </w:rPr>
            </w:pPr>
            <w:r>
              <w:rPr>
                <w:rFonts w:ascii="Times New Roman"/>
                <w:sz w:val="18"/>
              </w:rPr>
              <w:t>30,000,000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782501511</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大唐高鸿通 信技术有限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互联网增值 信息服务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185,000,000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783964614</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宋体" w:hAnsi="宋体" w:cs="宋体" w:eastAsia="宋体" w:hint="default"/>
                <w:sz w:val="18"/>
                <w:szCs w:val="18"/>
              </w:rPr>
            </w:pPr>
            <w:r>
              <w:rPr>
                <w:rFonts w:ascii="宋体" w:hAnsi="宋体" w:cs="宋体" w:eastAsia="宋体" w:hint="default"/>
                <w:sz w:val="18"/>
                <w:szCs w:val="18"/>
              </w:rPr>
              <w:t>贵州大唐高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有限责任公</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贵州省贵阳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电子产品销</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6"/>
              <w:jc w:val="center"/>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067710752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5"/>
        <w:gridCol w:w="958"/>
        <w:gridCol w:w="956"/>
        <w:gridCol w:w="958"/>
        <w:gridCol w:w="958"/>
      </w:tblGrid>
      <w:tr>
        <w:trPr>
          <w:trHeight w:val="98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1"/>
              <w:jc w:val="both"/>
              <w:rPr>
                <w:rFonts w:ascii="宋体" w:hAnsi="宋体" w:cs="宋体" w:eastAsia="宋体" w:hint="default"/>
                <w:sz w:val="18"/>
                <w:szCs w:val="18"/>
              </w:rPr>
            </w:pPr>
            <w:r>
              <w:rPr>
                <w:rFonts w:ascii="宋体" w:hAnsi="宋体" w:cs="宋体" w:eastAsia="宋体" w:hint="default"/>
                <w:sz w:val="18"/>
                <w:szCs w:val="18"/>
              </w:rPr>
              <w:t>鸿电子信息 技术有限公 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市</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北京大唐高 鸿科技发展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计算机软硬 件销售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86"/>
              <w:jc w:val="center"/>
              <w:rPr>
                <w:rFonts w:ascii="Times New Roman" w:hAnsi="Times New Roman" w:cs="Times New Roman" w:eastAsia="Times New Roman" w:hint="default"/>
                <w:sz w:val="18"/>
                <w:szCs w:val="18"/>
              </w:rPr>
            </w:pPr>
            <w:r>
              <w:rPr>
                <w:rFonts w:ascii="Times New Roman"/>
                <w:sz w:val="18"/>
              </w:rPr>
              <w:t>65,000,000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551427043</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大唐高鸿济 宁电子信息 技术有限公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山东省济宁 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9"/>
              <w:jc w:val="left"/>
              <w:rPr>
                <w:rFonts w:ascii="宋体" w:hAnsi="宋体" w:cs="宋体" w:eastAsia="宋体" w:hint="default"/>
                <w:sz w:val="18"/>
                <w:szCs w:val="18"/>
              </w:rPr>
            </w:pPr>
            <w:r>
              <w:rPr>
                <w:rFonts w:ascii="宋体" w:hAnsi="宋体" w:cs="宋体" w:eastAsia="宋体" w:hint="default"/>
                <w:sz w:val="18"/>
                <w:szCs w:val="18"/>
              </w:rPr>
              <w:t>电子产品销 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86"/>
              <w:jc w:val="center"/>
              <w:rPr>
                <w:rFonts w:ascii="Times New Roman" w:hAnsi="Times New Roman" w:cs="Times New Roman" w:eastAsia="Times New Roman" w:hint="default"/>
                <w:sz w:val="18"/>
                <w:szCs w:val="18"/>
              </w:rPr>
            </w:pPr>
            <w:r>
              <w:rPr>
                <w:rFonts w:ascii="Times New Roman"/>
                <w:sz w:val="18"/>
              </w:rPr>
              <w:t>30,000,000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595221653</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江苏高鸿鼎 恒信息技术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江苏省南京 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电子产品销 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067080316</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大唐高鸿信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电子产品销 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685103052</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北京大唐融 合通信技术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电信增值业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86"/>
              <w:jc w:val="center"/>
              <w:rPr>
                <w:rFonts w:ascii="Times New Roman" w:hAnsi="Times New Roman" w:cs="Times New Roman" w:eastAsia="Times New Roman" w:hint="default"/>
                <w:sz w:val="18"/>
                <w:szCs w:val="18"/>
              </w:rPr>
            </w:pPr>
            <w:r>
              <w:rPr>
                <w:rFonts w:ascii="Times New Roman"/>
                <w:sz w:val="18"/>
              </w:rPr>
              <w:t>40,000,000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717742394</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北京高阳捷 迅信息技术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信息服务业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86"/>
              <w:jc w:val="center"/>
              <w:rPr>
                <w:rFonts w:ascii="Times New Roman" w:hAnsi="Times New Roman" w:cs="Times New Roman" w:eastAsia="Times New Roman" w:hint="default"/>
                <w:sz w:val="18"/>
                <w:szCs w:val="18"/>
              </w:rPr>
            </w:pPr>
            <w:r>
              <w:rPr>
                <w:rFonts w:ascii="Times New Roman"/>
                <w:sz w:val="18"/>
              </w:rPr>
              <w:t>13,528,125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777074279</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、本企业的合营和联营企业情况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956"/>
        <w:gridCol w:w="953"/>
        <w:gridCol w:w="961"/>
        <w:gridCol w:w="955"/>
        <w:gridCol w:w="956"/>
        <w:gridCol w:w="960"/>
        <w:gridCol w:w="958"/>
        <w:gridCol w:w="958"/>
        <w:gridCol w:w="958"/>
        <w:gridCol w:w="960"/>
      </w:tblGrid>
      <w:tr>
        <w:trPr>
          <w:trHeight w:val="1337"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02" w:right="110" w:hanging="89"/>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0"/>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384"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3" w:hRule="exact"/>
        </w:trPr>
        <w:tc>
          <w:tcPr>
            <w:tcW w:w="9574"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北京海岸 淘金创业 投资有限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21"/>
              <w:jc w:val="left"/>
              <w:rPr>
                <w:rFonts w:ascii="宋体" w:hAnsi="宋体" w:cs="宋体" w:eastAsia="宋体" w:hint="default"/>
                <w:sz w:val="18"/>
                <w:szCs w:val="18"/>
              </w:rPr>
            </w:pPr>
            <w:r>
              <w:rPr>
                <w:rFonts w:ascii="宋体" w:hAnsi="宋体" w:cs="宋体" w:eastAsia="宋体" w:hint="default"/>
                <w:sz w:val="18"/>
                <w:szCs w:val="18"/>
              </w:rPr>
              <w:t>创业投资业 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24,670,000.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679601645</w:t>
            </w:r>
          </w:p>
        </w:tc>
      </w:tr>
      <w:tr>
        <w:trPr>
          <w:trHeight w:val="102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高永岗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创业投资业 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556861797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b/>
          <w:bCs/>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722617758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香港金讯科技有限公司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575000159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香港金唐电讯有限公司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575000140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现代传输杂志社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759737067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西安通和电信设备检测有限公司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58740269X</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西安方瑞电信有限责任公司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628052332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西安大唐监控技术有限公司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673263649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623904786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西安翠华通信技术有限公司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220633272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四川现代传输杂志社有限公司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052189028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数据通信科学技术研究所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400003884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盛耀无线通讯科技（北京）有限公司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686905989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深圳优思伟业通信科技有限公司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574772210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上海中研天讯通信科技有限公司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753816020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上海原动力通信科技有限公司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750320310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上海友益职业技术培训中心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425705970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上海友益通信服务有限公司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132604543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上海优思通信科技有限公司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782410601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上海通信计量站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132681821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上海浦歌电子有限公司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79147069X</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上海精佑通信科技有限公司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786281261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上海飞利通信科技实业总公司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132605730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上海迪爱斯通信设备有限公司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13264553X</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上海大唐移动通信设备有限公司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631895090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陕西大唐商务宾馆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735359292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陕西博大电讯设备机械制造有限公司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713520209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启东优思电子有限公司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678344640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672676468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联芯科技（香港）有限公司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575000001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江苏安防信息技术有限公司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591140362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江苏安防科技有限公司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134859312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海南大唐发控股权投资基金管理有限公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583910179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36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国家无线电频谱管理研究所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729947557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400000958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电信科学技术第一研究所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425001009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电信科学技术第五研究所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450719581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电信科学技术第四研究所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220624341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电信科学技术第十研究所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220633555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电信科学技术半导体研究所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400882911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733466019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726340020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大唐投资控股发展（上海）有限公司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560126648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大唐投资管理（北京）有限公司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691692711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722619948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58907946X</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大唐联诚信息系统技术有限公司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710935759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大唐控股（香港）投资有限公司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575000052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556861797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791606155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633709976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710934625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717831362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大唐电信国际技术有限公司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562081690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大唐电信国际技术（香港）有限公司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575000095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大唐电信（香港）有限公司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575000036</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大唐电信（天津）通信终端制造有限公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681861470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大唐电信（天津）技术服务有限公司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279366295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大唐电信（南京）信息技术有限公司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598030457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大唐电信（南京）科技实业有限公司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598022430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大唐电信（成都）信息技术有限公司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582601243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大唐创业投资（海南）有限公司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594925210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成都泰瑞通信设备检测有限公司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584978474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北京兴唐开元智能物业科技有限公司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802005030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北京新华瑞德电子阅读技术有限公司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562111298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北京通和实益电信科学技术研究所有限</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746128510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36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北京大唐智能卡技术有限公司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63372405X</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北京大唐志诚软件技术有限公司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748109479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北京大唐物业管理有限公司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700224531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北京大唐实创投资中心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600407533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北京大唐融合通信技术有限公司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717742394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758711244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北京畅通达通信技术有限公司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633700584</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北京八达开元建筑安装工程技术有限公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770439482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BUCDBVBA</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575000028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60" w:firstLine="0"/>
        <w:jc w:val="right"/>
        <w:rPr>
          <w:rFonts w:ascii="宋体" w:hAnsi="宋体" w:cs="宋体" w:eastAsia="宋体" w:hint="default"/>
          <w:sz w:val="18"/>
          <w:szCs w:val="18"/>
        </w:rPr>
      </w:pPr>
      <w:r>
        <w:rPr/>
        <w:pict>
          <v:shape style="position:absolute;margin-left:409.660004pt;margin-top:3.831707pt;width:85.45pt;height:15.6pt;mso-position-horizontal-relative:page;mso-position-vertical-relative:paragraph;z-index:-1330744"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00002pt;margin-top:-51.968304pt;width:479.2pt;height:321.9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4"/>
                    <w:gridCol w:w="797"/>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4"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2"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3"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北京大唐志诚软件 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321,821.95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19,940,941.66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大唐电信科技产业 控股有限公司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2,111,213.79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大唐电信科技股份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396,472.43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579,059.83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16,577,797.33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8,953,819.93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7,345,707.74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电信科学技术仪表 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573,137.05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711,834.68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大唐微电子技术有 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2pt;height:678.95pt;mso-position-horizontal-relative:page;mso-position-vertical-relative:page;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4"/>
                    <w:gridCol w:w="797"/>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4"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2"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3"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北京畅通达通信技 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7,131.62</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5,826.50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北京大唐实创投资 中心</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27,263.25</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44,775.21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北京大唐物业管理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70,369.23</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12,757.26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北京大唐智能卡技 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84,945.30</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成都泰瑞通信设备 检测有限公司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19,877.78</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36,190.60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大唐电信</w:t>
                        </w:r>
                        <w:r>
                          <w:rPr>
                            <w:rFonts w:ascii="Times New Roman" w:hAnsi="Times New Roman" w:cs="Times New Roman" w:eastAsia="Times New Roman" w:hint="default"/>
                            <w:sz w:val="18"/>
                            <w:szCs w:val="18"/>
                          </w:rPr>
                          <w:t>(</w:t>
                        </w:r>
                        <w:r>
                          <w:rPr>
                            <w:rFonts w:ascii="宋体" w:hAnsi="宋体" w:cs="宋体" w:eastAsia="宋体" w:hint="default"/>
                            <w:sz w:val="18"/>
                            <w:szCs w:val="18"/>
                          </w:rPr>
                          <w:t>成都</w:t>
                        </w:r>
                        <w:r>
                          <w:rPr>
                            <w:rFonts w:ascii="Times New Roman" w:hAnsi="Times New Roman" w:cs="Times New Roman" w:eastAsia="Times New Roman" w:hint="default"/>
                            <w:sz w:val="18"/>
                            <w:szCs w:val="18"/>
                          </w:rPr>
                          <w:t>)</w:t>
                        </w:r>
                        <w:r>
                          <w:rPr>
                            <w:rFonts w:ascii="宋体" w:hAnsi="宋体" w:cs="宋体" w:eastAsia="宋体" w:hint="default"/>
                            <w:sz w:val="18"/>
                            <w:szCs w:val="18"/>
                          </w:rPr>
                          <w:t>信 息技术有限公司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30,752.14</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大唐电信</w:t>
                        </w:r>
                        <w:r>
                          <w:rPr>
                            <w:rFonts w:ascii="Times New Roman" w:hAnsi="Times New Roman" w:cs="Times New Roman" w:eastAsia="Times New Roman" w:hint="default"/>
                            <w:sz w:val="18"/>
                            <w:szCs w:val="18"/>
                          </w:rPr>
                          <w:t>(</w:t>
                        </w:r>
                        <w:r>
                          <w:rPr>
                            <w:rFonts w:ascii="宋体" w:hAnsi="宋体" w:cs="宋体" w:eastAsia="宋体" w:hint="default"/>
                            <w:sz w:val="18"/>
                            <w:szCs w:val="18"/>
                          </w:rPr>
                          <w:t>南京</w:t>
                        </w:r>
                        <w:r>
                          <w:rPr>
                            <w:rFonts w:ascii="Times New Roman" w:hAnsi="Times New Roman" w:cs="Times New Roman" w:eastAsia="Times New Roman" w:hint="default"/>
                            <w:sz w:val="18"/>
                            <w:szCs w:val="18"/>
                          </w:rPr>
                          <w:t>)</w:t>
                        </w:r>
                        <w:r>
                          <w:rPr>
                            <w:rFonts w:ascii="宋体" w:hAnsi="宋体" w:cs="宋体" w:eastAsia="宋体" w:hint="default"/>
                            <w:sz w:val="18"/>
                            <w:szCs w:val="18"/>
                          </w:rPr>
                          <w:t>信 息技术有限公司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11,828.21</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
                          <w:jc w:val="left"/>
                          <w:rPr>
                            <w:rFonts w:ascii="宋体" w:hAnsi="宋体" w:cs="宋体" w:eastAsia="宋体" w:hint="default"/>
                            <w:sz w:val="18"/>
                            <w:szCs w:val="18"/>
                          </w:rPr>
                        </w:pPr>
                        <w:r>
                          <w:rPr>
                            <w:rFonts w:ascii="宋体" w:hAnsi="宋体" w:cs="宋体" w:eastAsia="宋体" w:hint="default"/>
                            <w:spacing w:val="-9"/>
                            <w:sz w:val="18"/>
                            <w:szCs w:val="18"/>
                          </w:rPr>
                          <w:t>大唐电信（天津）技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术服务有限公司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14,487.18</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大唐电信国际技术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258,886.76</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141,981.20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大唐电信集团财务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118,508.55</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106,708.46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大唐电信科技产业 控股有限公司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1,292,922.39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1,962,402.39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大唐电信科技股份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15,277,794.87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346,841.96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大唐联诚信息系统 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1,027,344.44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902,646.04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大唐联仪科技有限 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113,888.89</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11,225,249.54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8,147,779.50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大唐投资管理（北 京）有限公司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28,574.36</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67,349.57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大唐投资控股发展</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1,863.25</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44"/>
        <w:ind w:left="0" w:right="160" w:firstLine="0"/>
        <w:jc w:val="right"/>
        <w:rPr>
          <w:rFonts w:ascii="宋体" w:hAnsi="宋体" w:cs="宋体" w:eastAsia="宋体" w:hint="default"/>
          <w:sz w:val="18"/>
          <w:szCs w:val="18"/>
        </w:rPr>
      </w:pPr>
      <w:r>
        <w:rPr/>
        <w:pict>
          <v:shape style="position:absolute;margin-left:409.660004pt;margin-top:3.831689pt;width:85.45pt;height:15.6pt;mso-position-horizontal-relative:page;mso-position-vertical-relative:paragraph;z-index:-1330696"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33"/>
          <w:pgSz w:w="11910" w:h="16840"/>
          <w:pgMar w:footer="1186" w:header="745"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大唐微电子技术有 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649,413.63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1,610,688.04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1,361,472.00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14,236,081.77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电信科学技术第十 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41,781.19</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电信科学技术第四 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61,145.04</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75,436.75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电信科学技术第五 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28,243.59</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61,416.24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电信科学技术第一 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9,534.06</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电信科学技术研究 院</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606,307.99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522,896.58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电信科学技术仪表 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311,213.68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133,332.48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联芯科技有限公司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120,487.18</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548,054.71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联芯科技有限公司 北京分公司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上海大唐移动通信 设备有限公司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18,333.33</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盛耀无线通讯科技</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24,828.21</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102,950.68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数据通信科学技术 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39,803.42</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296,446.15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西安大唐电信有限 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147,273.51</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32,570.94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西安通和电信设备 检测有限公司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11,794.87</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34,286.33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
              <w:jc w:val="left"/>
              <w:rPr>
                <w:rFonts w:ascii="宋体" w:hAnsi="宋体" w:cs="宋体" w:eastAsia="宋体" w:hint="default"/>
                <w:sz w:val="18"/>
                <w:szCs w:val="18"/>
              </w:rPr>
            </w:pPr>
            <w:r>
              <w:rPr>
                <w:rFonts w:ascii="宋体" w:hAnsi="宋体" w:cs="宋体" w:eastAsia="宋体" w:hint="default"/>
                <w:spacing w:val="-9"/>
                <w:sz w:val="18"/>
                <w:szCs w:val="18"/>
              </w:rPr>
              <w:t>新华瑞德（北京）网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络科技有限公司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105,961.54</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兴唐通信科技有限 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3,836,101.71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4,556,426.19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0.1%</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20"/>
              <w:jc w:val="left"/>
              <w:rPr>
                <w:rFonts w:ascii="宋体" w:hAnsi="宋体" w:cs="宋体" w:eastAsia="宋体" w:hint="default"/>
                <w:sz w:val="18"/>
                <w:szCs w:val="18"/>
              </w:rPr>
            </w:pPr>
            <w:r>
              <w:rPr>
                <w:rFonts w:ascii="宋体" w:hAnsi="宋体" w:cs="宋体" w:eastAsia="宋体" w:hint="default"/>
                <w:sz w:val="18"/>
                <w:szCs w:val="18"/>
              </w:rPr>
              <w:t>电信科学技术半导 体研究所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18,285.47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北京新华瑞德电子 阅读技术有限公司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46,794.02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5"/>
              <w:jc w:val="center"/>
              <w:rPr>
                <w:rFonts w:ascii="宋体" w:hAnsi="宋体" w:cs="宋体" w:eastAsia="宋体" w:hint="default"/>
                <w:sz w:val="18"/>
                <w:szCs w:val="18"/>
              </w:rPr>
            </w:pPr>
            <w:r>
              <w:rPr>
                <w:rFonts w:ascii="宋体" w:hAnsi="宋体" w:cs="宋体" w:eastAsia="宋体" w:hint="default"/>
                <w:sz w:val="18"/>
                <w:szCs w:val="18"/>
              </w:rPr>
              <w:t>北京大唐志诚软件</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38,541.19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4"/>
          <w:pgSz w:w="11910" w:h="16840"/>
          <w:pgMar w:footer="1186" w:header="745" w:top="1060" w:bottom="1380" w:left="980" w:right="98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）关联托管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59"/>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3" w:right="23"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58"/>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96" w:right="108" w:hanging="38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13"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9" w:right="41"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1"/>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3" w:right="45"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73"/>
        <w:gridCol w:w="1371"/>
        <w:gridCol w:w="1373"/>
        <w:gridCol w:w="1368"/>
        <w:gridCol w:w="1368"/>
        <w:gridCol w:w="1369"/>
        <w:gridCol w:w="1352"/>
      </w:tblGrid>
      <w:tr>
        <w:trPr>
          <w:trHeight w:val="71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r>
        <w:trPr>
          <w:trHeight w:val="102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北京兴唐开元智 能物业科技有限 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北京大唐高鸿软 件技术有限公司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房屋租赁协议</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1,139,132.50</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77"/>
              <w:jc w:val="left"/>
              <w:rPr>
                <w:rFonts w:ascii="宋体" w:hAnsi="宋体" w:cs="宋体" w:eastAsia="宋体" w:hint="default"/>
                <w:sz w:val="18"/>
                <w:szCs w:val="18"/>
              </w:rPr>
            </w:pPr>
            <w:r>
              <w:rPr>
                <w:rFonts w:ascii="宋体" w:hAnsi="宋体" w:cs="宋体" w:eastAsia="宋体" w:hint="default"/>
                <w:sz w:val="18"/>
                <w:szCs w:val="18"/>
              </w:rPr>
              <w:t>电信科学技术研 究院</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北京大唐高鸿数 据网络技术有限 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房屋租赁协议</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1,374,615.11</w:t>
            </w:r>
          </w:p>
        </w:tc>
      </w:tr>
      <w:tr>
        <w:trPr>
          <w:trHeight w:val="71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电信科学技术研 究院</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大唐高鸿通信技 术有限公司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房屋租赁协议</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734,369.33</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北京兴唐开元智 能物业科技有限 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75"/>
              <w:jc w:val="left"/>
              <w:rPr>
                <w:rFonts w:ascii="宋体" w:hAnsi="宋体" w:cs="宋体" w:eastAsia="宋体" w:hint="default"/>
                <w:sz w:val="18"/>
                <w:szCs w:val="18"/>
              </w:rPr>
            </w:pPr>
            <w:r>
              <w:rPr>
                <w:rFonts w:ascii="宋体" w:hAnsi="宋体" w:cs="宋体" w:eastAsia="宋体" w:hint="default"/>
                <w:sz w:val="18"/>
                <w:szCs w:val="18"/>
              </w:rPr>
              <w:t>北京大唐高鸿科 技发展有限公司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房屋租赁协议</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398,475.00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1" w:right="70"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高鸿恒昌科技有限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高鸿恒昌科技有限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高鸿恒昌科技有限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高鸿恒昌科技有限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江苏高鸿鼎恒信息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审计报告日前已归还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日信贷资 产转让给工行新街口支 行</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审计报告日前已归还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审计报告日前已归还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审计报告日前已归还</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审计报告日前已归还</w:t>
            </w:r>
          </w:p>
        </w:tc>
      </w:tr>
      <w:tr>
        <w:trPr>
          <w:trHeight w:val="402" w:hRule="exact"/>
        </w:trPr>
        <w:tc>
          <w:tcPr>
            <w:tcW w:w="957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416.380005pt;margin-top:3.711736pt;width:78.75pt;height:15.6pt;mso-position-horizontal-relative:page;mso-position-vertical-relative:paragraph;z-index:-133064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00002pt;margin-top:-52.028263pt;width:479.3pt;height:174.6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2"/>
                    <w:gridCol w:w="931"/>
                    <w:gridCol w:w="1460"/>
                    <w:gridCol w:w="1330"/>
                    <w:gridCol w:w="1462"/>
                    <w:gridCol w:w="797"/>
                    <w:gridCol w:w="306"/>
                    <w:gridCol w:w="1156"/>
                    <w:gridCol w:w="797"/>
                  </w:tblGrid>
                  <w:tr>
                    <w:trPr>
                      <w:trHeight w:val="402" w:hRule="exact"/>
                    </w:trPr>
                    <w:tc>
                      <w:tcPr>
                        <w:tcW w:w="13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332"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2"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3"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02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大唐电信科技股 份有限公司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购入股权</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北京大唐高鸿数 据网络技术有限 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15.467%</w:t>
                        </w:r>
                        <w:r>
                          <w:rPr>
                            <w:rFonts w:ascii="宋体" w:hAnsi="宋体" w:cs="宋体" w:eastAsia="宋体" w:hint="default"/>
                            <w:sz w:val="18"/>
                            <w:szCs w:val="18"/>
                          </w:rPr>
                          <w:t>股权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评估价值</w:t>
                        </w:r>
                      </w:p>
                    </w:tc>
                    <w:tc>
                      <w:tcPr>
                        <w:tcW w:w="146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64,316,000.00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91.88%</w:t>
                        </w:r>
                      </w:p>
                    </w:tc>
                  </w:tr>
                  <w:tr>
                    <w:trPr>
                      <w:trHeight w:val="1027"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西安大唐电信有 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购入股权</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北京大唐高鸿数 据网络技术有限 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1.368%</w:t>
                        </w:r>
                        <w:r>
                          <w:rPr>
                            <w:rFonts w:ascii="宋体" w:hAnsi="宋体" w:cs="宋体" w:eastAsia="宋体" w:hint="default"/>
                            <w:sz w:val="18"/>
                            <w:szCs w:val="18"/>
                          </w:rPr>
                          <w:t>股权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评估价值</w:t>
                        </w:r>
                      </w:p>
                    </w:tc>
                    <w:tc>
                      <w:tcPr>
                        <w:tcW w:w="146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5,684,000.00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60"/>
      </w:tblGrid>
      <w:tr>
        <w:trPr>
          <w:trHeight w:val="402"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北京畅通达通信技 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2.95</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北京大唐实创投资 中心</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7,035.00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35.18</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北京大唐实创投资 中心后勤服务部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7,190.00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35.95</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北京大唐智能卡技 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大唐电信（成都）信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25,430.00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127.15</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大唐电信科技产业 控股有限公司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27,030.00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2,728.79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161,906.00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1,644.77</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大唐电信科技股份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14,485.00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72.43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20,991.00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60"/>
      </w:tblGrid>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大唐联诚信息系统 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279,961.00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1,500.29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244,085.00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1,220.43</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1,782,215.00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8,911.08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741,748.00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3,708.74</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大唐投资管理（北 京）有限公司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20,688.00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103.44</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大唐微电子技术有 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9,036.00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45.18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120,163.00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600.82</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330,264.00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2,003.68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865,660.37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4,328.30</w:t>
            </w: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电信科学技术第四 研究所</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82,677.00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413.38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10,794.00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53.97</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电信科学技术研究 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129,690.00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648.45</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112,020.00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560.10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盛耀无线通讯科技</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29,049.00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44,204.90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221.02</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西安大唐电信有限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94,800.00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107.50</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兴唐通信科技有限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296,276.00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1,481.38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1,392,725.21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6,963.63</w:t>
            </w: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大唐电信国际技术 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3,630.00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18.15</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电信科学技术第五 研究所</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1,999.00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电信科学技术仪表 研究所</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3.99</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大唐电信集团财务 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38,215.00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191.08</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北京大唐志诚软件 技术有限公司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5,865,265.00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90"/>
              <w:jc w:val="left"/>
              <w:rPr>
                <w:rFonts w:ascii="宋体" w:hAnsi="宋体" w:cs="宋体" w:eastAsia="宋体" w:hint="default"/>
                <w:sz w:val="18"/>
                <w:szCs w:val="18"/>
              </w:rPr>
            </w:pPr>
            <w:r>
              <w:rPr>
                <w:rFonts w:ascii="宋体" w:hAnsi="宋体" w:cs="宋体" w:eastAsia="宋体" w:hint="default"/>
                <w:sz w:val="18"/>
                <w:szCs w:val="18"/>
              </w:rPr>
              <w:t>电信科学技术研究 院</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827,000.00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大唐移动通信设备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87,701.00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438.51</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60"/>
      </w:tblGrid>
      <w:tr>
        <w:trPr>
          <w:trHeight w:val="362"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贵州达众磨料磨具 有限责任公司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6,600,000.00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6,600,000.00</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大唐高新创业投资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132,046.00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9"/>
        <w:gridCol w:w="2259"/>
        <w:gridCol w:w="2259"/>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北京大唐志诚软件技术有限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7,744,663.00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11,564,704.54</w:t>
            </w:r>
          </w:p>
        </w:tc>
      </w:tr>
      <w:tr>
        <w:trPr>
          <w:trHeight w:val="71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大唐电信科技产业控股有限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2,470,120.00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463,873.00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463,872.75</w:t>
            </w:r>
          </w:p>
        </w:tc>
      </w:tr>
      <w:tr>
        <w:trPr>
          <w:trHeight w:val="71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大唐联诚信息系统技术有限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1,724,975.00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1,724,974.68</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2,943,500.00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10,180,326.03</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11,786.00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632,888.10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7,526,295.00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124,840.00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154,545.00</w:t>
            </w:r>
          </w:p>
        </w:tc>
      </w:tr>
      <w:tr>
        <w:trPr>
          <w:trHeight w:val="40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电信科学技术第十研究所</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48,884.00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北京大唐物业管理有限公司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274,683.00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北京大唐志诚软件技术有限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2,083,874.00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2,246,873.81</w:t>
            </w:r>
          </w:p>
        </w:tc>
      </w:tr>
      <w:tr>
        <w:trPr>
          <w:trHeight w:val="71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大唐电信科技产业控股有限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120,051,985.00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22,680,600.00</w:t>
            </w:r>
          </w:p>
        </w:tc>
      </w:tr>
      <w:tr>
        <w:trPr>
          <w:trHeight w:val="71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大唐联诚信息系统技术有限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3,970.00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大唐联智信息技术有限公司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102,500.00</w:t>
            </w: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大唐投资管理（北京）有限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1,767,040.00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230,340.00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电信科学技术半导体研究所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1,868,812.00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3,816,857.83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95"/>
        <w:gridCol w:w="2259"/>
        <w:gridCol w:w="2259"/>
        <w:gridCol w:w="2259"/>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2,611,713.00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93,257.59</w:t>
            </w:r>
          </w:p>
        </w:tc>
      </w:tr>
      <w:tr>
        <w:trPr>
          <w:trHeight w:val="40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2,876,400.00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大唐电信国际技术有限公司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3,954.00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111,780.00</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十、股份支付</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1186" w:top="1060" w:bottom="1380" w:left="980" w:right="980"/>
        </w:sectPr>
      </w:pPr>
    </w:p>
    <w:p>
      <w:pPr>
        <w:spacing w:line="240" w:lineRule="auto" w:before="0"/>
        <w:rPr>
          <w:rFonts w:ascii="宋体" w:hAnsi="宋体" w:cs="宋体" w:eastAsia="宋体" w:hint="default"/>
          <w:b/>
          <w:bCs/>
          <w:sz w:val="18"/>
          <w:szCs w:val="18"/>
        </w:rPr>
      </w:pPr>
    </w:p>
    <w:p>
      <w:pPr>
        <w:spacing w:before="161"/>
        <w:ind w:left="152" w:right="-4"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spacing w:line="240" w:lineRule="auto" w:before="0"/>
        <w:rPr>
          <w:rFonts w:ascii="宋体" w:hAnsi="宋体" w:cs="宋体" w:eastAsia="宋体" w:hint="default"/>
          <w:sz w:val="18"/>
          <w:szCs w:val="18"/>
        </w:rPr>
      </w:pPr>
    </w:p>
    <w:p>
      <w:pPr>
        <w:spacing w:before="121"/>
        <w:ind w:left="152" w:right="-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、以权益结算的股份支付情况</w:t>
      </w:r>
      <w:r>
        <w:rPr>
          <w:rFonts w:ascii="宋体" w:hAnsi="宋体" w:cs="宋体" w:eastAsia="宋体" w:hint="default"/>
          <w:spacing w:val="-1"/>
          <w:sz w:val="21"/>
          <w:szCs w:val="21"/>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3000" w:space="5829"/>
            <w:col w:w="1121"/>
          </w:cols>
        </w:sect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980" w:right="980"/>
        </w:sectPr>
      </w:pPr>
    </w:p>
    <w:p>
      <w:pPr>
        <w:spacing w:line="240" w:lineRule="auto" w:before="0"/>
        <w:rPr>
          <w:rFonts w:ascii="宋体" w:hAnsi="宋体" w:cs="宋体" w:eastAsia="宋体" w:hint="default"/>
          <w:sz w:val="18"/>
          <w:szCs w:val="18"/>
        </w:rPr>
      </w:pPr>
    </w:p>
    <w:p>
      <w:pPr>
        <w:spacing w:before="161"/>
        <w:ind w:left="152" w:right="-4"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line="240" w:lineRule="auto" w:before="0"/>
        <w:rPr>
          <w:rFonts w:ascii="宋体" w:hAnsi="宋体" w:cs="宋体" w:eastAsia="宋体" w:hint="default"/>
          <w:sz w:val="18"/>
          <w:szCs w:val="18"/>
        </w:rPr>
      </w:pPr>
    </w:p>
    <w:p>
      <w:pPr>
        <w:spacing w:before="120"/>
        <w:ind w:left="152" w:right="-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、以现金结算的股份支付情况</w:t>
      </w:r>
      <w:r>
        <w:rPr>
          <w:rFonts w:ascii="宋体" w:hAnsi="宋体" w:cs="宋体" w:eastAsia="宋体" w:hint="default"/>
          <w:spacing w:val="-1"/>
          <w:sz w:val="21"/>
          <w:szCs w:val="21"/>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3000" w:space="5829"/>
            <w:col w:w="1121"/>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980" w:right="980"/>
        </w:sectPr>
      </w:pPr>
    </w:p>
    <w:p>
      <w:pPr>
        <w:spacing w:line="240" w:lineRule="auto" w:before="0"/>
        <w:rPr>
          <w:rFonts w:ascii="宋体" w:hAnsi="宋体" w:cs="宋体" w:eastAsia="宋体" w:hint="default"/>
          <w:sz w:val="18"/>
          <w:szCs w:val="18"/>
        </w:rPr>
      </w:pPr>
    </w:p>
    <w:p>
      <w:pPr>
        <w:spacing w:before="159"/>
        <w:ind w:left="152" w:right="-20" w:firstLine="0"/>
        <w:jc w:val="left"/>
        <w:rPr>
          <w:rFonts w:ascii="宋体" w:hAnsi="宋体" w:cs="宋体" w:eastAsia="宋体" w:hint="default"/>
          <w:sz w:val="18"/>
          <w:szCs w:val="18"/>
        </w:rPr>
      </w:pPr>
      <w:r>
        <w:rPr>
          <w:rFonts w:ascii="宋体" w:hAnsi="宋体" w:cs="宋体" w:eastAsia="宋体" w:hint="default"/>
          <w:sz w:val="18"/>
          <w:szCs w:val="18"/>
        </w:rPr>
        <w:t>以现金结算的股份支付的说明</w:t>
      </w:r>
    </w:p>
    <w:p>
      <w:pPr>
        <w:spacing w:line="240" w:lineRule="auto" w:before="0"/>
        <w:rPr>
          <w:rFonts w:ascii="宋体" w:hAnsi="宋体" w:cs="宋体" w:eastAsia="宋体" w:hint="default"/>
          <w:sz w:val="18"/>
          <w:szCs w:val="18"/>
        </w:rPr>
      </w:pPr>
    </w:p>
    <w:p>
      <w:pPr>
        <w:spacing w:before="120"/>
        <w:ind w:left="152"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、以股份支付服务情况</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2493" w:space="6336"/>
            <w:col w:w="1121"/>
          </w:cols>
        </w:sectPr>
      </w:pPr>
    </w:p>
    <w:p>
      <w:pPr>
        <w:spacing w:line="240" w:lineRule="auto" w:before="12"/>
        <w:rPr>
          <w:rFonts w:ascii="宋体" w:hAnsi="宋体" w:cs="宋体" w:eastAsia="宋体" w:hint="default"/>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Heading3"/>
        <w:spacing w:line="240" w:lineRule="auto"/>
        <w:ind w:right="0"/>
        <w:jc w:val="left"/>
        <w:rPr>
          <w:b w:val="0"/>
          <w:bCs w:val="0"/>
        </w:rPr>
      </w:pPr>
      <w:r>
        <w:rPr/>
        <w:t>十一、或有事项</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287"/>
        <w:gridCol w:w="2312"/>
        <w:gridCol w:w="2739"/>
      </w:tblGrid>
      <w:tr>
        <w:trPr>
          <w:trHeight w:val="336" w:hRule="exact"/>
        </w:trPr>
        <w:tc>
          <w:tcPr>
            <w:tcW w:w="8337" w:type="dxa"/>
            <w:gridSpan w:val="3"/>
            <w:tcBorders>
              <w:top w:val="nil" w:sz="6" w:space="0" w:color="auto"/>
              <w:left w:val="nil" w:sz="6" w:space="0" w:color="auto"/>
              <w:bottom w:val="single" w:sz="4" w:space="0" w:color="000000"/>
              <w:right w:val="single" w:sz="6" w:space="0" w:color="000000"/>
            </w:tcBorders>
          </w:tcPr>
          <w:p>
            <w:pPr>
              <w:pStyle w:val="TableParagraph"/>
              <w:spacing w:line="28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、为北京大唐高鸿数据网络技术有限公司提供担保</w:t>
            </w:r>
            <w:r>
              <w:rPr>
                <w:rFonts w:ascii="宋体" w:hAnsi="宋体" w:cs="宋体" w:eastAsia="宋体" w:hint="default"/>
                <w:sz w:val="21"/>
                <w:szCs w:val="21"/>
              </w:rPr>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债务到期日</w:t>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80,000,000.00</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华夏银行亮马河支行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华夏银行亮马河支行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30,000,000.00</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兴业银行西直门支行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type w:val="continuous"/>
          <w:pgSz w:w="11910" w:h="16840"/>
          <w:pgMar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287"/>
        <w:gridCol w:w="2312"/>
        <w:gridCol w:w="2738"/>
      </w:tblGrid>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4"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710,000,000.00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643" w:hRule="exact"/>
        </w:trPr>
        <w:tc>
          <w:tcPr>
            <w:tcW w:w="8336" w:type="dxa"/>
            <w:gridSpan w:val="3"/>
            <w:tcBorders>
              <w:top w:val="single" w:sz="4" w:space="0" w:color="000000"/>
              <w:left w:val="nil" w:sz="6" w:space="0" w:color="auto"/>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、为大唐高鸿信息技术有限公司提供担保</w:t>
            </w:r>
            <w:r>
              <w:rPr>
                <w:rFonts w:ascii="宋体" w:hAnsi="宋体" w:cs="宋体" w:eastAsia="宋体" w:hint="default"/>
                <w:sz w:val="21"/>
                <w:szCs w:val="21"/>
              </w:rPr>
            </w:r>
          </w:p>
        </w:tc>
      </w:tr>
      <w:tr>
        <w:trPr>
          <w:trHeight w:val="344"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债务到期日</w:t>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北京银行广安支行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北京银行广安支行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140,000,000.00</w:t>
            </w:r>
            <w:r>
              <w:rPr>
                <w:rFonts w:ascii="Times New Roman"/>
                <w:sz w:val="20"/>
              </w:rPr>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p>
        </w:tc>
      </w:tr>
      <w:tr>
        <w:trPr>
          <w:trHeight w:val="646" w:hRule="exact"/>
        </w:trPr>
        <w:tc>
          <w:tcPr>
            <w:tcW w:w="8336" w:type="dxa"/>
            <w:gridSpan w:val="3"/>
            <w:tcBorders>
              <w:top w:val="single" w:sz="4" w:space="0" w:color="000000"/>
              <w:left w:val="nil" w:sz="6" w:space="0" w:color="auto"/>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、为高鸿恒昌科技有限公司提供担保</w:t>
            </w:r>
            <w:r>
              <w:rPr>
                <w:rFonts w:ascii="宋体" w:hAnsi="宋体" w:cs="宋体" w:eastAsia="宋体" w:hint="default"/>
                <w:sz w:val="21"/>
                <w:szCs w:val="21"/>
              </w:rPr>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债务到期日</w:t>
            </w:r>
          </w:p>
        </w:tc>
      </w:tr>
      <w:tr>
        <w:trPr>
          <w:trHeight w:val="344"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10,000,000.00</w:t>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40,000,000.00</w:t>
            </w:r>
            <w:r>
              <w:rPr>
                <w:rFonts w:ascii="Times New Roman"/>
                <w:sz w:val="20"/>
              </w:rPr>
            </w:r>
          </w:p>
        </w:tc>
        <w:tc>
          <w:tcPr>
            <w:tcW w:w="27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p>
        </w:tc>
      </w:tr>
      <w:tr>
        <w:trPr>
          <w:trHeight w:val="643" w:hRule="exact"/>
        </w:trPr>
        <w:tc>
          <w:tcPr>
            <w:tcW w:w="8336" w:type="dxa"/>
            <w:gridSpan w:val="3"/>
            <w:tcBorders>
              <w:top w:val="single" w:sz="4" w:space="0" w:color="000000"/>
              <w:left w:val="nil" w:sz="6" w:space="0" w:color="auto"/>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、为江苏高鸿鼎恒信息技术有限公司提供担保</w:t>
            </w:r>
            <w:r>
              <w:rPr>
                <w:rFonts w:ascii="宋体" w:hAnsi="宋体" w:cs="宋体" w:eastAsia="宋体" w:hint="default"/>
                <w:sz w:val="21"/>
                <w:szCs w:val="21"/>
              </w:rPr>
            </w:r>
          </w:p>
        </w:tc>
      </w:tr>
      <w:tr>
        <w:trPr>
          <w:trHeight w:val="34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债务到期日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357" w:lineRule="auto" w:before="49"/>
        <w:ind w:left="152" w:right="7614"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 无</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t>十二、承诺事项</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90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重大承诺事项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1186" w:top="1060" w:bottom="1380" w:left="980" w:right="980"/>
        </w:sectPr>
      </w:pPr>
    </w:p>
    <w:p>
      <w:pPr>
        <w:spacing w:line="240" w:lineRule="auto" w:before="10"/>
        <w:rPr>
          <w:rFonts w:ascii="宋体" w:hAnsi="宋体" w:cs="宋体" w:eastAsia="宋体" w:hint="default"/>
          <w:b/>
          <w:bCs/>
          <w:sz w:val="24"/>
          <w:szCs w:val="24"/>
        </w:rPr>
      </w:pPr>
    </w:p>
    <w:p>
      <w:pPr>
        <w:spacing w:line="256" w:lineRule="auto" w:before="36"/>
        <w:ind w:left="1406"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已签订的正在或准备履行的租赁合同及财务影响。</w:t>
      </w:r>
      <w:r>
        <w:rPr>
          <w:rFonts w:ascii="宋体" w:hAnsi="宋体" w:cs="宋体" w:eastAsia="宋体" w:hint="default"/>
          <w:b/>
          <w:bCs/>
          <w:w w:val="100"/>
          <w:sz w:val="21"/>
          <w:szCs w:val="21"/>
        </w:rPr>
        <w:t> </w:t>
      </w:r>
      <w:r>
        <w:rPr>
          <w:rFonts w:ascii="宋体" w:hAnsi="宋体" w:cs="宋体" w:eastAsia="宋体" w:hint="default"/>
          <w:spacing w:val="-2"/>
          <w:sz w:val="21"/>
          <w:szCs w:val="21"/>
        </w:rPr>
        <w:t>至资产负债表日，本公司对外签订的不可撤销的经营租赁合约情况如下：</w:t>
      </w:r>
    </w:p>
    <w:p>
      <w:pPr>
        <w:spacing w:line="240" w:lineRule="auto" w:before="9"/>
        <w:rPr>
          <w:rFonts w:ascii="宋体" w:hAnsi="宋体" w:cs="宋体" w:eastAsia="宋体" w:hint="default"/>
          <w:sz w:val="2"/>
          <w:szCs w:val="2"/>
        </w:rPr>
      </w:pPr>
    </w:p>
    <w:tbl>
      <w:tblPr>
        <w:tblW w:w="0" w:type="auto"/>
        <w:jc w:val="left"/>
        <w:tblInd w:w="707" w:type="dxa"/>
        <w:tblLayout w:type="fixed"/>
        <w:tblCellMar>
          <w:top w:w="0" w:type="dxa"/>
          <w:left w:w="0" w:type="dxa"/>
          <w:bottom w:w="0" w:type="dxa"/>
          <w:right w:w="0" w:type="dxa"/>
        </w:tblCellMar>
        <w:tblLook w:val="01E0"/>
      </w:tblPr>
      <w:tblGrid>
        <w:gridCol w:w="3411"/>
        <w:gridCol w:w="2196"/>
        <w:gridCol w:w="2199"/>
      </w:tblGrid>
      <w:tr>
        <w:trPr>
          <w:trHeight w:val="34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tabs>
                <w:tab w:pos="470" w:val="left" w:leader="none"/>
              </w:tabs>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196"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9,917,327.09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3,816,857.83</w:t>
            </w:r>
          </w:p>
        </w:tc>
      </w:tr>
      <w:tr>
        <w:trPr>
          <w:trHeight w:val="34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9,470,703.23</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tabs>
                <w:tab w:pos="470" w:val="left" w:leader="none"/>
              </w:tabs>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19,388,030.32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3,816,857.83</w:t>
            </w:r>
          </w:p>
        </w:tc>
      </w:tr>
    </w:tbl>
    <w:p>
      <w:pPr>
        <w:spacing w:line="240" w:lineRule="auto" w:before="2"/>
        <w:rPr>
          <w:rFonts w:ascii="宋体" w:hAnsi="宋体" w:cs="宋体" w:eastAsia="宋体" w:hint="default"/>
          <w:sz w:val="20"/>
          <w:szCs w:val="20"/>
        </w:rPr>
      </w:pPr>
    </w:p>
    <w:p>
      <w:pPr>
        <w:spacing w:line="256" w:lineRule="auto" w:before="36"/>
        <w:ind w:left="1413" w:right="2306" w:hanging="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其他重大财务承诺事项</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本公司无需要披露的其他重大财务承诺事项。</w:t>
      </w:r>
    </w:p>
    <w:p>
      <w:pPr>
        <w:spacing w:line="240" w:lineRule="auto" w:before="8"/>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本集团</w:t>
      </w:r>
      <w:r>
        <w:rPr>
          <w:rFonts w:ascii="Times New Roman" w:hAnsi="Times New Roman" w:cs="Times New Roman" w:eastAsia="Times New Roman" w:hint="default"/>
          <w:sz w:val="18"/>
          <w:szCs w:val="18"/>
        </w:rPr>
        <w:t>2012</w:t>
      </w:r>
      <w:r>
        <w:rPr>
          <w:rFonts w:ascii="宋体" w:hAnsi="宋体" w:cs="宋体" w:eastAsia="宋体" w:hint="default"/>
          <w:sz w:val="18"/>
          <w:szCs w:val="18"/>
        </w:rPr>
        <w:t>年与电信科学技术研究院所签订的房租租赁合同本报告期已全部履行完毕。</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十三、资产负债表日后事项</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spacing w:line="487" w:lineRule="auto" w:before="36"/>
        <w:ind w:left="152" w:right="673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before="84"/>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1" w:firstLine="360"/>
        <w:jc w:val="right"/>
      </w:pPr>
      <w:r>
        <w:rPr>
          <w:rFonts w:ascii="宋体" w:hAnsi="宋体" w:cs="宋体" w:eastAsia="宋体" w:hint="default"/>
        </w:rPr>
        <w:t>1</w:t>
      </w:r>
      <w:r>
        <w:rPr/>
        <w:t>、</w:t>
      </w:r>
      <w:r>
        <w:rPr>
          <w:spacing w:val="33"/>
        </w:rPr>
        <w:t> </w:t>
      </w:r>
      <w:r>
        <w:rPr>
          <w:rFonts w:ascii="宋体" w:hAnsi="宋体" w:cs="宋体" w:eastAsia="宋体" w:hint="default"/>
          <w:spacing w:val="-5"/>
        </w:rPr>
        <w:t>2013</w:t>
      </w:r>
      <w:r>
        <w:rPr>
          <w:spacing w:val="-5"/>
        </w:rPr>
        <w:t>年</w:t>
      </w:r>
      <w:r>
        <w:rPr>
          <w:rFonts w:ascii="宋体" w:hAnsi="宋体" w:cs="宋体" w:eastAsia="宋体" w:hint="default"/>
          <w:spacing w:val="-5"/>
        </w:rPr>
        <w:t>6</w:t>
      </w:r>
      <w:r>
        <w:rPr>
          <w:spacing w:val="-5"/>
        </w:rPr>
        <w:t>月，收购高阳捷迅</w:t>
      </w:r>
      <w:r>
        <w:rPr>
          <w:rFonts w:ascii="宋体" w:hAnsi="宋体" w:cs="宋体" w:eastAsia="宋体" w:hint="default"/>
          <w:spacing w:val="-5"/>
        </w:rPr>
        <w:t>26.406%</w:t>
      </w:r>
      <w:r>
        <w:rPr>
          <w:spacing w:val="-5"/>
        </w:rPr>
        <w:t>股权并进行增资，增资完成后持股比例达到</w:t>
      </w:r>
      <w:r>
        <w:rPr>
          <w:rFonts w:ascii="宋体" w:hAnsi="宋体" w:cs="宋体" w:eastAsia="宋体" w:hint="default"/>
          <w:spacing w:val="-5"/>
        </w:rPr>
        <w:t>36.351%</w:t>
      </w:r>
      <w:r>
        <w:rPr>
          <w:rFonts w:ascii="宋体" w:hAnsi="宋体" w:cs="宋体" w:eastAsia="宋体" w:hint="default"/>
        </w:rPr>
        <w:t> </w:t>
      </w:r>
      <w:r>
        <w:rPr/>
        <w:t>根据</w:t>
      </w:r>
      <w:r>
        <w:rPr>
          <w:rFonts w:ascii="宋体" w:hAnsi="宋体" w:cs="宋体" w:eastAsia="宋体" w:hint="default"/>
        </w:rPr>
        <w:t>2013</w:t>
      </w:r>
      <w:r>
        <w:rPr/>
        <w:t>年</w:t>
      </w:r>
      <w:r>
        <w:rPr>
          <w:rFonts w:ascii="宋体" w:hAnsi="宋体" w:cs="宋体" w:eastAsia="宋体" w:hint="default"/>
        </w:rPr>
        <w:t>6</w:t>
      </w:r>
      <w:r>
        <w:rPr/>
        <w:t>月</w:t>
      </w:r>
      <w:r>
        <w:rPr>
          <w:rFonts w:ascii="宋体" w:hAnsi="宋体" w:cs="宋体" w:eastAsia="宋体" w:hint="default"/>
        </w:rPr>
        <w:t>7</w:t>
      </w:r>
      <w:r>
        <w:rPr/>
        <w:t>日公司第七届第十七次董事会会议决议，</w:t>
      </w:r>
      <w:r>
        <w:rPr>
          <w:rFonts w:ascii="宋体" w:hAnsi="宋体" w:cs="宋体" w:eastAsia="宋体" w:hint="default"/>
        </w:rPr>
        <w:t>2013</w:t>
      </w:r>
      <w:r>
        <w:rPr/>
        <w:t>年</w:t>
      </w:r>
      <w:r>
        <w:rPr>
          <w:rFonts w:ascii="宋体" w:hAnsi="宋体" w:cs="宋体" w:eastAsia="宋体" w:hint="default"/>
        </w:rPr>
        <w:t>6</w:t>
      </w:r>
      <w:r>
        <w:rPr/>
        <w:t>月</w:t>
      </w:r>
      <w:r>
        <w:rPr>
          <w:rFonts w:ascii="宋体" w:hAnsi="宋体" w:cs="宋体" w:eastAsia="宋体" w:hint="default"/>
        </w:rPr>
        <w:t>18</w:t>
      </w:r>
      <w:r>
        <w:rPr/>
        <w:t>日公司与高阳捷迅 股东曾东卫、李伟斌、叶军、张岩、李昌锋、王世成、宋鸿、骆郁文、任一凡、王元军、周</w:t>
      </w:r>
      <w:r>
        <w:rPr>
          <w:spacing w:val="-108"/>
        </w:rPr>
        <w:t> </w:t>
      </w:r>
      <w:r>
        <w:rPr>
          <w:spacing w:val="-108"/>
        </w:rPr>
      </w:r>
      <w:r>
        <w:rPr/>
        <w:t>逵、倪正东、上海中路（集团）有限公司签订《股权转让协议》，受让上述股东持有高阳捷</w:t>
      </w:r>
    </w:p>
    <w:p>
      <w:pPr>
        <w:spacing w:after="0" w:line="357" w:lineRule="auto"/>
        <w:jc w:val="righ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230"/>
        <w:jc w:val="left"/>
      </w:pPr>
      <w:r>
        <w:rPr>
          <w:spacing w:val="-2"/>
        </w:rPr>
        <w:t>迅</w:t>
      </w:r>
      <w:r>
        <w:rPr>
          <w:rFonts w:ascii="宋体" w:hAnsi="宋体" w:cs="宋体" w:eastAsia="宋体" w:hint="default"/>
          <w:spacing w:val="-2"/>
        </w:rPr>
        <w:t>26.41%</w:t>
      </w:r>
      <w:r>
        <w:rPr>
          <w:spacing w:val="-2"/>
        </w:rPr>
        <w:t>的股权。本次股权转让以中联评报字</w:t>
      </w:r>
      <w:r>
        <w:rPr>
          <w:rFonts w:ascii="宋体" w:hAnsi="宋体" w:cs="宋体" w:eastAsia="宋体" w:hint="default"/>
          <w:spacing w:val="-2"/>
        </w:rPr>
        <w:t>[2013]</w:t>
      </w:r>
      <w:r>
        <w:rPr>
          <w:spacing w:val="-2"/>
        </w:rPr>
        <w:t>第</w:t>
      </w:r>
      <w:r>
        <w:rPr>
          <w:rFonts w:ascii="宋体" w:hAnsi="宋体" w:cs="宋体" w:eastAsia="宋体" w:hint="default"/>
          <w:spacing w:val="-2"/>
        </w:rPr>
        <w:t>399</w:t>
      </w:r>
      <w:r>
        <w:rPr>
          <w:spacing w:val="-2"/>
        </w:rPr>
        <w:t>号评估报告为定价依据，本次受让</w:t>
      </w:r>
      <w:r>
        <w:rPr>
          <w:spacing w:val="-106"/>
        </w:rPr>
        <w:t> </w:t>
      </w:r>
      <w:r>
        <w:rPr>
          <w:spacing w:val="-106"/>
        </w:rPr>
      </w:r>
      <w:r>
        <w:rPr>
          <w:rFonts w:ascii="宋体" w:hAnsi="宋体" w:cs="宋体" w:eastAsia="宋体" w:hint="default"/>
        </w:rPr>
        <w:t>26.406%</w:t>
      </w:r>
      <w:r>
        <w:rPr/>
        <w:t>股权合计</w:t>
      </w:r>
      <w:r>
        <w:rPr>
          <w:rFonts w:ascii="宋体" w:hAnsi="宋体" w:cs="宋体" w:eastAsia="宋体" w:hint="default"/>
        </w:rPr>
        <w:t>16,900</w:t>
      </w:r>
      <w:r>
        <w:rPr/>
        <w:t>万元，折合每注册资本</w:t>
      </w:r>
      <w:r>
        <w:rPr>
          <w:rFonts w:ascii="宋体" w:hAnsi="宋体" w:cs="宋体" w:eastAsia="宋体" w:hint="default"/>
        </w:rPr>
        <w:t>54.70</w:t>
      </w:r>
      <w:r>
        <w:rPr/>
        <w:t>元，支付方式为现金。</w:t>
      </w:r>
    </w:p>
    <w:p>
      <w:pPr>
        <w:pStyle w:val="BodyText"/>
        <w:spacing w:line="357" w:lineRule="auto"/>
        <w:ind w:right="234" w:firstLine="360"/>
        <w:jc w:val="both"/>
      </w:pPr>
      <w:r>
        <w:rPr>
          <w:rFonts w:ascii="宋体" w:hAnsi="宋体" w:cs="宋体" w:eastAsia="宋体" w:hint="default"/>
        </w:rPr>
        <w:t>2013</w:t>
      </w:r>
      <w:r>
        <w:rPr/>
        <w:t>年</w:t>
      </w:r>
      <w:r>
        <w:rPr>
          <w:rFonts w:ascii="宋体" w:hAnsi="宋体" w:cs="宋体" w:eastAsia="宋体" w:hint="default"/>
        </w:rPr>
        <w:t>6</w:t>
      </w:r>
      <w:r>
        <w:rPr/>
        <w:t>月</w:t>
      </w:r>
      <w:r>
        <w:rPr>
          <w:rFonts w:ascii="宋体" w:hAnsi="宋体" w:cs="宋体" w:eastAsia="宋体" w:hint="default"/>
        </w:rPr>
        <w:t>18</w:t>
      </w:r>
      <w:r>
        <w:rPr/>
        <w:t>日，公司与高阳捷迅签订《增资协议书》，约定公司对高阳捷迅以现金方式 增资</w:t>
      </w:r>
      <w:r>
        <w:rPr>
          <w:rFonts w:ascii="宋体" w:hAnsi="宋体" w:cs="宋体" w:eastAsia="宋体" w:hint="default"/>
        </w:rPr>
        <w:t>1</w:t>
      </w:r>
      <w:r>
        <w:rPr/>
        <w:t>亿元人民币，增资价格与上述受让股权价格一致，折合每注册资本</w:t>
      </w:r>
      <w:r>
        <w:rPr>
          <w:rFonts w:ascii="宋体" w:hAnsi="宋体" w:cs="宋体" w:eastAsia="宋体" w:hint="default"/>
        </w:rPr>
        <w:t>54.70</w:t>
      </w:r>
      <w:r>
        <w:rPr/>
        <w:t>元，增加股权</w:t>
      </w:r>
      <w:r>
        <w:rPr>
          <w:spacing w:val="-87"/>
        </w:rPr>
        <w:t> </w:t>
      </w:r>
      <w:r>
        <w:rPr>
          <w:spacing w:val="-87"/>
        </w:rPr>
      </w:r>
      <w:r>
        <w:rPr/>
        <w:t>比例</w:t>
      </w:r>
      <w:r>
        <w:rPr>
          <w:rFonts w:ascii="宋体" w:hAnsi="宋体" w:cs="宋体" w:eastAsia="宋体" w:hint="default"/>
        </w:rPr>
        <w:t>9.945%</w:t>
      </w:r>
      <w:r>
        <w:rPr/>
        <w:t>。</w:t>
      </w:r>
    </w:p>
    <w:p>
      <w:pPr>
        <w:pStyle w:val="BodyText"/>
        <w:spacing w:line="357" w:lineRule="auto"/>
        <w:ind w:right="96" w:firstLine="360"/>
        <w:jc w:val="left"/>
      </w:pPr>
      <w:r>
        <w:rPr/>
        <w:t>上述股权转让及增资事项已于</w:t>
      </w: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26</w:t>
      </w:r>
      <w:r>
        <w:rPr/>
        <w:t>日完成工商登记变更，公司成为高阳捷迅的第 一大股东和控股股东，持股比例累计达</w:t>
      </w:r>
      <w:r>
        <w:rPr>
          <w:rFonts w:ascii="宋体" w:hAnsi="宋体" w:cs="宋体" w:eastAsia="宋体" w:hint="default"/>
        </w:rPr>
        <w:t>36.351%</w:t>
      </w:r>
      <w:r>
        <w:rPr/>
        <w:t>。</w:t>
      </w:r>
    </w:p>
    <w:p>
      <w:pPr>
        <w:spacing w:line="240" w:lineRule="auto" w:before="0"/>
        <w:rPr>
          <w:rFonts w:ascii="宋体" w:hAnsi="宋体" w:cs="宋体" w:eastAsia="宋体" w:hint="default"/>
          <w:sz w:val="24"/>
          <w:szCs w:val="24"/>
        </w:rPr>
      </w:pPr>
    </w:p>
    <w:p>
      <w:pPr>
        <w:pStyle w:val="BodyText"/>
        <w:spacing w:line="240" w:lineRule="auto" w:before="190"/>
        <w:ind w:left="513" w:right="96"/>
        <w:jc w:val="left"/>
      </w:pPr>
      <w:r>
        <w:rPr>
          <w:rFonts w:ascii="宋体" w:hAnsi="宋体" w:cs="宋体" w:eastAsia="宋体" w:hint="default"/>
        </w:rPr>
        <w:t>2</w:t>
      </w:r>
      <w:r>
        <w:rPr/>
        <w:t>、 </w:t>
      </w:r>
      <w:r>
        <w:rPr>
          <w:rFonts w:ascii="宋体" w:hAnsi="宋体" w:cs="宋体" w:eastAsia="宋体" w:hint="default"/>
        </w:rPr>
        <w:t>2013</w:t>
      </w:r>
      <w:r>
        <w:rPr/>
        <w:t>年</w:t>
      </w:r>
      <w:r>
        <w:rPr>
          <w:rFonts w:ascii="宋体" w:hAnsi="宋体" w:cs="宋体" w:eastAsia="宋体" w:hint="default"/>
        </w:rPr>
        <w:t>7</w:t>
      </w:r>
      <w:r>
        <w:rPr/>
        <w:t>月，公司的关联方及第三方并购基金收购高阳捷迅</w:t>
      </w:r>
      <w:r>
        <w:rPr>
          <w:rFonts w:ascii="宋体" w:hAnsi="宋体" w:cs="宋体" w:eastAsia="宋体" w:hint="default"/>
        </w:rPr>
        <w:t>34.45%</w:t>
      </w:r>
      <w:r>
        <w:rPr/>
        <w:t>的股权</w:t>
      </w:r>
    </w:p>
    <w:p>
      <w:pPr>
        <w:pStyle w:val="BodyText"/>
        <w:spacing w:line="357" w:lineRule="auto" w:before="154"/>
        <w:ind w:right="96" w:firstLine="360"/>
        <w:jc w:val="left"/>
      </w:pP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20</w:t>
      </w:r>
      <w:r>
        <w:rPr/>
        <w:t>日，公司的控股股东电信科学技术研究院、控股股东下属企业大唐高新创业 投资有限公司、海南信息产业创业投资基金（有限合伙），及无关联第三方北京银汉创业投</w:t>
      </w:r>
      <w:r>
        <w:rPr>
          <w:spacing w:val="-91"/>
        </w:rPr>
        <w:t> </w:t>
      </w:r>
      <w:r>
        <w:rPr>
          <w:spacing w:val="-91"/>
        </w:rPr>
      </w:r>
      <w:r>
        <w:rPr/>
        <w:t>资有限公司分别与高阳捷迅股东曾东卫、李伟斌、叶军、张岩、李昌锋、王世成、宋鸿、骆</w:t>
      </w:r>
      <w:r>
        <w:rPr>
          <w:spacing w:val="-91"/>
        </w:rPr>
        <w:t> </w:t>
      </w:r>
      <w:r>
        <w:rPr>
          <w:spacing w:val="-91"/>
        </w:rPr>
      </w:r>
      <w:r>
        <w:rPr>
          <w:spacing w:val="-3"/>
        </w:rPr>
        <w:t>郁文、任一凡、王元军、周逵、倪正东、上海中路（集团）有限公司签订《股权转让协议》，</w:t>
      </w:r>
      <w:r>
        <w:rPr>
          <w:spacing w:val="-84"/>
        </w:rPr>
        <w:t> </w:t>
      </w:r>
      <w:r>
        <w:rPr>
          <w:spacing w:val="-84"/>
        </w:rPr>
      </w:r>
      <w:r>
        <w:rPr/>
        <w:t>受让高阳捷迅上述股东</w:t>
      </w:r>
      <w:r>
        <w:rPr>
          <w:rFonts w:ascii="宋体" w:hAnsi="宋体" w:cs="宋体" w:eastAsia="宋体" w:hint="default"/>
        </w:rPr>
        <w:t>34.45%</w:t>
      </w:r>
      <w:r>
        <w:rPr/>
        <w:t>股权，受让价格折合每注册资本</w:t>
      </w:r>
      <w:r>
        <w:rPr>
          <w:rFonts w:ascii="宋体" w:hAnsi="宋体" w:cs="宋体" w:eastAsia="宋体" w:hint="default"/>
        </w:rPr>
        <w:t>54.70</w:t>
      </w:r>
      <w:r>
        <w:rPr/>
        <w:t>元，支付方式为现金。</w:t>
      </w:r>
    </w:p>
    <w:p>
      <w:pPr>
        <w:pStyle w:val="BodyText"/>
        <w:spacing w:line="240" w:lineRule="auto"/>
        <w:ind w:left="513" w:right="96"/>
        <w:jc w:val="left"/>
      </w:pPr>
      <w:r>
        <w:rPr/>
        <w:t>该股权转让事项已于</w:t>
      </w: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26</w:t>
      </w:r>
      <w:r>
        <w:rPr/>
        <w:t>日完成。</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513" w:right="96"/>
        <w:jc w:val="left"/>
      </w:pPr>
      <w:r>
        <w:rPr>
          <w:rFonts w:ascii="宋体" w:hAnsi="宋体" w:cs="宋体" w:eastAsia="宋体" w:hint="default"/>
        </w:rPr>
        <w:t>3</w:t>
      </w:r>
      <w:r>
        <w:rPr/>
        <w:t>、 </w:t>
      </w:r>
      <w:r>
        <w:rPr>
          <w:rFonts w:ascii="宋体" w:hAnsi="宋体" w:cs="宋体" w:eastAsia="宋体" w:hint="default"/>
        </w:rPr>
        <w:t>2013</w:t>
      </w:r>
      <w:r>
        <w:rPr/>
        <w:t>年</w:t>
      </w:r>
      <w:r>
        <w:rPr>
          <w:rFonts w:ascii="宋体" w:hAnsi="宋体" w:cs="宋体" w:eastAsia="宋体" w:hint="default"/>
        </w:rPr>
        <w:t>8</w:t>
      </w:r>
      <w:r>
        <w:rPr/>
        <w:t>月，公司拟发行股份购买高阳捷迅剩余</w:t>
      </w:r>
      <w:r>
        <w:rPr>
          <w:rFonts w:ascii="宋体" w:hAnsi="宋体" w:cs="宋体" w:eastAsia="宋体" w:hint="default"/>
        </w:rPr>
        <w:t>63.649%</w:t>
      </w:r>
      <w:r>
        <w:rPr/>
        <w:t>股权 根据</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30</w:t>
      </w:r>
      <w:r>
        <w:rPr/>
        <w:t>日公司第七届第十九次董事会决议，公司拟通过非公开发行股份的方式</w:t>
      </w:r>
    </w:p>
    <w:p>
      <w:pPr>
        <w:pStyle w:val="BodyText"/>
        <w:spacing w:line="357" w:lineRule="auto"/>
        <w:ind w:right="98"/>
        <w:jc w:val="left"/>
      </w:pPr>
      <w:r>
        <w:rPr>
          <w:spacing w:val="-2"/>
        </w:rPr>
        <w:t>向高阳捷迅除公司外其他</w:t>
      </w:r>
      <w:r>
        <w:rPr>
          <w:rFonts w:ascii="宋体" w:hAnsi="宋体" w:cs="宋体" w:eastAsia="宋体" w:hint="default"/>
          <w:spacing w:val="-2"/>
        </w:rPr>
        <w:t>10</w:t>
      </w:r>
      <w:r>
        <w:rPr>
          <w:spacing w:val="-2"/>
        </w:rPr>
        <w:t>位股东，包括电信科学技术研究院、大唐高新创业投资有限公司、</w:t>
      </w:r>
      <w:r>
        <w:rPr>
          <w:spacing w:val="-117"/>
        </w:rPr>
        <w:t> </w:t>
      </w:r>
      <w:r>
        <w:rPr>
          <w:spacing w:val="-117"/>
        </w:rPr>
      </w:r>
      <w:r>
        <w:rPr/>
        <w:t>海南信息产业创业投资基金（有限合伙）、北京银汉创业投资有限公司、曾东卫、李伟斌、</w:t>
      </w:r>
      <w:r>
        <w:rPr>
          <w:spacing w:val="-91"/>
        </w:rPr>
        <w:t> </w:t>
      </w:r>
      <w:r>
        <w:rPr>
          <w:spacing w:val="-91"/>
        </w:rPr>
      </w:r>
      <w:r>
        <w:rPr>
          <w:spacing w:val="-5"/>
        </w:rPr>
        <w:t>叶军、张岩、李昌锋、王世成，购买其持有的高阳捷迅合计</w:t>
      </w:r>
      <w:r>
        <w:rPr>
          <w:rFonts w:ascii="宋体" w:hAnsi="宋体" w:cs="宋体" w:eastAsia="宋体" w:hint="default"/>
          <w:spacing w:val="-5"/>
        </w:rPr>
        <w:t>63.649%</w:t>
      </w:r>
      <w:r>
        <w:rPr>
          <w:spacing w:val="-5"/>
        </w:rPr>
        <w:t>的股权。本次交易完成后，</w:t>
      </w:r>
      <w:r>
        <w:rPr>
          <w:spacing w:val="-97"/>
        </w:rPr>
        <w:t> </w:t>
      </w:r>
      <w:r>
        <w:rPr>
          <w:spacing w:val="-97"/>
        </w:rPr>
      </w:r>
      <w:r>
        <w:rPr/>
        <w:t>公司将持有高阳捷迅</w:t>
      </w:r>
      <w:r>
        <w:rPr>
          <w:rFonts w:ascii="宋体" w:hAnsi="宋体" w:cs="宋体" w:eastAsia="宋体" w:hint="default"/>
        </w:rPr>
        <w:t>100%</w:t>
      </w:r>
      <w:r>
        <w:rPr/>
        <w:t>股权，但公司主营业务并未发生改变，本次交易未导致公司实际控</w:t>
      </w:r>
      <w:r>
        <w:rPr>
          <w:spacing w:val="-90"/>
        </w:rPr>
        <w:t> </w:t>
      </w:r>
      <w:r>
        <w:rPr>
          <w:spacing w:val="-90"/>
        </w:rPr>
      </w:r>
      <w:r>
        <w:rPr/>
        <w:t>制人发生变更。</w:t>
      </w:r>
    </w:p>
    <w:p>
      <w:pPr>
        <w:pStyle w:val="BodyText"/>
        <w:spacing w:line="357" w:lineRule="auto"/>
        <w:ind w:right="134" w:firstLine="360"/>
        <w:jc w:val="left"/>
      </w:pPr>
      <w:r>
        <w:rPr/>
        <w:t>购买资产价格在</w:t>
      </w: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31</w:t>
      </w:r>
      <w:r>
        <w:rPr/>
        <w:t>日为评估基准日的对高阳捷迅</w:t>
      </w:r>
      <w:r>
        <w:rPr>
          <w:rFonts w:ascii="宋体" w:hAnsi="宋体" w:cs="宋体" w:eastAsia="宋体" w:hint="default"/>
        </w:rPr>
        <w:t>63.649%</w:t>
      </w:r>
      <w:r>
        <w:rPr/>
        <w:t>股权评估结果基础上， 由交易各方协商确定。</w:t>
      </w:r>
    </w:p>
    <w:p>
      <w:pPr>
        <w:pStyle w:val="BodyText"/>
        <w:spacing w:line="357" w:lineRule="auto" w:before="37"/>
        <w:ind w:right="96" w:firstLine="360"/>
        <w:jc w:val="left"/>
      </w:pPr>
      <w:r>
        <w:rPr>
          <w:spacing w:val="-6"/>
        </w:rPr>
        <w:t>根据《上市公司重大资产重组管理办法》的规定，上述交易不构成上市公司重大资产重组，</w:t>
      </w:r>
      <w:r>
        <w:rPr/>
        <w:t> </w:t>
      </w:r>
      <w:r>
        <w:rPr>
          <w:spacing w:val="-3"/>
        </w:rPr>
        <w:t>但系发行股份购买资产，因此仍适用《上市公司重大资产重组管理办法》的相关规定。此外，</w:t>
      </w:r>
      <w:r>
        <w:rPr>
          <w:spacing w:val="-81"/>
        </w:rPr>
        <w:t> </w:t>
      </w:r>
      <w:r>
        <w:rPr>
          <w:spacing w:val="-81"/>
        </w:rPr>
      </w:r>
      <w:r>
        <w:rPr/>
        <w:t>上述交易涉及关联交易，本次交易中，电信科学技术研究院、大唐高新创业投资有限公司、</w:t>
      </w:r>
      <w:r>
        <w:rPr>
          <w:spacing w:val="-87"/>
        </w:rPr>
        <w:t> </w:t>
      </w:r>
      <w:r>
        <w:rPr>
          <w:spacing w:val="-87"/>
        </w:rPr>
      </w:r>
      <w:r>
        <w:rPr/>
        <w:t>海南信息产业创业投资基金（有限合伙）向公司出售资产，其中电信科学技术研究院为公司</w:t>
      </w:r>
    </w:p>
    <w:p>
      <w:pPr>
        <w:spacing w:after="0" w:line="357"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94"/>
        <w:jc w:val="left"/>
      </w:pPr>
      <w:r>
        <w:rPr/>
        <w:t>的控股股东，大唐高新创业投资有限公司、海南信息产业创业投资基金（有限合伙）为电信</w:t>
      </w:r>
      <w:r>
        <w:rPr>
          <w:spacing w:val="-91"/>
        </w:rPr>
        <w:t> </w:t>
      </w:r>
      <w:r>
        <w:rPr>
          <w:spacing w:val="-91"/>
        </w:rPr>
      </w:r>
      <w:r>
        <w:rPr/>
        <w:t>科学技术研究院的下属企业。</w:t>
      </w:r>
    </w:p>
    <w:p>
      <w:pPr>
        <w:pStyle w:val="BodyText"/>
        <w:spacing w:line="357" w:lineRule="auto"/>
        <w:ind w:right="94" w:firstLine="360"/>
        <w:jc w:val="left"/>
      </w:pPr>
      <w:r>
        <w:rPr>
          <w:spacing w:val="-3"/>
        </w:rPr>
        <w:t>截至财务报告报出日，本次交易的生效尚需再次提交董事会审议，并需取得国务院国有资</w:t>
      </w:r>
      <w:r>
        <w:rPr/>
        <w:t> 产监督管理委员会、股东大会、中国证券监督管理委员会的批准或核准。</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、期末发行在外的、可转换为股份的金融工具</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8"/>
        <w:gridCol w:w="1516"/>
        <w:gridCol w:w="1528"/>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1" w:right="34"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7" w:right="28"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8" w:type="dxa"/>
            <w:vMerge/>
            <w:tcBorders>
              <w:left w:val="single" w:sz="4" w:space="0" w:color="000000"/>
              <w:right w:val="single" w:sz="4" w:space="0" w:color="000000"/>
            </w:tcBorders>
            <w:shd w:val="clear" w:color="auto" w:fill="D2D2D2"/>
          </w:tcPr>
          <w:p>
            <w:pPr/>
          </w:p>
        </w:tc>
        <w:tc>
          <w:tcPr>
            <w:tcW w:w="1516"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8" w:type="dxa"/>
            <w:vMerge/>
            <w:tcBorders>
              <w:left w:val="single" w:sz="4" w:space="0" w:color="000000"/>
              <w:bottom w:val="single" w:sz="4" w:space="0" w:color="000000"/>
              <w:right w:val="single" w:sz="4" w:space="0" w:color="000000"/>
            </w:tcBorders>
            <w:shd w:val="clear" w:color="auto" w:fill="D2D2D2"/>
          </w:tcPr>
          <w:p>
            <w:pPr/>
          </w:p>
        </w:tc>
        <w:tc>
          <w:tcPr>
            <w:tcW w:w="1516"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、外币金融资产和外币金融负债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7"/>
        <w:gridCol w:w="1517"/>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7" w:right="33"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4" w:right="31"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、年金计划主要内容及重大变化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、年金计划主要内容及重大变化</w:t>
      </w:r>
    </w:p>
    <w:p>
      <w:pPr>
        <w:pStyle w:val="BodyText"/>
        <w:spacing w:line="357" w:lineRule="auto" w:before="135"/>
        <w:ind w:right="94" w:firstLine="360"/>
        <w:jc w:val="left"/>
      </w:pPr>
      <w:r>
        <w:rPr>
          <w:spacing w:val="-3"/>
        </w:rPr>
        <w:t>为完善大唐高鸿数据网络技术股份有限公司薪酬福利体系，加强中长期激励机制建设，依</w:t>
      </w:r>
      <w:r>
        <w:rPr/>
        <w:t> 据国家相关法律法规和政策文件及《电信科学技术研究院（大唐电信科技产业集团）企业年</w:t>
      </w:r>
      <w:r>
        <w:rPr>
          <w:spacing w:val="-91"/>
        </w:rPr>
        <w:t> </w:t>
      </w:r>
      <w:r>
        <w:rPr>
          <w:spacing w:val="-91"/>
        </w:rPr>
      </w:r>
      <w:r>
        <w:rPr/>
        <w:t>金总体方案》，并结合公司的实际情况，建立企业年金计划，该计划从</w:t>
      </w:r>
      <w:r>
        <w:rPr>
          <w:rFonts w:ascii="宋体" w:hAnsi="宋体" w:cs="宋体" w:eastAsia="宋体" w:hint="default"/>
        </w:rPr>
        <w:t>2013</w:t>
      </w:r>
      <w:r>
        <w:rPr/>
        <w:t>年</w:t>
      </w:r>
      <w:r>
        <w:rPr>
          <w:rFonts w:ascii="宋体" w:hAnsi="宋体" w:cs="宋体" w:eastAsia="宋体" w:hint="default"/>
        </w:rPr>
        <w:t>1</w:t>
      </w:r>
      <w:r>
        <w:rPr/>
        <w:t>月开始执行， </w:t>
      </w:r>
      <w:r>
        <w:rPr>
          <w:spacing w:val="-2"/>
        </w:rPr>
        <w:t>其中个人缴纳部分为基数的</w:t>
      </w:r>
      <w:r>
        <w:rPr>
          <w:rFonts w:ascii="宋体" w:hAnsi="宋体" w:cs="宋体" w:eastAsia="宋体" w:hint="default"/>
          <w:spacing w:val="-2"/>
        </w:rPr>
        <w:t>1.25%</w:t>
      </w:r>
      <w:r>
        <w:rPr>
          <w:spacing w:val="-2"/>
        </w:rPr>
        <w:t>，公司为其缴纳</w:t>
      </w:r>
      <w:r>
        <w:rPr>
          <w:rFonts w:ascii="宋体" w:hAnsi="宋体" w:cs="宋体" w:eastAsia="宋体" w:hint="default"/>
          <w:spacing w:val="-2"/>
        </w:rPr>
        <w:t>5%</w:t>
      </w:r>
      <w:r>
        <w:rPr>
          <w:spacing w:val="-2"/>
        </w:rPr>
        <w:t>。企业按月缴纳企业年金缴费，款项直接</w:t>
      </w:r>
      <w:r>
        <w:rPr>
          <w:spacing w:val="-112"/>
        </w:rPr>
        <w:t> </w:t>
      </w:r>
      <w:r>
        <w:rPr>
          <w:spacing w:val="-112"/>
        </w:rPr>
      </w:r>
      <w:r>
        <w:rPr>
          <w:spacing w:val="-2"/>
        </w:rPr>
        <w:t>缴入受托财产托管专户。从</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月起，财政部、国家税务总局、人力资源和社会保障部颁</w:t>
      </w:r>
    </w:p>
    <w:p>
      <w:pPr>
        <w:spacing w:after="0" w:line="357" w:lineRule="auto"/>
        <w:jc w:val="left"/>
        <w:sectPr>
          <w:pgSz w:w="11910" w:h="16840"/>
          <w:pgMar w:header="745" w:footer="1186" w:top="1060" w:bottom="1380" w:left="980" w:right="940"/>
        </w:sectPr>
      </w:pPr>
    </w:p>
    <w:p>
      <w:pPr>
        <w:spacing w:line="240" w:lineRule="auto" w:before="6"/>
        <w:rPr>
          <w:rFonts w:ascii="宋体" w:hAnsi="宋体" w:cs="宋体" w:eastAsia="宋体" w:hint="default"/>
          <w:sz w:val="29"/>
          <w:szCs w:val="29"/>
        </w:rPr>
      </w:pPr>
    </w:p>
    <w:p>
      <w:pPr>
        <w:pStyle w:val="BodyText"/>
        <w:spacing w:line="357" w:lineRule="auto" w:before="26"/>
        <w:ind w:right="223"/>
        <w:jc w:val="left"/>
      </w:pPr>
      <w:r>
        <w:rPr/>
        <w:t>布了《关于企业年金</w:t>
      </w:r>
      <w:r>
        <w:rPr>
          <w:spacing w:val="31"/>
        </w:rPr>
        <w:t> </w:t>
      </w:r>
      <w:r>
        <w:rPr/>
        <w:t>职业年金有关个人所得税政策的通知》（财税〔</w:t>
      </w:r>
      <w:r>
        <w:rPr>
          <w:rFonts w:ascii="宋体" w:hAnsi="宋体" w:cs="宋体" w:eastAsia="宋体" w:hint="default"/>
        </w:rPr>
        <w:t>2013</w:t>
      </w:r>
      <w:r>
        <w:rPr/>
        <w:t>〕</w:t>
      </w:r>
      <w:r>
        <w:rPr>
          <w:rFonts w:ascii="宋体" w:hAnsi="宋体" w:cs="宋体" w:eastAsia="宋体" w:hint="default"/>
        </w:rPr>
        <w:t>103</w:t>
      </w:r>
      <w:r>
        <w:rPr/>
        <w:t>号，以下简</w:t>
      </w:r>
      <w:r>
        <w:rPr>
          <w:spacing w:val="-118"/>
        </w:rPr>
        <w:t> </w:t>
      </w:r>
      <w:r>
        <w:rPr>
          <w:spacing w:val="-118"/>
        </w:rPr>
      </w:r>
      <w:r>
        <w:rPr/>
        <w:t>称</w:t>
      </w:r>
      <w:r>
        <w:rPr>
          <w:rFonts w:ascii="宋体" w:hAnsi="宋体" w:cs="宋体" w:eastAsia="宋体" w:hint="default"/>
        </w:rPr>
        <w:t>103</w:t>
      </w:r>
      <w:r>
        <w:rPr/>
        <w:t>号文），重大变化如下：</w:t>
      </w:r>
    </w:p>
    <w:p>
      <w:pPr>
        <w:pStyle w:val="BodyText"/>
        <w:spacing w:line="357" w:lineRule="auto"/>
        <w:ind w:left="513" w:right="96"/>
        <w:jc w:val="left"/>
      </w:pPr>
      <w:r>
        <w:rPr>
          <w:spacing w:val="-6"/>
        </w:rPr>
        <w:t>企业缴费，凡符合国家有关政策规定的办法和标准的企业缴费部分，可列入税前企业缴费。</w:t>
      </w:r>
      <w:r>
        <w:rPr>
          <w:spacing w:val="-82"/>
        </w:rPr>
        <w:t> </w:t>
      </w:r>
      <w:r>
        <w:rPr>
          <w:spacing w:val="-82"/>
        </w:rPr>
      </w:r>
      <w:r>
        <w:rPr>
          <w:spacing w:val="-3"/>
        </w:rPr>
        <w:t>个人缴费，不超过本人缴费工资计税基数的</w:t>
      </w:r>
      <w:r>
        <w:rPr>
          <w:rFonts w:ascii="宋体" w:hAnsi="宋体" w:cs="宋体" w:eastAsia="宋体" w:hint="default"/>
          <w:spacing w:val="-3"/>
        </w:rPr>
        <w:t>4%</w:t>
      </w:r>
      <w:r>
        <w:rPr>
          <w:spacing w:val="-3"/>
        </w:rPr>
        <w:t>标准内的部分可列入个人税前缴费；个人缴</w:t>
      </w:r>
    </w:p>
    <w:p>
      <w:pPr>
        <w:pStyle w:val="BodyText"/>
        <w:spacing w:line="357" w:lineRule="auto"/>
        <w:ind w:right="96"/>
        <w:jc w:val="left"/>
      </w:pPr>
      <w:r>
        <w:rPr>
          <w:spacing w:val="6"/>
        </w:rPr>
        <w:t>费超过缴费工资计税基数</w:t>
      </w:r>
      <w:r>
        <w:rPr>
          <w:rFonts w:ascii="宋体" w:hAnsi="宋体" w:cs="宋体" w:eastAsia="宋体" w:hint="default"/>
          <w:spacing w:val="6"/>
        </w:rPr>
        <w:t>4%</w:t>
      </w:r>
      <w:r>
        <w:rPr>
          <w:spacing w:val="6"/>
        </w:rPr>
        <w:t>或基数超过职工工作所在地设区城市上一年度职工月平均工资</w:t>
      </w:r>
      <w:r>
        <w:rPr>
          <w:spacing w:val="-111"/>
        </w:rPr>
        <w:t> </w:t>
      </w:r>
      <w:r>
        <w:rPr>
          <w:spacing w:val="-111"/>
        </w:rPr>
      </w:r>
      <w:r>
        <w:rPr>
          <w:rFonts w:ascii="宋体" w:hAnsi="宋体" w:cs="宋体" w:eastAsia="宋体" w:hint="default"/>
        </w:rPr>
        <w:t>300%</w:t>
      </w:r>
      <w:r>
        <w:rPr/>
        <w:t>形成的缴费部分，计为税后个人缴费。</w:t>
      </w:r>
    </w:p>
    <w:p>
      <w:pPr>
        <w:pStyle w:val="BodyText"/>
        <w:spacing w:line="357" w:lineRule="auto"/>
        <w:ind w:right="96" w:firstLine="360"/>
        <w:jc w:val="left"/>
      </w:pPr>
      <w:r>
        <w:rPr>
          <w:spacing w:val="-3"/>
        </w:rPr>
        <w:t>现阶段企业年金运转正常，且根据人员的变动进行每月年金的增员减员，尚未进行年金支</w:t>
      </w:r>
      <w:r>
        <w:rPr/>
        <w:t> 付。</w:t>
      </w:r>
    </w:p>
    <w:p>
      <w:pPr>
        <w:spacing w:line="240" w:lineRule="auto" w:before="11"/>
        <w:rPr>
          <w:rFonts w:ascii="宋体" w:hAnsi="宋体" w:cs="宋体" w:eastAsia="宋体" w:hint="default"/>
          <w:sz w:val="21"/>
          <w:szCs w:val="21"/>
        </w:rPr>
      </w:pPr>
    </w:p>
    <w:p>
      <w:pPr>
        <w:spacing w:line="487" w:lineRule="auto" w:before="0"/>
        <w:ind w:left="152" w:right="59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84"/>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2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8"/>
        <w:gridCol w:w="665"/>
        <w:gridCol w:w="1195"/>
        <w:gridCol w:w="665"/>
        <w:gridCol w:w="1327"/>
        <w:gridCol w:w="665"/>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8"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9"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按账龄分析法</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26,513,400.73</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10,992,764.92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32,566,778.23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9,450,923.47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29.02%</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26,513,400.73</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10,992,764.92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32,566,778.23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9,450,923.47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29.02%</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26,513,400.73</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10,992,764.92</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32,566,778.23</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9,450,923.47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00"/>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41"/>
        <w:ind w:left="152" w:right="2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00"/>
          <w:cols w:num="2" w:equalWidth="0">
            <w:col w:w="4113" w:space="4716"/>
            <w:col w:w="12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7"/>
        <w:gridCol w:w="665"/>
        <w:gridCol w:w="1594"/>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5"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38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7"/>
        <w:gridCol w:w="665"/>
        <w:gridCol w:w="1594"/>
      </w:tblGrid>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3,779,094.20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18,895.47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5,247,196.40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26,235.99</w:t>
            </w:r>
          </w:p>
        </w:tc>
      </w:tr>
      <w:tr>
        <w:trPr>
          <w:trHeight w:val="71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3,779,094.20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18,895.47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5,247,196.40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26,235.99</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2,571,890.45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6" w:right="0"/>
              <w:jc w:val="left"/>
              <w:rPr>
                <w:rFonts w:ascii="Times New Roman" w:hAnsi="Times New Roman" w:cs="Times New Roman" w:eastAsia="Times New Roman" w:hint="default"/>
                <w:sz w:val="18"/>
                <w:szCs w:val="18"/>
              </w:rPr>
            </w:pPr>
            <w:r>
              <w:rPr>
                <w:rFonts w:ascii="Times New Roman"/>
                <w:sz w:val="18"/>
              </w:rPr>
              <w:t>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51,437.81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4,428,949.50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88,578.99</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4,166,593.88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15.72%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416,659.39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9,120,032.63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912,003.26</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15,995,822.20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60.33%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10,505,772.25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13,770,599.70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8,424,105.23</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5,713,399.00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21.55%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1,714,019.70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6,432,841.30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1,929,852.39</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2,981,341.30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11.24%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1,490,670.65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1,687,011.12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843,505.56</w:t>
            </w:r>
          </w:p>
        </w:tc>
      </w:tr>
      <w:tr>
        <w:trPr>
          <w:trHeight w:val="40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7,301,081.90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27.54%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7,301,081.90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5,650,747.28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5,650,747.28</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26,513,400.73</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10,992,764.92</w:t>
            </w:r>
          </w:p>
        </w:tc>
        <w:tc>
          <w:tcPr>
            <w:tcW w:w="21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32,566,778.23</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9,450,923.47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39"/>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4"/>
        <w:gridCol w:w="1833"/>
      </w:tblGrid>
      <w:tr>
        <w:trPr>
          <w:trHeight w:val="401"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0"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）本报告期应收账款中持有公司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35"/>
          <w:pgSz w:w="11910" w:h="16840"/>
          <w:pgMar w:footer="1585" w:header="745" w:top="1060" w:bottom="1780" w:left="980" w:right="980"/>
          <w:pgNumType w:start="215"/>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594"/>
        <w:gridCol w:w="1863"/>
        <w:gridCol w:w="1863"/>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）金额较大的其他的应收账款的性质或内容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贵州沣恒投资管理有限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6,052,092.00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北京中化兴源投资有限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3,425,225.00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珠海祺利通信科技有限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福建实达电脑设备有限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北京汉唐中智网络科技 发展有限公司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1,406,216.00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14,213,533.00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53.61%</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30"/>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大唐电信科技产业控股有限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8,792.00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8,792.00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不符合终止确认条件的应收账款的转移金额为元。</w:t>
      </w:r>
    </w:p>
    <w:p>
      <w:pPr>
        <w:spacing w:line="240" w:lineRule="auto" w:before="0"/>
        <w:rPr>
          <w:rFonts w:ascii="宋体" w:hAnsi="宋体" w:cs="宋体" w:eastAsia="宋体" w:hint="default"/>
          <w:sz w:val="18"/>
          <w:szCs w:val="18"/>
        </w:rPr>
      </w:pPr>
    </w:p>
    <w:p>
      <w:pPr>
        <w:spacing w:before="12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）以应收款项为标的资产进行资产证券化的，需简要说明相关交易安排</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1585" w:top="1060" w:bottom="17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169"/>
        <w:gridCol w:w="1455"/>
        <w:gridCol w:w="528"/>
        <w:gridCol w:w="1320"/>
        <w:gridCol w:w="528"/>
        <w:gridCol w:w="1323"/>
        <w:gridCol w:w="528"/>
        <w:gridCol w:w="1190"/>
        <w:gridCol w:w="526"/>
      </w:tblGrid>
      <w:tr>
        <w:trPr>
          <w:trHeight w:val="402" w:hRule="exact"/>
        </w:trPr>
        <w:tc>
          <w:tcPr>
            <w:tcW w:w="2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69"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69"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按账龄分析法</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455,876,028.19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10,330,333.87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2.27%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603,396,741.72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13,047,935.15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2.16%</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455,876,028.19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10,330,333.87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2.27%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603,396,741.72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13,047,935.15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2.16%</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455,876,028.19</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10,330,333.87</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603,396,741.72</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13,047,935.15</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36"/>
          <w:pgSz w:w="11910" w:h="16840"/>
          <w:pgMar w:footer="1186" w:header="745" w:top="1060" w:bottom="1380" w:left="980" w:right="980"/>
          <w:pgNumType w:start="217"/>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38" w:lineRule="auto"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3"/>
        <w:ind w:left="152" w:right="2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4293" w:space="453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3"/>
        <w:gridCol w:w="665"/>
        <w:gridCol w:w="1726"/>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443,732,405.94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2,218,662.03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425,042,712.38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70.44%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2,125,213.56</w:t>
            </w: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443,732,405.94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2,218,662.03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425,042,712.38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70.44%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2,125,213.56</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10,414.77</w:t>
            </w:r>
          </w:p>
        </w:tc>
        <w:tc>
          <w:tcPr>
            <w:tcW w:w="6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166,801,582.08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27.64%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3,336,031.64</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4,384,239.78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438,423.98</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9,543,207.48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7,852,463.54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7,168,207.48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7,148,265.97</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718,500.00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8,546.37</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28,487.88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14,243.94</w:t>
            </w:r>
          </w:p>
        </w:tc>
        <w:tc>
          <w:tcPr>
            <w:tcW w:w="18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7,119,719.60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7,119,719.60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7,139,719.60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7,139,719.60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455,876,028.19</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10,330,333.87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603,396,741.72</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13,047,935.15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8"/>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43"/>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2"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2"/>
        <w:gridCol w:w="1464"/>
        <w:gridCol w:w="1517"/>
        <w:gridCol w:w="1803"/>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）本报告期其他应收款中持有公司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）金额较大的其他应收款的性质或内容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154,132,000.00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33.81%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146,979,743.32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32.24%</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大唐高鸿通信技术有限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48,873,700.00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贵州大唐高鸿电子信息 技术有限公司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大唐高鸿济宁电子信息 技术有限公司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413,085,443.32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）其他应收关联方账款情况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30"/>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大唐高鸿信息技术有限公司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154,132,000.00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33.81%</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北京大唐高鸿数据网络技术 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146,979,743.32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32.24%</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大唐高鸿通信技术有限公司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48,873,700.00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10.72%</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贵州大唐高鸿电子信息技术 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10.68%</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大唐高鸿济宁电子信息技术 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北京大唐高鸿科技发展有限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12,959,625.69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北京大唐融合通信技术有限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8,019,089.21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北京大唐高鸿软件技术有限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1,875,835.00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435,939,993.22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95.62%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不符合终止确认条件的其他应收款项的转移金额为元。</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）以其他应收款项为标的资产进行资产证券化的，需简要说明相关交易安排</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800"/>
        <w:gridCol w:w="797"/>
        <w:gridCol w:w="799"/>
        <w:gridCol w:w="797"/>
        <w:gridCol w:w="799"/>
        <w:gridCol w:w="797"/>
        <w:gridCol w:w="800"/>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02" w:right="31"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4"/>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1"/>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北京海岸 淘金创业 投资有限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7,320,000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20,440,88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-11,734,8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8,706,058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29.67%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36,611,82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67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大唐高新 创业投资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26,435,36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112,825.8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26,548,19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132,045.8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417.100006pt;margin-top:627.909973pt;width:37.1pt;height:19.7pt;mso-position-horizontal-relative:page;mso-position-vertical-relative:page;z-index:-1330600" coordorigin="8342,12558" coordsize="742,394">
            <v:shape style="position:absolute;left:8342;top:12558;width:742;height:394" coordorigin="8342,12558" coordsize="742,394" path="m8342,12952l9084,12952,9084,12558,8342,12558,8342,1295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800"/>
        <w:gridCol w:w="797"/>
        <w:gridCol w:w="799"/>
        <w:gridCol w:w="797"/>
        <w:gridCol w:w="799"/>
        <w:gridCol w:w="797"/>
        <w:gridCol w:w="800"/>
        <w:gridCol w:w="797"/>
        <w:gridCol w:w="799"/>
        <w:gridCol w:w="797"/>
      </w:tblGrid>
      <w:tr>
        <w:trPr>
          <w:trHeight w:val="36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0.94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w:t>
            </w:r>
          </w:p>
        </w:tc>
      </w:tr>
      <w:tr>
        <w:trPr>
          <w:trHeight w:val="356" w:hRule="exact"/>
        </w:trPr>
        <w:tc>
          <w:tcPr>
            <w:tcW w:w="7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w:t>
            </w: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高鸿软件 技术有限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3" w:hRule="exact"/>
        </w:trPr>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大唐高鸿 通信技术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184,930,0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184,930,0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184,930,0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7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w:t>
            </w: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高鸿数据 网络技术</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419,405,8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56.90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189,405,8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56.90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230,000,0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419,405,8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56.90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3" w:hRule="exact"/>
        </w:trPr>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6" w:hRule="exact"/>
        </w:trPr>
        <w:tc>
          <w:tcPr>
            <w:tcW w:w="7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贵州大唐</w:t>
            </w: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高鸿电子 信息技术</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5" w:hRule="exact"/>
        </w:trPr>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5" w:hRule="exact"/>
        </w:trPr>
        <w:tc>
          <w:tcPr>
            <w:tcW w:w="795"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公司通过</w:t>
            </w:r>
          </w:p>
        </w:tc>
        <w:tc>
          <w:tcPr>
            <w:tcW w:w="797" w:type="dxa"/>
            <w:vMerge w:val="restart"/>
            <w:tcBorders>
              <w:top w:val="single" w:sz="4" w:space="0" w:color="000000"/>
              <w:left w:val="single" w:sz="10" w:space="0" w:color="FFFFFF"/>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子公司高</w:t>
            </w:r>
          </w:p>
        </w:tc>
        <w:tc>
          <w:tcPr>
            <w:tcW w:w="797" w:type="dxa"/>
            <w:vMerge/>
            <w:tcBorders>
              <w:left w:val="single" w:sz="10" w:space="0" w:color="FFFFFF"/>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鸿信息间</w:t>
            </w:r>
          </w:p>
        </w:tc>
        <w:tc>
          <w:tcPr>
            <w:tcW w:w="797" w:type="dxa"/>
            <w:vMerge/>
            <w:tcBorders>
              <w:left w:val="single" w:sz="10" w:space="0" w:color="FFFFFF"/>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接持有高</w:t>
            </w:r>
          </w:p>
        </w:tc>
        <w:tc>
          <w:tcPr>
            <w:tcW w:w="797" w:type="dxa"/>
            <w:vMerge/>
            <w:tcBorders>
              <w:left w:val="single" w:sz="10" w:space="0" w:color="FFFFFF"/>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大唐高鸿</w:t>
            </w: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鸿济宁</w:t>
            </w:r>
          </w:p>
        </w:tc>
        <w:tc>
          <w:tcPr>
            <w:tcW w:w="797" w:type="dxa"/>
            <w:vMerge/>
            <w:tcBorders>
              <w:left w:val="single" w:sz="10" w:space="0" w:color="FFFFFF"/>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629"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济宁电子 信息技术</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58,800,00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29,400,00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29,400,00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58,800,00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800" w:type="dxa"/>
            <w:tcBorders>
              <w:top w:val="nil" w:sz="6" w:space="0" w:color="auto"/>
              <w:left w:val="single" w:sz="4" w:space="0" w:color="000000"/>
              <w:bottom w:val="nil" w:sz="6" w:space="0" w:color="auto"/>
              <w:right w:val="single" w:sz="10" w:space="0" w:color="FFFFFF"/>
            </w:tcBorders>
          </w:tcPr>
          <w:p>
            <w:pPr>
              <w:pStyle w:val="TableParagraph"/>
              <w:spacing w:line="300" w:lineRule="auto" w:before="10"/>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因此，公</w:t>
            </w:r>
          </w:p>
        </w:tc>
        <w:tc>
          <w:tcPr>
            <w:tcW w:w="797" w:type="dxa"/>
            <w:vMerge/>
            <w:tcBorders>
              <w:left w:val="single" w:sz="10" w:space="0" w:color="FFFFFF"/>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07"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司直接、</w:t>
            </w:r>
          </w:p>
        </w:tc>
        <w:tc>
          <w:tcPr>
            <w:tcW w:w="797" w:type="dxa"/>
            <w:vMerge/>
            <w:tcBorders>
              <w:left w:val="single" w:sz="10" w:space="0" w:color="FFFFFF"/>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间接拥有</w:t>
            </w:r>
          </w:p>
        </w:tc>
        <w:tc>
          <w:tcPr>
            <w:tcW w:w="797" w:type="dxa"/>
            <w:vMerge/>
            <w:tcBorders>
              <w:left w:val="single" w:sz="10" w:space="0" w:color="FFFFFF"/>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济宁高鸿</w:t>
            </w:r>
          </w:p>
        </w:tc>
        <w:tc>
          <w:tcPr>
            <w:tcW w:w="797" w:type="dxa"/>
            <w:vMerge/>
            <w:tcBorders>
              <w:left w:val="single" w:sz="10" w:space="0" w:color="FFFFFF"/>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7"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tc>
        <w:tc>
          <w:tcPr>
            <w:tcW w:w="797" w:type="dxa"/>
            <w:vMerge/>
            <w:tcBorders>
              <w:left w:val="single" w:sz="10" w:space="0" w:color="FFFFFF"/>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3" w:hRule="exact"/>
        </w:trPr>
        <w:tc>
          <w:tcPr>
            <w:tcW w:w="795"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97" w:type="dxa"/>
            <w:vMerge/>
            <w:tcBorders>
              <w:left w:val="single" w:sz="10" w:space="0" w:color="FFFFFF"/>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5" w:hRule="exact"/>
        </w:trPr>
        <w:tc>
          <w:tcPr>
            <w:tcW w:w="795"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公司通过</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子公司高</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鸿数据间</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接持有高</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鸿信息</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936"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both"/>
              <w:rPr>
                <w:rFonts w:ascii="宋体" w:hAnsi="宋体" w:cs="宋体" w:eastAsia="宋体" w:hint="default"/>
                <w:sz w:val="18"/>
                <w:szCs w:val="18"/>
              </w:rPr>
            </w:pPr>
            <w:r>
              <w:rPr>
                <w:rFonts w:ascii="宋体" w:hAnsi="宋体" w:cs="宋体" w:eastAsia="宋体" w:hint="default"/>
                <w:sz w:val="18"/>
                <w:szCs w:val="18"/>
              </w:rPr>
              <w:t>大唐高鸿 信息技术 有限公司</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271,620,8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257,300,0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14,320,80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271,620,8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91.89%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6"/>
              <w:jc w:val="right"/>
              <w:rPr>
                <w:rFonts w:ascii="Times New Roman" w:hAnsi="Times New Roman" w:cs="Times New Roman" w:eastAsia="Times New Roman" w:hint="default"/>
                <w:sz w:val="18"/>
                <w:szCs w:val="18"/>
              </w:rPr>
            </w:pPr>
            <w:r>
              <w:rPr>
                <w:rFonts w:ascii="Times New Roman"/>
                <w:sz w:val="18"/>
              </w:rPr>
              <w:t>96.99%</w:t>
            </w:r>
          </w:p>
        </w:tc>
        <w:tc>
          <w:tcPr>
            <w:tcW w:w="800" w:type="dxa"/>
            <w:tcBorders>
              <w:top w:val="nil" w:sz="6" w:space="0" w:color="auto"/>
              <w:left w:val="single" w:sz="4" w:space="0" w:color="000000"/>
              <w:bottom w:val="nil" w:sz="6" w:space="0" w:color="auto"/>
              <w:right w:val="single" w:sz="10"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股</w:t>
            </w:r>
          </w:p>
          <w:p>
            <w:pPr>
              <w:pStyle w:val="TableParagraph"/>
              <w:spacing w:line="316" w:lineRule="auto" w:before="63"/>
              <w:ind w:left="23" w:right="104"/>
              <w:jc w:val="left"/>
              <w:rPr>
                <w:rFonts w:ascii="宋体" w:hAnsi="宋体" w:cs="宋体" w:eastAsia="宋体" w:hint="default"/>
                <w:sz w:val="18"/>
                <w:szCs w:val="18"/>
              </w:rPr>
            </w:pPr>
            <w:r>
              <w:rPr>
                <w:rFonts w:ascii="宋体" w:hAnsi="宋体" w:cs="宋体" w:eastAsia="宋体" w:hint="default"/>
                <w:spacing w:val="-17"/>
                <w:sz w:val="18"/>
                <w:szCs w:val="18"/>
              </w:rPr>
              <w:t>权，因此</w:t>
            </w:r>
            <w:r>
              <w:rPr>
                <w:rFonts w:ascii="宋体" w:hAnsi="宋体" w:cs="宋体" w:eastAsia="宋体" w:hint="default"/>
                <w:sz w:val="18"/>
                <w:szCs w:val="18"/>
              </w:rPr>
              <w:t> 公司直</w:t>
            </w:r>
          </w:p>
        </w:tc>
        <w:tc>
          <w:tcPr>
            <w:tcW w:w="797" w:type="dxa"/>
            <w:tcBorders>
              <w:top w:val="nil" w:sz="6" w:space="0" w:color="auto"/>
              <w:left w:val="single" w:sz="10"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接、间接</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拥有高鸿</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7"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96.99%</w:t>
            </w:r>
            <w:r>
              <w:rPr>
                <w:rFonts w:ascii="宋体" w:hAnsi="宋体" w:cs="宋体" w:eastAsia="宋体" w:hint="default"/>
                <w:sz w:val="18"/>
                <w:szCs w:val="18"/>
              </w:rPr>
              <w:t>股</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5" w:hRule="exact"/>
        </w:trPr>
        <w:tc>
          <w:tcPr>
            <w:tcW w:w="795"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北京大唐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1"/>
                <w:sz w:val="18"/>
              </w:rPr>
              <w:t>18,923,62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3,923,622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18,923,62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417.100006pt;margin-top:215.419983pt;width:37.1pt;height:19.6pt;mso-position-horizontal-relative:page;mso-position-vertical-relative:page;z-index:-1330576" coordorigin="8342,4308" coordsize="742,392">
            <v:shape style="position:absolute;left:8342;top:4308;width:742;height:392" coordorigin="8342,4308" coordsize="742,392" path="m8342,4700l9084,4700,9084,4308,8342,4308,8342,470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800"/>
        <w:gridCol w:w="797"/>
        <w:gridCol w:w="799"/>
        <w:gridCol w:w="797"/>
        <w:gridCol w:w="799"/>
        <w:gridCol w:w="797"/>
        <w:gridCol w:w="800"/>
        <w:gridCol w:w="797"/>
        <w:gridCol w:w="799"/>
        <w:gridCol w:w="797"/>
      </w:tblGrid>
      <w:tr>
        <w:trPr>
          <w:trHeight w:val="98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8"/>
              <w:jc w:val="both"/>
              <w:rPr>
                <w:rFonts w:ascii="宋体" w:hAnsi="宋体" w:cs="宋体" w:eastAsia="宋体" w:hint="default"/>
                <w:sz w:val="18"/>
                <w:szCs w:val="18"/>
              </w:rPr>
            </w:pPr>
            <w:r>
              <w:rPr>
                <w:rFonts w:ascii="宋体" w:hAnsi="宋体" w:cs="宋体" w:eastAsia="宋体" w:hint="default"/>
                <w:sz w:val="18"/>
                <w:szCs w:val="18"/>
              </w:rPr>
              <w:t>融合通信 技术有限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795"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公司通过</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子公司高</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鸿信息间</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接持有高</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560"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38"/>
              <w:jc w:val="both"/>
              <w:rPr>
                <w:rFonts w:ascii="宋体" w:hAnsi="宋体" w:cs="宋体" w:eastAsia="宋体" w:hint="default"/>
                <w:sz w:val="18"/>
                <w:szCs w:val="18"/>
              </w:rPr>
            </w:pPr>
            <w:r>
              <w:rPr>
                <w:rFonts w:ascii="宋体" w:hAnsi="宋体" w:cs="宋体" w:eastAsia="宋体" w:hint="default"/>
                <w:sz w:val="18"/>
                <w:szCs w:val="18"/>
              </w:rPr>
              <w:t>北京大唐 高鸿科技 发展有限 公司</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69.23%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800" w:type="dxa"/>
            <w:tcBorders>
              <w:top w:val="nil" w:sz="6" w:space="0" w:color="auto"/>
              <w:left w:val="single" w:sz="4" w:space="0" w:color="000000"/>
              <w:bottom w:val="nil" w:sz="6" w:space="0" w:color="auto"/>
              <w:right w:val="single" w:sz="10"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鸿科技</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30.77%</w:t>
            </w:r>
            <w:r>
              <w:rPr>
                <w:rFonts w:ascii="宋体" w:hAnsi="宋体" w:cs="宋体" w:eastAsia="宋体" w:hint="default"/>
                <w:sz w:val="18"/>
                <w:szCs w:val="18"/>
              </w:rPr>
              <w:t>股</w:t>
            </w:r>
          </w:p>
          <w:p>
            <w:pPr>
              <w:pStyle w:val="TableParagraph"/>
              <w:spacing w:line="316" w:lineRule="auto" w:before="63"/>
              <w:ind w:left="23" w:right="37"/>
              <w:jc w:val="left"/>
              <w:rPr>
                <w:rFonts w:ascii="宋体" w:hAnsi="宋体" w:cs="宋体" w:eastAsia="宋体" w:hint="default"/>
                <w:sz w:val="18"/>
                <w:szCs w:val="18"/>
              </w:rPr>
            </w:pPr>
            <w:r>
              <w:rPr>
                <w:rFonts w:ascii="宋体" w:hAnsi="宋体" w:cs="宋体" w:eastAsia="宋体" w:hint="default"/>
                <w:spacing w:val="-17"/>
                <w:sz w:val="18"/>
                <w:szCs w:val="18"/>
              </w:rPr>
              <w:t>权，因此</w:t>
            </w:r>
            <w:r>
              <w:rPr>
                <w:rFonts w:ascii="宋体" w:hAnsi="宋体" w:cs="宋体" w:eastAsia="宋体" w:hint="default"/>
                <w:sz w:val="18"/>
                <w:szCs w:val="18"/>
              </w:rPr>
              <w:t> 公司直 接、间接</w:t>
            </w:r>
          </w:p>
        </w:tc>
        <w:tc>
          <w:tcPr>
            <w:tcW w:w="797" w:type="dxa"/>
            <w:tcBorders>
              <w:top w:val="nil" w:sz="6" w:space="0" w:color="auto"/>
              <w:left w:val="single" w:sz="10"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拥有高鸿</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7"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3" w:hRule="exact"/>
        </w:trPr>
        <w:tc>
          <w:tcPr>
            <w:tcW w:w="795"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5" w:hRule="exact"/>
        </w:trPr>
        <w:tc>
          <w:tcPr>
            <w:tcW w:w="7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江苏高鸿</w:t>
            </w: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鼎恒信息 技术有限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174,689,0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174,689,0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174,689,0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58.23%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58.23%</w:t>
            </w: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5" w:hRule="exact"/>
        </w:trPr>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5" w:hRule="exact"/>
        </w:trPr>
        <w:tc>
          <w:tcPr>
            <w:tcW w:w="7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北京高阳</w:t>
            </w: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捷迅信息 技术有限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269,000,0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269,000,0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269,000,0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36.35%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36.35%</w:t>
            </w: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3" w:hRule="exact"/>
        </w:trPr>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6" w:hRule="exact"/>
        </w:trPr>
        <w:tc>
          <w:tcPr>
            <w:tcW w:w="7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北京金吾</w:t>
            </w: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创业投资 中心（有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16.67%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16.67%</w:t>
            </w: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5" w:hRule="exact"/>
        </w:trPr>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5" w:hRule="exact"/>
        </w:trPr>
        <w:tc>
          <w:tcPr>
            <w:tcW w:w="7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大唐融合</w:t>
            </w: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通信技术 无锡有限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w:t>
            </w: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3" w:hRule="exact"/>
        </w:trPr>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5" w:hRule="exact"/>
        </w:trPr>
        <w:tc>
          <w:tcPr>
            <w:tcW w:w="7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昆山雷石</w:t>
            </w: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936"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both"/>
              <w:rPr>
                <w:rFonts w:ascii="宋体" w:hAnsi="宋体" w:cs="宋体" w:eastAsia="宋体" w:hint="default"/>
                <w:sz w:val="18"/>
                <w:szCs w:val="18"/>
              </w:rPr>
            </w:pPr>
            <w:r>
              <w:rPr>
                <w:rFonts w:ascii="宋体" w:hAnsi="宋体" w:cs="宋体" w:eastAsia="宋体" w:hint="default"/>
                <w:sz w:val="18"/>
                <w:szCs w:val="18"/>
              </w:rPr>
              <w:t>雨花股权 投资合伙 企业（有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3.47%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3.47%</w:t>
            </w: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60" w:hRule="exact"/>
        </w:trPr>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5" w:hRule="exact"/>
        </w:trPr>
        <w:tc>
          <w:tcPr>
            <w:tcW w:w="7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国泰君安</w:t>
            </w: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投资管理 股份有限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2" w:hRule="exact"/>
        </w:trPr>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国泰君安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635,958.0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635,958.0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635,958.0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800"/>
        <w:gridCol w:w="797"/>
        <w:gridCol w:w="799"/>
        <w:gridCol w:w="797"/>
        <w:gridCol w:w="799"/>
        <w:gridCol w:w="797"/>
        <w:gridCol w:w="800"/>
        <w:gridCol w:w="797"/>
        <w:gridCol w:w="799"/>
        <w:gridCol w:w="797"/>
      </w:tblGrid>
      <w:tr>
        <w:trPr>
          <w:trHeight w:val="67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8"/>
              <w:jc w:val="left"/>
              <w:rPr>
                <w:rFonts w:ascii="宋体" w:hAnsi="宋体" w:cs="宋体" w:eastAsia="宋体" w:hint="default"/>
                <w:sz w:val="18"/>
                <w:szCs w:val="18"/>
              </w:rPr>
            </w:pPr>
            <w:r>
              <w:rPr>
                <w:rFonts w:ascii="宋体" w:hAnsi="宋体" w:cs="宋体" w:eastAsia="宋体" w:hint="default"/>
                <w:sz w:val="18"/>
                <w:szCs w:val="18"/>
              </w:rPr>
              <w:t>证券股份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贵州达众 磨料磨具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61,719,92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-61,719,9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21.46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1,582,886</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,421.26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851,452,7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93.22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733,367,8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1,584,820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,670.95</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36,743,86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、公司通过子公司高鸿信息间接持有高鸿济宁</w:t>
      </w:r>
      <w:r>
        <w:rPr>
          <w:rFonts w:ascii="Times New Roman" w:hAnsi="Times New Roman" w:cs="Times New Roman" w:eastAsia="Times New Roman" w:hint="default"/>
          <w:sz w:val="18"/>
          <w:szCs w:val="18"/>
        </w:rPr>
        <w:t>2%</w:t>
      </w:r>
      <w:r>
        <w:rPr>
          <w:rFonts w:ascii="宋体" w:hAnsi="宋体" w:cs="宋体" w:eastAsia="宋体" w:hint="default"/>
          <w:sz w:val="18"/>
          <w:szCs w:val="18"/>
        </w:rPr>
        <w:t>股权，因此，公司直接、间接拥有济宁高鸿</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、公司通过子公司高鸿数据间接持有高鸿信息</w:t>
      </w:r>
      <w:r>
        <w:rPr>
          <w:rFonts w:ascii="Times New Roman" w:hAnsi="Times New Roman" w:cs="Times New Roman" w:eastAsia="Times New Roman" w:hint="default"/>
          <w:sz w:val="18"/>
          <w:szCs w:val="18"/>
        </w:rPr>
        <w:t>5.10%</w:t>
      </w:r>
      <w:r>
        <w:rPr>
          <w:rFonts w:ascii="宋体" w:hAnsi="宋体" w:cs="宋体" w:eastAsia="宋体" w:hint="default"/>
          <w:sz w:val="18"/>
          <w:szCs w:val="18"/>
        </w:rPr>
        <w:t>股权，因此，公司直接、间接拥有高鸿信息</w:t>
      </w:r>
      <w:r>
        <w:rPr>
          <w:rFonts w:ascii="Times New Roman" w:hAnsi="Times New Roman" w:cs="Times New Roman" w:eastAsia="Times New Roman" w:hint="default"/>
          <w:sz w:val="18"/>
          <w:szCs w:val="18"/>
        </w:rPr>
        <w:t>96.99%</w:t>
      </w:r>
      <w:r>
        <w:rPr>
          <w:rFonts w:ascii="宋体" w:hAnsi="宋体" w:cs="宋体" w:eastAsia="宋体" w:hint="default"/>
          <w:sz w:val="18"/>
          <w:szCs w:val="18"/>
        </w:rPr>
        <w:t>股权。</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、公司通过子公司高鸿信息间接持有高鸿科技</w:t>
      </w:r>
      <w:r>
        <w:rPr>
          <w:rFonts w:ascii="Times New Roman" w:hAnsi="Times New Roman" w:cs="Times New Roman" w:eastAsia="Times New Roman" w:hint="default"/>
          <w:sz w:val="18"/>
          <w:szCs w:val="18"/>
        </w:rPr>
        <w:t>30.77%</w:t>
      </w:r>
      <w:r>
        <w:rPr>
          <w:rFonts w:ascii="宋体" w:hAnsi="宋体" w:cs="宋体" w:eastAsia="宋体" w:hint="default"/>
          <w:sz w:val="18"/>
          <w:szCs w:val="18"/>
        </w:rPr>
        <w:t>股权，因此，公司直接、间接拥有高鸿科技</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3"/>
        <w:gridCol w:w="3467"/>
        <w:gridCol w:w="3589"/>
      </w:tblGrid>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10,033,695.44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10,657,759.81</w:t>
            </w:r>
          </w:p>
        </w:tc>
      </w:tr>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10,033,695.44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10,657,759.81</w:t>
            </w:r>
          </w:p>
        </w:tc>
      </w:tr>
      <w:tr>
        <w:trPr>
          <w:trHeight w:val="401"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1,753,160.84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7,768,246.46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企业信息化服务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10,033,695.44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1,753,160.84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10,481,955.88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7,685,490.70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175,803.93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82,755.76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10,033,695.44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1,753,160.84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10,657,759.81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7,768,246.46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3"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通信设备产品及制造</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8" w:right="0"/>
              <w:jc w:val="left"/>
              <w:rPr>
                <w:rFonts w:ascii="Times New Roman" w:hAnsi="Times New Roman" w:cs="Times New Roman" w:eastAsia="Times New Roman" w:hint="default"/>
                <w:sz w:val="18"/>
                <w:szCs w:val="18"/>
              </w:rPr>
            </w:pPr>
            <w:r>
              <w:rPr>
                <w:rFonts w:ascii="Times New Roman"/>
                <w:sz w:val="18"/>
              </w:rPr>
              <w:t>797,753.34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9" w:right="0"/>
              <w:jc w:val="left"/>
              <w:rPr>
                <w:rFonts w:ascii="Times New Roman" w:hAnsi="Times New Roman" w:cs="Times New Roman" w:eastAsia="Times New Roman" w:hint="default"/>
                <w:sz w:val="18"/>
                <w:szCs w:val="18"/>
              </w:rPr>
            </w:pPr>
            <w:r>
              <w:rPr>
                <w:rFonts w:ascii="Times New Roman"/>
                <w:sz w:val="18"/>
              </w:rPr>
              <w:t>72,054.88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8" w:right="0"/>
              <w:jc w:val="left"/>
              <w:rPr>
                <w:rFonts w:ascii="Times New Roman" w:hAnsi="Times New Roman" w:cs="Times New Roman" w:eastAsia="Times New Roman" w:hint="default"/>
                <w:sz w:val="18"/>
                <w:szCs w:val="18"/>
              </w:rPr>
            </w:pPr>
            <w:r>
              <w:rPr>
                <w:rFonts w:ascii="Times New Roman"/>
                <w:sz w:val="18"/>
              </w:rPr>
              <w:t>627,038.41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135,799.10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71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计算机涉密、系统集成业务 及外围设备销售业务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9,235,942.10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1,681,105.96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9,854,917.47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7,549,691.60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175,803.93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82,755.76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10,033,695.44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1,753,160.84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10,657,759.81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7,768,246.46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27,791.01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28,206.14</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617,080.02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91,381.54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524,354.44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407,794.87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1,412,512.84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1,355,732.17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796,094.79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740,402.12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8,004,102.58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306,047.13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9,309,519.57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6,591,843.33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10,033,695.44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1,753,160.84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10,657,759.81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7,768,246.46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）公司来自前五名客户的营业收入情况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5"/>
        <w:gridCol w:w="2921"/>
        <w:gridCol w:w="1865"/>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珠海祺利通信科技有限公司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42.56%</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遵义升泰科技开发有限责任公司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32.09%</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福建实达电脑设备有限公司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1,410,256.43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14.06%</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737,238.38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交通银行股份有限公司贵州省分行</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9,837,494.81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98.05%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11"/>
        <w:gridCol w:w="2534"/>
        <w:gridCol w:w="2525"/>
      </w:tblGrid>
      <w:tr>
        <w:trPr>
          <w:trHeight w:val="401" w:hRule="exact"/>
        </w:trPr>
        <w:tc>
          <w:tcPr>
            <w:tcW w:w="4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245,000,000.00</w:t>
            </w:r>
          </w:p>
        </w:tc>
      </w:tr>
      <w:tr>
        <w:trPr>
          <w:trHeight w:val="401" w:hRule="exact"/>
        </w:trPr>
        <w:tc>
          <w:tcPr>
            <w:tcW w:w="4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37,801,865.05</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602,854.42</w:t>
            </w:r>
          </w:p>
        </w:tc>
      </w:tr>
      <w:tr>
        <w:trPr>
          <w:trHeight w:val="403" w:hRule="exact"/>
        </w:trPr>
        <w:tc>
          <w:tcPr>
            <w:tcW w:w="4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5,788,712.33</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2,213,492.42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11"/>
        <w:gridCol w:w="2534"/>
        <w:gridCol w:w="2525"/>
      </w:tblGrid>
      <w:tr>
        <w:trPr>
          <w:trHeight w:val="403" w:hRule="exact"/>
        </w:trPr>
        <w:tc>
          <w:tcPr>
            <w:tcW w:w="4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460" w:right="0"/>
              <w:jc w:val="left"/>
              <w:rPr>
                <w:rFonts w:ascii="Times New Roman" w:hAnsi="Times New Roman" w:cs="Times New Roman" w:eastAsia="Times New Roman" w:hint="default"/>
                <w:sz w:val="18"/>
                <w:szCs w:val="18"/>
              </w:rPr>
            </w:pPr>
            <w:r>
              <w:rPr>
                <w:rFonts w:ascii="Times New Roman"/>
                <w:sz w:val="18"/>
              </w:rPr>
              <w:t>43,590,577.38</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7" w:right="0"/>
              <w:jc w:val="left"/>
              <w:rPr>
                <w:rFonts w:ascii="Times New Roman" w:hAnsi="Times New Roman" w:cs="Times New Roman" w:eastAsia="Times New Roman" w:hint="default"/>
                <w:sz w:val="18"/>
                <w:szCs w:val="18"/>
              </w:rPr>
            </w:pPr>
            <w:r>
              <w:rPr>
                <w:rFonts w:ascii="Times New Roman"/>
                <w:sz w:val="18"/>
              </w:rPr>
              <w:t>247,816,346.84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2"/>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230,000,000.00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本期未分红</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北京大唐高鸿软件技术有限公司</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本期未分红</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245,000,000.00</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2"/>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北京海岸淘金创业投资有限公司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37,556,993.37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272,739.76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被投资单位处置股票获取得利</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244,871.68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330,114.66</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37,801,865.05</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602,854.42</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投资收益的说明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30"/>
        <w:gridCol w:w="2270"/>
        <w:gridCol w:w="2259"/>
      </w:tblGrid>
      <w:tr>
        <w:trPr>
          <w:trHeight w:val="404"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20,066,101.11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209,904,069.54</w:t>
            </w:r>
          </w:p>
        </w:tc>
      </w:tr>
      <w:tr>
        <w:trPr>
          <w:trHeight w:val="401"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8,308,803.79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12,135,998.08</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272,363.06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317,862.47</w:t>
            </w:r>
          </w:p>
        </w:tc>
      </w:tr>
      <w:tr>
        <w:trPr>
          <w:trHeight w:val="401"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5,086,293.49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4,964,506.79</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145,354.91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53,142.84</w:t>
            </w:r>
          </w:p>
        </w:tc>
      </w:tr>
      <w:tr>
        <w:trPr>
          <w:trHeight w:val="71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8,945.96</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4,932.86</w:t>
            </w:r>
          </w:p>
        </w:tc>
      </w:tr>
      <w:tr>
        <w:trPr>
          <w:trHeight w:val="401"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12,424,005.56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19,497,210.32</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-43,590,577.38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-247,816,346.84</w:t>
            </w:r>
          </w:p>
        </w:tc>
      </w:tr>
      <w:tr>
        <w:trPr>
          <w:trHeight w:val="401"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-557,766.46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2,659,438.54</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156,964,134.68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-197,051,754.43</w:t>
            </w:r>
          </w:p>
        </w:tc>
      </w:tr>
      <w:tr>
        <w:trPr>
          <w:trHeight w:val="401"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-22,099,021.14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-14,233,716.37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30"/>
        <w:gridCol w:w="2270"/>
        <w:gridCol w:w="2259"/>
      </w:tblGrid>
      <w:tr>
        <w:trPr>
          <w:trHeight w:val="402"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137,028,637.58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-209,564,656.20</w:t>
            </w:r>
          </w:p>
        </w:tc>
      </w:tr>
      <w:tr>
        <w:trPr>
          <w:trHeight w:val="402"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190,812,037.41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667,618,815.23</w:t>
            </w:r>
          </w:p>
        </w:tc>
      </w:tr>
      <w:tr>
        <w:trPr>
          <w:trHeight w:val="402"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667,618,815.23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85,788,125.43</w:t>
            </w:r>
          </w:p>
        </w:tc>
      </w:tr>
      <w:tr>
        <w:trPr>
          <w:trHeight w:val="402"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-476,806,777.82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581,830,689.80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、反向购买下以评估值入账的资产、负债情况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6"/>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1"/>
        <w:gridCol w:w="3189"/>
        <w:gridCol w:w="318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pict>
          <v:group style="position:absolute;margin-left:363.070007pt;margin-top:39.527718pt;width:109.85pt;height:20.7pt;mso-position-horizontal-relative:page;mso-position-vertical-relative:paragraph;z-index:-1330552" coordorigin="7261,791" coordsize="2197,414">
            <v:group style="position:absolute;left:7272;top:801;width:2;height:392" coordorigin="7272,801" coordsize="2,392">
              <v:shape style="position:absolute;left:7272;top:801;width:2;height:392" coordorigin="7272,801" coordsize="0,392" path="m7272,801l7272,1193e" filled="false" stroked="true" strokeweight="1.08pt" strokecolor="#ffffff">
                <v:path arrowok="t"/>
              </v:shape>
            </v:group>
            <v:group style="position:absolute;left:7283;top:801;width:2175;height:392" coordorigin="7283,801" coordsize="2175,392">
              <v:shape style="position:absolute;left:7283;top:801;width:2175;height:392" coordorigin="7283,801" coordsize="2175,392" path="m7283,1193l9458,1193,9458,801,7283,801,7283,1193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49" w:type="dxa"/>
        <w:tblLayout w:type="fixed"/>
        <w:tblCellMar>
          <w:top w:w="0" w:type="dxa"/>
          <w:left w:w="0" w:type="dxa"/>
          <w:bottom w:w="0" w:type="dxa"/>
          <w:right w:w="0" w:type="dxa"/>
        </w:tblCellMar>
        <w:tblLook w:val="01E0"/>
      </w:tblPr>
      <w:tblGrid>
        <w:gridCol w:w="4809"/>
        <w:gridCol w:w="2241"/>
      </w:tblGrid>
      <w:tr>
        <w:trPr>
          <w:trHeight w:val="403"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2241" w:type="dxa"/>
            <w:tcBorders>
              <w:top w:val="single" w:sz="4" w:space="0" w:color="000000"/>
              <w:left w:val="single" w:sz="12" w:space="0" w:color="D2D2D2"/>
              <w:bottom w:val="single" w:sz="4" w:space="0" w:color="000000"/>
              <w:right w:val="single" w:sz="4" w:space="0" w:color="000000"/>
            </w:tcBorders>
          </w:tcPr>
          <w:p>
            <w:pPr>
              <w:pStyle w:val="TableParagraph"/>
              <w:tabs>
                <w:tab w:pos="1193" w:val="left" w:leader="none"/>
              </w:tabs>
              <w:spacing w:line="240" w:lineRule="auto" w:before="49"/>
              <w:ind w:left="-129"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-1,532,704.78</w:t>
            </w:r>
          </w:p>
        </w:tc>
      </w:tr>
      <w:tr>
        <w:trPr>
          <w:trHeight w:val="715"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计入当期损益的政府补助（与企业业务密切相关，按照国家统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一标准定额或定量享受的政府补助除外）</w:t>
            </w:r>
          </w:p>
        </w:tc>
        <w:tc>
          <w:tcPr>
            <w:tcW w:w="22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48,700,146.92</w:t>
            </w:r>
          </w:p>
        </w:tc>
      </w:tr>
      <w:tr>
        <w:trPr>
          <w:trHeight w:val="401"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1,133,224.35</w:t>
            </w:r>
          </w:p>
        </w:tc>
      </w:tr>
      <w:tr>
        <w:trPr>
          <w:trHeight w:val="403"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2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5,788,712.33</w:t>
            </w:r>
          </w:p>
        </w:tc>
      </w:tr>
      <w:tr>
        <w:trPr>
          <w:trHeight w:val="401"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7,543,769.65</w:t>
            </w:r>
          </w:p>
        </w:tc>
      </w:tr>
      <w:tr>
        <w:trPr>
          <w:trHeight w:val="403"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2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3,074,947.75</w:t>
            </w:r>
          </w:p>
        </w:tc>
      </w:tr>
      <w:tr>
        <w:trPr>
          <w:trHeight w:val="401"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43,470,661.42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计入当期损益的政府补助为经常性损益项目，应说明逐项披露认定理由。</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1"/>
      </w:tblGrid>
      <w:tr>
        <w:trPr>
          <w:trHeight w:val="404"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软件企业增值税即征即退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0" w:right="0"/>
              <w:jc w:val="left"/>
              <w:rPr>
                <w:rFonts w:ascii="Times New Roman" w:hAnsi="Times New Roman" w:cs="Times New Roman" w:eastAsia="Times New Roman" w:hint="default"/>
                <w:sz w:val="18"/>
                <w:szCs w:val="18"/>
              </w:rPr>
            </w:pPr>
            <w:r>
              <w:rPr>
                <w:rFonts w:ascii="Times New Roman"/>
                <w:sz w:val="18"/>
              </w:rPr>
              <w:t>5,765,122.46</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与公司主营业务密切相关，符合国家政策规定，按照一定标准定 额持续享受的政府补助</w:t>
            </w:r>
          </w:p>
        </w:tc>
      </w:tr>
    </w:tbl>
    <w:p>
      <w:pPr>
        <w:spacing w:after="0" w:line="316"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87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87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8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880" w:type="dxa"/>
        <w:tblLayout w:type="fixed"/>
        <w:tblCellMar>
          <w:top w:w="0" w:type="dxa"/>
          <w:left w:w="0" w:type="dxa"/>
          <w:bottom w:w="0" w:type="dxa"/>
          <w:right w:w="0" w:type="dxa"/>
        </w:tblCellMar>
        <w:tblLook w:val="01E0"/>
      </w:tblPr>
      <w:tblGrid>
        <w:gridCol w:w="2273"/>
        <w:gridCol w:w="1740"/>
        <w:gridCol w:w="2004"/>
        <w:gridCol w:w="1769"/>
        <w:gridCol w:w="1772"/>
      </w:tblGrid>
      <w:tr>
        <w:trPr>
          <w:trHeight w:val="206" w:hRule="exact"/>
        </w:trPr>
        <w:tc>
          <w:tcPr>
            <w:tcW w:w="2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0"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7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52,176,395.94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25,005,713.64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2,143,771,841.64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2,116,820,334.13</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spacing w:before="36"/>
        <w:ind w:left="87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8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868" w:type="dxa"/>
        <w:tblLayout w:type="fixed"/>
        <w:tblCellMar>
          <w:top w:w="0" w:type="dxa"/>
          <w:left w:w="0" w:type="dxa"/>
          <w:bottom w:w="0" w:type="dxa"/>
          <w:right w:w="0" w:type="dxa"/>
        </w:tblCellMar>
        <w:tblLook w:val="01E0"/>
      </w:tblPr>
      <w:tblGrid>
        <w:gridCol w:w="2286"/>
        <w:gridCol w:w="1740"/>
        <w:gridCol w:w="2004"/>
        <w:gridCol w:w="1769"/>
        <w:gridCol w:w="1772"/>
      </w:tblGrid>
      <w:tr>
        <w:trPr>
          <w:trHeight w:val="206" w:hRule="exact"/>
        </w:trPr>
        <w:tc>
          <w:tcPr>
            <w:tcW w:w="2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86"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286" w:type="dxa"/>
            <w:vMerge/>
            <w:tcBorders>
              <w:left w:val="single" w:sz="4" w:space="0" w:color="000000"/>
              <w:bottom w:val="nil" w:sz="6" w:space="0" w:color="auto"/>
              <w:right w:val="single" w:sz="4" w:space="0" w:color="000000"/>
            </w:tcBorders>
            <w:shd w:val="clear" w:color="auto" w:fill="D2D2D2"/>
          </w:tcPr>
          <w:p>
            <w:pPr/>
          </w:p>
        </w:tc>
        <w:tc>
          <w:tcPr>
            <w:tcW w:w="17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52,176,395.94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25,005,713.64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2,143,771,841.64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2,116,820,334.13</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spacing w:before="36"/>
        <w:ind w:left="87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87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8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0"/>
          <w:szCs w:val="10"/>
        </w:rPr>
      </w:pPr>
    </w:p>
    <w:tbl>
      <w:tblPr>
        <w:tblW w:w="0" w:type="auto"/>
        <w:jc w:val="left"/>
        <w:tblInd w:w="880" w:type="dxa"/>
        <w:tblLayout w:type="fixed"/>
        <w:tblCellMar>
          <w:top w:w="0" w:type="dxa"/>
          <w:left w:w="0" w:type="dxa"/>
          <w:bottom w:w="0" w:type="dxa"/>
          <w:right w:w="0" w:type="dxa"/>
        </w:tblCellMar>
        <w:tblLook w:val="01E0"/>
      </w:tblPr>
      <w:tblGrid>
        <w:gridCol w:w="3529"/>
        <w:gridCol w:w="2177"/>
        <w:gridCol w:w="1916"/>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6"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18" w:space="0" w:color="D2D2D2"/>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0.101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0.101</w:t>
            </w:r>
          </w:p>
        </w:tc>
      </w:tr>
      <w:tr>
        <w:trPr>
          <w:trHeight w:val="713"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0.017</w:t>
            </w:r>
          </w:p>
        </w:tc>
      </w:tr>
    </w:tbl>
    <w:p>
      <w:pPr>
        <w:spacing w:line="240" w:lineRule="auto" w:before="3"/>
        <w:rPr>
          <w:rFonts w:ascii="宋体" w:hAnsi="宋体" w:cs="宋体" w:eastAsia="宋体" w:hint="default"/>
          <w:sz w:val="19"/>
          <w:szCs w:val="19"/>
        </w:rPr>
      </w:pPr>
    </w:p>
    <w:p>
      <w:pPr>
        <w:spacing w:before="36"/>
        <w:ind w:left="87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07" w:type="dxa"/>
        <w:tblLayout w:type="fixed"/>
        <w:tblCellMar>
          <w:top w:w="0" w:type="dxa"/>
          <w:left w:w="0" w:type="dxa"/>
          <w:bottom w:w="0" w:type="dxa"/>
          <w:right w:w="0" w:type="dxa"/>
        </w:tblCellMar>
        <w:tblLook w:val="01E0"/>
      </w:tblPr>
      <w:tblGrid>
        <w:gridCol w:w="2256"/>
        <w:gridCol w:w="2161"/>
        <w:gridCol w:w="1571"/>
        <w:gridCol w:w="1589"/>
        <w:gridCol w:w="3580"/>
      </w:tblGrid>
      <w:tr>
        <w:trPr>
          <w:trHeight w:val="285" w:hRule="exact"/>
        </w:trPr>
        <w:tc>
          <w:tcPr>
            <w:tcW w:w="2256" w:type="dxa"/>
            <w:tcBorders>
              <w:top w:val="nil" w:sz="6" w:space="0" w:color="auto"/>
              <w:left w:val="nil" w:sz="6" w:space="0" w:color="auto"/>
              <w:bottom w:val="single" w:sz="12" w:space="0" w:color="000000"/>
              <w:right w:val="nil" w:sz="6" w:space="0" w:color="auto"/>
            </w:tcBorders>
          </w:tcPr>
          <w:p>
            <w:pPr>
              <w:pStyle w:val="TableParagraph"/>
              <w:spacing w:line="22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、资产负债表项目</w:t>
            </w:r>
            <w:r>
              <w:rPr>
                <w:rFonts w:ascii="宋体" w:hAnsi="宋体" w:cs="宋体" w:eastAsia="宋体" w:hint="default"/>
                <w:sz w:val="21"/>
                <w:szCs w:val="21"/>
              </w:rPr>
            </w:r>
          </w:p>
        </w:tc>
        <w:tc>
          <w:tcPr>
            <w:tcW w:w="2161" w:type="dxa"/>
            <w:tcBorders>
              <w:top w:val="nil" w:sz="6" w:space="0" w:color="auto"/>
              <w:left w:val="nil" w:sz="6" w:space="0" w:color="auto"/>
              <w:bottom w:val="single" w:sz="12" w:space="0" w:color="000000"/>
              <w:right w:val="nil" w:sz="6" w:space="0" w:color="auto"/>
            </w:tcBorders>
          </w:tcPr>
          <w:p>
            <w:pPr/>
          </w:p>
        </w:tc>
        <w:tc>
          <w:tcPr>
            <w:tcW w:w="1571" w:type="dxa"/>
            <w:tcBorders>
              <w:top w:val="nil" w:sz="6" w:space="0" w:color="auto"/>
              <w:left w:val="nil" w:sz="6" w:space="0" w:color="auto"/>
              <w:bottom w:val="single" w:sz="12" w:space="0" w:color="000000"/>
              <w:right w:val="nil" w:sz="6" w:space="0" w:color="auto"/>
            </w:tcBorders>
          </w:tcPr>
          <w:p>
            <w:pPr/>
          </w:p>
        </w:tc>
        <w:tc>
          <w:tcPr>
            <w:tcW w:w="1589" w:type="dxa"/>
            <w:tcBorders>
              <w:top w:val="nil" w:sz="6" w:space="0" w:color="auto"/>
              <w:left w:val="nil" w:sz="6" w:space="0" w:color="auto"/>
              <w:bottom w:val="single" w:sz="12" w:space="0" w:color="000000"/>
              <w:right w:val="nil" w:sz="6" w:space="0" w:color="auto"/>
            </w:tcBorders>
          </w:tcPr>
          <w:p>
            <w:pPr/>
          </w:p>
        </w:tc>
        <w:tc>
          <w:tcPr>
            <w:tcW w:w="3580" w:type="dxa"/>
            <w:tcBorders>
              <w:top w:val="nil" w:sz="6" w:space="0" w:color="auto"/>
              <w:left w:val="nil" w:sz="6" w:space="0" w:color="auto"/>
              <w:bottom w:val="single" w:sz="12" w:space="0" w:color="000000"/>
              <w:right w:val="nil" w:sz="6" w:space="0" w:color="auto"/>
            </w:tcBorders>
          </w:tcPr>
          <w:p>
            <w:pPr/>
          </w:p>
        </w:tc>
      </w:tr>
      <w:tr>
        <w:trPr>
          <w:trHeight w:val="353" w:hRule="exact"/>
        </w:trPr>
        <w:tc>
          <w:tcPr>
            <w:tcW w:w="22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886"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21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7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变动比率（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51" w:hRule="exact"/>
        </w:trPr>
        <w:tc>
          <w:tcPr>
            <w:tcW w:w="22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47"/>
              <w:jc w:val="right"/>
              <w:rPr>
                <w:rFonts w:ascii="Times New Roman" w:hAnsi="Times New Roman" w:cs="Times New Roman" w:eastAsia="Times New Roman" w:hint="default"/>
                <w:sz w:val="18"/>
                <w:szCs w:val="18"/>
              </w:rPr>
            </w:pPr>
            <w:r>
              <w:rPr>
                <w:rFonts w:ascii="Times New Roman"/>
                <w:spacing w:val="-1"/>
                <w:sz w:val="18"/>
              </w:rPr>
              <w:t>785,000.00</w:t>
            </w:r>
          </w:p>
        </w:tc>
        <w:tc>
          <w:tcPr>
            <w:tcW w:w="15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120,000.00</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554.17</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本期票据结算增加</w:t>
            </w:r>
          </w:p>
        </w:tc>
      </w:tr>
      <w:tr>
        <w:trPr>
          <w:trHeight w:val="353" w:hRule="exact"/>
        </w:trPr>
        <w:tc>
          <w:tcPr>
            <w:tcW w:w="22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48"/>
              <w:jc w:val="right"/>
              <w:rPr>
                <w:rFonts w:ascii="Times New Roman" w:hAnsi="Times New Roman" w:cs="Times New Roman" w:eastAsia="Times New Roman" w:hint="default"/>
                <w:sz w:val="18"/>
                <w:szCs w:val="18"/>
              </w:rPr>
            </w:pPr>
            <w:r>
              <w:rPr>
                <w:rFonts w:ascii="Times New Roman"/>
                <w:spacing w:val="-1"/>
                <w:sz w:val="18"/>
              </w:rPr>
              <w:t>1,059,169,694.35</w:t>
            </w:r>
          </w:p>
        </w:tc>
        <w:tc>
          <w:tcPr>
            <w:tcW w:w="15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9"/>
              <w:jc w:val="right"/>
              <w:rPr>
                <w:rFonts w:ascii="Times New Roman" w:hAnsi="Times New Roman" w:cs="Times New Roman" w:eastAsia="Times New Roman" w:hint="default"/>
                <w:sz w:val="18"/>
                <w:szCs w:val="18"/>
              </w:rPr>
            </w:pPr>
            <w:r>
              <w:rPr>
                <w:rFonts w:ascii="Times New Roman"/>
                <w:spacing w:val="-1"/>
                <w:sz w:val="18"/>
              </w:rPr>
              <w:t>601,504,596.59</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z w:val="18"/>
              </w:rPr>
              <w:t>76.09</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Times New Roman" w:hAnsi="Times New Roman" w:cs="Times New Roman" w:eastAsia="Times New Roman" w:hint="default"/>
                <w:sz w:val="18"/>
                <w:szCs w:val="18"/>
              </w:rPr>
              <w:t>IT</w:t>
            </w:r>
            <w:r>
              <w:rPr>
                <w:rFonts w:ascii="宋体" w:hAnsi="宋体" w:cs="宋体" w:eastAsia="宋体" w:hint="default"/>
                <w:sz w:val="18"/>
                <w:szCs w:val="18"/>
              </w:rPr>
              <w:t>分销业务扩大，新收购高阳捷迅</w:t>
            </w:r>
          </w:p>
        </w:tc>
      </w:tr>
      <w:tr>
        <w:trPr>
          <w:trHeight w:val="353" w:hRule="exact"/>
        </w:trPr>
        <w:tc>
          <w:tcPr>
            <w:tcW w:w="22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48"/>
              <w:jc w:val="right"/>
              <w:rPr>
                <w:rFonts w:ascii="Times New Roman" w:hAnsi="Times New Roman" w:cs="Times New Roman" w:eastAsia="Times New Roman" w:hint="default"/>
                <w:sz w:val="18"/>
                <w:szCs w:val="18"/>
              </w:rPr>
            </w:pPr>
            <w:r>
              <w:rPr>
                <w:rFonts w:ascii="Times New Roman"/>
                <w:spacing w:val="-1"/>
                <w:sz w:val="18"/>
              </w:rPr>
              <w:t>682,171,855.66</w:t>
            </w:r>
          </w:p>
        </w:tc>
        <w:tc>
          <w:tcPr>
            <w:tcW w:w="15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9"/>
              <w:jc w:val="right"/>
              <w:rPr>
                <w:rFonts w:ascii="Times New Roman" w:hAnsi="Times New Roman" w:cs="Times New Roman" w:eastAsia="Times New Roman" w:hint="default"/>
                <w:sz w:val="18"/>
                <w:szCs w:val="18"/>
              </w:rPr>
            </w:pPr>
            <w:r>
              <w:rPr>
                <w:rFonts w:ascii="Times New Roman"/>
                <w:spacing w:val="-1"/>
                <w:sz w:val="18"/>
              </w:rPr>
              <w:t>275,557,720.55</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147.56</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pacing w:val="-2"/>
                <w:sz w:val="18"/>
                <w:szCs w:val="18"/>
              </w:rPr>
              <w:t>本期</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分销规模扩大，及系统集成未实现销售</w:t>
            </w:r>
          </w:p>
        </w:tc>
      </w:tr>
      <w:tr>
        <w:trPr>
          <w:trHeight w:val="662" w:hRule="exact"/>
        </w:trPr>
        <w:tc>
          <w:tcPr>
            <w:tcW w:w="22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48"/>
              <w:jc w:val="right"/>
              <w:rPr>
                <w:rFonts w:ascii="Times New Roman" w:hAnsi="Times New Roman" w:cs="Times New Roman" w:eastAsia="Times New Roman" w:hint="default"/>
                <w:sz w:val="18"/>
                <w:szCs w:val="18"/>
              </w:rPr>
            </w:pPr>
            <w:r>
              <w:rPr>
                <w:rFonts w:ascii="Times New Roman"/>
                <w:spacing w:val="-1"/>
                <w:sz w:val="18"/>
              </w:rPr>
              <w:t>550,155,456.42</w:t>
            </w:r>
          </w:p>
        </w:tc>
        <w:tc>
          <w:tcPr>
            <w:tcW w:w="15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43,025,668.15</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5"/>
                <w:sz w:val="18"/>
              </w:rPr>
              <w:t>1,178.67</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10" w:right="8"/>
              <w:jc w:val="left"/>
              <w:rPr>
                <w:rFonts w:ascii="宋体" w:hAnsi="宋体" w:cs="宋体" w:eastAsia="宋体" w:hint="default"/>
                <w:sz w:val="18"/>
                <w:szCs w:val="18"/>
              </w:rPr>
            </w:pPr>
            <w:r>
              <w:rPr>
                <w:rFonts w:ascii="宋体" w:hAnsi="宋体" w:cs="宋体" w:eastAsia="宋体" w:hint="default"/>
                <w:spacing w:val="-3"/>
                <w:sz w:val="18"/>
                <w:szCs w:val="18"/>
              </w:rPr>
              <w:t>本期新收购高阳垫付充值卡余额，及未到期理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财产品</w:t>
            </w:r>
          </w:p>
        </w:tc>
      </w:tr>
      <w:tr>
        <w:trPr>
          <w:trHeight w:val="353" w:hRule="exact"/>
        </w:trPr>
        <w:tc>
          <w:tcPr>
            <w:tcW w:w="22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47"/>
              <w:jc w:val="right"/>
              <w:rPr>
                <w:rFonts w:ascii="Times New Roman" w:hAnsi="Times New Roman" w:cs="Times New Roman" w:eastAsia="Times New Roman" w:hint="default"/>
                <w:sz w:val="18"/>
                <w:szCs w:val="18"/>
              </w:rPr>
            </w:pPr>
            <w:r>
              <w:rPr>
                <w:rFonts w:ascii="Times New Roman"/>
                <w:spacing w:val="-1"/>
                <w:sz w:val="18"/>
              </w:rPr>
              <w:t>94,451,391.69</w:t>
            </w:r>
          </w:p>
        </w:tc>
        <w:tc>
          <w:tcPr>
            <w:tcW w:w="15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9"/>
              <w:jc w:val="right"/>
              <w:rPr>
                <w:rFonts w:ascii="Times New Roman" w:hAnsi="Times New Roman" w:cs="Times New Roman" w:eastAsia="Times New Roman" w:hint="default"/>
                <w:sz w:val="18"/>
                <w:szCs w:val="18"/>
              </w:rPr>
            </w:pPr>
            <w:r>
              <w:rPr>
                <w:rFonts w:ascii="Times New Roman"/>
                <w:spacing w:val="-1"/>
                <w:sz w:val="18"/>
              </w:rPr>
              <w:t>58,982,892.50</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z w:val="18"/>
              </w:rPr>
              <w:t>60.13</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本期新增对外参股投资项目</w:t>
            </w:r>
          </w:p>
        </w:tc>
      </w:tr>
      <w:tr>
        <w:trPr>
          <w:trHeight w:val="353" w:hRule="exact"/>
        </w:trPr>
        <w:tc>
          <w:tcPr>
            <w:tcW w:w="22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47"/>
              <w:jc w:val="right"/>
              <w:rPr>
                <w:rFonts w:ascii="Times New Roman" w:hAnsi="Times New Roman" w:cs="Times New Roman" w:eastAsia="Times New Roman" w:hint="default"/>
                <w:sz w:val="18"/>
                <w:szCs w:val="18"/>
              </w:rPr>
            </w:pPr>
            <w:r>
              <w:rPr>
                <w:rFonts w:ascii="Times New Roman"/>
                <w:spacing w:val="-1"/>
                <w:sz w:val="18"/>
              </w:rPr>
              <w:t>10,993,609.34</w:t>
            </w:r>
          </w:p>
        </w:tc>
        <w:tc>
          <w:tcPr>
            <w:tcW w:w="15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9"/>
              <w:jc w:val="right"/>
              <w:rPr>
                <w:rFonts w:ascii="Times New Roman" w:hAnsi="Times New Roman" w:cs="Times New Roman" w:eastAsia="Times New Roman" w:hint="default"/>
                <w:sz w:val="18"/>
                <w:szCs w:val="18"/>
              </w:rPr>
            </w:pPr>
            <w:r>
              <w:rPr>
                <w:rFonts w:ascii="Times New Roman"/>
                <w:spacing w:val="-1"/>
                <w:sz w:val="18"/>
              </w:rPr>
              <w:t>842,000.00</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w w:val="95"/>
                <w:sz w:val="18"/>
              </w:rPr>
              <w:t>1,205.65</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本期基建投入增加</w:t>
            </w:r>
          </w:p>
        </w:tc>
      </w:tr>
    </w:tbl>
    <w:p>
      <w:pPr>
        <w:spacing w:after="0" w:line="240" w:lineRule="auto"/>
        <w:jc w:val="left"/>
        <w:rPr>
          <w:rFonts w:ascii="宋体" w:hAnsi="宋体" w:cs="宋体" w:eastAsia="宋体" w:hint="default"/>
          <w:sz w:val="18"/>
          <w:szCs w:val="18"/>
        </w:rPr>
        <w:sectPr>
          <w:pgSz w:w="11910" w:h="16840"/>
          <w:pgMar w:header="745" w:footer="1186" w:top="1060" w:bottom="1380" w:left="260" w:right="280"/>
        </w:sectPr>
      </w:pPr>
    </w:p>
    <w:p>
      <w:pPr>
        <w:spacing w:line="240" w:lineRule="auto" w:before="2"/>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641"/>
        <w:gridCol w:w="1746"/>
        <w:gridCol w:w="1601"/>
        <w:gridCol w:w="1589"/>
        <w:gridCol w:w="3580"/>
      </w:tblGrid>
      <w:tr>
        <w:trPr>
          <w:trHeight w:val="987" w:hRule="exact"/>
        </w:trPr>
        <w:tc>
          <w:tcPr>
            <w:tcW w:w="2641"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46"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pacing w:val="-1"/>
                <w:sz w:val="18"/>
              </w:rPr>
              <w:t>138,991,089.07</w:t>
            </w:r>
          </w:p>
        </w:tc>
        <w:tc>
          <w:tcPr>
            <w:tcW w:w="1601"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81,952,529.38</w:t>
            </w:r>
          </w:p>
        </w:tc>
        <w:tc>
          <w:tcPr>
            <w:tcW w:w="1589"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69.6</w:t>
            </w:r>
          </w:p>
        </w:tc>
        <w:tc>
          <w:tcPr>
            <w:tcW w:w="3580"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2"/>
              <w:ind w:left="10" w:right="8"/>
              <w:jc w:val="left"/>
              <w:rPr>
                <w:rFonts w:ascii="宋体" w:hAnsi="宋体" w:cs="宋体" w:eastAsia="宋体" w:hint="default"/>
                <w:sz w:val="18"/>
                <w:szCs w:val="18"/>
              </w:rPr>
            </w:pPr>
            <w:r>
              <w:rPr>
                <w:rFonts w:ascii="宋体" w:hAnsi="宋体" w:cs="宋体" w:eastAsia="宋体" w:hint="default"/>
                <w:spacing w:val="-3"/>
                <w:sz w:val="18"/>
                <w:szCs w:val="18"/>
              </w:rPr>
              <w:t>本期购置土地及开发支出转无形资产、收购高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阳捷迅无形资产评估增值</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17"/>
              <w:jc w:val="right"/>
              <w:rPr>
                <w:rFonts w:ascii="Times New Roman" w:hAnsi="Times New Roman" w:cs="Times New Roman" w:eastAsia="Times New Roman" w:hint="default"/>
                <w:sz w:val="18"/>
                <w:szCs w:val="18"/>
              </w:rPr>
            </w:pPr>
            <w:r>
              <w:rPr>
                <w:rFonts w:ascii="Times New Roman"/>
                <w:spacing w:val="-1"/>
                <w:sz w:val="18"/>
              </w:rPr>
              <w:t>56,156,549.01</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9"/>
              <w:jc w:val="right"/>
              <w:rPr>
                <w:rFonts w:ascii="Times New Roman" w:hAnsi="Times New Roman" w:cs="Times New Roman" w:eastAsia="Times New Roman" w:hint="default"/>
                <w:sz w:val="18"/>
                <w:szCs w:val="18"/>
              </w:rPr>
            </w:pPr>
            <w:r>
              <w:rPr>
                <w:rFonts w:ascii="Times New Roman"/>
                <w:spacing w:val="-1"/>
                <w:sz w:val="18"/>
              </w:rPr>
              <w:t>37,697,612.20</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z w:val="18"/>
              </w:rPr>
              <w:t>48.97</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本期开发投入</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8"/>
              <w:jc w:val="right"/>
              <w:rPr>
                <w:rFonts w:ascii="Times New Roman" w:hAnsi="Times New Roman" w:cs="Times New Roman" w:eastAsia="Times New Roman" w:hint="default"/>
                <w:sz w:val="18"/>
                <w:szCs w:val="18"/>
              </w:rPr>
            </w:pPr>
            <w:r>
              <w:rPr>
                <w:rFonts w:ascii="Times New Roman"/>
                <w:spacing w:val="-1"/>
                <w:sz w:val="18"/>
              </w:rPr>
              <w:t>194,420,526.00</w:t>
            </w:r>
          </w:p>
        </w:tc>
        <w:tc>
          <w:tcPr>
            <w:tcW w:w="1601" w:type="dxa"/>
            <w:tcBorders>
              <w:top w:val="single" w:sz="12" w:space="0" w:color="000000"/>
              <w:left w:val="nil" w:sz="6" w:space="0" w:color="auto"/>
              <w:bottom w:val="single" w:sz="12" w:space="0" w:color="000000"/>
              <w:right w:val="nil" w:sz="6" w:space="0" w:color="auto"/>
            </w:tcBorders>
          </w:tcPr>
          <w:p>
            <w:pPr/>
          </w:p>
        </w:tc>
        <w:tc>
          <w:tcPr>
            <w:tcW w:w="1589" w:type="dxa"/>
            <w:tcBorders>
              <w:top w:val="single" w:sz="12" w:space="0" w:color="000000"/>
              <w:left w:val="nil" w:sz="6" w:space="0" w:color="auto"/>
              <w:bottom w:val="single" w:sz="12" w:space="0" w:color="000000"/>
              <w:right w:val="nil" w:sz="6" w:space="0" w:color="auto"/>
            </w:tcBorders>
          </w:tcPr>
          <w:p>
            <w:pP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本期收购高阳捷迅</w:t>
            </w:r>
          </w:p>
        </w:tc>
      </w:tr>
      <w:tr>
        <w:trPr>
          <w:trHeight w:val="350"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7"/>
              <w:jc w:val="right"/>
              <w:rPr>
                <w:rFonts w:ascii="Times New Roman" w:hAnsi="Times New Roman" w:cs="Times New Roman" w:eastAsia="Times New Roman" w:hint="default"/>
                <w:sz w:val="18"/>
                <w:szCs w:val="18"/>
              </w:rPr>
            </w:pPr>
            <w:r>
              <w:rPr>
                <w:rFonts w:ascii="Times New Roman"/>
                <w:spacing w:val="-1"/>
                <w:sz w:val="18"/>
              </w:rPr>
              <w:t>58,587,300.00</w:t>
            </w:r>
          </w:p>
        </w:tc>
        <w:tc>
          <w:tcPr>
            <w:tcW w:w="1601" w:type="dxa"/>
            <w:tcBorders>
              <w:top w:val="single" w:sz="12" w:space="0" w:color="000000"/>
              <w:left w:val="nil" w:sz="6" w:space="0" w:color="auto"/>
              <w:bottom w:val="single" w:sz="12" w:space="0" w:color="000000"/>
              <w:right w:val="nil" w:sz="6" w:space="0" w:color="auto"/>
            </w:tcBorders>
          </w:tcPr>
          <w:p>
            <w:pPr/>
          </w:p>
        </w:tc>
        <w:tc>
          <w:tcPr>
            <w:tcW w:w="1589" w:type="dxa"/>
            <w:tcBorders>
              <w:top w:val="single" w:sz="12" w:space="0" w:color="000000"/>
              <w:left w:val="nil" w:sz="6" w:space="0" w:color="auto"/>
              <w:bottom w:val="single" w:sz="12" w:space="0" w:color="000000"/>
              <w:right w:val="nil" w:sz="6" w:space="0" w:color="auto"/>
            </w:tcBorders>
          </w:tcPr>
          <w:p>
            <w:pP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本期发生的土地平整投入</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18"/>
              <w:jc w:val="right"/>
              <w:rPr>
                <w:rFonts w:ascii="Times New Roman" w:hAnsi="Times New Roman" w:cs="Times New Roman" w:eastAsia="Times New Roman" w:hint="default"/>
                <w:sz w:val="18"/>
                <w:szCs w:val="18"/>
              </w:rPr>
            </w:pPr>
            <w:r>
              <w:rPr>
                <w:rFonts w:ascii="Times New Roman"/>
                <w:spacing w:val="-1"/>
                <w:sz w:val="18"/>
              </w:rPr>
              <w:t>1,290,400,000.00</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9"/>
              <w:jc w:val="right"/>
              <w:rPr>
                <w:rFonts w:ascii="Times New Roman" w:hAnsi="Times New Roman" w:cs="Times New Roman" w:eastAsia="Times New Roman" w:hint="default"/>
                <w:sz w:val="18"/>
                <w:szCs w:val="18"/>
              </w:rPr>
            </w:pPr>
            <w:r>
              <w:rPr>
                <w:rFonts w:ascii="Times New Roman"/>
                <w:spacing w:val="-1"/>
                <w:sz w:val="18"/>
              </w:rPr>
              <w:t>750,000,000.00</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z w:val="18"/>
              </w:rPr>
              <w:t>72.05</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本期业务规模扩大，融资需要</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8"/>
              <w:jc w:val="right"/>
              <w:rPr>
                <w:rFonts w:ascii="Times New Roman" w:hAnsi="Times New Roman" w:cs="Times New Roman" w:eastAsia="Times New Roman" w:hint="default"/>
                <w:sz w:val="18"/>
                <w:szCs w:val="18"/>
              </w:rPr>
            </w:pPr>
            <w:r>
              <w:rPr>
                <w:rFonts w:ascii="Times New Roman"/>
                <w:spacing w:val="-1"/>
                <w:sz w:val="18"/>
              </w:rPr>
              <w:t>451,157,064.00</w:t>
            </w:r>
          </w:p>
        </w:tc>
        <w:tc>
          <w:tcPr>
            <w:tcW w:w="1601" w:type="dxa"/>
            <w:tcBorders>
              <w:top w:val="single" w:sz="12" w:space="0" w:color="000000"/>
              <w:left w:val="nil" w:sz="6" w:space="0" w:color="auto"/>
              <w:bottom w:val="single" w:sz="12" w:space="0" w:color="000000"/>
              <w:right w:val="nil" w:sz="6" w:space="0" w:color="auto"/>
            </w:tcBorders>
          </w:tcPr>
          <w:p>
            <w:pPr/>
          </w:p>
        </w:tc>
        <w:tc>
          <w:tcPr>
            <w:tcW w:w="1589" w:type="dxa"/>
            <w:tcBorders>
              <w:top w:val="single" w:sz="12" w:space="0" w:color="000000"/>
              <w:left w:val="nil" w:sz="6" w:space="0" w:color="auto"/>
              <w:bottom w:val="single" w:sz="12" w:space="0" w:color="000000"/>
              <w:right w:val="nil" w:sz="6" w:space="0" w:color="auto"/>
            </w:tcBorders>
          </w:tcPr>
          <w:p>
            <w:pP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本期业务规模扩大，开具商业汇票增加</w:t>
            </w:r>
          </w:p>
        </w:tc>
      </w:tr>
      <w:tr>
        <w:trPr>
          <w:trHeight w:val="350"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8"/>
              <w:jc w:val="right"/>
              <w:rPr>
                <w:rFonts w:ascii="Times New Roman" w:hAnsi="Times New Roman" w:cs="Times New Roman" w:eastAsia="Times New Roman" w:hint="default"/>
                <w:sz w:val="18"/>
                <w:szCs w:val="18"/>
              </w:rPr>
            </w:pPr>
            <w:r>
              <w:rPr>
                <w:rFonts w:ascii="Times New Roman"/>
                <w:spacing w:val="-1"/>
                <w:sz w:val="18"/>
              </w:rPr>
              <w:t>551,813,116.42</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284,754,060.36</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93.79</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本期业务规模扩大，款项暂未结算</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18"/>
              <w:jc w:val="right"/>
              <w:rPr>
                <w:rFonts w:ascii="Times New Roman" w:hAnsi="Times New Roman" w:cs="Times New Roman" w:eastAsia="Times New Roman" w:hint="default"/>
                <w:sz w:val="18"/>
                <w:szCs w:val="18"/>
              </w:rPr>
            </w:pPr>
            <w:r>
              <w:rPr>
                <w:rFonts w:ascii="Times New Roman"/>
                <w:spacing w:val="-1"/>
                <w:sz w:val="18"/>
              </w:rPr>
              <w:t>567,926,414.70</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9"/>
              <w:jc w:val="right"/>
              <w:rPr>
                <w:rFonts w:ascii="Times New Roman" w:hAnsi="Times New Roman" w:cs="Times New Roman" w:eastAsia="Times New Roman" w:hint="default"/>
                <w:sz w:val="18"/>
                <w:szCs w:val="18"/>
              </w:rPr>
            </w:pPr>
            <w:r>
              <w:rPr>
                <w:rFonts w:ascii="Times New Roman"/>
                <w:spacing w:val="-1"/>
                <w:sz w:val="18"/>
              </w:rPr>
              <w:t>197,594,747.50</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187.42</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本期业务规模扩大，未交货验收</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7"/>
              <w:jc w:val="right"/>
              <w:rPr>
                <w:rFonts w:ascii="Times New Roman" w:hAnsi="Times New Roman" w:cs="Times New Roman" w:eastAsia="Times New Roman" w:hint="default"/>
                <w:sz w:val="18"/>
                <w:szCs w:val="18"/>
              </w:rPr>
            </w:pPr>
            <w:r>
              <w:rPr>
                <w:rFonts w:ascii="Times New Roman"/>
                <w:spacing w:val="-1"/>
                <w:sz w:val="18"/>
              </w:rPr>
              <w:t>14,362,478.74</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3,797,532.62</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278.21</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本期应承担、未发放资金</w:t>
            </w:r>
          </w:p>
        </w:tc>
      </w:tr>
      <w:tr>
        <w:trPr>
          <w:trHeight w:val="350"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7"/>
              <w:jc w:val="right"/>
              <w:rPr>
                <w:rFonts w:ascii="Times New Roman" w:hAnsi="Times New Roman" w:cs="Times New Roman" w:eastAsia="Times New Roman" w:hint="default"/>
                <w:sz w:val="18"/>
                <w:szCs w:val="18"/>
              </w:rPr>
            </w:pPr>
            <w:r>
              <w:rPr>
                <w:rFonts w:ascii="Times New Roman"/>
                <w:spacing w:val="-1"/>
                <w:sz w:val="18"/>
              </w:rPr>
              <w:t>-16,915,206.20</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-12,051,626.62</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40.36</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本期存货增加</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17"/>
              <w:jc w:val="right"/>
              <w:rPr>
                <w:rFonts w:ascii="Times New Roman" w:hAnsi="Times New Roman" w:cs="Times New Roman" w:eastAsia="Times New Roman" w:hint="default"/>
                <w:sz w:val="18"/>
                <w:szCs w:val="18"/>
              </w:rPr>
            </w:pPr>
            <w:r>
              <w:rPr>
                <w:rFonts w:ascii="Times New Roman"/>
                <w:spacing w:val="-1"/>
                <w:sz w:val="18"/>
              </w:rPr>
              <w:t>189,679.13</w:t>
            </w:r>
          </w:p>
        </w:tc>
        <w:tc>
          <w:tcPr>
            <w:tcW w:w="1601" w:type="dxa"/>
            <w:tcBorders>
              <w:top w:val="single" w:sz="12" w:space="0" w:color="000000"/>
              <w:left w:val="nil" w:sz="6" w:space="0" w:color="auto"/>
              <w:bottom w:val="single" w:sz="12" w:space="0" w:color="000000"/>
              <w:right w:val="nil" w:sz="6" w:space="0" w:color="auto"/>
            </w:tcBorders>
          </w:tcPr>
          <w:p>
            <w:pPr/>
          </w:p>
        </w:tc>
        <w:tc>
          <w:tcPr>
            <w:tcW w:w="1589" w:type="dxa"/>
            <w:tcBorders>
              <w:top w:val="single" w:sz="12" w:space="0" w:color="000000"/>
              <w:left w:val="nil" w:sz="6" w:space="0" w:color="auto"/>
              <w:bottom w:val="single" w:sz="12" w:space="0" w:color="000000"/>
              <w:right w:val="nil" w:sz="6" w:space="0" w:color="auto"/>
            </w:tcBorders>
          </w:tcPr>
          <w:p>
            <w:pP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本期已派发未支付的股利</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right="218"/>
              <w:jc w:val="right"/>
              <w:rPr>
                <w:rFonts w:ascii="Times New Roman" w:hAnsi="Times New Roman" w:cs="Times New Roman" w:eastAsia="Times New Roman" w:hint="default"/>
                <w:sz w:val="18"/>
                <w:szCs w:val="18"/>
              </w:rPr>
            </w:pPr>
            <w:r>
              <w:rPr>
                <w:rFonts w:ascii="Times New Roman"/>
                <w:spacing w:val="-1"/>
                <w:sz w:val="18"/>
              </w:rPr>
              <w:t>273,071,336.37</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right="119"/>
              <w:jc w:val="right"/>
              <w:rPr>
                <w:rFonts w:ascii="Times New Roman" w:hAnsi="Times New Roman" w:cs="Times New Roman" w:eastAsia="Times New Roman" w:hint="default"/>
                <w:sz w:val="18"/>
                <w:szCs w:val="18"/>
              </w:rPr>
            </w:pPr>
            <w:r>
              <w:rPr>
                <w:rFonts w:ascii="Times New Roman"/>
                <w:spacing w:val="-1"/>
                <w:sz w:val="18"/>
              </w:rPr>
              <w:t>180,158,294.76</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18"/>
                <w:szCs w:val="18"/>
              </w:rPr>
            </w:pPr>
            <w:r>
              <w:rPr>
                <w:rFonts w:ascii="Times New Roman"/>
                <w:sz w:val="18"/>
              </w:rPr>
              <w:t>51.57</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本期收购高捷迅未支付的卡结算款</w:t>
            </w:r>
          </w:p>
        </w:tc>
      </w:tr>
      <w:tr>
        <w:trPr>
          <w:trHeight w:val="350" w:hRule="exact"/>
        </w:trPr>
        <w:tc>
          <w:tcPr>
            <w:tcW w:w="2641" w:type="dxa"/>
            <w:tcBorders>
              <w:top w:val="single" w:sz="12" w:space="0" w:color="000000"/>
              <w:left w:val="nil" w:sz="6" w:space="0" w:color="auto"/>
              <w:bottom w:val="single" w:sz="12" w:space="0" w:color="000000"/>
              <w:right w:val="nil" w:sz="6" w:space="0" w:color="auto"/>
            </w:tcBorders>
          </w:tcPr>
          <w:p>
            <w:pPr/>
          </w:p>
        </w:tc>
        <w:tc>
          <w:tcPr>
            <w:tcW w:w="1746" w:type="dxa"/>
            <w:tcBorders>
              <w:top w:val="single" w:sz="12" w:space="0" w:color="000000"/>
              <w:left w:val="nil" w:sz="6" w:space="0" w:color="auto"/>
              <w:bottom w:val="single" w:sz="12" w:space="0" w:color="000000"/>
              <w:right w:val="nil" w:sz="6" w:space="0" w:color="auto"/>
            </w:tcBorders>
          </w:tcPr>
          <w:p>
            <w:pPr/>
          </w:p>
        </w:tc>
        <w:tc>
          <w:tcPr>
            <w:tcW w:w="1601" w:type="dxa"/>
            <w:tcBorders>
              <w:top w:val="single" w:sz="12" w:space="0" w:color="000000"/>
              <w:left w:val="nil" w:sz="6" w:space="0" w:color="auto"/>
              <w:bottom w:val="single" w:sz="12" w:space="0" w:color="000000"/>
              <w:right w:val="nil" w:sz="6" w:space="0" w:color="auto"/>
            </w:tcBorders>
          </w:tcPr>
          <w:p>
            <w:pPr/>
          </w:p>
        </w:tc>
        <w:tc>
          <w:tcPr>
            <w:tcW w:w="1589" w:type="dxa"/>
            <w:tcBorders>
              <w:top w:val="single" w:sz="12" w:space="0" w:color="000000"/>
              <w:left w:val="nil" w:sz="6" w:space="0" w:color="auto"/>
              <w:bottom w:val="single" w:sz="12" w:space="0" w:color="000000"/>
              <w:right w:val="nil" w:sz="6" w:space="0" w:color="auto"/>
            </w:tcBorders>
          </w:tcPr>
          <w:p>
            <w:pPr/>
          </w:p>
        </w:tc>
        <w:tc>
          <w:tcPr>
            <w:tcW w:w="3580"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81"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、利润表项目</w:t>
            </w:r>
            <w:r>
              <w:rPr>
                <w:rFonts w:ascii="宋体" w:hAnsi="宋体" w:cs="宋体" w:eastAsia="宋体" w:hint="default"/>
                <w:sz w:val="21"/>
                <w:szCs w:val="21"/>
              </w:rPr>
            </w:r>
          </w:p>
        </w:tc>
        <w:tc>
          <w:tcPr>
            <w:tcW w:w="1746" w:type="dxa"/>
            <w:tcBorders>
              <w:top w:val="single" w:sz="12" w:space="0" w:color="000000"/>
              <w:left w:val="nil" w:sz="6" w:space="0" w:color="auto"/>
              <w:bottom w:val="single" w:sz="12" w:space="0" w:color="000000"/>
              <w:right w:val="nil" w:sz="6" w:space="0" w:color="auto"/>
            </w:tcBorders>
          </w:tcPr>
          <w:p>
            <w:pPr/>
          </w:p>
        </w:tc>
        <w:tc>
          <w:tcPr>
            <w:tcW w:w="1601" w:type="dxa"/>
            <w:tcBorders>
              <w:top w:val="single" w:sz="12" w:space="0" w:color="000000"/>
              <w:left w:val="nil" w:sz="6" w:space="0" w:color="auto"/>
              <w:bottom w:val="single" w:sz="12" w:space="0" w:color="000000"/>
              <w:right w:val="nil" w:sz="6" w:space="0" w:color="auto"/>
            </w:tcBorders>
          </w:tcPr>
          <w:p>
            <w:pPr/>
          </w:p>
        </w:tc>
        <w:tc>
          <w:tcPr>
            <w:tcW w:w="1589" w:type="dxa"/>
            <w:tcBorders>
              <w:top w:val="single" w:sz="12" w:space="0" w:color="000000"/>
              <w:left w:val="nil" w:sz="6" w:space="0" w:color="auto"/>
              <w:bottom w:val="single" w:sz="12" w:space="0" w:color="000000"/>
              <w:right w:val="nil" w:sz="6" w:space="0" w:color="auto"/>
            </w:tcBorders>
          </w:tcPr>
          <w:p>
            <w:pPr/>
          </w:p>
        </w:tc>
        <w:tc>
          <w:tcPr>
            <w:tcW w:w="3580"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147"/>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32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79"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21" w:right="0"/>
              <w:jc w:val="left"/>
              <w:rPr>
                <w:rFonts w:ascii="宋体" w:hAnsi="宋体" w:cs="宋体" w:eastAsia="宋体" w:hint="default"/>
                <w:sz w:val="18"/>
                <w:szCs w:val="18"/>
              </w:rPr>
            </w:pPr>
            <w:r>
              <w:rPr>
                <w:rFonts w:ascii="宋体" w:hAnsi="宋体" w:cs="宋体" w:eastAsia="宋体" w:hint="default"/>
                <w:sz w:val="18"/>
                <w:szCs w:val="18"/>
              </w:rPr>
              <w:t>变动比率（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50"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8"/>
              <w:jc w:val="right"/>
              <w:rPr>
                <w:rFonts w:ascii="Times New Roman" w:hAnsi="Times New Roman" w:cs="Times New Roman" w:eastAsia="Times New Roman" w:hint="default"/>
                <w:sz w:val="18"/>
                <w:szCs w:val="18"/>
              </w:rPr>
            </w:pPr>
            <w:r>
              <w:rPr>
                <w:rFonts w:ascii="Times New Roman"/>
                <w:spacing w:val="-1"/>
                <w:sz w:val="18"/>
              </w:rPr>
              <w:t>6,198,358,597.83</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4,616,859,715.76</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34.25</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本期业务规模扩大</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18"/>
              <w:jc w:val="right"/>
              <w:rPr>
                <w:rFonts w:ascii="Times New Roman" w:hAnsi="Times New Roman" w:cs="Times New Roman" w:eastAsia="Times New Roman" w:hint="default"/>
                <w:sz w:val="18"/>
                <w:szCs w:val="18"/>
              </w:rPr>
            </w:pPr>
            <w:r>
              <w:rPr>
                <w:rFonts w:ascii="Times New Roman"/>
                <w:spacing w:val="-1"/>
                <w:sz w:val="18"/>
              </w:rPr>
              <w:t>5,885,282,681.14</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9"/>
              <w:jc w:val="right"/>
              <w:rPr>
                <w:rFonts w:ascii="Times New Roman" w:hAnsi="Times New Roman" w:cs="Times New Roman" w:eastAsia="Times New Roman" w:hint="default"/>
                <w:sz w:val="18"/>
                <w:szCs w:val="18"/>
              </w:rPr>
            </w:pPr>
            <w:r>
              <w:rPr>
                <w:rFonts w:ascii="Times New Roman"/>
                <w:spacing w:val="-1"/>
                <w:sz w:val="18"/>
              </w:rPr>
              <w:t>4,331,854,396.10</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z w:val="18"/>
              </w:rPr>
              <w:t>35.86</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本期业务规模扩大</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7"/>
              <w:jc w:val="right"/>
              <w:rPr>
                <w:rFonts w:ascii="Times New Roman" w:hAnsi="Times New Roman" w:cs="Times New Roman" w:eastAsia="Times New Roman" w:hint="default"/>
                <w:sz w:val="18"/>
                <w:szCs w:val="18"/>
              </w:rPr>
            </w:pPr>
            <w:r>
              <w:rPr>
                <w:rFonts w:ascii="Times New Roman"/>
                <w:spacing w:val="-1"/>
                <w:sz w:val="18"/>
              </w:rPr>
              <w:t>43,651,884.40</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2,816,346.84</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5"/>
                <w:sz w:val="18"/>
              </w:rPr>
              <w:t>1,449.95</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本期分得联营企业分红，理财产品收益</w:t>
            </w:r>
          </w:p>
        </w:tc>
      </w:tr>
      <w:tr>
        <w:trPr>
          <w:trHeight w:val="350"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7"/>
              <w:jc w:val="right"/>
              <w:rPr>
                <w:rFonts w:ascii="Times New Roman" w:hAnsi="Times New Roman" w:cs="Times New Roman" w:eastAsia="Times New Roman" w:hint="default"/>
                <w:sz w:val="18"/>
                <w:szCs w:val="18"/>
              </w:rPr>
            </w:pPr>
            <w:r>
              <w:rPr>
                <w:rFonts w:ascii="Times New Roman"/>
                <w:spacing w:val="-1"/>
                <w:sz w:val="18"/>
              </w:rPr>
              <w:t>55,970,348.16</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8,953,547.54</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525.12</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本期取得政府补助增加</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17"/>
              <w:jc w:val="right"/>
              <w:rPr>
                <w:rFonts w:ascii="Times New Roman" w:hAnsi="Times New Roman" w:cs="Times New Roman" w:eastAsia="Times New Roman" w:hint="default"/>
                <w:sz w:val="18"/>
                <w:szCs w:val="18"/>
              </w:rPr>
            </w:pPr>
            <w:r>
              <w:rPr>
                <w:rFonts w:ascii="Times New Roman"/>
                <w:spacing w:val="-1"/>
                <w:sz w:val="18"/>
              </w:rPr>
              <w:t>30,943,778.31</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9"/>
              <w:jc w:val="right"/>
              <w:rPr>
                <w:rFonts w:ascii="Times New Roman" w:hAnsi="Times New Roman" w:cs="Times New Roman" w:eastAsia="Times New Roman" w:hint="default"/>
                <w:sz w:val="18"/>
                <w:szCs w:val="18"/>
              </w:rPr>
            </w:pPr>
            <w:r>
              <w:rPr>
                <w:rFonts w:ascii="Times New Roman"/>
                <w:spacing w:val="-1"/>
                <w:sz w:val="18"/>
              </w:rPr>
              <w:t>17,958,147.38</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z w:val="18"/>
              </w:rPr>
              <w:t>72.31</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本期利润增加</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
        </w:tc>
        <w:tc>
          <w:tcPr>
            <w:tcW w:w="1746" w:type="dxa"/>
            <w:tcBorders>
              <w:top w:val="single" w:sz="12" w:space="0" w:color="000000"/>
              <w:left w:val="nil" w:sz="6" w:space="0" w:color="auto"/>
              <w:bottom w:val="single" w:sz="12" w:space="0" w:color="000000"/>
              <w:right w:val="nil" w:sz="6" w:space="0" w:color="auto"/>
            </w:tcBorders>
          </w:tcPr>
          <w:p>
            <w:pPr/>
          </w:p>
        </w:tc>
        <w:tc>
          <w:tcPr>
            <w:tcW w:w="1601" w:type="dxa"/>
            <w:tcBorders>
              <w:top w:val="single" w:sz="12" w:space="0" w:color="000000"/>
              <w:left w:val="nil" w:sz="6" w:space="0" w:color="auto"/>
              <w:bottom w:val="single" w:sz="12" w:space="0" w:color="000000"/>
              <w:right w:val="nil" w:sz="6" w:space="0" w:color="auto"/>
            </w:tcBorders>
          </w:tcPr>
          <w:p>
            <w:pPr/>
          </w:p>
        </w:tc>
        <w:tc>
          <w:tcPr>
            <w:tcW w:w="1589" w:type="dxa"/>
            <w:tcBorders>
              <w:top w:val="single" w:sz="12" w:space="0" w:color="000000"/>
              <w:left w:val="nil" w:sz="6" w:space="0" w:color="auto"/>
              <w:bottom w:val="single" w:sz="12" w:space="0" w:color="000000"/>
              <w:right w:val="nil" w:sz="6" w:space="0" w:color="auto"/>
            </w:tcBorders>
          </w:tcPr>
          <w:p>
            <w:pPr/>
          </w:p>
        </w:tc>
        <w:tc>
          <w:tcPr>
            <w:tcW w:w="3580" w:type="dxa"/>
            <w:tcBorders>
              <w:top w:val="single" w:sz="12" w:space="0" w:color="000000"/>
              <w:left w:val="nil" w:sz="6" w:space="0" w:color="auto"/>
              <w:bottom w:val="single" w:sz="12" w:space="0" w:color="000000"/>
              <w:right w:val="nil" w:sz="6" w:space="0" w:color="auto"/>
            </w:tcBorders>
          </w:tcPr>
          <w:p>
            <w:pPr/>
          </w:p>
        </w:tc>
      </w:tr>
      <w:tr>
        <w:trPr>
          <w:trHeight w:val="351"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7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、现金流量表项目</w:t>
            </w:r>
            <w:r>
              <w:rPr>
                <w:rFonts w:ascii="宋体" w:hAnsi="宋体" w:cs="宋体" w:eastAsia="宋体" w:hint="default"/>
                <w:sz w:val="21"/>
                <w:szCs w:val="21"/>
              </w:rPr>
            </w:r>
          </w:p>
        </w:tc>
        <w:tc>
          <w:tcPr>
            <w:tcW w:w="1746" w:type="dxa"/>
            <w:tcBorders>
              <w:top w:val="single" w:sz="12" w:space="0" w:color="000000"/>
              <w:left w:val="nil" w:sz="6" w:space="0" w:color="auto"/>
              <w:bottom w:val="single" w:sz="12" w:space="0" w:color="000000"/>
              <w:right w:val="nil" w:sz="6" w:space="0" w:color="auto"/>
            </w:tcBorders>
          </w:tcPr>
          <w:p>
            <w:pPr/>
          </w:p>
        </w:tc>
        <w:tc>
          <w:tcPr>
            <w:tcW w:w="1601" w:type="dxa"/>
            <w:tcBorders>
              <w:top w:val="single" w:sz="12" w:space="0" w:color="000000"/>
              <w:left w:val="nil" w:sz="6" w:space="0" w:color="auto"/>
              <w:bottom w:val="single" w:sz="12" w:space="0" w:color="000000"/>
              <w:right w:val="nil" w:sz="6" w:space="0" w:color="auto"/>
            </w:tcBorders>
          </w:tcPr>
          <w:p>
            <w:pPr/>
          </w:p>
        </w:tc>
        <w:tc>
          <w:tcPr>
            <w:tcW w:w="1589" w:type="dxa"/>
            <w:tcBorders>
              <w:top w:val="single" w:sz="12" w:space="0" w:color="000000"/>
              <w:left w:val="nil" w:sz="6" w:space="0" w:color="auto"/>
              <w:bottom w:val="single" w:sz="12" w:space="0" w:color="000000"/>
              <w:right w:val="nil" w:sz="6" w:space="0" w:color="auto"/>
            </w:tcBorders>
          </w:tcPr>
          <w:p>
            <w:pPr/>
          </w:p>
        </w:tc>
        <w:tc>
          <w:tcPr>
            <w:tcW w:w="3580"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147"/>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2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79"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变动比率（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销售商品</w:t>
            </w:r>
            <w:r>
              <w:rPr>
                <w:rFonts w:ascii="宋体" w:hAnsi="宋体" w:cs="宋体" w:eastAsia="宋体" w:hint="default"/>
                <w:spacing w:val="-80"/>
                <w:sz w:val="18"/>
                <w:szCs w:val="18"/>
              </w:rPr>
              <w:t>、</w:t>
            </w:r>
            <w:r>
              <w:rPr>
                <w:rFonts w:ascii="宋体" w:hAnsi="宋体" w:cs="宋体" w:eastAsia="宋体" w:hint="default"/>
                <w:sz w:val="18"/>
                <w:szCs w:val="18"/>
              </w:rPr>
              <w:t>提供劳务收到的现金</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8"/>
              <w:jc w:val="right"/>
              <w:rPr>
                <w:rFonts w:ascii="Times New Roman" w:hAnsi="Times New Roman" w:cs="Times New Roman" w:eastAsia="Times New Roman" w:hint="default"/>
                <w:sz w:val="18"/>
                <w:szCs w:val="18"/>
              </w:rPr>
            </w:pPr>
            <w:r>
              <w:rPr>
                <w:rFonts w:ascii="Times New Roman"/>
                <w:spacing w:val="-1"/>
                <w:sz w:val="18"/>
              </w:rPr>
              <w:t>7,261,313,388.74</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5,168,160,198.31</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40.5</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本期业务规模扩大</w:t>
            </w:r>
          </w:p>
        </w:tc>
      </w:tr>
      <w:tr>
        <w:trPr>
          <w:trHeight w:val="350"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7"/>
              <w:jc w:val="right"/>
              <w:rPr>
                <w:rFonts w:ascii="Times New Roman" w:hAnsi="Times New Roman" w:cs="Times New Roman" w:eastAsia="Times New Roman" w:hint="default"/>
                <w:sz w:val="18"/>
                <w:szCs w:val="18"/>
              </w:rPr>
            </w:pPr>
            <w:r>
              <w:rPr>
                <w:rFonts w:ascii="Times New Roman"/>
                <w:spacing w:val="-1"/>
                <w:sz w:val="18"/>
              </w:rPr>
              <w:t>13,737,694.95</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3,826,504.65</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259.01</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本期收到前期所得税退税</w:t>
            </w:r>
          </w:p>
        </w:tc>
      </w:tr>
      <w:tr>
        <w:trPr>
          <w:trHeight w:val="665"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6" w:right="274"/>
              <w:jc w:val="left"/>
              <w:rPr>
                <w:rFonts w:ascii="宋体" w:hAnsi="宋体" w:cs="宋体" w:eastAsia="宋体" w:hint="default"/>
                <w:sz w:val="18"/>
                <w:szCs w:val="18"/>
              </w:rPr>
            </w:pPr>
            <w:r>
              <w:rPr>
                <w:rFonts w:ascii="宋体" w:hAnsi="宋体" w:cs="宋体" w:eastAsia="宋体" w:hint="default"/>
                <w:sz w:val="18"/>
                <w:szCs w:val="18"/>
              </w:rPr>
              <w:t>收到其他与经营活动有关的现 金</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18"/>
              <w:jc w:val="right"/>
              <w:rPr>
                <w:rFonts w:ascii="Times New Roman" w:hAnsi="Times New Roman" w:cs="Times New Roman" w:eastAsia="Times New Roman" w:hint="default"/>
                <w:sz w:val="18"/>
                <w:szCs w:val="18"/>
              </w:rPr>
            </w:pPr>
            <w:r>
              <w:rPr>
                <w:rFonts w:ascii="Times New Roman"/>
                <w:spacing w:val="-1"/>
                <w:sz w:val="18"/>
              </w:rPr>
              <w:t>10,123,408,911.96</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9"/>
              <w:jc w:val="right"/>
              <w:rPr>
                <w:rFonts w:ascii="Times New Roman" w:hAnsi="Times New Roman" w:cs="Times New Roman" w:eastAsia="Times New Roman" w:hint="default"/>
                <w:sz w:val="18"/>
                <w:szCs w:val="18"/>
              </w:rPr>
            </w:pPr>
            <w:r>
              <w:rPr>
                <w:rFonts w:ascii="Times New Roman"/>
                <w:spacing w:val="-1"/>
                <w:sz w:val="18"/>
              </w:rPr>
              <w:t>121,664,382.82</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w w:val="95"/>
                <w:sz w:val="18"/>
              </w:rPr>
              <w:t>8,220.77</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本期新收购高阳捷迅卡结算业务款</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购买商品</w:t>
            </w:r>
            <w:r>
              <w:rPr>
                <w:rFonts w:ascii="宋体" w:hAnsi="宋体" w:cs="宋体" w:eastAsia="宋体" w:hint="default"/>
                <w:spacing w:val="-80"/>
                <w:sz w:val="18"/>
                <w:szCs w:val="18"/>
              </w:rPr>
              <w:t>、</w:t>
            </w:r>
            <w:r>
              <w:rPr>
                <w:rFonts w:ascii="宋体" w:hAnsi="宋体" w:cs="宋体" w:eastAsia="宋体" w:hint="default"/>
                <w:sz w:val="18"/>
                <w:szCs w:val="18"/>
              </w:rPr>
              <w:t>接收劳务支付的现金</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8"/>
              <w:jc w:val="right"/>
              <w:rPr>
                <w:rFonts w:ascii="Times New Roman" w:hAnsi="Times New Roman" w:cs="Times New Roman" w:eastAsia="Times New Roman" w:hint="default"/>
                <w:sz w:val="18"/>
                <w:szCs w:val="18"/>
              </w:rPr>
            </w:pPr>
            <w:r>
              <w:rPr>
                <w:rFonts w:ascii="Times New Roman"/>
                <w:spacing w:val="-1"/>
                <w:sz w:val="18"/>
              </w:rPr>
              <w:t>6,902,434,528.05</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5,059,299,158.99</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36.43</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本期业务规模扩大</w:t>
            </w:r>
          </w:p>
        </w:tc>
      </w:tr>
      <w:tr>
        <w:trPr>
          <w:trHeight w:val="662"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26" w:right="274"/>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7"/>
              <w:jc w:val="right"/>
              <w:rPr>
                <w:rFonts w:ascii="Times New Roman" w:hAnsi="Times New Roman" w:cs="Times New Roman" w:eastAsia="Times New Roman" w:hint="default"/>
                <w:sz w:val="18"/>
                <w:szCs w:val="18"/>
              </w:rPr>
            </w:pPr>
            <w:r>
              <w:rPr>
                <w:rFonts w:ascii="Times New Roman"/>
                <w:spacing w:val="-1"/>
                <w:sz w:val="18"/>
              </w:rPr>
              <w:t>84,964,570.72</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61,915,909.56</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37.23</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本期新收购高阳捷迅增加薪酬支出</w:t>
            </w:r>
          </w:p>
        </w:tc>
      </w:tr>
      <w:tr>
        <w:trPr>
          <w:trHeight w:val="665"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6" w:right="274"/>
              <w:jc w:val="left"/>
              <w:rPr>
                <w:rFonts w:ascii="宋体" w:hAnsi="宋体" w:cs="宋体" w:eastAsia="宋体" w:hint="default"/>
                <w:sz w:val="18"/>
                <w:szCs w:val="18"/>
              </w:rPr>
            </w:pPr>
            <w:r>
              <w:rPr>
                <w:rFonts w:ascii="宋体" w:hAnsi="宋体" w:cs="宋体" w:eastAsia="宋体" w:hint="default"/>
                <w:sz w:val="18"/>
                <w:szCs w:val="18"/>
              </w:rPr>
              <w:t>支付其他与经营活动有关的现 金</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18"/>
              <w:jc w:val="right"/>
              <w:rPr>
                <w:rFonts w:ascii="Times New Roman" w:hAnsi="Times New Roman" w:cs="Times New Roman" w:eastAsia="Times New Roman" w:hint="default"/>
                <w:sz w:val="18"/>
                <w:szCs w:val="18"/>
              </w:rPr>
            </w:pPr>
            <w:r>
              <w:rPr>
                <w:rFonts w:ascii="Times New Roman"/>
                <w:spacing w:val="-1"/>
                <w:sz w:val="18"/>
              </w:rPr>
              <w:t>10,190,574,245.68</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9"/>
              <w:jc w:val="right"/>
              <w:rPr>
                <w:rFonts w:ascii="Times New Roman" w:hAnsi="Times New Roman" w:cs="Times New Roman" w:eastAsia="Times New Roman" w:hint="default"/>
                <w:sz w:val="18"/>
                <w:szCs w:val="18"/>
              </w:rPr>
            </w:pPr>
            <w:r>
              <w:rPr>
                <w:rFonts w:ascii="Times New Roman"/>
                <w:spacing w:val="-1"/>
                <w:sz w:val="18"/>
              </w:rPr>
              <w:t>142,167,518.97</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w w:val="95"/>
                <w:sz w:val="18"/>
              </w:rPr>
              <w:t>7,068.00</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本期新收购高阳捷迅卡结算业务款</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8"/>
              <w:jc w:val="right"/>
              <w:rPr>
                <w:rFonts w:ascii="Times New Roman" w:hAnsi="Times New Roman" w:cs="Times New Roman" w:eastAsia="Times New Roman" w:hint="default"/>
                <w:sz w:val="18"/>
                <w:szCs w:val="18"/>
              </w:rPr>
            </w:pPr>
            <w:r>
              <w:rPr>
                <w:rFonts w:ascii="Times New Roman"/>
                <w:spacing w:val="-1"/>
                <w:sz w:val="18"/>
              </w:rPr>
              <w:t>1,473,485,080.70</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5,525,700.00</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26,566.03</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本期理财产品到期收回投资</w:t>
            </w:r>
          </w:p>
        </w:tc>
      </w:tr>
      <w:tr>
        <w:trPr>
          <w:trHeight w:val="351"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right="217"/>
              <w:jc w:val="right"/>
              <w:rPr>
                <w:rFonts w:ascii="Times New Roman" w:hAnsi="Times New Roman" w:cs="Times New Roman" w:eastAsia="Times New Roman" w:hint="default"/>
                <w:sz w:val="18"/>
                <w:szCs w:val="18"/>
              </w:rPr>
            </w:pPr>
            <w:r>
              <w:rPr>
                <w:rFonts w:ascii="Times New Roman"/>
                <w:spacing w:val="-1"/>
                <w:sz w:val="18"/>
              </w:rPr>
              <w:t>42,400,532.33</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right="119"/>
              <w:jc w:val="right"/>
              <w:rPr>
                <w:rFonts w:ascii="Times New Roman" w:hAnsi="Times New Roman" w:cs="Times New Roman" w:eastAsia="Times New Roman" w:hint="default"/>
                <w:sz w:val="18"/>
                <w:szCs w:val="18"/>
              </w:rPr>
            </w:pPr>
            <w:r>
              <w:rPr>
                <w:rFonts w:ascii="Times New Roman"/>
                <w:spacing w:val="-1"/>
                <w:sz w:val="18"/>
              </w:rPr>
              <w:t>260,000.00</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18"/>
                <w:szCs w:val="18"/>
              </w:rPr>
            </w:pPr>
            <w:r>
              <w:rPr>
                <w:rFonts w:ascii="Times New Roman"/>
                <w:spacing w:val="-1"/>
                <w:sz w:val="18"/>
              </w:rPr>
              <w:t>16,207.90</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本期收到联营企业分红，及理财产品收益</w:t>
            </w:r>
          </w:p>
        </w:tc>
      </w:tr>
      <w:tr>
        <w:trPr>
          <w:trHeight w:val="665"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6" w:right="172"/>
              <w:jc w:val="left"/>
              <w:rPr>
                <w:rFonts w:ascii="宋体" w:hAnsi="宋体" w:cs="宋体" w:eastAsia="宋体" w:hint="default"/>
                <w:sz w:val="18"/>
                <w:szCs w:val="18"/>
              </w:rPr>
            </w:pPr>
            <w:r>
              <w:rPr>
                <w:rFonts w:ascii="宋体" w:hAnsi="宋体" w:cs="宋体" w:eastAsia="宋体" w:hint="default"/>
                <w:spacing w:val="-6"/>
                <w:sz w:val="18"/>
                <w:szCs w:val="18"/>
              </w:rPr>
              <w:t>处置固定资产、无形资产和其他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长期资产所收回的现金净额</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17"/>
              <w:jc w:val="right"/>
              <w:rPr>
                <w:rFonts w:ascii="Times New Roman" w:hAnsi="Times New Roman" w:cs="Times New Roman" w:eastAsia="Times New Roman" w:hint="default"/>
                <w:sz w:val="18"/>
                <w:szCs w:val="18"/>
              </w:rPr>
            </w:pPr>
            <w:r>
              <w:rPr>
                <w:rFonts w:ascii="Times New Roman"/>
                <w:spacing w:val="-1"/>
                <w:sz w:val="18"/>
              </w:rPr>
              <w:t>173,605.00</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9"/>
              <w:jc w:val="right"/>
              <w:rPr>
                <w:rFonts w:ascii="Times New Roman" w:hAnsi="Times New Roman" w:cs="Times New Roman" w:eastAsia="Times New Roman" w:hint="default"/>
                <w:sz w:val="18"/>
                <w:szCs w:val="18"/>
              </w:rPr>
            </w:pPr>
            <w:r>
              <w:rPr>
                <w:rFonts w:ascii="Times New Roman"/>
                <w:spacing w:val="-1"/>
                <w:sz w:val="18"/>
              </w:rPr>
              <w:t>104,085.00</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z w:val="18"/>
              </w:rPr>
              <w:t>66.79</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本期处置长期资产</w:t>
            </w:r>
          </w:p>
        </w:tc>
      </w:tr>
      <w:tr>
        <w:trPr>
          <w:trHeight w:val="665"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26" w:right="172"/>
              <w:jc w:val="left"/>
              <w:rPr>
                <w:rFonts w:ascii="宋体" w:hAnsi="宋体" w:cs="宋体" w:eastAsia="宋体" w:hint="default"/>
                <w:sz w:val="18"/>
                <w:szCs w:val="18"/>
              </w:rPr>
            </w:pPr>
            <w:r>
              <w:rPr>
                <w:rFonts w:ascii="宋体" w:hAnsi="宋体" w:cs="宋体" w:eastAsia="宋体" w:hint="default"/>
                <w:spacing w:val="-6"/>
                <w:sz w:val="18"/>
                <w:szCs w:val="18"/>
              </w:rPr>
              <w:t>购建固定资产、无形资产和其他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长期资产所支付的现金</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8"/>
              <w:jc w:val="right"/>
              <w:rPr>
                <w:rFonts w:ascii="Times New Roman" w:hAnsi="Times New Roman" w:cs="Times New Roman" w:eastAsia="Times New Roman" w:hint="default"/>
                <w:sz w:val="18"/>
                <w:szCs w:val="18"/>
              </w:rPr>
            </w:pPr>
            <w:r>
              <w:rPr>
                <w:rFonts w:ascii="Times New Roman"/>
                <w:spacing w:val="-1"/>
                <w:sz w:val="18"/>
              </w:rPr>
              <w:t>144,929,626.58</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80,099,925.64</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80.94</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本期长期资产投入</w:t>
            </w:r>
          </w:p>
        </w:tc>
      </w:tr>
      <w:tr>
        <w:trPr>
          <w:trHeight w:val="353" w:hRule="exact"/>
        </w:trPr>
        <w:tc>
          <w:tcPr>
            <w:tcW w:w="26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7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8"/>
              <w:jc w:val="right"/>
              <w:rPr>
                <w:rFonts w:ascii="Times New Roman" w:hAnsi="Times New Roman" w:cs="Times New Roman" w:eastAsia="Times New Roman" w:hint="default"/>
                <w:sz w:val="18"/>
                <w:szCs w:val="18"/>
              </w:rPr>
            </w:pPr>
            <w:r>
              <w:rPr>
                <w:rFonts w:ascii="Times New Roman"/>
                <w:spacing w:val="-1"/>
                <w:sz w:val="18"/>
              </w:rPr>
              <w:t>1,741,970,800.00</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45,500,000.00</w:t>
            </w:r>
          </w:p>
        </w:tc>
        <w:tc>
          <w:tcPr>
            <w:tcW w:w="15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5"/>
                <w:sz w:val="18"/>
              </w:rPr>
              <w:t>3,728.51</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本期投资理财产品，新增股权投资</w:t>
            </w:r>
          </w:p>
        </w:tc>
      </w:tr>
    </w:tbl>
    <w:p>
      <w:pPr>
        <w:spacing w:after="0" w:line="240" w:lineRule="auto"/>
        <w:jc w:val="left"/>
        <w:rPr>
          <w:rFonts w:ascii="宋体" w:hAnsi="宋体" w:cs="宋体" w:eastAsia="宋体" w:hint="default"/>
          <w:sz w:val="18"/>
          <w:szCs w:val="18"/>
        </w:rPr>
        <w:sectPr>
          <w:pgSz w:w="11910" w:h="16840"/>
          <w:pgMar w:header="745" w:footer="1186" w:top="1060" w:bottom="1380" w:left="260" w:right="280"/>
        </w:sectPr>
      </w:pPr>
    </w:p>
    <w:p>
      <w:pPr>
        <w:spacing w:line="240" w:lineRule="auto" w:before="2"/>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687"/>
        <w:gridCol w:w="1700"/>
        <w:gridCol w:w="2097"/>
        <w:gridCol w:w="1094"/>
        <w:gridCol w:w="3580"/>
      </w:tblGrid>
      <w:tr>
        <w:trPr>
          <w:trHeight w:val="987" w:hRule="exact"/>
        </w:trPr>
        <w:tc>
          <w:tcPr>
            <w:tcW w:w="2687"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2"/>
              <w:ind w:left="26" w:right="318"/>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1700"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pacing w:val="-1"/>
                <w:sz w:val="18"/>
              </w:rPr>
              <w:t>144,701,727.77</w:t>
            </w:r>
          </w:p>
        </w:tc>
        <w:tc>
          <w:tcPr>
            <w:tcW w:w="2097" w:type="dxa"/>
            <w:tcBorders>
              <w:top w:val="single" w:sz="6" w:space="0" w:color="000000"/>
              <w:left w:val="nil" w:sz="6" w:space="0" w:color="auto"/>
              <w:bottom w:val="single" w:sz="12" w:space="0" w:color="000000"/>
              <w:right w:val="nil" w:sz="6" w:space="0" w:color="auto"/>
            </w:tcBorders>
          </w:tcPr>
          <w:p>
            <w:pPr/>
          </w:p>
        </w:tc>
        <w:tc>
          <w:tcPr>
            <w:tcW w:w="1094" w:type="dxa"/>
            <w:tcBorders>
              <w:top w:val="single" w:sz="6" w:space="0" w:color="000000"/>
              <w:left w:val="nil" w:sz="6" w:space="0" w:color="auto"/>
              <w:bottom w:val="single" w:sz="12" w:space="0" w:color="000000"/>
              <w:right w:val="nil" w:sz="6" w:space="0" w:color="auto"/>
            </w:tcBorders>
          </w:tcPr>
          <w:p>
            <w:pPr/>
          </w:p>
        </w:tc>
        <w:tc>
          <w:tcPr>
            <w:tcW w:w="3580"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10" w:right="0"/>
              <w:jc w:val="left"/>
              <w:rPr>
                <w:rFonts w:ascii="宋体" w:hAnsi="宋体" w:cs="宋体" w:eastAsia="宋体" w:hint="default"/>
                <w:sz w:val="18"/>
                <w:szCs w:val="18"/>
              </w:rPr>
            </w:pPr>
            <w:r>
              <w:rPr>
                <w:rFonts w:ascii="宋体" w:hAnsi="宋体" w:cs="宋体" w:eastAsia="宋体" w:hint="default"/>
                <w:sz w:val="18"/>
                <w:szCs w:val="18"/>
              </w:rPr>
              <w:t>本期收购高阳捷迅支付的净额</w:t>
            </w:r>
          </w:p>
        </w:tc>
      </w:tr>
      <w:tr>
        <w:trPr>
          <w:trHeight w:val="665" w:hRule="exact"/>
        </w:trPr>
        <w:tc>
          <w:tcPr>
            <w:tcW w:w="2687"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6" w:right="318"/>
              <w:jc w:val="left"/>
              <w:rPr>
                <w:rFonts w:ascii="宋体" w:hAnsi="宋体" w:cs="宋体" w:eastAsia="宋体" w:hint="default"/>
                <w:sz w:val="18"/>
                <w:szCs w:val="18"/>
              </w:rPr>
            </w:pPr>
            <w:r>
              <w:rPr>
                <w:rFonts w:ascii="宋体" w:hAnsi="宋体" w:cs="宋体" w:eastAsia="宋体" w:hint="default"/>
                <w:sz w:val="18"/>
                <w:szCs w:val="18"/>
              </w:rPr>
              <w:t>支付其他与投资活动有关的现 金</w:t>
            </w:r>
          </w:p>
        </w:tc>
        <w:tc>
          <w:tcPr>
            <w:tcW w:w="17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17"/>
              <w:jc w:val="right"/>
              <w:rPr>
                <w:rFonts w:ascii="Times New Roman" w:hAnsi="Times New Roman" w:cs="Times New Roman" w:eastAsia="Times New Roman" w:hint="default"/>
                <w:sz w:val="18"/>
                <w:szCs w:val="18"/>
              </w:rPr>
            </w:pPr>
            <w:r>
              <w:rPr>
                <w:rFonts w:ascii="Times New Roman"/>
                <w:spacing w:val="-1"/>
                <w:sz w:val="18"/>
              </w:rPr>
              <w:t>1,660,000.00</w:t>
            </w:r>
          </w:p>
        </w:tc>
        <w:tc>
          <w:tcPr>
            <w:tcW w:w="2097" w:type="dxa"/>
            <w:tcBorders>
              <w:top w:val="single" w:sz="12" w:space="0" w:color="000000"/>
              <w:left w:val="nil" w:sz="6" w:space="0" w:color="auto"/>
              <w:bottom w:val="single" w:sz="12" w:space="0" w:color="000000"/>
              <w:right w:val="nil" w:sz="6" w:space="0" w:color="auto"/>
            </w:tcBorders>
          </w:tcPr>
          <w:p>
            <w:pPr/>
          </w:p>
        </w:tc>
        <w:tc>
          <w:tcPr>
            <w:tcW w:w="1094" w:type="dxa"/>
            <w:tcBorders>
              <w:top w:val="single" w:sz="12" w:space="0" w:color="000000"/>
              <w:left w:val="nil" w:sz="6" w:space="0" w:color="auto"/>
              <w:bottom w:val="single" w:sz="12" w:space="0" w:color="000000"/>
              <w:right w:val="nil" w:sz="6" w:space="0" w:color="auto"/>
            </w:tcBorders>
          </w:tcPr>
          <w:p>
            <w:pP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本期收购高阳捷迅支付财务顾问费</w:t>
            </w:r>
          </w:p>
        </w:tc>
      </w:tr>
      <w:tr>
        <w:trPr>
          <w:trHeight w:val="353" w:hRule="exact"/>
        </w:trPr>
        <w:tc>
          <w:tcPr>
            <w:tcW w:w="26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7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7"/>
              <w:jc w:val="right"/>
              <w:rPr>
                <w:rFonts w:ascii="Times New Roman" w:hAnsi="Times New Roman" w:cs="Times New Roman" w:eastAsia="Times New Roman" w:hint="default"/>
                <w:sz w:val="18"/>
                <w:szCs w:val="18"/>
              </w:rPr>
            </w:pPr>
            <w:r>
              <w:rPr>
                <w:rFonts w:ascii="Times New Roman"/>
                <w:spacing w:val="-1"/>
                <w:sz w:val="18"/>
              </w:rPr>
              <w:t>26,400,000.00</w:t>
            </w:r>
          </w:p>
        </w:tc>
        <w:tc>
          <w:tcPr>
            <w:tcW w:w="20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15"/>
              <w:jc w:val="right"/>
              <w:rPr>
                <w:rFonts w:ascii="Times New Roman" w:hAnsi="Times New Roman" w:cs="Times New Roman" w:eastAsia="Times New Roman" w:hint="default"/>
                <w:sz w:val="18"/>
                <w:szCs w:val="18"/>
              </w:rPr>
            </w:pPr>
            <w:r>
              <w:rPr>
                <w:rFonts w:ascii="Times New Roman"/>
                <w:spacing w:val="-1"/>
                <w:sz w:val="18"/>
              </w:rPr>
              <w:t>1,084,204,800.00</w:t>
            </w:r>
          </w:p>
        </w:tc>
        <w:tc>
          <w:tcPr>
            <w:tcW w:w="1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-97.57</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上期定向增发</w:t>
            </w:r>
          </w:p>
        </w:tc>
      </w:tr>
      <w:tr>
        <w:trPr>
          <w:trHeight w:val="350" w:hRule="exact"/>
        </w:trPr>
        <w:tc>
          <w:tcPr>
            <w:tcW w:w="26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取得借款所收到的现金</w:t>
            </w:r>
          </w:p>
        </w:tc>
        <w:tc>
          <w:tcPr>
            <w:tcW w:w="17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8"/>
              <w:jc w:val="right"/>
              <w:rPr>
                <w:rFonts w:ascii="Times New Roman" w:hAnsi="Times New Roman" w:cs="Times New Roman" w:eastAsia="Times New Roman" w:hint="default"/>
                <w:sz w:val="18"/>
                <w:szCs w:val="18"/>
              </w:rPr>
            </w:pPr>
            <w:r>
              <w:rPr>
                <w:rFonts w:ascii="Times New Roman"/>
                <w:spacing w:val="-1"/>
                <w:sz w:val="18"/>
              </w:rPr>
              <w:t>2,018,920,000.00</w:t>
            </w:r>
          </w:p>
        </w:tc>
        <w:tc>
          <w:tcPr>
            <w:tcW w:w="20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15"/>
              <w:jc w:val="right"/>
              <w:rPr>
                <w:rFonts w:ascii="Times New Roman" w:hAnsi="Times New Roman" w:cs="Times New Roman" w:eastAsia="Times New Roman" w:hint="default"/>
                <w:sz w:val="18"/>
                <w:szCs w:val="18"/>
              </w:rPr>
            </w:pPr>
            <w:r>
              <w:rPr>
                <w:rFonts w:ascii="Times New Roman"/>
                <w:spacing w:val="-1"/>
                <w:sz w:val="18"/>
              </w:rPr>
              <w:t>1,370,000,000.00</w:t>
            </w:r>
          </w:p>
        </w:tc>
        <w:tc>
          <w:tcPr>
            <w:tcW w:w="1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47.37</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本期业务规模扩大，融资需要增加</w:t>
            </w:r>
          </w:p>
        </w:tc>
      </w:tr>
      <w:tr>
        <w:trPr>
          <w:trHeight w:val="665" w:hRule="exact"/>
        </w:trPr>
        <w:tc>
          <w:tcPr>
            <w:tcW w:w="2687"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6" w:right="217"/>
              <w:jc w:val="left"/>
              <w:rPr>
                <w:rFonts w:ascii="宋体" w:hAnsi="宋体" w:cs="宋体" w:eastAsia="宋体" w:hint="default"/>
                <w:sz w:val="18"/>
                <w:szCs w:val="18"/>
              </w:rPr>
            </w:pPr>
            <w:r>
              <w:rPr>
                <w:rFonts w:ascii="宋体" w:hAnsi="宋体" w:cs="宋体" w:eastAsia="宋体" w:hint="default"/>
                <w:spacing w:val="-6"/>
                <w:sz w:val="18"/>
                <w:szCs w:val="18"/>
              </w:rPr>
              <w:t>分配股利、利润或偿付利息所支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付的现金</w:t>
            </w:r>
          </w:p>
        </w:tc>
        <w:tc>
          <w:tcPr>
            <w:tcW w:w="17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18"/>
              <w:jc w:val="right"/>
              <w:rPr>
                <w:rFonts w:ascii="Times New Roman" w:hAnsi="Times New Roman" w:cs="Times New Roman" w:eastAsia="Times New Roman" w:hint="default"/>
                <w:sz w:val="18"/>
                <w:szCs w:val="18"/>
              </w:rPr>
            </w:pPr>
            <w:r>
              <w:rPr>
                <w:rFonts w:ascii="Times New Roman"/>
                <w:spacing w:val="-1"/>
                <w:sz w:val="18"/>
              </w:rPr>
              <w:t>102,647,547.58</w:t>
            </w:r>
          </w:p>
        </w:tc>
        <w:tc>
          <w:tcPr>
            <w:tcW w:w="20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615"/>
              <w:jc w:val="right"/>
              <w:rPr>
                <w:rFonts w:ascii="Times New Roman" w:hAnsi="Times New Roman" w:cs="Times New Roman" w:eastAsia="Times New Roman" w:hint="default"/>
                <w:sz w:val="18"/>
                <w:szCs w:val="18"/>
              </w:rPr>
            </w:pPr>
            <w:r>
              <w:rPr>
                <w:rFonts w:ascii="Times New Roman"/>
                <w:spacing w:val="-1"/>
                <w:sz w:val="18"/>
              </w:rPr>
              <w:t>64,239,683.64</w:t>
            </w:r>
          </w:p>
        </w:tc>
        <w:tc>
          <w:tcPr>
            <w:tcW w:w="1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z w:val="18"/>
              </w:rPr>
              <w:t>59.79</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本期现金分红及利息支出增加</w:t>
            </w:r>
          </w:p>
        </w:tc>
      </w:tr>
      <w:tr>
        <w:trPr>
          <w:trHeight w:val="665" w:hRule="exact"/>
        </w:trPr>
        <w:tc>
          <w:tcPr>
            <w:tcW w:w="2687" w:type="dxa"/>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26" w:right="318"/>
              <w:jc w:val="left"/>
              <w:rPr>
                <w:rFonts w:ascii="宋体" w:hAnsi="宋体" w:cs="宋体" w:eastAsia="宋体" w:hint="default"/>
                <w:sz w:val="18"/>
                <w:szCs w:val="18"/>
              </w:rPr>
            </w:pPr>
            <w:r>
              <w:rPr>
                <w:rFonts w:ascii="宋体" w:hAnsi="宋体" w:cs="宋体" w:eastAsia="宋体" w:hint="default"/>
                <w:sz w:val="18"/>
                <w:szCs w:val="18"/>
              </w:rPr>
              <w:t>支付其他与筹资活动有关的现 金</w:t>
            </w:r>
          </w:p>
        </w:tc>
        <w:tc>
          <w:tcPr>
            <w:tcW w:w="17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17"/>
              <w:jc w:val="right"/>
              <w:rPr>
                <w:rFonts w:ascii="Times New Roman" w:hAnsi="Times New Roman" w:cs="Times New Roman" w:eastAsia="Times New Roman" w:hint="default"/>
                <w:sz w:val="18"/>
                <w:szCs w:val="18"/>
              </w:rPr>
            </w:pPr>
            <w:r>
              <w:rPr>
                <w:rFonts w:ascii="Times New Roman"/>
                <w:spacing w:val="-1"/>
                <w:sz w:val="18"/>
              </w:rPr>
              <w:t>299,924.14</w:t>
            </w:r>
          </w:p>
        </w:tc>
        <w:tc>
          <w:tcPr>
            <w:tcW w:w="20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8,579,775.00</w:t>
            </w:r>
          </w:p>
        </w:tc>
        <w:tc>
          <w:tcPr>
            <w:tcW w:w="1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-96.5</w:t>
            </w:r>
          </w:p>
        </w:tc>
        <w:tc>
          <w:tcPr>
            <w:tcW w:w="3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上期定向增发</w:t>
            </w:r>
          </w:p>
        </w:tc>
      </w:tr>
    </w:tbl>
    <w:p>
      <w:pPr>
        <w:spacing w:after="0" w:line="240" w:lineRule="auto"/>
        <w:jc w:val="left"/>
        <w:rPr>
          <w:rFonts w:ascii="宋体" w:hAnsi="宋体" w:cs="宋体" w:eastAsia="宋体" w:hint="default"/>
          <w:sz w:val="18"/>
          <w:szCs w:val="18"/>
        </w:rPr>
        <w:sectPr>
          <w:pgSz w:w="11910" w:h="16840"/>
          <w:pgMar w:header="745" w:footer="1186" w:top="1060" w:bottom="1380" w:left="260" w:right="2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1"/>
        <w:spacing w:line="240" w:lineRule="auto"/>
        <w:ind w:left="3268" w:right="3309"/>
        <w:jc w:val="center"/>
        <w:rPr>
          <w:b w:val="0"/>
          <w:bCs w:val="0"/>
        </w:rPr>
      </w:pPr>
      <w:bookmarkStart w:name="_bookmark10" w:id="11"/>
      <w:bookmarkEnd w:id="11"/>
      <w:r>
        <w:rPr>
          <w:b w:val="0"/>
          <w:bCs w:val="0"/>
        </w:rPr>
      </w:r>
      <w:r>
        <w:rPr/>
        <w:t>第十一节</w:t>
      </w:r>
      <w:r>
        <w:rPr>
          <w:spacing w:val="-6"/>
        </w:rPr>
        <w:t> </w:t>
      </w:r>
      <w:r>
        <w:rPr/>
        <w:t>备查文件目录</w:t>
      </w:r>
      <w:r>
        <w:rPr>
          <w:b w:val="0"/>
          <w:bCs w:val="0"/>
        </w:rPr>
      </w:r>
    </w:p>
    <w:p>
      <w:pPr>
        <w:spacing w:line="240" w:lineRule="auto" w:before="10"/>
        <w:rPr>
          <w:rFonts w:ascii="宋体" w:hAnsi="宋体" w:cs="宋体" w:eastAsia="宋体" w:hint="default"/>
          <w:b/>
          <w:bCs/>
          <w:sz w:val="38"/>
          <w:szCs w:val="38"/>
        </w:rPr>
      </w:pPr>
    </w:p>
    <w:p>
      <w:pPr>
        <w:pStyle w:val="BodyText"/>
        <w:spacing w:line="240" w:lineRule="auto" w:before="0"/>
        <w:ind w:right="94"/>
        <w:jc w:val="left"/>
      </w:pPr>
      <w:r>
        <w:rPr>
          <w:rFonts w:ascii="Times New Roman" w:hAnsi="Times New Roman" w:cs="Times New Roman" w:eastAsia="Times New Roman" w:hint="default"/>
        </w:rPr>
        <w:t>1</w:t>
      </w:r>
      <w:r>
        <w:rPr/>
        <w:t>、载有董事长签名的年度报告文本；</w:t>
      </w:r>
    </w:p>
    <w:p>
      <w:pPr>
        <w:pStyle w:val="BodyText"/>
        <w:spacing w:line="240" w:lineRule="auto" w:before="20"/>
        <w:ind w:right="0"/>
        <w:jc w:val="left"/>
      </w:pPr>
      <w:r>
        <w:rPr>
          <w:rFonts w:ascii="Times New Roman" w:hAnsi="Times New Roman" w:cs="Times New Roman" w:eastAsia="Times New Roman" w:hint="default"/>
        </w:rPr>
        <w:t>2</w:t>
      </w:r>
      <w:r>
        <w:rPr/>
        <w:t>、载有单位负责人、主管会计工作的负责人、会计机构负责人签名并盖章的财务报告文本；</w:t>
      </w:r>
    </w:p>
    <w:p>
      <w:pPr>
        <w:pStyle w:val="BodyText"/>
        <w:spacing w:line="240" w:lineRule="auto" w:before="20"/>
        <w:ind w:right="94"/>
        <w:jc w:val="left"/>
      </w:pPr>
      <w:r>
        <w:rPr>
          <w:rFonts w:ascii="Times New Roman" w:hAnsi="Times New Roman" w:cs="Times New Roman" w:eastAsia="Times New Roman" w:hint="default"/>
        </w:rPr>
        <w:t>3</w:t>
      </w:r>
      <w:r>
        <w:rPr/>
        <w:t>、报告期内在《公司章程》指定披露报刊及网站上公开披露过的所有文件文本；</w:t>
      </w:r>
    </w:p>
    <w:p>
      <w:pPr>
        <w:pStyle w:val="BodyText"/>
        <w:spacing w:line="240" w:lineRule="auto" w:before="18"/>
        <w:ind w:right="94"/>
        <w:jc w:val="left"/>
      </w:pPr>
      <w:r>
        <w:rPr>
          <w:rFonts w:ascii="Times New Roman" w:hAnsi="Times New Roman" w:cs="Times New Roman" w:eastAsia="Times New Roman" w:hint="default"/>
        </w:rPr>
        <w:t>4</w:t>
      </w:r>
      <w:r>
        <w:rPr/>
        <w:t>、《公司章程》文本；</w:t>
      </w:r>
    </w:p>
    <w:p>
      <w:pPr>
        <w:pStyle w:val="BodyText"/>
        <w:spacing w:line="240" w:lineRule="auto" w:before="20"/>
        <w:ind w:right="94"/>
        <w:jc w:val="left"/>
      </w:pPr>
      <w:r>
        <w:rPr>
          <w:rFonts w:ascii="Times New Roman" w:hAnsi="Times New Roman" w:cs="Times New Roman" w:eastAsia="Times New Roman" w:hint="default"/>
        </w:rPr>
        <w:t>5</w:t>
      </w:r>
      <w:r>
        <w:rPr/>
        <w:t>、其他有关资料。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1"/>
        <w:ind w:left="0" w:right="191"/>
        <w:jc w:val="right"/>
      </w:pPr>
      <w:r>
        <w:rPr/>
        <w:t>大唐高鸿数据网络技术股份有限公司</w:t>
      </w:r>
    </w:p>
    <w:p>
      <w:pPr>
        <w:pStyle w:val="BodyText"/>
        <w:spacing w:line="240" w:lineRule="auto" w:before="38"/>
        <w:ind w:left="0" w:right="190"/>
        <w:jc w:val="right"/>
      </w:pP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17</w:t>
      </w:r>
      <w:r>
        <w:rPr/>
        <w:t>日</w:t>
      </w:r>
    </w:p>
    <w:sectPr>
      <w:pgSz w:w="11910" w:h="16840"/>
      <w:pgMar w:header="745" w:footer="1186" w:top="1060" w:bottom="1380" w:left="9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90015pt;margin-top:785.173889pt;width:6.5pt;height:11pt;mso-position-horizontal-relative:page;mso-position-vertical-relative:page;z-index:-13318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331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331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165</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29987pt;margin-top:771.613892pt;width:15.7pt;height:11pt;mso-position-horizontal-relative:page;mso-position-vertical-relative:page;z-index:-13315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331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7.100006pt;margin-top:754.68158pt;width:42.6pt;height:11pt;mso-position-horizontal-relative:page;mso-position-vertical-relative:page;z-index:-1331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txbxContent>
          </v:textbox>
          <w10:wrap type="none"/>
        </v:shape>
      </w:pict>
    </w:r>
    <w:r>
      <w:rPr/>
      <w:pict>
        <v:shape style="position:absolute;margin-left:288.829987pt;margin-top:771.613892pt;width:17.7pt;height:11pt;mso-position-horizontal-relative:page;mso-position-vertical-relative:page;z-index:-1331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215</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331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217</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613892pt;width:13.15pt;height:11pt;mso-position-horizontal-relative:page;mso-position-vertical-relative:page;z-index:-1331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613892pt;width:13.15pt;height:11pt;mso-position-horizontal-relative:page;mso-position-vertical-relative:page;z-index:-1331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29987pt;margin-top:771.613892pt;width:15.7pt;height:11pt;mso-position-horizontal-relative:page;mso-position-vertical-relative:page;z-index:-13317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331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331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70007pt;margin-top:771.613892pt;width:17.3pt;height:11pt;mso-position-horizontal-relative:page;mso-position-vertical-relative:page;z-index:-1331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70007pt;margin-top:771.613892pt;width:17.3pt;height:11pt;mso-position-horizontal-relative:page;mso-position-vertical-relative:page;z-index:-1331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331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1331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8"/>
      <w:ind w:left="152"/>
    </w:pPr>
    <w:rPr>
      <w:rFonts w:ascii="宋体" w:hAnsi="宋体" w:eastAsia="宋体"/>
      <w:sz w:val="28"/>
      <w:szCs w:val="28"/>
    </w:rPr>
  </w:style>
  <w:style w:styleId="BodyText" w:type="paragraph">
    <w:name w:val="Body Text"/>
    <w:basedOn w:val="Normal"/>
    <w:uiPriority w:val="1"/>
    <w:qFormat/>
    <w:pPr>
      <w:spacing w:before="36"/>
      <w:ind w:left="152"/>
    </w:pPr>
    <w:rPr>
      <w:rFonts w:ascii="宋体" w:hAnsi="宋体" w:eastAsia="宋体"/>
      <w:sz w:val="24"/>
      <w:szCs w:val="24"/>
    </w:rPr>
  </w:style>
  <w:style w:styleId="Heading1" w:type="paragraph">
    <w:name w:val="Heading 1"/>
    <w:basedOn w:val="Normal"/>
    <w:uiPriority w:val="1"/>
    <w:qFormat/>
    <w:pPr>
      <w:ind w:left="206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gohigh.com.cn/" TargetMode="External"/><Relationship Id="rId10" Type="http://schemas.openxmlformats.org/officeDocument/2006/relationships/hyperlink" Target="mailto:gohigh@gohigh.com.cn" TargetMode="External"/><Relationship Id="rId11" Type="http://schemas.openxmlformats.org/officeDocument/2006/relationships/hyperlink" Target="mailto:wangqian@gohigh.com.cn" TargetMode="External"/><Relationship Id="rId12" Type="http://schemas.openxmlformats.org/officeDocument/2006/relationships/hyperlink" Target="mailto:sunyinghui@gohigh.com.cn" TargetMode="External"/><Relationship Id="rId13" Type="http://schemas.openxmlformats.org/officeDocument/2006/relationships/hyperlink" Target="http://www.cninfo.com.cn/" TargetMode="External"/><Relationship Id="rId14" Type="http://schemas.openxmlformats.org/officeDocument/2006/relationships/hyperlink" Target="http://www.tao3c.com/" TargetMode="Externa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yperlink" Target="http://www.shui5.cn/article/cf/47900.html" TargetMode="External"/><Relationship Id="rId27" Type="http://schemas.openxmlformats.org/officeDocument/2006/relationships/footer" Target="footer11.xml"/><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大唐高鸿数据网络技术股份有限公司</dc:creator>
  <dc:title>大唐高鸿数据网络技术股份有限公司2013年度报告全文</dc:title>
  <dcterms:created xsi:type="dcterms:W3CDTF">2020-05-05T11:09:23Z</dcterms:created>
  <dcterms:modified xsi:type="dcterms:W3CDTF">2020-05-05T11:09:23Z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2014-03-17T00:00:00Z</vt:filetime>
  </property>
  <property fmtid="{D5CDD505-2E9C-101B-9397-08002B2CF9AE}" pid="3" name="Creator">
    <vt:lpwstr>Microsoft® Word 2010</vt:lpwstr>
  </property>
  <property fmtid="{D5CDD505-2E9C-101B-9397-08002B2CF9AE}" pid="4" name="LastSaved">
    <vt:filetime>2020-05-05T00:00:00Z</vt:filetime>
  </property>
</Properties>
</file>