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45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1409699" cy="2857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699" cy="285750"/>
                    </a:xfrm>
                    <a:prstGeom prst="rect">
                      <a:avLst/>
                    </a:prstGeom>
                  </pic:spPr>
                </pic:pic>
              </a:graphicData>
            </a:graphic>
          </wp:inline>
        </w:drawing>
      </w:r>
      <w:r>
        <w:rPr>
          <w:rFonts w:ascii="Times New Roman" w:hAnsi="Times New Roman" w:cs="Times New Roman" w:eastAsia="Times New Roman" w:hint="default"/>
          <w:position w:val="-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063" w:right="3040" w:firstLine="0"/>
        <w:jc w:val="center"/>
        <w:rPr>
          <w:rFonts w:ascii="宋体" w:hAnsi="宋体" w:cs="宋体" w:eastAsia="宋体" w:hint="default"/>
          <w:sz w:val="36"/>
          <w:szCs w:val="36"/>
        </w:rPr>
      </w:pPr>
      <w:r>
        <w:rPr>
          <w:rFonts w:ascii="宋体" w:hAnsi="宋体" w:cs="宋体" w:eastAsia="宋体" w:hint="default"/>
          <w:b/>
          <w:bCs/>
          <w:sz w:val="36"/>
          <w:szCs w:val="36"/>
        </w:rPr>
        <w:t>大唐高鸿数据网络技术股份有限公司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061" w:right="304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063" w:right="3039" w:firstLine="0"/>
        <w:jc w:val="center"/>
        <w:rPr>
          <w:rFonts w:ascii="Times New Roman" w:hAnsi="Times New Roman" w:cs="Times New Roman" w:eastAsia="Times New Roman" w:hint="default"/>
          <w:sz w:val="22"/>
          <w:szCs w:val="22"/>
        </w:rPr>
      </w:pPr>
      <w:r>
        <w:rPr>
          <w:rFonts w:ascii="Times New Roman"/>
          <w:b/>
          <w:sz w:val="22"/>
        </w:rPr>
        <w:t>2019-028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063" w:right="303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公司负责人付景林、主管会计工作负责人丁明锋及会计机构负责人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张锐声明：保证年度报告中财务报告的真实、准确、完整。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本年度报告涉及公司未来发展展望、经营计划等前瞻性陈述，不构成对投</w:t>
      </w:r>
      <w:r>
        <w:rPr>
          <w:rFonts w:ascii="宋体" w:hAnsi="宋体" w:cs="宋体" w:eastAsia="宋体" w:hint="default"/>
          <w:spacing w:val="3"/>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资者的实质承诺，请投资者认真阅读，注意投资风险。</w:t>
      </w:r>
      <w:r>
        <w:rPr>
          <w:rFonts w:ascii="宋体" w:hAnsi="宋体" w:cs="宋体" w:eastAsia="宋体" w:hint="default"/>
          <w:b/>
          <w:bCs/>
          <w:w w:val="99"/>
          <w:sz w:val="28"/>
          <w:szCs w:val="28"/>
        </w:rPr>
        <w:t> </w:t>
      </w:r>
      <w:r>
        <w:rPr>
          <w:rFonts w:ascii="宋体" w:hAnsi="宋体" w:cs="宋体" w:eastAsia="宋体" w:hint="default"/>
          <w:b/>
          <w:bCs/>
          <w:spacing w:val="7"/>
          <w:w w:val="95"/>
          <w:sz w:val="28"/>
          <w:szCs w:val="28"/>
        </w:rPr>
        <w:t>公司已在本年度报告第四节</w:t>
      </w:r>
      <w:r>
        <w:rPr>
          <w:rFonts w:ascii="Times New Roman" w:hAnsi="Times New Roman" w:cs="Times New Roman" w:eastAsia="Times New Roman" w:hint="default"/>
          <w:b/>
          <w:bCs/>
          <w:spacing w:val="7"/>
          <w:w w:val="95"/>
          <w:sz w:val="28"/>
          <w:szCs w:val="28"/>
        </w:rPr>
        <w:t>“</w:t>
      </w:r>
      <w:r>
        <w:rPr>
          <w:rFonts w:ascii="宋体" w:hAnsi="宋体" w:cs="宋体" w:eastAsia="宋体" w:hint="default"/>
          <w:b/>
          <w:bCs/>
          <w:spacing w:val="7"/>
          <w:w w:val="95"/>
          <w:sz w:val="28"/>
          <w:szCs w:val="28"/>
        </w:rPr>
        <w:t>经营情况讨论与分析</w:t>
      </w:r>
      <w:r>
        <w:rPr>
          <w:rFonts w:ascii="Times New Roman" w:hAnsi="Times New Roman" w:cs="Times New Roman" w:eastAsia="Times New Roman" w:hint="default"/>
          <w:b/>
          <w:bCs/>
          <w:spacing w:val="7"/>
          <w:w w:val="95"/>
          <w:sz w:val="28"/>
          <w:szCs w:val="28"/>
        </w:rPr>
        <w:t>”</w:t>
      </w:r>
      <w:r>
        <w:rPr>
          <w:rFonts w:ascii="宋体" w:hAnsi="宋体" w:cs="宋体" w:eastAsia="宋体" w:hint="default"/>
          <w:b/>
          <w:bCs/>
          <w:spacing w:val="7"/>
          <w:w w:val="95"/>
          <w:sz w:val="28"/>
          <w:szCs w:val="28"/>
        </w:rPr>
        <w:t>第九项</w:t>
      </w:r>
      <w:r>
        <w:rPr>
          <w:rFonts w:ascii="Times New Roman" w:hAnsi="Times New Roman" w:cs="Times New Roman" w:eastAsia="Times New Roman" w:hint="default"/>
          <w:b/>
          <w:bCs/>
          <w:spacing w:val="7"/>
          <w:w w:val="95"/>
          <w:sz w:val="28"/>
          <w:szCs w:val="28"/>
        </w:rPr>
        <w:t>“</w:t>
      </w:r>
      <w:r>
        <w:rPr>
          <w:rFonts w:ascii="宋体" w:hAnsi="宋体" w:cs="宋体" w:eastAsia="宋体" w:hint="default"/>
          <w:b/>
          <w:bCs/>
          <w:spacing w:val="7"/>
          <w:w w:val="95"/>
          <w:sz w:val="28"/>
          <w:szCs w:val="28"/>
        </w:rPr>
        <w:t>公司未来发展</w:t>
      </w:r>
      <w:r>
        <w:rPr>
          <w:rFonts w:ascii="宋体" w:hAnsi="宋体" w:cs="宋体" w:eastAsia="宋体" w:hint="default"/>
          <w:sz w:val="28"/>
          <w:szCs w:val="28"/>
        </w:rPr>
      </w:r>
    </w:p>
    <w:p>
      <w:pPr>
        <w:spacing w:line="320" w:lineRule="exact" w:before="0"/>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章节中，对可能面临的风险及对策进行了详细描述，敬请广大投资者留</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意查阅。</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063" w:right="303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hyperlink>
        </w:p>
        <w:p>
          <w:pPr>
            <w:pStyle w:val="TOC1"/>
            <w:tabs>
              <w:tab w:pos="9782" w:val="right" w:leader="dot"/>
            </w:tabs>
            <w:spacing w:line="240" w:lineRule="auto"/>
            <w:ind w:right="0"/>
            <w:jc w:val="left"/>
            <w:rPr>
              <w:rFonts w:ascii="宋体" w:hAnsi="宋体" w:cs="宋体" w:eastAsia="宋体" w:hint="default"/>
            </w:rPr>
          </w:pPr>
          <w:hyperlink w:history="true" w:anchor="_bookmark1">
            <w:r>
              <w:rPr/>
              <w:t>第二节</w:t>
            </w:r>
            <w:r>
              <w:rPr>
                <w:spacing w:val="1"/>
              </w:rPr>
              <w:t> </w:t>
            </w:r>
            <w:r>
              <w:rPr/>
              <w:t>公司简介和主要财务指标</w:t>
            </w:r>
            <w:r>
              <w:rPr>
                <w:rFonts w:ascii="宋体" w:hAnsi="宋体" w:cs="宋体" w:eastAsia="宋体" w:hint="default"/>
              </w:rPr>
              <w:tab/>
              <w:t>5</w:t>
            </w:r>
          </w:hyperlink>
        </w:p>
        <w:p>
          <w:pPr>
            <w:pStyle w:val="TOC1"/>
            <w:tabs>
              <w:tab w:pos="9782" w:val="right" w:leader="dot"/>
            </w:tabs>
            <w:spacing w:line="240" w:lineRule="auto" w:before="298"/>
            <w:ind w:right="0"/>
            <w:jc w:val="left"/>
            <w:rPr>
              <w:rFonts w:ascii="宋体" w:hAnsi="宋体" w:cs="宋体" w:eastAsia="宋体" w:hint="default"/>
            </w:rPr>
          </w:pPr>
          <w:hyperlink w:history="true" w:anchor="_bookmark2">
            <w:r>
              <w:rPr/>
              <w:t>第三节</w:t>
            </w:r>
            <w:r>
              <w:rPr>
                <w:spacing w:val="1"/>
              </w:rPr>
              <w:t> </w:t>
            </w:r>
            <w:r>
              <w:rPr/>
              <w:t>公司业务概要</w:t>
            </w:r>
            <w:r>
              <w:rPr>
                <w:rFonts w:ascii="宋体" w:hAnsi="宋体" w:cs="宋体" w:eastAsia="宋体" w:hint="default"/>
              </w:rPr>
              <w:tab/>
              <w:t>9</w:t>
            </w:r>
          </w:hyperlink>
        </w:p>
        <w:p>
          <w:pPr>
            <w:pStyle w:val="TOC1"/>
            <w:tabs>
              <w:tab w:pos="9783" w:val="right" w:leader="dot"/>
            </w:tabs>
            <w:spacing w:line="240" w:lineRule="auto"/>
            <w:ind w:right="0"/>
            <w:jc w:val="left"/>
            <w:rPr>
              <w:rFonts w:ascii="宋体" w:hAnsi="宋体" w:cs="宋体" w:eastAsia="宋体" w:hint="default"/>
            </w:rPr>
          </w:pPr>
          <w:hyperlink w:history="true" w:anchor="_bookmark3">
            <w:r>
              <w:rPr/>
              <w:t>第四节</w:t>
            </w:r>
            <w:r>
              <w:rPr>
                <w:spacing w:val="1"/>
              </w:rPr>
              <w:t> </w:t>
            </w:r>
            <w:r>
              <w:rPr/>
              <w:t>经营情况讨论与分析</w:t>
            </w:r>
            <w:r>
              <w:rPr>
                <w:rFonts w:ascii="宋体" w:hAnsi="宋体" w:cs="宋体" w:eastAsia="宋体" w:hint="default"/>
              </w:rPr>
              <w:tab/>
              <w:t>12</w:t>
            </w:r>
          </w:hyperlink>
        </w:p>
        <w:p>
          <w:pPr>
            <w:pStyle w:val="TOC1"/>
            <w:tabs>
              <w:tab w:pos="9783" w:val="right" w:leader="dot"/>
            </w:tabs>
            <w:spacing w:line="240" w:lineRule="auto"/>
            <w:ind w:right="0"/>
            <w:jc w:val="left"/>
            <w:rPr>
              <w:rFonts w:ascii="宋体" w:hAnsi="宋体" w:cs="宋体" w:eastAsia="宋体" w:hint="default"/>
            </w:rPr>
          </w:pPr>
          <w:hyperlink w:history="true" w:anchor="_bookmark4">
            <w:r>
              <w:rPr/>
              <w:t>第五节</w:t>
            </w:r>
            <w:r>
              <w:rPr>
                <w:spacing w:val="1"/>
              </w:rPr>
              <w:t> </w:t>
            </w:r>
            <w:r>
              <w:rPr/>
              <w:t>重要事项</w:t>
            </w:r>
            <w:r>
              <w:rPr>
                <w:rFonts w:ascii="宋体" w:hAnsi="宋体" w:cs="宋体" w:eastAsia="宋体" w:hint="default"/>
              </w:rPr>
              <w:tab/>
              <w:t>38</w:t>
            </w:r>
          </w:hyperlink>
        </w:p>
        <w:p>
          <w:pPr>
            <w:pStyle w:val="TOC1"/>
            <w:tabs>
              <w:tab w:pos="9783" w:val="right" w:leader="dot"/>
            </w:tabs>
            <w:spacing w:line="240" w:lineRule="auto" w:before="298"/>
            <w:ind w:right="0"/>
            <w:jc w:val="left"/>
            <w:rPr>
              <w:rFonts w:ascii="宋体" w:hAnsi="宋体" w:cs="宋体" w:eastAsia="宋体" w:hint="default"/>
            </w:rPr>
          </w:pPr>
          <w:hyperlink w:history="true" w:anchor="_bookmark5">
            <w:r>
              <w:rPr/>
              <w:t>第六节</w:t>
            </w:r>
            <w:r>
              <w:rPr>
                <w:spacing w:val="1"/>
              </w:rPr>
              <w:t> </w:t>
            </w:r>
            <w:r>
              <w:rPr/>
              <w:t>股份变动及股东情况</w:t>
            </w:r>
            <w:r>
              <w:rPr>
                <w:rFonts w:ascii="宋体" w:hAnsi="宋体" w:cs="宋体" w:eastAsia="宋体" w:hint="default"/>
              </w:rPr>
              <w:tab/>
              <w:t>76</w:t>
            </w:r>
          </w:hyperlink>
        </w:p>
        <w:p>
          <w:pPr>
            <w:pStyle w:val="TOC1"/>
            <w:tabs>
              <w:tab w:pos="9783" w:val="right" w:leader="dot"/>
            </w:tabs>
            <w:spacing w:line="240" w:lineRule="auto"/>
            <w:ind w:right="0"/>
            <w:jc w:val="left"/>
            <w:rPr>
              <w:rFonts w:ascii="宋体" w:hAnsi="宋体" w:cs="宋体" w:eastAsia="宋体" w:hint="default"/>
            </w:rPr>
          </w:pPr>
          <w:hyperlink w:history="true" w:anchor="_bookmark6">
            <w:r>
              <w:rPr/>
              <w:t>第七节</w:t>
            </w:r>
            <w:r>
              <w:rPr>
                <w:spacing w:val="1"/>
              </w:rPr>
              <w:t> </w:t>
            </w:r>
            <w:r>
              <w:rPr/>
              <w:t>优先股相关情况</w:t>
            </w:r>
            <w:r>
              <w:rPr>
                <w:rFonts w:ascii="宋体" w:hAnsi="宋体" w:cs="宋体" w:eastAsia="宋体" w:hint="default"/>
              </w:rPr>
              <w:tab/>
              <w:t>83</w:t>
            </w:r>
          </w:hyperlink>
        </w:p>
        <w:p>
          <w:pPr>
            <w:pStyle w:val="TOC1"/>
            <w:tabs>
              <w:tab w:pos="9783" w:val="right" w:leader="dot"/>
            </w:tabs>
            <w:spacing w:line="240" w:lineRule="auto"/>
            <w:ind w:right="0"/>
            <w:jc w:val="left"/>
            <w:rPr>
              <w:rFonts w:ascii="宋体" w:hAnsi="宋体" w:cs="宋体" w:eastAsia="宋体" w:hint="default"/>
            </w:rPr>
          </w:pPr>
          <w:hyperlink w:history="true" w:anchor="_bookmark7">
            <w:r>
              <w:rPr/>
              <w:t>第八节</w:t>
            </w:r>
            <w:r>
              <w:rPr>
                <w:spacing w:val="1"/>
              </w:rPr>
              <w:t> </w:t>
            </w:r>
            <w:r>
              <w:rPr/>
              <w:t>董事、监事、高级管理人员和员工情况</w:t>
            </w:r>
            <w:r>
              <w:rPr>
                <w:rFonts w:ascii="宋体" w:hAnsi="宋体" w:cs="宋体" w:eastAsia="宋体" w:hint="default"/>
              </w:rPr>
              <w:tab/>
              <w:t>84</w:t>
            </w:r>
          </w:hyperlink>
        </w:p>
        <w:p>
          <w:pPr>
            <w:pStyle w:val="TOC1"/>
            <w:tabs>
              <w:tab w:pos="9783" w:val="right" w:leader="dot"/>
            </w:tabs>
            <w:spacing w:line="240" w:lineRule="auto" w:before="298"/>
            <w:ind w:right="0"/>
            <w:jc w:val="left"/>
            <w:rPr>
              <w:rFonts w:ascii="宋体" w:hAnsi="宋体" w:cs="宋体" w:eastAsia="宋体" w:hint="default"/>
            </w:rPr>
          </w:pPr>
          <w:hyperlink w:history="true" w:anchor="_bookmark8">
            <w:r>
              <w:rPr/>
              <w:t>第九节</w:t>
            </w:r>
            <w:r>
              <w:rPr>
                <w:spacing w:val="1"/>
              </w:rPr>
              <w:t> </w:t>
            </w:r>
            <w:r>
              <w:rPr/>
              <w:t>公司治理</w:t>
            </w:r>
            <w:r>
              <w:rPr>
                <w:rFonts w:ascii="宋体" w:hAnsi="宋体" w:cs="宋体" w:eastAsia="宋体" w:hint="default"/>
              </w:rPr>
              <w:tab/>
              <w:t>95</w:t>
            </w:r>
          </w:hyperlink>
        </w:p>
        <w:p>
          <w:pPr>
            <w:pStyle w:val="TOC1"/>
            <w:tabs>
              <w:tab w:pos="9783" w:val="right" w:leader="dot"/>
            </w:tabs>
            <w:spacing w:line="240" w:lineRule="auto"/>
            <w:ind w:right="0"/>
            <w:jc w:val="left"/>
            <w:rPr>
              <w:rFonts w:ascii="宋体" w:hAnsi="宋体" w:cs="宋体" w:eastAsia="宋体" w:hint="default"/>
            </w:rPr>
          </w:pPr>
          <w:hyperlink w:history="true" w:anchor="_bookmark9">
            <w:r>
              <w:rPr/>
              <w:t>第十节</w:t>
            </w:r>
            <w:r>
              <w:rPr>
                <w:spacing w:val="1"/>
              </w:rPr>
              <w:t> </w:t>
            </w:r>
            <w:r>
              <w:rPr/>
              <w:t>公司债券相关情况</w:t>
            </w:r>
            <w:r>
              <w:rPr>
                <w:rFonts w:ascii="宋体" w:hAnsi="宋体" w:cs="宋体" w:eastAsia="宋体" w:hint="default"/>
              </w:rPr>
              <w:tab/>
              <w:t>101</w:t>
            </w:r>
          </w:hyperlink>
        </w:p>
        <w:p>
          <w:pPr>
            <w:pStyle w:val="TOC1"/>
            <w:tabs>
              <w:tab w:pos="9783" w:val="right" w:leader="dot"/>
            </w:tabs>
            <w:spacing w:line="240" w:lineRule="auto"/>
            <w:ind w:right="0"/>
            <w:jc w:val="left"/>
            <w:rPr>
              <w:rFonts w:ascii="宋体" w:hAnsi="宋体" w:cs="宋体" w:eastAsia="宋体" w:hint="default"/>
            </w:rPr>
          </w:pPr>
          <w:hyperlink w:history="true" w:anchor="_bookmark10">
            <w:r>
              <w:rPr/>
              <w:t>第十一节</w:t>
            </w:r>
            <w:r>
              <w:rPr>
                <w:spacing w:val="1"/>
              </w:rPr>
              <w:t> </w:t>
            </w:r>
            <w:r>
              <w:rPr/>
              <w:t>财务报告</w:t>
            </w:r>
            <w:r>
              <w:rPr>
                <w:rFonts w:ascii="宋体" w:hAnsi="宋体" w:cs="宋体" w:eastAsia="宋体" w:hint="default"/>
              </w:rPr>
              <w:tab/>
              <w:t>106</w:t>
            </w:r>
          </w:hyperlink>
        </w:p>
        <w:p>
          <w:pPr>
            <w:pStyle w:val="TOC1"/>
            <w:tabs>
              <w:tab w:pos="9783" w:val="right" w:leader="dot"/>
            </w:tabs>
            <w:spacing w:line="240" w:lineRule="auto" w:before="298"/>
            <w:ind w:right="0"/>
            <w:jc w:val="left"/>
            <w:rPr>
              <w:rFonts w:ascii="宋体" w:hAnsi="宋体" w:cs="宋体" w:eastAsia="宋体" w:hint="default"/>
            </w:rPr>
          </w:pPr>
          <w:hyperlink w:history="true" w:anchor="_bookmark11">
            <w:r>
              <w:rPr/>
              <w:t>第十二节备查文件目录</w:t>
            </w:r>
            <w:r>
              <w:rPr>
                <w:rFonts w:ascii="宋体" w:hAnsi="宋体" w:cs="宋体" w:eastAsia="宋体" w:hint="default"/>
              </w:rPr>
              <w:tab/>
              <w:t>258</w:t>
            </w:r>
          </w:hyperlink>
        </w:p>
        <w:p>
          <w:pPr/>
          <w:r>
            <w:fldChar w:fldCharType="end"/>
          </w:r>
        </w:p>
      </w:sdtContent>
    </w:sdt>
    <w:p>
      <w:pPr>
        <w:spacing w:after="0"/>
        <w:sectPr>
          <w:pgSz w:w="11910" w:h="16840"/>
          <w:pgMar w:header="747" w:footer="979" w:top="1060" w:bottom="1160" w:left="980" w:right="0"/>
        </w:sectPr>
      </w:pPr>
    </w:p>
    <w:p>
      <w:pPr>
        <w:spacing w:before="425"/>
        <w:ind w:left="2063" w:right="303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9"/>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3552"/>
        <w:gridCol w:w="582"/>
        <w:gridCol w:w="5436"/>
      </w:tblGrid>
      <w:tr>
        <w:trPr>
          <w:trHeight w:val="402" w:hRule="exact"/>
        </w:trPr>
        <w:tc>
          <w:tcPr>
            <w:tcW w:w="3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国资委</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国务院国有资产监督管理委员会</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中国信科</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中国信息通信科技集团有限公司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电信科研院</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大唐高鸿</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高鸿数据</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高鸿软件</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高鸿信息</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高鸿通信</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北京大唐高鸿科技发展有限公司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高鸿济宁</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高鸿恒昌</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高阳捷迅</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高鸿鼎恒</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高鸿鼎远</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江苏高鸿鼎远信息科技有限公司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r>
      <w:tr>
        <w:trPr>
          <w:trHeight w:val="161" w:hRule="exact"/>
        </w:trPr>
        <w:tc>
          <w:tcPr>
            <w:tcW w:w="3552"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河南融合</w:t>
            </w:r>
          </w:p>
        </w:tc>
        <w:tc>
          <w:tcPr>
            <w:tcW w:w="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2" w:lineRule="auto" w:before="51"/>
              <w:ind w:left="27" w:right="22"/>
              <w:jc w:val="left"/>
              <w:rPr>
                <w:rFonts w:ascii="宋体" w:hAnsi="宋体" w:cs="宋体" w:eastAsia="宋体" w:hint="default"/>
                <w:sz w:val="18"/>
                <w:szCs w:val="18"/>
              </w:rPr>
            </w:pPr>
            <w:r>
              <w:rPr>
                <w:rFonts w:ascii="宋体" w:hAnsi="宋体" w:cs="宋体" w:eastAsia="宋体" w:hint="default"/>
                <w:spacing w:val="-3"/>
                <w:sz w:val="18"/>
                <w:szCs w:val="18"/>
              </w:rPr>
              <w:t>大唐融合（河南）信息服务有限公司（</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月更名为：大唐融合</w:t>
            </w:r>
            <w:r>
              <w:rPr>
                <w:rFonts w:ascii="宋体" w:hAnsi="宋体" w:cs="宋体" w:eastAsia="宋体" w:hint="default"/>
                <w:sz w:val="18"/>
                <w:szCs w:val="18"/>
              </w:rPr>
              <w:t> 信息服务有限公司）</w:t>
            </w:r>
          </w:p>
        </w:tc>
      </w:tr>
      <w:tr>
        <w:trPr>
          <w:trHeight w:val="392" w:hRule="exact"/>
        </w:trPr>
        <w:tc>
          <w:tcPr>
            <w:tcW w:w="3552" w:type="dxa"/>
            <w:vMerge/>
            <w:tcBorders>
              <w:left w:val="single" w:sz="4" w:space="0" w:color="000000"/>
              <w:right w:val="single" w:sz="9" w:space="0" w:color="D2D2D2"/>
            </w:tcBorders>
          </w:tcPr>
          <w:p>
            <w:pPr/>
          </w:p>
        </w:tc>
        <w:tc>
          <w:tcPr>
            <w:tcW w:w="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52" w:type="dxa"/>
            <w:vMerge/>
            <w:tcBorders>
              <w:left w:val="single" w:sz="4" w:space="0" w:color="000000"/>
              <w:bottom w:val="single" w:sz="4" w:space="0" w:color="000000"/>
              <w:right w:val="single" w:sz="9" w:space="0" w:color="D2D2D2"/>
            </w:tcBorders>
          </w:tcPr>
          <w:p>
            <w:pPr/>
          </w:p>
        </w:tc>
        <w:tc>
          <w:tcPr>
            <w:tcW w:w="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贵阳融合</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大唐融合（贵阳）科技有限公司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盘锦融合</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大唐融合（盘锦）科技有限公司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高鸿无线</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北京大唐高鸿无线互联科技有限公司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贵州大数据</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贵州大数据旅游产业股份有限公司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贵州高鸿</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贵州大唐高鸿置业有限公司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哈尔滨融合</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大唐融合（哈尔滨）云数科技有限公司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无锡融合</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大唐融合通信技术无锡有限公司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浙江高鸿</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浙江高鸿电子技术有限公司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海岸淘金</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北京海岸淘金创业投资有限公司</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雷石雨花</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昆山雷石雨花股权投资合伙企业（有限合伙）</w:t>
            </w:r>
          </w:p>
        </w:tc>
      </w:tr>
      <w:tr>
        <w:trPr>
          <w:trHeight w:val="402" w:hRule="exact"/>
        </w:trPr>
        <w:tc>
          <w:tcPr>
            <w:tcW w:w="35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一九付</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北京一九付支付科技有限公司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496"/>
        <w:gridCol w:w="2741"/>
        <w:gridCol w:w="2133"/>
        <w:gridCol w:w="2188"/>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741"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高鸿股份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000851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高鸿股份</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GOHIGH </w:t>
            </w:r>
            <w:r>
              <w:rPr>
                <w:rFonts w:ascii="Times New Roman" w:hAnsi="Times New Roman" w:cs="Times New Roman" w:eastAsia="Times New Roman" w:hint="default"/>
                <w:spacing w:val="-9"/>
                <w:sz w:val="18"/>
                <w:szCs w:val="18"/>
              </w:rPr>
              <w:t>DATA </w:t>
            </w:r>
            <w:r>
              <w:rPr>
                <w:rFonts w:ascii="Times New Roman" w:hAnsi="Times New Roman" w:cs="Times New Roman" w:eastAsia="Times New Roman" w:hint="default"/>
                <w:sz w:val="18"/>
                <w:szCs w:val="18"/>
              </w:rPr>
              <w:t>NETWORKS TECHNOLOGY</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3"/>
                <w:sz w:val="18"/>
                <w:szCs w:val="18"/>
              </w:rPr>
              <w:t>CO.</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LTD</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GOHIGH</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付景林</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贵州省贵阳市花溪区磊花路口</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550025</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号大唐电信集团主楼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100191</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hyperlink r:id="rId9">
              <w:r>
                <w:rPr>
                  <w:rFonts w:ascii="Times New Roman"/>
                  <w:sz w:val="18"/>
                </w:rPr>
                <w:t>http://www.gohigh.com.cn</w:t>
              </w:r>
            </w:hyperlink>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062"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hyperlink r:id="rId10">
              <w:r>
                <w:rPr>
                  <w:rFonts w:ascii="Times New Roman"/>
                  <w:sz w:val="18"/>
                </w:rPr>
                <w:t>gohigh@gohigh.com.cn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张锐、孙迎辉</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北京市海淀区学院路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号大唐电信集团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主楼</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010-62301907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010-62301907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010-62301900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010-62301900</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dingmingfeng@gohigh.com.cn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sunyinghui@gohigh.com.cn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http//</w:t>
            </w:r>
            <w:hyperlink r:id="rId13">
              <w:r>
                <w:rPr>
                  <w:rFonts w:ascii="Times New Roman"/>
                  <w:sz w:val="18"/>
                </w:rPr>
                <w:t>www.cninfo.com.cn</w:t>
              </w:r>
            </w:hyperlink>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贵州省贵阳市花溪区磊花路口大唐高鸿数据网络技术股份有限公司、北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京市海淀区学院路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号大唐电信集团主楼</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层、深圳证券交易所</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spacing w:before="0"/>
        <w:ind w:left="154" w:right="1140" w:firstLine="0"/>
        <w:jc w:val="right"/>
        <w:rPr>
          <w:rFonts w:ascii="宋体" w:hAnsi="宋体" w:cs="宋体" w:eastAsia="宋体" w:hint="default"/>
          <w:sz w:val="18"/>
          <w:szCs w:val="18"/>
        </w:rPr>
      </w:pPr>
      <w:r>
        <w:rPr/>
        <w:pict>
          <v:shape style="position:absolute;margin-left:56.459999pt;margin-top:-85.568291pt;width:479.2pt;height:294.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91520000214426154B</w:t>
                        </w:r>
                      </w:p>
                    </w:tc>
                  </w:tr>
                  <w:tr>
                    <w:trPr>
                      <w:trHeight w:val="38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年上市，经营范围为：自产自销，批零兼营：磨料磨具，耐火材料， 磨料磨具标准检验筛，磨料磨具专用设备制造，二、三类机电产品，日用百货。 </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月资产重组完成，公司经营范围变更为：多业务宽带电信网络产品、通 信器材、通信终端设备、仪器仪表、电子多业务宽带电信网络产品、通信器材、 通信终端设备、仪器仪表、电子计算机软硬件及外部设备、系统集成的技术开发 转让、咨询、服务及制造、销售；通信及信息系统工程设计；信息服务；自营和 代理各类商品和技术的进出口；但国家限定公司经营或禁止进出口的商品和技术 除外，安全技术防范系统设计、施工、维修。截至本报告期末经营范围为：多业 务宽带电信网络产品、通信器材、通信终端设备、仪器仪表、电子计算机软硬件 及外部设备、系统集成的技术开发、转让、咨询、服务及制造、销售；通信及信 息系统工程设计；信息服务；自营和代理各类商品和技术的进出口，但国家限定 公司经营或禁止进出口的商品和技术除外。</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大唐高鸿数据网络技术股份有限公司原名贵州中国第七砂轮股份有限公司，原控 股股东为中国七砂集团有限责任公司，</w:t>
                        </w: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年重组完成后，公司控股股东变更为 电信科学技术研究院。</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月，公司控股股东电信科学技术研究院完成公司 制改制工商变更登记，名称变更为电信科学技术研究院有限公司。资产重组完成 后至本报告期末公司控股股东无变更。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北京市西城区北三环中路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号楼茅台大厦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陈勇波  王晓燕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line="350" w:lineRule="auto" w:before="116"/>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追溯调整或重述原因 其他原因</w:t>
      </w:r>
    </w:p>
    <w:tbl>
      <w:tblPr>
        <w:tblW w:w="0" w:type="auto"/>
        <w:jc w:val="left"/>
        <w:tblInd w:w="133" w:type="dxa"/>
        <w:tblLayout w:type="fixed"/>
        <w:tblCellMar>
          <w:top w:w="0" w:type="dxa"/>
          <w:left w:w="0" w:type="dxa"/>
          <w:bottom w:w="0" w:type="dxa"/>
          <w:right w:w="0" w:type="dxa"/>
        </w:tblCellMar>
        <w:tblLook w:val="01E0"/>
      </w:tblPr>
      <w:tblGrid>
        <w:gridCol w:w="2095"/>
        <w:gridCol w:w="1315"/>
        <w:gridCol w:w="1317"/>
        <w:gridCol w:w="1316"/>
        <w:gridCol w:w="1008"/>
        <w:gridCol w:w="1315"/>
        <w:gridCol w:w="1316"/>
      </w:tblGrid>
      <w:tr>
        <w:trPr>
          <w:trHeight w:val="162" w:hRule="exact"/>
        </w:trPr>
        <w:tc>
          <w:tcPr>
            <w:tcW w:w="2095"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17" w:right="48"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095"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08" w:type="dxa"/>
            <w:vMerge/>
            <w:tcBorders>
              <w:left w:val="single" w:sz="4" w:space="0" w:color="000000"/>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095" w:type="dxa"/>
            <w:vMerge w:val="restart"/>
            <w:tcBorders>
              <w:top w:val="nil" w:sz="6" w:space="0" w:color="auto"/>
              <w:left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2632"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95"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9,264,669,159.73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8,975,733,165.21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8,975,733,165.21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8,673,633,470.18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8,673,633,470.18</w:t>
            </w:r>
          </w:p>
        </w:tc>
      </w:tr>
      <w:tr>
        <w:trPr>
          <w:trHeight w:val="714"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3"/>
              <w:jc w:val="left"/>
              <w:rPr>
                <w:rFonts w:ascii="宋体" w:hAnsi="宋体" w:cs="宋体" w:eastAsia="宋体" w:hint="default"/>
                <w:sz w:val="18"/>
                <w:szCs w:val="18"/>
              </w:rPr>
            </w:pPr>
            <w:r>
              <w:rPr>
                <w:rFonts w:ascii="宋体" w:hAnsi="宋体" w:cs="宋体" w:eastAsia="宋体" w:hint="default"/>
                <w:sz w:val="18"/>
                <w:szCs w:val="18"/>
              </w:rPr>
              <w:t>归属于上市公司股东的净 利润（元）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33,964,915.63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179,308,287.39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179,308,287.39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-81.06%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80,096,891.75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80,096,891.75</w:t>
            </w:r>
          </w:p>
        </w:tc>
      </w:tr>
      <w:tr>
        <w:trPr>
          <w:trHeight w:val="1026"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3"/>
              <w:jc w:val="left"/>
              <w:rPr>
                <w:rFonts w:ascii="宋体" w:hAnsi="宋体" w:cs="宋体" w:eastAsia="宋体" w:hint="default"/>
                <w:sz w:val="18"/>
                <w:szCs w:val="18"/>
              </w:rPr>
            </w:pPr>
            <w:r>
              <w:rPr>
                <w:rFonts w:ascii="宋体" w:hAnsi="宋体" w:cs="宋体" w:eastAsia="宋体" w:hint="default"/>
                <w:sz w:val="18"/>
                <w:szCs w:val="18"/>
              </w:rPr>
              <w:t>归属于上市公司股东的扣 除非经常性损益的净利润</w:t>
            </w:r>
          </w:p>
          <w:p>
            <w:pPr>
              <w:pStyle w:val="TableParagraph"/>
              <w:spacing w:line="240" w:lineRule="auto" w:before="20"/>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8,904,228.51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-71,350,902.76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-71,350,902.76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112.48%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49,381,173.26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49,381,173.26</w:t>
            </w:r>
          </w:p>
        </w:tc>
      </w:tr>
      <w:tr>
        <w:trPr>
          <w:trHeight w:val="714"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3"/>
              <w:jc w:val="left"/>
              <w:rPr>
                <w:rFonts w:ascii="宋体" w:hAnsi="宋体" w:cs="宋体" w:eastAsia="宋体" w:hint="default"/>
                <w:sz w:val="18"/>
                <w:szCs w:val="18"/>
              </w:rPr>
            </w:pPr>
            <w:r>
              <w:rPr>
                <w:rFonts w:ascii="宋体" w:hAnsi="宋体" w:cs="宋体" w:eastAsia="宋体" w:hint="default"/>
                <w:sz w:val="18"/>
                <w:szCs w:val="18"/>
              </w:rPr>
              <w:t>经营活动产生的现金流量 净额（元）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-464,868,210.58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168,323,239.05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168,323,239.05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-376.18%</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322,287,957.85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322,287,957.85</w:t>
            </w:r>
          </w:p>
        </w:tc>
      </w:tr>
      <w:tr>
        <w:trPr>
          <w:trHeight w:val="402"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0.0385</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0.2869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0.2097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-81.64%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0.1347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0.0938</w:t>
            </w:r>
          </w:p>
        </w:tc>
      </w:tr>
      <w:tr>
        <w:trPr>
          <w:trHeight w:val="402"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0.0374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0.2811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0.1998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-81.28%</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0.1347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0.0938</w:t>
            </w:r>
          </w:p>
        </w:tc>
      </w:tr>
      <w:tr>
        <w:trPr>
          <w:trHeight w:val="402"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-4.62%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2.90%</w:t>
            </w:r>
          </w:p>
        </w:tc>
      </w:tr>
      <w:tr>
        <w:trPr>
          <w:trHeight w:val="162" w:hRule="exact"/>
        </w:trPr>
        <w:tc>
          <w:tcPr>
            <w:tcW w:w="2095" w:type="dxa"/>
            <w:vMerge w:val="restart"/>
            <w:tcBorders>
              <w:top w:val="single" w:sz="4" w:space="0" w:color="000000"/>
              <w:left w:val="single" w:sz="4" w:space="0" w:color="000000"/>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
        </w:tc>
        <w:tc>
          <w:tcPr>
            <w:tcW w:w="263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37" w:right="48"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63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095"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08" w:type="dxa"/>
            <w:vMerge/>
            <w:tcBorders>
              <w:left w:val="single" w:sz="4" w:space="0" w:color="000000"/>
              <w:right w:val="single" w:sz="4" w:space="0" w:color="000000"/>
            </w:tcBorders>
            <w:shd w:val="clear" w:color="auto" w:fill="D2D2D2"/>
          </w:tcPr>
          <w:p>
            <w:pPr/>
          </w:p>
        </w:tc>
        <w:tc>
          <w:tcPr>
            <w:tcW w:w="263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095" w:type="dxa"/>
            <w:vMerge w:val="restart"/>
            <w:tcBorders>
              <w:top w:val="nil" w:sz="6" w:space="0" w:color="auto"/>
              <w:left w:val="single" w:sz="4" w:space="0" w:color="000000"/>
              <w:right w:val="single" w:sz="4" w:space="0" w:color="000000"/>
            </w:tcBorders>
            <w:shd w:val="clear" w:color="auto" w:fill="D2D2D2"/>
          </w:tcPr>
          <w:p>
            <w:pPr/>
          </w:p>
        </w:tc>
        <w:tc>
          <w:tcPr>
            <w:tcW w:w="13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33" w:type="dxa"/>
            <w:gridSpan w:val="2"/>
            <w:vMerge/>
            <w:tcBorders>
              <w:left w:val="single" w:sz="4" w:space="0" w:color="000000"/>
              <w:bottom w:val="nil" w:sz="6" w:space="0" w:color="auto"/>
              <w:right w:val="single" w:sz="4" w:space="0" w:color="000000"/>
            </w:tcBorders>
            <w:shd w:val="clear" w:color="auto" w:fill="D2D2D2"/>
          </w:tcPr>
          <w:p>
            <w:pPr/>
          </w:p>
        </w:tc>
        <w:tc>
          <w:tcPr>
            <w:tcW w:w="1008" w:type="dxa"/>
            <w:vMerge/>
            <w:tcBorders>
              <w:left w:val="single" w:sz="4" w:space="0" w:color="000000"/>
              <w:right w:val="single" w:sz="4" w:space="0" w:color="000000"/>
            </w:tcBorders>
            <w:shd w:val="clear" w:color="auto" w:fill="D2D2D2"/>
          </w:tcPr>
          <w:p>
            <w:pPr/>
          </w:p>
        </w:tc>
        <w:tc>
          <w:tcPr>
            <w:tcW w:w="2632"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95" w:type="dxa"/>
            <w:vMerge/>
            <w:tcBorders>
              <w:left w:val="single" w:sz="4" w:space="0" w:color="000000"/>
              <w:bottom w:val="nil" w:sz="6" w:space="0" w:color="auto"/>
              <w:right w:val="single" w:sz="4" w:space="0" w:color="000000"/>
            </w:tcBorders>
            <w:shd w:val="clear" w:color="auto" w:fill="D2D2D2"/>
          </w:tcPr>
          <w:p>
            <w:pPr/>
          </w:p>
        </w:tc>
        <w:tc>
          <w:tcPr>
            <w:tcW w:w="1315" w:type="dxa"/>
            <w:vMerge/>
            <w:tcBorders>
              <w:left w:val="single" w:sz="4" w:space="0" w:color="000000"/>
              <w:bottom w:val="nil" w:sz="6" w:space="0" w:color="auto"/>
              <w:right w:val="single" w:sz="4" w:space="0" w:color="000000"/>
            </w:tcBorders>
            <w:shd w:val="clear" w:color="auto" w:fill="D2D2D2"/>
          </w:tcPr>
          <w:p>
            <w:pPr/>
          </w:p>
        </w:tc>
        <w:tc>
          <w:tcPr>
            <w:tcW w:w="26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263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0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8,740,109,584.87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8,167,950,097.71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8,167,950,097.71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7,757,642,044.60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7,757,642,044.60</w:t>
            </w:r>
          </w:p>
        </w:tc>
      </w:tr>
      <w:tr>
        <w:trPr>
          <w:trHeight w:val="715" w:hRule="exact"/>
        </w:trPr>
        <w:tc>
          <w:tcPr>
            <w:tcW w:w="2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3"/>
              <w:jc w:val="left"/>
              <w:rPr>
                <w:rFonts w:ascii="宋体" w:hAnsi="宋体" w:cs="宋体" w:eastAsia="宋体" w:hint="default"/>
                <w:sz w:val="18"/>
                <w:szCs w:val="18"/>
              </w:rPr>
            </w:pPr>
            <w:r>
              <w:rPr>
                <w:rFonts w:ascii="宋体" w:hAnsi="宋体" w:cs="宋体" w:eastAsia="宋体" w:hint="default"/>
                <w:sz w:val="18"/>
                <w:szCs w:val="18"/>
              </w:rPr>
              <w:t>归属于上市公司股东的净 资产（元）</w:t>
            </w:r>
          </w:p>
        </w:tc>
        <w:tc>
          <w:tcPr>
            <w:tcW w:w="1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3,322,472,563.50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3,253,592,116.85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3,253,592,116.85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3,074,045,555.50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3,074,045,555.50</w:t>
            </w:r>
          </w:p>
        </w:tc>
      </w:tr>
    </w:tbl>
    <w:p>
      <w:pPr>
        <w:spacing w:line="240" w:lineRule="auto" w:before="10"/>
        <w:rPr>
          <w:rFonts w:ascii="宋体" w:hAnsi="宋体" w:cs="宋体" w:eastAsia="宋体" w:hint="default"/>
          <w:sz w:val="19"/>
          <w:szCs w:val="19"/>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200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2,366,555,531.23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2,738,665,746.44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2,976,770,198.50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1,182,677,683.56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748,631.39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35,700,484.86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-715,896.55</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-1,768,304.07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-28,799.41</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35,086,349.81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-495,476.50</w:t>
            </w:r>
            <w:r>
              <w:rPr>
                <w:rFonts w:ascii="Times New Roman"/>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-25,657,845.39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-1,022,637,497.39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-132,430,394.90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119,746,625.67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570,453,056.04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257"/>
        <w:gridCol w:w="1673"/>
        <w:gridCol w:w="1876"/>
        <w:gridCol w:w="1877"/>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 销部分）</w:t>
            </w:r>
          </w:p>
        </w:tc>
        <w:tc>
          <w:tcPr>
            <w:tcW w:w="1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-696,899.00</w:t>
            </w:r>
            <w:r>
              <w:rPr>
                <w:rFonts w:ascii="Times New Roman"/>
                <w:sz w:val="18"/>
              </w:rPr>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246,176,577.30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498,839.32</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 照国家统一标准定额或定量享受的政府补助除外）</w:t>
            </w:r>
          </w:p>
        </w:tc>
        <w:tc>
          <w:tcPr>
            <w:tcW w:w="1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45,596,872.93</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63,447,700.28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32,338,763.99</w:t>
            </w:r>
          </w:p>
        </w:tc>
      </w:tr>
      <w:tr>
        <w:trPr>
          <w:trHeight w:val="1338"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 持有交易性金融资产、交易性金融负债产生的公允价 值变动损益，以及处置交易性金融资产、交易性金融 负债和可供出售金融资产取得的投资收益</w:t>
            </w:r>
          </w:p>
        </w:tc>
        <w:tc>
          <w:tcPr>
            <w:tcW w:w="1673" w:type="dxa"/>
            <w:tcBorders>
              <w:top w:val="single" w:sz="4" w:space="0" w:color="000000"/>
              <w:left w:val="single" w:sz="13" w:space="0" w:color="D2D2D2"/>
              <w:bottom w:val="single" w:sz="4" w:space="0" w:color="000000"/>
              <w:right w:val="single" w:sz="4" w:space="0" w:color="000000"/>
            </w:tcBorders>
          </w:tcPr>
          <w:p>
            <w:pPr/>
          </w:p>
        </w:tc>
        <w:tc>
          <w:tcPr>
            <w:tcW w:w="18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10,065,201.87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-2,000,567.10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413,161.39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1,112,925.50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5,202,911.09</w:t>
            </w:r>
          </w:p>
        </w:tc>
        <w:tc>
          <w:tcPr>
            <w:tcW w:w="187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1,932,214.80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3,517,079.86</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43,217,238.49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9,162,202.21</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19,524,550.94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16,161,010.33</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6,070,024.78</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25,060,687.12</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250,659,190.15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30,715,718.49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265"/>
        <w:gridCol w:w="2126"/>
        <w:gridCol w:w="5178"/>
      </w:tblGrid>
      <w:tr>
        <w:trPr>
          <w:trHeight w:val="402"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4" w:right="0"/>
              <w:jc w:val="left"/>
              <w:rPr>
                <w:rFonts w:ascii="Times New Roman" w:hAnsi="Times New Roman" w:cs="Times New Roman" w:eastAsia="Times New Roman" w:hint="default"/>
                <w:sz w:val="18"/>
                <w:szCs w:val="18"/>
              </w:rPr>
            </w:pPr>
            <w:r>
              <w:rPr>
                <w:rFonts w:ascii="Times New Roman"/>
                <w:sz w:val="18"/>
              </w:rPr>
              <w:t>11,393,175.92</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2"/>
              <w:jc w:val="left"/>
              <w:rPr>
                <w:rFonts w:ascii="宋体" w:hAnsi="宋体" w:cs="宋体" w:eastAsia="宋体" w:hint="default"/>
                <w:sz w:val="18"/>
                <w:szCs w:val="18"/>
              </w:rPr>
            </w:pPr>
            <w:r>
              <w:rPr>
                <w:rFonts w:ascii="宋体" w:hAnsi="宋体" w:cs="宋体" w:eastAsia="宋体" w:hint="default"/>
                <w:sz w:val="18"/>
                <w:szCs w:val="18"/>
              </w:rPr>
              <w:t>与公司主营业务密切相关，符合国家政策规定，按照一定标准定 额持续享受的政府补助</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0"/>
        <w:ind w:right="1130" w:firstLine="420"/>
        <w:jc w:val="both"/>
      </w:pPr>
      <w:r>
        <w:rPr>
          <w:spacing w:val="-1"/>
        </w:rPr>
        <w:t>公司以发展成为“具有较高投资价值、社会价值”的领先企业为愿景，致力于发展成为优秀的“面向</w:t>
      </w:r>
      <w:r>
        <w:rPr>
          <w:spacing w:val="1"/>
        </w:rPr>
        <w:t> </w:t>
      </w:r>
      <w:r>
        <w:rPr>
          <w:spacing w:val="-1"/>
        </w:rPr>
        <w:t>企业信息化应用的物联网和融合通信技术、产品的服务提供商”与“面向广大个体消费群体的移动互联网</w:t>
      </w:r>
      <w:r>
        <w:rPr>
          <w:spacing w:val="-83"/>
        </w:rPr>
        <w:t> </w:t>
      </w:r>
      <w:r>
        <w:rPr>
          <w:spacing w:val="-83"/>
        </w:rPr>
      </w:r>
      <w:r>
        <w:rPr>
          <w:spacing w:val="-1"/>
        </w:rPr>
        <w:t>和互联网支撑的服务提供商”。目前公司形成了企业信息化、信息服务和</w:t>
      </w:r>
      <w:r>
        <w:rPr>
          <w:rFonts w:ascii="宋体" w:hAnsi="宋体" w:cs="宋体" w:eastAsia="宋体" w:hint="default"/>
          <w:spacing w:val="-1"/>
        </w:rPr>
        <w:t>IT</w:t>
      </w:r>
      <w:r>
        <w:rPr>
          <w:spacing w:val="-1"/>
        </w:rPr>
        <w:t>销售三大业务板块；同时，公</w:t>
      </w:r>
      <w:r>
        <w:rPr>
          <w:spacing w:val="-83"/>
        </w:rPr>
        <w:t> </w:t>
      </w:r>
      <w:r>
        <w:rPr>
          <w:spacing w:val="-83"/>
        </w:rPr>
      </w:r>
      <w:r>
        <w:rPr/>
        <w:t>司在信息安全、智能制造、车联网等新兴产业领域也展开了较有深度的研究和拓展。</w:t>
      </w:r>
    </w:p>
    <w:p>
      <w:pPr>
        <w:pStyle w:val="BodyText"/>
        <w:spacing w:line="273" w:lineRule="auto"/>
        <w:ind w:right="1132" w:firstLine="420"/>
        <w:jc w:val="both"/>
      </w:pPr>
      <w:r>
        <w:rPr>
          <w:spacing w:val="-6"/>
        </w:rPr>
        <w:t>报告期内，公司以“开放发展、整合资源、优化结构、激发活力”为工作方针，推进企业信息化业务、</w:t>
      </w:r>
      <w:r>
        <w:rPr/>
        <w:t> 信息服务业务、</w:t>
      </w:r>
      <w:r>
        <w:rPr>
          <w:rFonts w:ascii="宋体" w:hAnsi="宋体" w:cs="宋体" w:eastAsia="宋体" w:hint="default"/>
        </w:rPr>
        <w:t>IT</w:t>
      </w:r>
      <w:r>
        <w:rPr/>
        <w:t>销售业务蓬勃发展的同时确保公司平稳运营。</w:t>
      </w:r>
    </w:p>
    <w:p>
      <w:pPr>
        <w:pStyle w:val="BodyText"/>
        <w:spacing w:line="273" w:lineRule="auto"/>
        <w:ind w:right="1035" w:firstLine="420"/>
        <w:jc w:val="both"/>
      </w:pPr>
      <w:r>
        <w:rPr/>
        <w:t>企业信息化业务方面：以国内企业信息化细分行业领域领先企业为业务目标；深耕广电等优势行业， 聚焦智能制造、政府、金融、电信、能源、交通等价值行业，围绕战略业务，通过资本并购和孵化创新，</w:t>
      </w:r>
      <w:r>
        <w:rPr>
          <w:spacing w:val="-35"/>
        </w:rPr>
        <w:t> </w:t>
      </w:r>
      <w:r>
        <w:rPr>
          <w:spacing w:val="-35"/>
        </w:rPr>
      </w:r>
      <w:r>
        <w:rPr>
          <w:spacing w:val="-5"/>
        </w:rPr>
        <w:t>聚焦、整合资源做强，持续提升核心竞争力和盈利能力，成为拥有核心技术产品和运营能力的综合服务商。</w:t>
      </w:r>
    </w:p>
    <w:p>
      <w:pPr>
        <w:pStyle w:val="BodyText"/>
        <w:spacing w:line="273" w:lineRule="auto"/>
        <w:ind w:right="1017" w:firstLine="420"/>
        <w:jc w:val="left"/>
      </w:pPr>
      <w:r>
        <w:rPr>
          <w:spacing w:val="-3"/>
        </w:rPr>
        <w:t>信息服务业务方面：以国内移动互联网细分领域领军企业为业务目标，以智能生活服务云平台为基础，</w:t>
      </w:r>
      <w:r>
        <w:rPr/>
        <w:t> 面向广大独立决策的中小型企业和个体消费者，构建兼顾</w:t>
      </w:r>
      <w:r>
        <w:rPr>
          <w:rFonts w:ascii="宋体" w:hAnsi="宋体" w:cs="宋体" w:eastAsia="宋体" w:hint="default"/>
        </w:rPr>
        <w:t>C</w:t>
      </w:r>
      <w:r>
        <w:rPr/>
        <w:t>端和</w:t>
      </w:r>
      <w:r>
        <w:rPr>
          <w:rFonts w:ascii="宋体" w:hAnsi="宋体" w:cs="宋体" w:eastAsia="宋体" w:hint="default"/>
        </w:rPr>
        <w:t>B</w:t>
      </w:r>
      <w:r>
        <w:rPr/>
        <w:t>端的移动互联网闭环生态系统，着力提升 资源整合、用户及数据运营等核心能力建设。</w:t>
      </w:r>
    </w:p>
    <w:p>
      <w:pPr>
        <w:pStyle w:val="BodyText"/>
        <w:spacing w:line="273" w:lineRule="auto"/>
        <w:ind w:right="1131" w:firstLine="420"/>
        <w:jc w:val="both"/>
      </w:pPr>
      <w:r>
        <w:rPr>
          <w:rFonts w:ascii="宋体" w:hAnsi="宋体" w:cs="宋体" w:eastAsia="宋体" w:hint="default"/>
          <w:spacing w:val="-1"/>
        </w:rPr>
        <w:t>IT</w:t>
      </w:r>
      <w:r>
        <w:rPr>
          <w:spacing w:val="-1"/>
        </w:rPr>
        <w:t>销售业务方面：以国内</w:t>
      </w:r>
      <w:r>
        <w:rPr>
          <w:rFonts w:ascii="宋体" w:hAnsi="宋体" w:cs="宋体" w:eastAsia="宋体" w:hint="default"/>
          <w:spacing w:val="-1"/>
        </w:rPr>
        <w:t>IT</w:t>
      </w:r>
      <w:r>
        <w:rPr>
          <w:spacing w:val="-1"/>
        </w:rPr>
        <w:t>分销区域市场龙头企业为业务目标，巩固与优势品牌厂商合作，丰富产品</w:t>
      </w:r>
      <w:r>
        <w:rPr/>
        <w:t> 品类，巩固线下渠道业务，大力拓展线上渠道业务，加强物流及供应链服务平台能力。</w:t>
      </w:r>
    </w:p>
    <w:p>
      <w:pPr>
        <w:pStyle w:val="BodyText"/>
        <w:spacing w:line="273" w:lineRule="auto"/>
        <w:ind w:right="1131" w:firstLine="420"/>
        <w:jc w:val="both"/>
      </w:pPr>
      <w:r>
        <w:rPr>
          <w:rFonts w:ascii="宋体" w:hAnsi="宋体" w:cs="宋体" w:eastAsia="宋体" w:hint="default"/>
          <w:spacing w:val="-1"/>
        </w:rPr>
        <w:t>2018</w:t>
      </w:r>
      <w:r>
        <w:rPr>
          <w:spacing w:val="-1"/>
        </w:rPr>
        <w:t>年，公司主营业务收入</w:t>
      </w:r>
      <w:r>
        <w:rPr>
          <w:rFonts w:ascii="宋体" w:hAnsi="宋体" w:cs="宋体" w:eastAsia="宋体" w:hint="default"/>
          <w:spacing w:val="-1"/>
        </w:rPr>
        <w:t>61.40%</w:t>
      </w:r>
      <w:r>
        <w:rPr>
          <w:spacing w:val="-1"/>
        </w:rPr>
        <w:t>来源于</w:t>
      </w:r>
      <w:r>
        <w:rPr>
          <w:rFonts w:ascii="宋体" w:hAnsi="宋体" w:cs="宋体" w:eastAsia="宋体" w:hint="default"/>
          <w:spacing w:val="-1"/>
        </w:rPr>
        <w:t>IT</w:t>
      </w:r>
      <w:r>
        <w:rPr>
          <w:spacing w:val="-1"/>
        </w:rPr>
        <w:t>销售业务，但是公司主要客户为苏宁、京东等线上线下零</w:t>
      </w:r>
      <w:r>
        <w:rPr/>
        <w:t> 售企业，不直接面向终端消费者销售商品。</w:t>
      </w:r>
    </w:p>
    <w:p>
      <w:pPr>
        <w:pStyle w:val="BodyText"/>
        <w:spacing w:line="273" w:lineRule="auto"/>
        <w:ind w:right="0" w:firstLine="420"/>
        <w:jc w:val="left"/>
      </w:pPr>
      <w:r>
        <w:rPr/>
        <w:t>从行业方面来看，未来</w:t>
      </w:r>
      <w:r>
        <w:rPr>
          <w:rFonts w:ascii="宋体" w:hAnsi="宋体" w:cs="宋体" w:eastAsia="宋体" w:hint="default"/>
        </w:rPr>
        <w:t>IT</w:t>
      </w:r>
      <w:r>
        <w:rPr/>
        <w:t>消费市场将维持一定增长，产业链的整体盈利能力或将下滑，</w:t>
      </w:r>
      <w:r>
        <w:rPr>
          <w:rFonts w:ascii="宋体" w:hAnsi="宋体" w:cs="宋体" w:eastAsia="宋体" w:hint="default"/>
        </w:rPr>
        <w:t>PC/</w:t>
      </w:r>
      <w:r>
        <w:rPr/>
        <w:t>笔记本等 计算产品市场将呈现个性化、高端化的发展趋势，移动终端、移动智能电子产品、智能家居产品、智能电 视等产品增长较好。整个</w:t>
      </w:r>
      <w:r>
        <w:rPr>
          <w:rFonts w:ascii="宋体" w:hAnsi="宋体" w:cs="宋体" w:eastAsia="宋体" w:hint="default"/>
        </w:rPr>
        <w:t>IT</w:t>
      </w:r>
      <w:r>
        <w:rPr/>
        <w:t>分销及零售的渠道结构将持续变化，</w:t>
      </w:r>
      <w:r>
        <w:rPr>
          <w:rFonts w:ascii="宋体" w:hAnsi="宋体" w:cs="宋体" w:eastAsia="宋体" w:hint="default"/>
        </w:rPr>
        <w:t>2018</w:t>
      </w:r>
      <w:r>
        <w:rPr/>
        <w:t>年电商线上引流成本已经接近线下，</w:t>
      </w:r>
      <w:r>
        <w:rPr>
          <w:spacing w:val="-29"/>
        </w:rPr>
        <w:t> </w:t>
      </w:r>
      <w:r>
        <w:rPr>
          <w:spacing w:val="-29"/>
        </w:rPr>
      </w:r>
      <w:r>
        <w:rPr/>
        <w:t>电商开始着手进行线下渠道的整合。大的</w:t>
      </w:r>
      <w:r>
        <w:rPr>
          <w:rFonts w:ascii="宋体" w:hAnsi="宋体" w:cs="宋体" w:eastAsia="宋体" w:hint="default"/>
        </w:rPr>
        <w:t>IT</w:t>
      </w:r>
      <w:r>
        <w:rPr/>
        <w:t>零售及分销公司利用电商平台及高效的物流、资金流、授信体 系及大数据销售预测系统推进分销</w:t>
      </w:r>
      <w:r>
        <w:rPr>
          <w:rFonts w:ascii="宋体" w:hAnsi="宋体" w:cs="宋体" w:eastAsia="宋体" w:hint="default"/>
        </w:rPr>
        <w:t>/</w:t>
      </w:r>
      <w:r>
        <w:rPr/>
        <w:t>零售商业模式的变革，分销行业竞争日趋激烈。</w:t>
      </w:r>
    </w:p>
    <w:p>
      <w:pPr>
        <w:pStyle w:val="BodyText"/>
        <w:spacing w:line="273" w:lineRule="auto"/>
        <w:ind w:right="1130" w:firstLine="420"/>
        <w:jc w:val="both"/>
      </w:pPr>
      <w:r>
        <w:rPr/>
        <w:t>公司</w:t>
      </w:r>
      <w:r>
        <w:rPr>
          <w:rFonts w:ascii="宋体" w:hAnsi="宋体" w:cs="宋体" w:eastAsia="宋体" w:hint="default"/>
        </w:rPr>
        <w:t>IT</w:t>
      </w:r>
      <w:r>
        <w:rPr/>
        <w:t>销售业务方面主要从事</w:t>
      </w:r>
      <w:r>
        <w:rPr>
          <w:rFonts w:ascii="宋体" w:hAnsi="宋体" w:cs="宋体" w:eastAsia="宋体" w:hint="default"/>
        </w:rPr>
        <w:t>IT</w:t>
      </w:r>
      <w:r>
        <w:rPr/>
        <w:t>产品销售及整体配套服务业务，包括</w:t>
      </w:r>
      <w:r>
        <w:rPr>
          <w:rFonts w:ascii="宋体" w:hAnsi="宋体" w:cs="宋体" w:eastAsia="宋体" w:hint="default"/>
        </w:rPr>
        <w:t>FA</w:t>
      </w:r>
      <w:r>
        <w:rPr/>
        <w:t>（</w:t>
      </w:r>
      <w:r>
        <w:rPr>
          <w:rFonts w:ascii="宋体" w:hAnsi="宋体" w:cs="宋体" w:eastAsia="宋体" w:hint="default"/>
        </w:rPr>
        <w:t>Fulfillment</w:t>
      </w:r>
      <w:r>
        <w:rPr>
          <w:rFonts w:ascii="宋体" w:hAnsi="宋体" w:cs="宋体" w:eastAsia="宋体" w:hint="default"/>
          <w:spacing w:val="67"/>
        </w:rPr>
        <w:t> </w:t>
      </w:r>
      <w:r>
        <w:rPr>
          <w:rFonts w:ascii="宋体" w:hAnsi="宋体" w:cs="宋体" w:eastAsia="宋体" w:hint="default"/>
        </w:rPr>
        <w:t>Agent</w:t>
      </w:r>
      <w:r>
        <w:rPr/>
        <w:t>）模式 下的</w:t>
      </w:r>
      <w:r>
        <w:rPr>
          <w:rFonts w:ascii="宋体" w:hAnsi="宋体" w:cs="宋体" w:eastAsia="宋体" w:hint="default"/>
        </w:rPr>
        <w:t>IT</w:t>
      </w:r>
      <w:r>
        <w:rPr/>
        <w:t>产品销售业务、渠道分销业务以及自主产品销售等。其中，</w:t>
      </w:r>
      <w:r>
        <w:rPr>
          <w:rFonts w:ascii="宋体" w:hAnsi="宋体" w:cs="宋体" w:eastAsia="宋体" w:hint="default"/>
        </w:rPr>
        <w:t>FA</w:t>
      </w:r>
      <w:r>
        <w:rPr/>
        <w:t>（</w:t>
      </w:r>
      <w:r>
        <w:rPr>
          <w:rFonts w:ascii="宋体" w:hAnsi="宋体" w:cs="宋体" w:eastAsia="宋体" w:hint="default"/>
        </w:rPr>
        <w:t>Fulfillment</w:t>
      </w:r>
      <w:r>
        <w:rPr>
          <w:rFonts w:ascii="宋体" w:hAnsi="宋体" w:cs="宋体" w:eastAsia="宋体" w:hint="default"/>
          <w:spacing w:val="66"/>
        </w:rPr>
        <w:t> </w:t>
      </w:r>
      <w:r>
        <w:rPr>
          <w:rFonts w:ascii="宋体" w:hAnsi="宋体" w:cs="宋体" w:eastAsia="宋体" w:hint="default"/>
        </w:rPr>
        <w:t>Agent</w:t>
      </w:r>
      <w:r>
        <w:rPr/>
        <w:t>）模式下的</w:t>
      </w:r>
      <w:r>
        <w:rPr>
          <w:rFonts w:ascii="宋体" w:hAnsi="宋体" w:cs="宋体" w:eastAsia="宋体" w:hint="default"/>
        </w:rPr>
        <w:t>IT</w:t>
      </w:r>
      <w:r>
        <w:rPr>
          <w:rFonts w:ascii="宋体" w:hAnsi="宋体" w:cs="宋体" w:eastAsia="宋体" w:hint="default"/>
          <w:spacing w:val="-96"/>
        </w:rPr>
        <w:t> </w:t>
      </w:r>
      <w:r>
        <w:rPr/>
        <w:t>产品销售业务是公司的主要收入来源。区别于“厂商</w:t>
      </w:r>
      <w:r>
        <w:rPr>
          <w:rFonts w:ascii="宋体" w:hAnsi="宋体" w:cs="宋体" w:eastAsia="宋体" w:hint="default"/>
        </w:rPr>
        <w:t>-</w:t>
      </w:r>
      <w:r>
        <w:rPr/>
        <w:t>总代</w:t>
      </w:r>
      <w:r>
        <w:rPr>
          <w:rFonts w:ascii="宋体" w:hAnsi="宋体" w:cs="宋体" w:eastAsia="宋体" w:hint="default"/>
        </w:rPr>
        <w:t>-</w:t>
      </w:r>
      <w:r>
        <w:rPr/>
        <w:t>区代</w:t>
      </w:r>
      <w:r>
        <w:rPr>
          <w:rFonts w:ascii="宋体" w:hAnsi="宋体" w:cs="宋体" w:eastAsia="宋体" w:hint="default"/>
        </w:rPr>
        <w:t>-</w:t>
      </w:r>
      <w:r>
        <w:rPr/>
        <w:t>渠道商”的传统分销渠道模式，在</w:t>
      </w:r>
      <w:r>
        <w:rPr>
          <w:rFonts w:ascii="宋体" w:hAnsi="宋体" w:cs="宋体" w:eastAsia="宋体" w:hint="default"/>
        </w:rPr>
        <w:t>FA</w:t>
      </w:r>
      <w:r>
        <w:rPr/>
        <w:t>模</w:t>
      </w:r>
      <w:r>
        <w:rPr>
          <w:spacing w:val="-29"/>
        </w:rPr>
        <w:t> </w:t>
      </w:r>
      <w:r>
        <w:rPr>
          <w:spacing w:val="-1"/>
        </w:rPr>
        <w:t>式下，任何渠道商都可以直接与供应厂商发生关系，采购和销售价格均由厂家确定，直接将区域分销这一</w:t>
      </w:r>
      <w:r>
        <w:rPr>
          <w:spacing w:val="-83"/>
        </w:rPr>
        <w:t> </w:t>
      </w:r>
      <w:r>
        <w:rPr>
          <w:spacing w:val="-83"/>
        </w:rPr>
      </w:r>
      <w:r>
        <w:rPr>
          <w:spacing w:val="-1"/>
        </w:rPr>
        <w:t>层扁平化，总代理商只承担物流和资金流的职能，这样任何一家渠道商的提货成本实现一致化。作为本土</w:t>
      </w:r>
      <w:r>
        <w:rPr>
          <w:spacing w:val="-83"/>
        </w:rPr>
        <w:t> </w:t>
      </w:r>
      <w:r>
        <w:rPr>
          <w:spacing w:val="-83"/>
        </w:rPr>
      </w:r>
      <w:r>
        <w:rPr>
          <w:spacing w:val="-1"/>
        </w:rPr>
        <w:t>市场</w:t>
      </w:r>
      <w:r>
        <w:rPr>
          <w:rFonts w:ascii="宋体" w:hAnsi="宋体" w:cs="宋体" w:eastAsia="宋体" w:hint="default"/>
          <w:spacing w:val="-1"/>
        </w:rPr>
        <w:t>FA</w:t>
      </w:r>
      <w:r>
        <w:rPr>
          <w:spacing w:val="-1"/>
        </w:rPr>
        <w:t>模式下的主要销售商，公司在南京地区</w:t>
      </w:r>
      <w:r>
        <w:rPr>
          <w:rFonts w:ascii="宋体" w:hAnsi="宋体" w:cs="宋体" w:eastAsia="宋体" w:hint="default"/>
          <w:spacing w:val="-1"/>
        </w:rPr>
        <w:t>IT</w:t>
      </w:r>
      <w:r>
        <w:rPr>
          <w:spacing w:val="-1"/>
        </w:rPr>
        <w:t>产品销售市场享有优势份额，与华硕、联想等主要</w:t>
      </w:r>
      <w:r>
        <w:rPr>
          <w:rFonts w:ascii="宋体" w:hAnsi="宋体" w:cs="宋体" w:eastAsia="宋体" w:hint="default"/>
          <w:spacing w:val="-1"/>
        </w:rPr>
        <w:t>IT</w:t>
      </w:r>
      <w:r>
        <w:rPr>
          <w:spacing w:val="-1"/>
        </w:rPr>
        <w:t>品牌</w:t>
      </w:r>
      <w:r>
        <w:rPr>
          <w:spacing w:val="-84"/>
        </w:rPr>
        <w:t> </w:t>
      </w:r>
      <w:r>
        <w:rPr>
          <w:spacing w:val="-1"/>
        </w:rPr>
        <w:t>供应商均建立了良好的合作关系。公司逐步扩大核心产品与苏宁、京东等线上渠道的业务合作规模，重点</w:t>
      </w:r>
      <w:r>
        <w:rPr>
          <w:spacing w:val="-83"/>
        </w:rPr>
        <w:t> </w:t>
      </w:r>
      <w:r>
        <w:rPr>
          <w:spacing w:val="-83"/>
        </w:rPr>
      </w:r>
      <w:r>
        <w:rPr/>
        <w:t>通过联想、华硕品牌拓展苏宁易购、京东等互联网平台销售市场。</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852"/>
        <w:gridCol w:w="7843"/>
      </w:tblGrid>
      <w:tr>
        <w:trPr>
          <w:trHeight w:val="765"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026"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28.32%</w:t>
            </w:r>
            <w:r>
              <w:rPr>
                <w:rFonts w:ascii="宋体" w:hAnsi="宋体" w:cs="宋体" w:eastAsia="宋体" w:hint="default"/>
                <w:sz w:val="18"/>
                <w:szCs w:val="18"/>
              </w:rPr>
              <w:t>，公司及外部股东对下属子公司大唐融合通信股份有限公司之子公司大唐融合信息服务 有限公司增资，完成上述交易后，公司及下属子公司大唐融合通信股份有限公司合计对其持股比例 为</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z w:val="18"/>
                <w:szCs w:val="18"/>
              </w:rPr>
              <w:t>，丧失控制权，改按权益法核算。另外公司本年新增对两个联营企业的投资。</w:t>
            </w: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99.76%</w:t>
            </w:r>
            <w:r>
              <w:rPr>
                <w:rFonts w:ascii="宋体" w:hAnsi="宋体" w:cs="宋体" w:eastAsia="宋体" w:hint="default"/>
                <w:sz w:val="18"/>
                <w:szCs w:val="18"/>
              </w:rPr>
              <w:t>，本公司子公司贵州大唐高鸿置业有限公司股东会决议通过，在建房产用途由自用转为 对外出售，在建房产由在建工程转入存货核算。</w:t>
            </w: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77.95%</w:t>
            </w:r>
            <w:r>
              <w:rPr>
                <w:rFonts w:ascii="宋体" w:hAnsi="宋体" w:cs="宋体" w:eastAsia="宋体" w:hint="default"/>
                <w:sz w:val="18"/>
                <w:szCs w:val="18"/>
              </w:rPr>
              <w:t>，本期票据结算增加，企业信息化业务及</w:t>
            </w:r>
            <w:r>
              <w:rPr>
                <w:rFonts w:ascii="宋体" w:hAnsi="宋体" w:cs="宋体" w:eastAsia="宋体" w:hint="default"/>
                <w:spacing w:val="-46"/>
                <w:sz w:val="18"/>
                <w:szCs w:val="18"/>
              </w:rPr>
              <w:t> </w:t>
            </w:r>
            <w:r>
              <w:rPr>
                <w:rFonts w:ascii="宋体" w:hAnsi="宋体" w:cs="宋体" w:eastAsia="宋体" w:hint="default"/>
                <w:sz w:val="18"/>
                <w:szCs w:val="18"/>
              </w:rPr>
              <w:t>IT</w:t>
            </w:r>
            <w:r>
              <w:rPr>
                <w:rFonts w:ascii="宋体" w:hAnsi="宋体" w:cs="宋体" w:eastAsia="宋体" w:hint="default"/>
                <w:spacing w:val="-45"/>
                <w:sz w:val="18"/>
                <w:szCs w:val="18"/>
              </w:rPr>
              <w:t> </w:t>
            </w:r>
            <w:r>
              <w:rPr>
                <w:rFonts w:ascii="宋体" w:hAnsi="宋体" w:cs="宋体" w:eastAsia="宋体" w:hint="default"/>
                <w:sz w:val="18"/>
                <w:szCs w:val="18"/>
              </w:rPr>
              <w:t>销售业务增加，尚未回款。</w:t>
            </w:r>
          </w:p>
        </w:tc>
      </w:tr>
      <w:tr>
        <w:trPr>
          <w:trHeight w:val="714"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8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68.05%</w:t>
            </w:r>
            <w:r>
              <w:rPr>
                <w:rFonts w:ascii="宋体" w:hAnsi="宋体" w:cs="宋体" w:eastAsia="宋体" w:hint="default"/>
                <w:sz w:val="18"/>
                <w:szCs w:val="18"/>
              </w:rPr>
              <w:t>，本公司子公司贵州大唐高鸿置业有限公司股东会决议通过，在建房产用途由自用转为 对外出售，在建房产由在建工程转入存货核算。</w:t>
            </w:r>
          </w:p>
        </w:tc>
      </w:tr>
      <w:tr>
        <w:trPr>
          <w:trHeight w:val="402"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增长</w:t>
            </w:r>
            <w:r>
              <w:rPr>
                <w:rFonts w:ascii="宋体" w:hAnsi="宋体" w:cs="宋体" w:eastAsia="宋体" w:hint="default"/>
                <w:spacing w:val="-46"/>
                <w:sz w:val="18"/>
                <w:szCs w:val="18"/>
              </w:rPr>
              <w:t> </w:t>
            </w:r>
            <w:r>
              <w:rPr>
                <w:rFonts w:ascii="宋体" w:hAnsi="宋体" w:cs="宋体" w:eastAsia="宋体" w:hint="default"/>
                <w:sz w:val="18"/>
                <w:szCs w:val="18"/>
              </w:rPr>
              <w:t>72.67%</w:t>
            </w:r>
            <w:r>
              <w:rPr>
                <w:rFonts w:ascii="宋体" w:hAnsi="宋体" w:cs="宋体" w:eastAsia="宋体" w:hint="default"/>
                <w:sz w:val="18"/>
                <w:szCs w:val="18"/>
              </w:rPr>
              <w:t>，本期计提的资产减值准备增加。</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0"/>
        <w:ind w:right="0" w:firstLine="420"/>
        <w:jc w:val="left"/>
      </w:pPr>
      <w:r>
        <w:rPr/>
        <w:t>公司明确了“开放发展、聚合资本、整合资源、提升价值”的战略指导思想，制定了公司“十三五” 战略发展纲要，建立了公司战略管理体系闭环框架。并以战略规划为起点，牵引战略洞察及思考，搭建业 务阶梯链，驱动组织能力迭代，牵引资源匹配。</w:t>
      </w:r>
    </w:p>
    <w:p>
      <w:pPr>
        <w:pStyle w:val="BodyText"/>
        <w:spacing w:line="273" w:lineRule="auto"/>
        <w:ind w:left="574" w:right="0"/>
        <w:jc w:val="left"/>
      </w:pPr>
      <w:r>
        <w:rPr>
          <w:rFonts w:ascii="宋体" w:hAnsi="宋体" w:cs="宋体" w:eastAsia="宋体" w:hint="default"/>
        </w:rPr>
        <w:t>1</w:t>
      </w:r>
      <w:r>
        <w:rPr/>
        <w:t>、企业信息化业务 </w:t>
      </w:r>
      <w:r>
        <w:rPr>
          <w:spacing w:val="-1"/>
        </w:rPr>
        <w:t>公司拥有完善的项目管理体系和资质品牌资源，拥有计算机系统集成一级资质、涉密甲级资质、安防</w:t>
      </w:r>
    </w:p>
    <w:p>
      <w:pPr>
        <w:pStyle w:val="BodyText"/>
        <w:spacing w:line="273" w:lineRule="auto"/>
        <w:ind w:left="574" w:right="0" w:hanging="420"/>
        <w:jc w:val="left"/>
      </w:pPr>
      <w:r>
        <w:rPr/>
        <w:t>资质等多项资质，在计算机集成项目中有较强的资质优势，是国内重要的系统集成服务提供商。 </w:t>
      </w:r>
      <w:r>
        <w:rPr>
          <w:spacing w:val="-1"/>
        </w:rPr>
        <w:t>公司在全国大部分省市都设有办理处和分支机构，并建立了完善的地区总代、一级代理商、二级代理</w:t>
      </w:r>
    </w:p>
    <w:p>
      <w:pPr>
        <w:pStyle w:val="BodyText"/>
        <w:spacing w:line="273" w:lineRule="auto"/>
        <w:ind w:left="574" w:right="0" w:hanging="420"/>
        <w:jc w:val="left"/>
      </w:pPr>
      <w:r>
        <w:rPr/>
        <w:t>商、增值业务代理商的渠道体系，在销售体系建设方面具有较强的竞争优势。 </w:t>
      </w:r>
      <w:r>
        <w:rPr>
          <w:rFonts w:ascii="宋体" w:hAnsi="宋体" w:cs="宋体" w:eastAsia="宋体" w:hint="default"/>
          <w:spacing w:val="-1"/>
        </w:rPr>
        <w:t>2018</w:t>
      </w:r>
      <w:r>
        <w:rPr>
          <w:spacing w:val="-1"/>
        </w:rPr>
        <w:t>年，公司拥有自主知识产权专利为</w:t>
      </w:r>
      <w:r>
        <w:rPr>
          <w:rFonts w:ascii="宋体" w:hAnsi="宋体" w:cs="宋体" w:eastAsia="宋体" w:hint="default"/>
          <w:spacing w:val="-1"/>
        </w:rPr>
        <w:t>70</w:t>
      </w:r>
      <w:r>
        <w:rPr>
          <w:spacing w:val="-1"/>
        </w:rPr>
        <w:t>项，本年度新增</w:t>
      </w:r>
      <w:r>
        <w:rPr>
          <w:rFonts w:ascii="宋体" w:hAnsi="宋体" w:cs="宋体" w:eastAsia="宋体" w:hint="default"/>
          <w:spacing w:val="-1"/>
        </w:rPr>
        <w:t>27</w:t>
      </w:r>
      <w:r>
        <w:rPr>
          <w:spacing w:val="-1"/>
        </w:rPr>
        <w:t>项。重点分布在车联网、可信计算、智能</w:t>
      </w:r>
    </w:p>
    <w:p>
      <w:pPr>
        <w:pStyle w:val="BodyText"/>
        <w:spacing w:line="273" w:lineRule="auto"/>
        <w:ind w:right="0"/>
        <w:jc w:val="left"/>
      </w:pPr>
      <w:r>
        <w:rPr/>
        <w:t>制造和行业应用领域。公司研发体系具有优秀的开源软件研发能力，可信服务器产品已经通过了国家质检 局</w:t>
      </w:r>
      <w:r>
        <w:rPr>
          <w:rFonts w:ascii="宋体" w:hAnsi="宋体" w:cs="宋体" w:eastAsia="宋体" w:hint="default"/>
        </w:rPr>
        <w:t>3C</w:t>
      </w:r>
      <w:r>
        <w:rPr/>
        <w:t>认证和国家病毒防治产品检测中心检测，并获得了公安部颁发的反间谍木马类安全产品销售许可证，</w:t>
      </w:r>
      <w:r>
        <w:rPr>
          <w:spacing w:val="-35"/>
        </w:rPr>
        <w:t> </w:t>
      </w:r>
      <w:r>
        <w:rPr>
          <w:spacing w:val="-35"/>
        </w:rPr>
      </w:r>
      <w:r>
        <w:rPr/>
        <w:t>具备了产品推广基础。</w:t>
      </w:r>
    </w:p>
    <w:p>
      <w:pPr>
        <w:pStyle w:val="BodyText"/>
        <w:spacing w:line="273" w:lineRule="auto" w:before="8"/>
        <w:ind w:left="574" w:right="0"/>
        <w:jc w:val="left"/>
      </w:pPr>
      <w:r>
        <w:rPr>
          <w:rFonts w:ascii="宋体" w:hAnsi="宋体" w:cs="宋体" w:eastAsia="宋体" w:hint="default"/>
        </w:rPr>
        <w:t>2</w:t>
      </w:r>
      <w:r>
        <w:rPr/>
        <w:t>、信息服务业务 </w:t>
      </w:r>
      <w:r>
        <w:rPr>
          <w:spacing w:val="-1"/>
        </w:rPr>
        <w:t>作为一家通信领域高科技上市企业，在电信增值业务领域的技术创新、系统运行稳定性、产品服务完</w:t>
      </w:r>
    </w:p>
    <w:p>
      <w:pPr>
        <w:pStyle w:val="BodyText"/>
        <w:spacing w:line="273" w:lineRule="auto"/>
        <w:ind w:right="0"/>
        <w:jc w:val="left"/>
      </w:pPr>
      <w:r>
        <w:rPr>
          <w:spacing w:val="-1"/>
        </w:rPr>
        <w:t>整性等方面公司与一般互联网企业相比具有明显优势。在通讯服务、车主服务、加油服务、支付业务、软</w:t>
      </w:r>
      <w:r>
        <w:rPr>
          <w:spacing w:val="-83"/>
        </w:rPr>
        <w:t> </w:t>
      </w:r>
      <w:r>
        <w:rPr>
          <w:spacing w:val="-83"/>
        </w:rPr>
      </w:r>
      <w:r>
        <w:rPr>
          <w:spacing w:val="-1"/>
        </w:rPr>
        <w:t>件集成方面拥有强大的技术团队以及开发经验，可为用户提供各种优质的产品和服务；同时还可完成基础</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4" w:right="0" w:hanging="420"/>
        <w:jc w:val="left"/>
      </w:pPr>
      <w:r>
        <w:rPr/>
        <w:t>运营商在各项业务平台的委托开发、运行维护乃至合作运营领域展开更高层面、更深程度的合作。 </w:t>
      </w:r>
      <w:r>
        <w:rPr>
          <w:spacing w:val="-1"/>
        </w:rPr>
        <w:t>公司近十年持续经营发展电信增值业务，与运营商相关部门长期的业务合作关系奠定了良好的合作基</w:t>
      </w:r>
    </w:p>
    <w:p>
      <w:pPr>
        <w:pStyle w:val="BodyText"/>
        <w:spacing w:line="273" w:lineRule="auto"/>
        <w:ind w:right="0"/>
        <w:jc w:val="left"/>
      </w:pPr>
      <w:r>
        <w:rPr>
          <w:spacing w:val="-1"/>
        </w:rPr>
        <w:t>础，深入了解运营商增值业务的发展思路和经营模式。积累了一批长期合作的下游渠道合作伙伴，具有数</w:t>
      </w:r>
      <w:r>
        <w:rPr>
          <w:spacing w:val="-83"/>
        </w:rPr>
        <w:t> </w:t>
      </w:r>
      <w:r>
        <w:rPr>
          <w:spacing w:val="-83"/>
        </w:rPr>
      </w:r>
      <w:r>
        <w:rPr/>
        <w:t>字内容领域产品的整合能力。</w:t>
      </w:r>
    </w:p>
    <w:p>
      <w:pPr>
        <w:pStyle w:val="BodyText"/>
        <w:spacing w:line="273" w:lineRule="auto" w:before="8"/>
        <w:ind w:right="0" w:firstLine="420"/>
        <w:jc w:val="left"/>
      </w:pPr>
      <w:r>
        <w:rPr>
          <w:spacing w:val="-1"/>
        </w:rPr>
        <w:t>公司有效地将移动互联网传媒特性与央视财经官媒特性有机结合，在保持权威性和政治性的同时发展</w:t>
      </w:r>
      <w:r>
        <w:rPr/>
        <w:t> 新媒体传播优势。</w:t>
      </w:r>
    </w:p>
    <w:p>
      <w:pPr>
        <w:pStyle w:val="BodyText"/>
        <w:spacing w:line="273" w:lineRule="auto"/>
        <w:ind w:left="574" w:right="0"/>
        <w:jc w:val="left"/>
      </w:pPr>
      <w:r>
        <w:rPr>
          <w:rFonts w:ascii="宋体" w:hAnsi="宋体" w:cs="宋体" w:eastAsia="宋体" w:hint="default"/>
        </w:rPr>
        <w:t>3</w:t>
      </w:r>
      <w:r>
        <w:rPr/>
        <w:t>、</w:t>
      </w:r>
      <w:r>
        <w:rPr>
          <w:rFonts w:ascii="宋体" w:hAnsi="宋体" w:cs="宋体" w:eastAsia="宋体" w:hint="default"/>
        </w:rPr>
        <w:t>IT</w:t>
      </w:r>
      <w:r>
        <w:rPr/>
        <w:t>销售业务 </w:t>
      </w:r>
      <w:r>
        <w:rPr>
          <w:rFonts w:ascii="宋体" w:hAnsi="宋体" w:cs="宋体" w:eastAsia="宋体" w:hint="default"/>
          <w:spacing w:val="-1"/>
        </w:rPr>
        <w:t>IT</w:t>
      </w:r>
      <w:r>
        <w:rPr>
          <w:spacing w:val="-1"/>
        </w:rPr>
        <w:t>分销业务方面，在</w:t>
      </w:r>
      <w:r>
        <w:rPr>
          <w:rFonts w:ascii="宋体" w:hAnsi="宋体" w:cs="宋体" w:eastAsia="宋体" w:hint="default"/>
          <w:spacing w:val="-1"/>
        </w:rPr>
        <w:t>3C</w:t>
      </w:r>
      <w:r>
        <w:rPr>
          <w:spacing w:val="-1"/>
        </w:rPr>
        <w:t>卖场有着渠道和产品的优势，公司常年和苏宁电器、京东等国内优质的终端销</w:t>
      </w:r>
    </w:p>
    <w:p>
      <w:pPr>
        <w:pStyle w:val="BodyText"/>
        <w:spacing w:line="273" w:lineRule="auto"/>
        <w:ind w:right="1118"/>
        <w:jc w:val="left"/>
      </w:pPr>
      <w:r>
        <w:rPr>
          <w:spacing w:val="-1"/>
        </w:rPr>
        <w:t>售商进行合作，相互结成战略合作伙伴关系，公司的管理团队在</w:t>
      </w:r>
      <w:r>
        <w:rPr>
          <w:rFonts w:ascii="宋体" w:hAnsi="宋体" w:cs="宋体" w:eastAsia="宋体" w:hint="default"/>
          <w:spacing w:val="-1"/>
        </w:rPr>
        <w:t>IT</w:t>
      </w:r>
      <w:r>
        <w:rPr>
          <w:spacing w:val="-1"/>
        </w:rPr>
        <w:t>供应链服务业务方面有着丰厚的资源和</w:t>
      </w:r>
      <w:r>
        <w:rPr>
          <w:spacing w:val="-82"/>
        </w:rPr>
        <w:t> </w:t>
      </w:r>
      <w:r>
        <w:rPr>
          <w:spacing w:val="-82"/>
        </w:rPr>
      </w:r>
      <w:r>
        <w:rPr/>
        <w:t>经验。</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0" w:firstLine="420"/>
        <w:jc w:val="both"/>
      </w:pPr>
      <w:r>
        <w:rPr>
          <w:spacing w:val="-1"/>
        </w:rPr>
        <w:t>报告期内，公司致力发展成为优秀的“面向企业信息化应用的物联网和融合通信技术、产品的服务提</w:t>
      </w:r>
      <w:r>
        <w:rPr/>
        <w:t> </w:t>
      </w:r>
      <w:r>
        <w:rPr>
          <w:spacing w:val="-1"/>
        </w:rPr>
        <w:t>供商”与“面向广大个体消费群体的移动互联网和互联网支撑的服务提供商”。目前，公司形成了企业信</w:t>
      </w:r>
      <w:r>
        <w:rPr>
          <w:spacing w:val="-82"/>
        </w:rPr>
        <w:t> </w:t>
      </w:r>
      <w:r>
        <w:rPr>
          <w:spacing w:val="-82"/>
        </w:rPr>
      </w:r>
      <w:r>
        <w:rPr>
          <w:spacing w:val="-1"/>
        </w:rPr>
        <w:t>息化、信息服务和</w:t>
      </w:r>
      <w:r>
        <w:rPr>
          <w:rFonts w:ascii="宋体" w:hAnsi="宋体" w:cs="宋体" w:eastAsia="宋体" w:hint="default"/>
          <w:spacing w:val="-1"/>
        </w:rPr>
        <w:t>IT</w:t>
      </w:r>
      <w:r>
        <w:rPr>
          <w:spacing w:val="-1"/>
        </w:rPr>
        <w:t>销售三大业务板块，同时，在车联网、信息安全等战略新兴产业领域也展开了较有深</w:t>
      </w:r>
      <w:r>
        <w:rPr>
          <w:spacing w:val="-87"/>
        </w:rPr>
        <w:t> </w:t>
      </w:r>
      <w:r>
        <w:rPr>
          <w:spacing w:val="-87"/>
        </w:rPr>
      </w:r>
      <w:r>
        <w:rPr>
          <w:spacing w:val="-1"/>
        </w:rPr>
        <w:t>度的研究和探索。报告期内，公司逐步提升核心竞争力和盈利能力，在生产经营中深入贯彻落实科学发展</w:t>
      </w:r>
      <w:r>
        <w:rPr>
          <w:spacing w:val="-83"/>
        </w:rPr>
        <w:t> </w:t>
      </w:r>
      <w:r>
        <w:rPr>
          <w:spacing w:val="-83"/>
        </w:rPr>
      </w:r>
      <w:r>
        <w:rPr/>
        <w:t>观，提质增效，推动了三个业务板块稳健发展。</w:t>
      </w:r>
    </w:p>
    <w:p>
      <w:pPr>
        <w:pStyle w:val="BodyText"/>
        <w:spacing w:line="240" w:lineRule="auto"/>
        <w:ind w:left="574" w:right="0"/>
        <w:jc w:val="left"/>
      </w:pPr>
      <w:r>
        <w:rPr>
          <w:rFonts w:ascii="宋体" w:hAnsi="宋体" w:cs="宋体" w:eastAsia="宋体" w:hint="default"/>
        </w:rPr>
        <w:t>2018</w:t>
      </w:r>
      <w:r>
        <w:rPr>
          <w:rFonts w:ascii="宋体" w:hAnsi="宋体" w:cs="宋体" w:eastAsia="宋体" w:hint="default"/>
          <w:spacing w:val="-65"/>
        </w:rPr>
        <w:t> </w:t>
      </w:r>
      <w:r>
        <w:rPr/>
        <w:t>年</w:t>
      </w:r>
      <w:r>
        <w:rPr>
          <w:spacing w:val="-66"/>
        </w:rPr>
        <w:t> </w:t>
      </w:r>
      <w:r>
        <w:rPr/>
        <w:t>度</w:t>
      </w:r>
      <w:r>
        <w:rPr>
          <w:spacing w:val="-66"/>
        </w:rPr>
        <w:t> </w:t>
      </w:r>
      <w:r>
        <w:rPr/>
        <w:t>公</w:t>
      </w:r>
      <w:r>
        <w:rPr>
          <w:spacing w:val="-67"/>
        </w:rPr>
        <w:t> </w:t>
      </w:r>
      <w:r>
        <w:rPr/>
        <w:t>司</w:t>
      </w:r>
      <w:r>
        <w:rPr>
          <w:spacing w:val="-66"/>
        </w:rPr>
        <w:t> </w:t>
      </w:r>
      <w:r>
        <w:rPr/>
        <w:t>实</w:t>
      </w:r>
      <w:r>
        <w:rPr>
          <w:spacing w:val="-66"/>
        </w:rPr>
        <w:t> </w:t>
      </w:r>
      <w:r>
        <w:rPr/>
        <w:t>现</w:t>
      </w:r>
      <w:r>
        <w:rPr>
          <w:spacing w:val="-66"/>
        </w:rPr>
        <w:t> </w:t>
      </w:r>
      <w:r>
        <w:rPr/>
        <w:t>营</w:t>
      </w:r>
      <w:r>
        <w:rPr>
          <w:spacing w:val="-67"/>
        </w:rPr>
        <w:t> </w:t>
      </w:r>
      <w:r>
        <w:rPr/>
        <w:t>业</w:t>
      </w:r>
      <w:r>
        <w:rPr>
          <w:spacing w:val="-66"/>
        </w:rPr>
        <w:t> </w:t>
      </w:r>
      <w:r>
        <w:rPr/>
        <w:t>收</w:t>
      </w:r>
      <w:r>
        <w:rPr>
          <w:spacing w:val="-66"/>
        </w:rPr>
        <w:t> </w:t>
      </w:r>
      <w:r>
        <w:rPr/>
        <w:t>入</w:t>
      </w:r>
      <w:r>
        <w:rPr>
          <w:spacing w:val="-64"/>
        </w:rPr>
        <w:t> </w:t>
      </w:r>
      <w:r>
        <w:rPr>
          <w:rFonts w:ascii="宋体" w:hAnsi="宋体" w:cs="宋体" w:eastAsia="宋体" w:hint="default"/>
        </w:rPr>
        <w:t>9,264,669,159.73</w:t>
      </w:r>
      <w:r>
        <w:rPr>
          <w:rFonts w:ascii="宋体" w:hAnsi="宋体" w:cs="宋体" w:eastAsia="宋体" w:hint="default"/>
          <w:spacing w:val="-65"/>
        </w:rPr>
        <w:t> </w:t>
      </w:r>
      <w:r>
        <w:rPr/>
        <w:t>元</w:t>
      </w:r>
      <w:r>
        <w:rPr>
          <w:spacing w:val="-66"/>
        </w:rPr>
        <w:t> </w:t>
      </w:r>
      <w:r>
        <w:rPr/>
        <w:t>，</w:t>
      </w:r>
      <w:r>
        <w:rPr>
          <w:spacing w:val="-67"/>
        </w:rPr>
        <w:t> </w:t>
      </w:r>
      <w:r>
        <w:rPr/>
        <w:t>比</w:t>
      </w:r>
      <w:r>
        <w:rPr>
          <w:spacing w:val="-66"/>
        </w:rPr>
        <w:t> </w:t>
      </w:r>
      <w:r>
        <w:rPr/>
        <w:t>上</w:t>
      </w:r>
      <w:r>
        <w:rPr>
          <w:spacing w:val="-67"/>
        </w:rPr>
        <w:t> </w:t>
      </w:r>
      <w:r>
        <w:rPr/>
        <w:t>年</w:t>
      </w:r>
      <w:r>
        <w:rPr>
          <w:spacing w:val="-66"/>
        </w:rPr>
        <w:t> </w:t>
      </w:r>
      <w:r>
        <w:rPr/>
        <w:t>同</w:t>
      </w:r>
      <w:r>
        <w:rPr>
          <w:spacing w:val="-66"/>
        </w:rPr>
        <w:t> </w:t>
      </w:r>
      <w:r>
        <w:rPr/>
        <w:t>期</w:t>
      </w:r>
      <w:r>
        <w:rPr>
          <w:spacing w:val="-66"/>
        </w:rPr>
        <w:t> </w:t>
      </w:r>
      <w:r>
        <w:rPr/>
        <w:t>增</w:t>
      </w:r>
      <w:r>
        <w:rPr>
          <w:spacing w:val="-67"/>
        </w:rPr>
        <w:t> </w:t>
      </w:r>
      <w:r>
        <w:rPr/>
        <w:t>长</w:t>
      </w:r>
      <w:r>
        <w:rPr>
          <w:spacing w:val="-64"/>
        </w:rPr>
        <w:t> </w:t>
      </w:r>
      <w:r>
        <w:rPr>
          <w:rFonts w:ascii="宋体" w:hAnsi="宋体" w:cs="宋体" w:eastAsia="宋体" w:hint="default"/>
        </w:rPr>
        <w:t>3.22%</w:t>
      </w:r>
      <w:r>
        <w:rPr>
          <w:rFonts w:ascii="宋体" w:hAnsi="宋体" w:cs="宋体" w:eastAsia="宋体" w:hint="default"/>
          <w:spacing w:val="-65"/>
        </w:rPr>
        <w:t> </w:t>
      </w:r>
      <w:r>
        <w:rPr/>
        <w:t>；</w:t>
      </w:r>
      <w:r>
        <w:rPr>
          <w:spacing w:val="-67"/>
        </w:rPr>
        <w:t> </w:t>
      </w:r>
      <w:r>
        <w:rPr/>
        <w:t>实</w:t>
      </w:r>
      <w:r>
        <w:rPr>
          <w:spacing w:val="-66"/>
        </w:rPr>
        <w:t> </w:t>
      </w:r>
      <w:r>
        <w:rPr/>
        <w:t>现</w:t>
      </w:r>
      <w:r>
        <w:rPr>
          <w:spacing w:val="-66"/>
        </w:rPr>
        <w:t> </w:t>
      </w:r>
      <w:r>
        <w:rPr/>
        <w:t>利</w:t>
      </w:r>
      <w:r>
        <w:rPr>
          <w:spacing w:val="-66"/>
        </w:rPr>
        <w:t> </w:t>
      </w:r>
      <w:r>
        <w:rPr/>
        <w:t>润</w:t>
      </w:r>
      <w:r>
        <w:rPr>
          <w:spacing w:val="-67"/>
        </w:rPr>
        <w:t> </w:t>
      </w:r>
      <w:r>
        <w:rPr/>
        <w:t>总</w:t>
      </w:r>
      <w:r>
        <w:rPr>
          <w:spacing w:val="-66"/>
        </w:rPr>
        <w:t> </w:t>
      </w:r>
      <w:r>
        <w:rPr/>
        <w:t>额</w:t>
      </w:r>
    </w:p>
    <w:p>
      <w:pPr>
        <w:pStyle w:val="BodyText"/>
        <w:spacing w:line="273" w:lineRule="auto" w:before="37"/>
        <w:ind w:right="1129"/>
        <w:jc w:val="both"/>
      </w:pPr>
      <w:r>
        <w:rPr>
          <w:rFonts w:ascii="宋体" w:hAnsi="宋体" w:cs="宋体" w:eastAsia="宋体" w:hint="default"/>
        </w:rPr>
        <w:t>94,591,029.72</w:t>
      </w:r>
      <w:r>
        <w:rPr/>
        <w:t>元，较上年同期下降</w:t>
      </w:r>
      <w:r>
        <w:rPr>
          <w:rFonts w:ascii="宋体" w:hAnsi="宋体" w:cs="宋体" w:eastAsia="宋体" w:hint="default"/>
        </w:rPr>
        <w:t>-61.29%</w:t>
      </w:r>
      <w:r>
        <w:rPr/>
        <w:t>；归属于母公司净利润实现</w:t>
      </w:r>
      <w:r>
        <w:rPr>
          <w:rFonts w:ascii="宋体" w:hAnsi="宋体" w:cs="宋体" w:eastAsia="宋体" w:hint="default"/>
        </w:rPr>
        <w:t>33,964,915.63</w:t>
      </w:r>
      <w:r>
        <w:rPr/>
        <w:t>元，较上年同期下</w:t>
      </w:r>
      <w:r>
        <w:rPr>
          <w:spacing w:val="-34"/>
        </w:rPr>
        <w:t> </w:t>
      </w:r>
      <w:r>
        <w:rPr>
          <w:spacing w:val="-34"/>
        </w:rPr>
      </w:r>
      <w:r>
        <w:rPr>
          <w:spacing w:val="-1"/>
        </w:rPr>
        <w:t>降</w:t>
      </w:r>
      <w:r>
        <w:rPr>
          <w:rFonts w:ascii="宋体" w:hAnsi="宋体" w:cs="宋体" w:eastAsia="宋体" w:hint="default"/>
          <w:spacing w:val="-1"/>
        </w:rPr>
        <w:t>-81.06%</w:t>
      </w:r>
      <w:r>
        <w:rPr>
          <w:spacing w:val="-1"/>
        </w:rPr>
        <w:t>，主要原因是</w:t>
      </w:r>
      <w:r>
        <w:rPr>
          <w:rFonts w:ascii="宋体" w:hAnsi="宋体" w:cs="宋体" w:eastAsia="宋体" w:hint="default"/>
          <w:spacing w:val="-1"/>
        </w:rPr>
        <w:t>2017</w:t>
      </w:r>
      <w:r>
        <w:rPr>
          <w:spacing w:val="-1"/>
        </w:rPr>
        <w:t>年公司业务调整</w:t>
      </w:r>
      <w:r>
        <w:rPr>
          <w:rFonts w:ascii="宋体" w:hAnsi="宋体" w:cs="宋体" w:eastAsia="宋体" w:hint="default"/>
          <w:spacing w:val="-1"/>
        </w:rPr>
        <w:t>,</w:t>
      </w:r>
      <w:r>
        <w:rPr>
          <w:spacing w:val="-1"/>
        </w:rPr>
        <w:t>利润已有下滑，但</w:t>
      </w:r>
      <w:r>
        <w:rPr>
          <w:rFonts w:ascii="宋体" w:hAnsi="宋体" w:cs="宋体" w:eastAsia="宋体" w:hint="default"/>
          <w:spacing w:val="-1"/>
        </w:rPr>
        <w:t>2017</w:t>
      </w:r>
      <w:r>
        <w:rPr>
          <w:spacing w:val="-1"/>
        </w:rPr>
        <w:t>年公司转让一九付支付公司形成投资</w:t>
      </w:r>
      <w:r>
        <w:rPr>
          <w:spacing w:val="-80"/>
        </w:rPr>
        <w:t> </w:t>
      </w:r>
      <w:r>
        <w:rPr>
          <w:spacing w:val="-80"/>
        </w:rPr>
      </w:r>
      <w:r>
        <w:rPr/>
        <w:t>收益</w:t>
      </w:r>
      <w:r>
        <w:rPr>
          <w:rFonts w:ascii="宋体" w:hAnsi="宋体" w:cs="宋体" w:eastAsia="宋体" w:hint="default"/>
        </w:rPr>
        <w:t>2.28</w:t>
      </w:r>
      <w:r>
        <w:rPr/>
        <w:t>亿元。经营活动产生的现金流量净额为</w:t>
      </w:r>
      <w:r>
        <w:rPr>
          <w:rFonts w:ascii="宋体" w:hAnsi="宋体" w:cs="宋体" w:eastAsia="宋体" w:hint="default"/>
        </w:rPr>
        <w:t>-464,868,210.58</w:t>
      </w:r>
      <w:r>
        <w:rPr/>
        <w:t>元，较上年同期降低</w:t>
      </w:r>
      <w:r>
        <w:rPr>
          <w:rFonts w:ascii="宋体" w:hAnsi="宋体" w:cs="宋体" w:eastAsia="宋体" w:hint="default"/>
        </w:rPr>
        <w:t>-376.18%</w:t>
      </w:r>
      <w:r>
        <w:rPr/>
        <w:t>；主要因</w:t>
      </w:r>
      <w:r>
        <w:rPr>
          <w:spacing w:val="-29"/>
        </w:rPr>
        <w:t> </w:t>
      </w:r>
      <w:r>
        <w:rPr>
          <w:spacing w:val="-1"/>
        </w:rPr>
        <w:t>国内经济下行压力持续加大，所处行业的市场竞争继续加剧，公司企业信息化、</w:t>
      </w:r>
      <w:r>
        <w:rPr>
          <w:rFonts w:ascii="宋体" w:hAnsi="宋体" w:cs="宋体" w:eastAsia="宋体" w:hint="default"/>
          <w:spacing w:val="-1"/>
        </w:rPr>
        <w:t>IT</w:t>
      </w:r>
      <w:r>
        <w:rPr>
          <w:spacing w:val="-1"/>
        </w:rPr>
        <w:t>销售业务收入回款有所</w:t>
      </w:r>
      <w:r>
        <w:rPr>
          <w:spacing w:val="-84"/>
        </w:rPr>
        <w:t> </w:t>
      </w:r>
      <w:r>
        <w:rPr>
          <w:spacing w:val="-84"/>
        </w:rPr>
      </w:r>
      <w:r>
        <w:rPr/>
        <w:t>滞后所致。</w:t>
      </w:r>
    </w:p>
    <w:p>
      <w:pPr>
        <w:pStyle w:val="BodyText"/>
        <w:spacing w:line="273" w:lineRule="auto"/>
        <w:ind w:right="1130" w:firstLine="420"/>
        <w:jc w:val="both"/>
      </w:pPr>
      <w:r>
        <w:rPr>
          <w:spacing w:val="-1"/>
        </w:rPr>
        <w:t>公司在</w:t>
      </w:r>
      <w:r>
        <w:rPr>
          <w:rFonts w:ascii="宋体" w:hAnsi="宋体" w:cs="宋体" w:eastAsia="宋体" w:hint="default"/>
          <w:spacing w:val="-1"/>
        </w:rPr>
        <w:t>2016</w:t>
      </w:r>
      <w:r>
        <w:rPr>
          <w:spacing w:val="-1"/>
        </w:rPr>
        <w:t>年已针对部分原有业务毛利率可能面临下滑的风险着手深度挖掘客户，拓展新业务，同时</w:t>
      </w:r>
      <w:r>
        <w:rPr/>
        <w:t> </w:t>
      </w:r>
      <w:r>
        <w:rPr>
          <w:spacing w:val="-1"/>
        </w:rPr>
        <w:t>开始转型公司业务，努力向高毛利率的企业信息化业务、信息服务业务倾斜，收缩毛利率较低的</w:t>
      </w:r>
      <w:r>
        <w:rPr>
          <w:rFonts w:ascii="宋体" w:hAnsi="宋体" w:cs="宋体" w:eastAsia="宋体" w:hint="default"/>
          <w:spacing w:val="-1"/>
        </w:rPr>
        <w:t>IT</w:t>
      </w:r>
      <w:r>
        <w:rPr>
          <w:spacing w:val="-1"/>
        </w:rPr>
        <w:t>销售业</w:t>
      </w:r>
      <w:r>
        <w:rPr>
          <w:spacing w:val="-84"/>
        </w:rPr>
        <w:t> </w:t>
      </w:r>
      <w:r>
        <w:rPr>
          <w:spacing w:val="-84"/>
        </w:rPr>
      </w:r>
      <w:r>
        <w:rPr>
          <w:spacing w:val="-1"/>
        </w:rPr>
        <w:t>务。企业信息化业务收入近三年以来逐年上升，毛利率维持在</w:t>
      </w:r>
      <w:r>
        <w:rPr>
          <w:rFonts w:ascii="宋体" w:hAnsi="宋体" w:cs="宋体" w:eastAsia="宋体" w:hint="default"/>
          <w:spacing w:val="-1"/>
        </w:rPr>
        <w:t>10%</w:t>
      </w:r>
      <w:r>
        <w:rPr>
          <w:spacing w:val="-1"/>
        </w:rPr>
        <w:t>至</w:t>
      </w:r>
      <w:r>
        <w:rPr>
          <w:rFonts w:ascii="宋体" w:hAnsi="宋体" w:cs="宋体" w:eastAsia="宋体" w:hint="default"/>
          <w:spacing w:val="-1"/>
        </w:rPr>
        <w:t>11%</w:t>
      </w:r>
      <w:r>
        <w:rPr>
          <w:spacing w:val="-1"/>
        </w:rPr>
        <w:t>之间。</w:t>
      </w:r>
      <w:r>
        <w:rPr>
          <w:rFonts w:ascii="宋体" w:hAnsi="宋体" w:cs="宋体" w:eastAsia="宋体" w:hint="default"/>
          <w:spacing w:val="-1"/>
        </w:rPr>
        <w:t>2018</w:t>
      </w:r>
      <w:r>
        <w:rPr>
          <w:spacing w:val="-1"/>
        </w:rPr>
        <w:t>年受整体经济环境影响</w:t>
      </w:r>
      <w:r>
        <w:rPr>
          <w:spacing w:val="-81"/>
        </w:rPr>
        <w:t> </w:t>
      </w:r>
      <w:r>
        <w:rPr/>
        <w:t>以及公司业务转型，新业务前期投入较高但尚未产生规模收益。</w:t>
      </w:r>
    </w:p>
    <w:p>
      <w:pPr>
        <w:pStyle w:val="BodyText"/>
        <w:spacing w:line="273" w:lineRule="auto"/>
        <w:ind w:right="1133" w:firstLine="420"/>
        <w:jc w:val="both"/>
      </w:pPr>
      <w:r>
        <w:rPr>
          <w:spacing w:val="-1"/>
        </w:rPr>
        <w:t>报告期内，坚持稳中求变的总基调，以增强实业、整合资源为经营方针，公司业务逐步转型，三个业</w:t>
      </w:r>
      <w:r>
        <w:rPr/>
        <w:t> 务板块持续推进。</w:t>
      </w:r>
    </w:p>
    <w:p>
      <w:pPr>
        <w:pStyle w:val="BodyText"/>
        <w:spacing w:line="273" w:lineRule="auto"/>
        <w:ind w:left="574" w:right="0"/>
        <w:jc w:val="left"/>
      </w:pPr>
      <w:r>
        <w:rPr/>
        <w:t>（一）企业信息化业务 </w:t>
      </w:r>
      <w:r>
        <w:rPr>
          <w:spacing w:val="-1"/>
        </w:rPr>
        <w:t>本报告期企业信息化业务收入为</w:t>
      </w:r>
      <w:r>
        <w:rPr>
          <w:rFonts w:ascii="宋体" w:hAnsi="宋体" w:cs="宋体" w:eastAsia="宋体" w:hint="default"/>
          <w:spacing w:val="-1"/>
        </w:rPr>
        <w:t>3,098,752,494.04</w:t>
      </w:r>
      <w:r>
        <w:rPr>
          <w:spacing w:val="-1"/>
        </w:rPr>
        <w:t>元，较上年同期增长</w:t>
      </w:r>
      <w:r>
        <w:rPr>
          <w:rFonts w:ascii="宋体" w:hAnsi="宋体" w:cs="宋体" w:eastAsia="宋体" w:hint="default"/>
          <w:spacing w:val="-1"/>
        </w:rPr>
        <w:t>22.26%</w:t>
      </w:r>
      <w:r>
        <w:rPr>
          <w:spacing w:val="-1"/>
        </w:rPr>
        <w:t>，毛利率为</w:t>
      </w:r>
      <w:r>
        <w:rPr>
          <w:rFonts w:ascii="宋体" w:hAnsi="宋体" w:cs="宋体" w:eastAsia="宋体" w:hint="default"/>
          <w:spacing w:val="-1"/>
        </w:rPr>
        <w:t>11.04%</w:t>
      </w:r>
      <w:r>
        <w:rPr>
          <w:spacing w:val="-1"/>
        </w:rPr>
        <w:t>，较</w:t>
      </w:r>
      <w:r>
        <w:rPr/>
      </w:r>
    </w:p>
    <w:p>
      <w:pPr>
        <w:pStyle w:val="BodyText"/>
        <w:spacing w:line="273" w:lineRule="auto"/>
        <w:ind w:left="574" w:right="8757" w:hanging="420"/>
        <w:jc w:val="left"/>
      </w:pPr>
      <w:r>
        <w:rPr/>
        <w:t>上年同期增长</w:t>
      </w:r>
      <w:r>
        <w:rPr>
          <w:rFonts w:ascii="宋体" w:hAnsi="宋体" w:cs="宋体" w:eastAsia="宋体" w:hint="default"/>
        </w:rPr>
        <w:t>0.26%</w:t>
      </w:r>
      <w:r>
        <w:rPr/>
        <w:t>。 </w:t>
      </w:r>
      <w:r>
        <w:rPr>
          <w:rFonts w:ascii="宋体" w:hAnsi="宋体" w:cs="宋体" w:eastAsia="宋体" w:hint="default"/>
        </w:rPr>
        <w:t>1</w:t>
      </w:r>
      <w:r>
        <w:rPr/>
        <w:t>、可信云计算</w:t>
      </w:r>
    </w:p>
    <w:p>
      <w:pPr>
        <w:pStyle w:val="BodyText"/>
        <w:spacing w:line="273" w:lineRule="auto"/>
        <w:ind w:right="1129" w:firstLine="420"/>
        <w:jc w:val="both"/>
      </w:pPr>
      <w:r>
        <w:rPr>
          <w:spacing w:val="-3"/>
        </w:rPr>
        <w:t>研发方面，北京武汉双研发中心运行，形成涵盖硬件、</w:t>
      </w:r>
      <w:r>
        <w:rPr>
          <w:rFonts w:ascii="宋体" w:hAnsi="宋体" w:cs="宋体" w:eastAsia="宋体" w:hint="default"/>
          <w:spacing w:val="-3"/>
        </w:rPr>
        <w:t>BMC</w:t>
      </w:r>
      <w:r>
        <w:rPr>
          <w:spacing w:val="-3"/>
        </w:rPr>
        <w:t>、</w:t>
      </w:r>
      <w:r>
        <w:rPr>
          <w:rFonts w:ascii="宋体" w:hAnsi="宋体" w:cs="宋体" w:eastAsia="宋体" w:hint="default"/>
          <w:spacing w:val="-3"/>
        </w:rPr>
        <w:t>BIOS</w:t>
      </w:r>
      <w:r>
        <w:rPr>
          <w:spacing w:val="-3"/>
        </w:rPr>
        <w:t>、</w:t>
      </w:r>
      <w:r>
        <w:rPr>
          <w:rFonts w:ascii="宋体" w:hAnsi="宋体" w:cs="宋体" w:eastAsia="宋体" w:hint="default"/>
          <w:spacing w:val="-3"/>
        </w:rPr>
        <w:t>OS</w:t>
      </w:r>
      <w:r>
        <w:rPr>
          <w:spacing w:val="-3"/>
        </w:rPr>
        <w:t>、网络、存储、云计算、密码、</w:t>
      </w:r>
      <w:r>
        <w:rPr/>
        <w:t> 攻防、质量测试等完整可信研发人员体系；产品开发优化方面，完成了</w:t>
      </w:r>
      <w:r>
        <w:rPr>
          <w:rFonts w:ascii="宋体" w:hAnsi="宋体" w:cs="宋体" w:eastAsia="宋体" w:hint="default"/>
        </w:rPr>
        <w:t>2</w:t>
      </w:r>
      <w:r>
        <w:rPr/>
        <w:t>路</w:t>
      </w:r>
      <w:r>
        <w:rPr>
          <w:rFonts w:ascii="宋体" w:hAnsi="宋体" w:cs="宋体" w:eastAsia="宋体" w:hint="default"/>
        </w:rPr>
        <w:t>Intel</w:t>
      </w:r>
      <w:r>
        <w:rPr>
          <w:rFonts w:ascii="宋体" w:hAnsi="宋体" w:cs="宋体" w:eastAsia="宋体" w:hint="default"/>
          <w:spacing w:val="68"/>
        </w:rPr>
        <w:t> </w:t>
      </w:r>
      <w:r>
        <w:rPr>
          <w:rFonts w:ascii="宋体" w:hAnsi="宋体" w:cs="宋体" w:eastAsia="宋体" w:hint="default"/>
        </w:rPr>
        <w:t>Purley</w:t>
      </w:r>
      <w:r>
        <w:rPr/>
        <w:t>平台可信服务器</w:t>
      </w:r>
      <w:r>
        <w:rPr>
          <w:spacing w:val="-96"/>
        </w:rPr>
        <w:t> </w:t>
      </w:r>
      <w:r>
        <w:rPr>
          <w:spacing w:val="-96"/>
        </w:rPr>
      </w:r>
      <w:r>
        <w:rPr>
          <w:spacing w:val="-1"/>
        </w:rPr>
        <w:t>研发及兼容性测试，产品进入中试阶段；迭代发布操作系统可信增强系统、可信管理套件、可信云管理平</w:t>
      </w:r>
      <w:r>
        <w:rPr>
          <w:spacing w:val="-86"/>
        </w:rPr>
        <w:t> </w:t>
      </w:r>
      <w:r>
        <w:rPr>
          <w:spacing w:val="-86"/>
        </w:rPr>
      </w:r>
      <w:r>
        <w:rPr>
          <w:spacing w:val="-1"/>
        </w:rPr>
        <w:t>台、可信分布式存储管理平台和可信虚拟化系统，形成一站式交付可信云数据中心产品及方案；与行业伙</w:t>
      </w:r>
      <w:r>
        <w:rPr>
          <w:spacing w:val="-83"/>
        </w:rPr>
        <w:t> </w:t>
      </w:r>
      <w:r>
        <w:rPr>
          <w:spacing w:val="-83"/>
        </w:rPr>
      </w:r>
      <w:r>
        <w:rPr/>
        <w:t>伴共同发布可信行业应用一体机</w:t>
      </w:r>
      <w:r>
        <w:rPr>
          <w:rFonts w:ascii="宋体" w:hAnsi="宋体" w:cs="宋体" w:eastAsia="宋体" w:hint="default"/>
        </w:rPr>
        <w:t>,</w:t>
      </w:r>
      <w:r>
        <w:rPr/>
        <w:t>扩大可信产品行业应用范围。可信平台产品</w:t>
      </w:r>
      <w:r>
        <w:rPr>
          <w:rFonts w:ascii="宋体" w:hAnsi="宋体" w:cs="宋体" w:eastAsia="宋体" w:hint="default"/>
        </w:rPr>
        <w:t>V3</w:t>
      </w:r>
      <w:r>
        <w:rPr/>
        <w:t>、可信终端</w:t>
      </w:r>
      <w:r>
        <w:rPr>
          <w:rFonts w:ascii="宋体" w:hAnsi="宋体" w:cs="宋体" w:eastAsia="宋体" w:hint="default"/>
        </w:rPr>
        <w:t>V3</w:t>
      </w:r>
      <w:r>
        <w:rPr/>
        <w:t>产品获得了</w:t>
      </w:r>
      <w:r>
        <w:rPr>
          <w:spacing w:val="-26"/>
        </w:rPr>
        <w:t> </w:t>
      </w:r>
      <w:r>
        <w:rPr>
          <w:spacing w:val="-26"/>
        </w:rPr>
      </w:r>
      <w:r>
        <w:rPr>
          <w:spacing w:val="-1"/>
        </w:rPr>
        <w:t>公安部反间谍木马类安全专用产品销售许可证。市场方面，重点拓展金山云、京东、美团、网易在线私有</w:t>
      </w:r>
      <w:r>
        <w:rPr>
          <w:spacing w:val="-83"/>
        </w:rPr>
        <w:t> </w:t>
      </w:r>
      <w:r>
        <w:rPr>
          <w:spacing w:val="-83"/>
        </w:rPr>
      </w:r>
      <w:r>
        <w:rPr/>
        <w:t>云计算机及网络集成；同时基于核心技术大力拓展部分应用领域（金融、智慧医疗、“央企云”）。</w:t>
      </w:r>
    </w:p>
    <w:p>
      <w:pPr>
        <w:pStyle w:val="BodyText"/>
        <w:spacing w:line="240" w:lineRule="auto"/>
        <w:ind w:left="574" w:right="0"/>
        <w:jc w:val="left"/>
      </w:pPr>
      <w:r>
        <w:rPr>
          <w:rFonts w:ascii="宋体" w:hAnsi="宋体" w:cs="宋体" w:eastAsia="宋体" w:hint="default"/>
        </w:rPr>
        <w:t>2</w:t>
      </w:r>
      <w:r>
        <w:rPr/>
        <w:t>、</w:t>
      </w:r>
      <w:r>
        <w:rPr>
          <w:rFonts w:ascii="宋体" w:hAnsi="宋体" w:cs="宋体" w:eastAsia="宋体" w:hint="default"/>
        </w:rPr>
        <w:t>LTE-V</w:t>
      </w:r>
      <w:r>
        <w:rPr/>
        <w:t>车联网业务</w:t>
      </w:r>
    </w:p>
    <w:p>
      <w:pPr>
        <w:pStyle w:val="BodyText"/>
        <w:spacing w:line="271" w:lineRule="auto" w:before="37"/>
        <w:ind w:right="0" w:firstLine="420"/>
        <w:jc w:val="left"/>
      </w:pPr>
      <w:r>
        <w:rPr/>
        <w:t>产品开发优化方面，公司与中国信科集团创新中心合作完成了</w:t>
      </w:r>
      <w:r>
        <w:rPr>
          <w:rFonts w:ascii="宋体" w:hAnsi="宋体" w:cs="宋体" w:eastAsia="宋体" w:hint="default"/>
        </w:rPr>
        <w:t>LTE-V</w:t>
      </w:r>
      <w:r>
        <w:rPr/>
        <w:t>通信模组的总体设计、开发和小 规模试生产；积极参与国家智能网联示范区建设，目前已完成长城汽车车联网园区和重庆示范区的建设。</w:t>
      </w:r>
      <w:r>
        <w:rPr>
          <w:spacing w:val="-35"/>
        </w:rPr>
        <w:t> </w:t>
      </w:r>
      <w:r>
        <w:rPr>
          <w:spacing w:val="-35"/>
        </w:rPr>
      </w:r>
      <w:r>
        <w:rPr/>
        <w:t>市场拓展方面，</w:t>
      </w:r>
      <w:r>
        <w:rPr>
          <w:rFonts w:ascii="宋体" w:hAnsi="宋体" w:cs="宋体" w:eastAsia="宋体" w:hint="default"/>
        </w:rPr>
        <w:t>2018</w:t>
      </w:r>
      <w:r>
        <w:rPr/>
        <w:t>年，与福特汽车进行联合测试；与高通、华为完成互联互通测试；在重庆智博会期间 支撑无人驾驶大赛；在上海嘉定完成世界首例</w:t>
      </w:r>
      <w:r>
        <w:rPr>
          <w:rFonts w:ascii="宋体" w:hAnsi="宋体" w:cs="宋体" w:eastAsia="宋体" w:hint="default"/>
        </w:rPr>
        <w:t>V2X</w:t>
      </w:r>
      <w:r>
        <w:rPr/>
        <w:t>“三跨”（即跨模组、终端、主机厂）互联互通测试，</w:t>
      </w:r>
      <w:r>
        <w:rPr>
          <w:spacing w:val="-31"/>
        </w:rPr>
        <w:t> </w:t>
      </w:r>
      <w:r>
        <w:rPr>
          <w:spacing w:val="-31"/>
        </w:rPr>
      </w:r>
      <w:r>
        <w:rPr/>
        <w:t>外场互联互通测试取得重大进展。</w:t>
      </w:r>
    </w:p>
    <w:p>
      <w:pPr>
        <w:pStyle w:val="BodyText"/>
        <w:spacing w:line="273" w:lineRule="auto" w:before="10"/>
        <w:ind w:left="574" w:right="0"/>
        <w:jc w:val="left"/>
      </w:pPr>
      <w:r>
        <w:rPr>
          <w:rFonts w:ascii="宋体" w:hAnsi="宋体" w:cs="宋体" w:eastAsia="宋体" w:hint="default"/>
        </w:rPr>
        <w:t>3</w:t>
      </w:r>
      <w:r>
        <w:rPr/>
        <w:t>、联络中心业务 主要面向政府机构、通信、金融、保险、交通、教育、医疗卫生、</w:t>
      </w:r>
      <w:r>
        <w:rPr>
          <w:rFonts w:ascii="宋体" w:hAnsi="宋体" w:cs="宋体" w:eastAsia="宋体" w:hint="default"/>
        </w:rPr>
        <w:t>O2O</w:t>
      </w:r>
      <w:r>
        <w:rPr/>
        <w:t>电子商务等行业提供呼叫中心</w:t>
      </w:r>
    </w:p>
    <w:p>
      <w:pPr>
        <w:pStyle w:val="BodyText"/>
        <w:spacing w:line="273" w:lineRule="auto"/>
        <w:ind w:right="1133"/>
        <w:jc w:val="both"/>
      </w:pPr>
      <w:r>
        <w:rPr/>
        <w:t>解决方案、云服务、</w:t>
      </w:r>
      <w:r>
        <w:rPr>
          <w:rFonts w:ascii="宋体" w:hAnsi="宋体" w:cs="宋体" w:eastAsia="宋体" w:hint="default"/>
        </w:rPr>
        <w:t>BPO</w:t>
      </w:r>
      <w:r>
        <w:rPr/>
        <w:t>服务三种服务模式，具备呼叫中心全产业链服务能力。同时公司通过服务外包业</w:t>
      </w:r>
      <w:r>
        <w:rPr>
          <w:spacing w:val="-35"/>
        </w:rPr>
        <w:t> </w:t>
      </w:r>
      <w:r>
        <w:rPr>
          <w:spacing w:val="-35"/>
        </w:rPr>
      </w:r>
      <w:r>
        <w:rPr>
          <w:spacing w:val="-1"/>
        </w:rPr>
        <w:t>务，积累大量各行业数据，打造大数据平台，为将来数据运营和精准营销奠定了基础。以呼叫中心为特色</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的产业园区，日益受到各地方政府重视，已经成为各地区发展现代服务业的重要手段。大唐融合和各地政 府建立广泛的合作关系，开创联合多家央企扶贫外包新模式，大唐融合和高鸿股份筹备以河南融合为主体 组建服务外包产业总公司，多点布局，建立面向当地特色业务的基地，聚集央企、国企和各地政府资源，</w:t>
      </w:r>
      <w:r>
        <w:rPr>
          <w:spacing w:val="-35"/>
        </w:rPr>
        <w:t> </w:t>
      </w:r>
      <w:r>
        <w:rPr>
          <w:spacing w:val="-35"/>
        </w:rPr>
      </w:r>
      <w:r>
        <w:rPr/>
        <w:t>形成全国服务网络，打造立体化营销能力，进一步提升其资金实力、股东实力、提升其服务外包业务的市</w:t>
      </w:r>
      <w:r>
        <w:rPr/>
        <w:t> 场竞争力和影响力。</w:t>
      </w:r>
    </w:p>
    <w:p>
      <w:pPr>
        <w:pStyle w:val="BodyText"/>
        <w:spacing w:line="273" w:lineRule="auto"/>
        <w:ind w:left="574" w:right="0"/>
        <w:jc w:val="left"/>
      </w:pPr>
      <w:r>
        <w:rPr>
          <w:rFonts w:ascii="宋体" w:hAnsi="宋体" w:cs="宋体" w:eastAsia="宋体" w:hint="default"/>
        </w:rPr>
        <w:t>4</w:t>
      </w:r>
      <w:r>
        <w:rPr/>
        <w:t>、智能制造业务 </w:t>
      </w:r>
      <w:r>
        <w:rPr>
          <w:spacing w:val="-1"/>
        </w:rPr>
        <w:t>智能制造业务板块依托中国制造</w:t>
      </w:r>
      <w:r>
        <w:rPr>
          <w:rFonts w:ascii="宋体" w:hAnsi="宋体" w:cs="宋体" w:eastAsia="宋体" w:hint="default"/>
          <w:spacing w:val="-1"/>
        </w:rPr>
        <w:t>2025</w:t>
      </w:r>
      <w:r>
        <w:rPr>
          <w:spacing w:val="-1"/>
        </w:rPr>
        <w:t>指引，以无锡融合和武汉融合作为主要业务载体发展智能制造业</w:t>
      </w:r>
    </w:p>
    <w:p>
      <w:pPr>
        <w:pStyle w:val="BodyText"/>
        <w:spacing w:line="273" w:lineRule="auto"/>
        <w:ind w:right="1027"/>
        <w:jc w:val="left"/>
      </w:pPr>
      <w:r>
        <w:rPr>
          <w:spacing w:val="-3"/>
        </w:rPr>
        <w:t>务。大唐融合智能制造业务板块主要围绕智能制造总体解决方案及智能制造生态圈建设及运营展开：首先，</w:t>
      </w:r>
      <w:r>
        <w:rPr>
          <w:spacing w:val="-92"/>
        </w:rPr>
        <w:t> </w:t>
      </w:r>
      <w:r>
        <w:rPr>
          <w:spacing w:val="-92"/>
        </w:rPr>
      </w:r>
      <w:r>
        <w:rPr/>
        <w:t>无锡融合通过“互联网</w:t>
      </w:r>
      <w:r>
        <w:rPr>
          <w:rFonts w:ascii="宋体" w:hAnsi="宋体" w:cs="宋体" w:eastAsia="宋体" w:hint="default"/>
        </w:rPr>
        <w:t>+</w:t>
      </w:r>
      <w:r>
        <w:rPr/>
        <w:t>智能制造”生态圈的打造，建设智能制造</w:t>
      </w:r>
      <w:r>
        <w:rPr>
          <w:rFonts w:ascii="宋体" w:hAnsi="宋体" w:cs="宋体" w:eastAsia="宋体" w:hint="default"/>
        </w:rPr>
        <w:t>IT</w:t>
      </w:r>
      <w:r>
        <w:rPr/>
        <w:t>技术服务产业链上的核心能力，为实</w:t>
      </w:r>
      <w:r>
        <w:rPr>
          <w:spacing w:val="-30"/>
        </w:rPr>
        <w:t> </w:t>
      </w:r>
      <w:r>
        <w:rPr>
          <w:spacing w:val="-30"/>
        </w:rPr>
      </w:r>
      <w:r>
        <w:rPr/>
        <w:t>现发展成为国内优秀智能制造解决方案提供商的战略目标，目前无锡融合在智能制造生态圈建设上，已引</w:t>
      </w:r>
      <w:r>
        <w:rPr/>
        <w:t> 进物联网、智能制造相关企业数十余家，通过市场和资本两方面大力促进生态圈内企业发展；携手无锡惠 山软件园在无锡举办“大唐工业互联网创新服务平台发布会”，得到当地政府的认可，从而做大智能制造 产业。第二，公司与国际工业软件公司西门子合作，以武汉融合为平台，打造“大唐</w:t>
      </w:r>
      <w:r>
        <w:rPr>
          <w:rFonts w:ascii="宋体" w:hAnsi="宋体" w:cs="宋体" w:eastAsia="宋体" w:hint="default"/>
        </w:rPr>
        <w:t>-</w:t>
      </w:r>
      <w:r>
        <w:rPr/>
        <w:t>西门子智能制造研</w:t>
      </w:r>
      <w:r>
        <w:rPr>
          <w:spacing w:val="-25"/>
        </w:rPr>
        <w:t> </w:t>
      </w:r>
      <w:r>
        <w:rPr>
          <w:spacing w:val="-25"/>
        </w:rPr>
      </w:r>
      <w:r>
        <w:rPr/>
        <w:t>发中心及公共服务平台”，开展两化融合管理体系贯标咨询服务、智能制造系统推广服务、智能制造项目</w:t>
      </w:r>
      <w:r>
        <w:rPr/>
        <w:t> 咨询服务、工业云租用服务、技术培训等业务。第三，公司将持续扩展平台子公司运营模式，依托区域资 源，培育创新业务，从而实现企业价值的最大化，未来将在东北、华南、华东、西南等区域，打造适合当 地工业企业的智能制造平台。第四，公司在智能制造业务领域持续进行研发投入，目前已开发出工业互联 </w:t>
      </w:r>
      <w:r>
        <w:rPr>
          <w:spacing w:val="-7"/>
        </w:rPr>
        <w:t>网及工业大数据平台、</w:t>
      </w:r>
      <w:r>
        <w:rPr>
          <w:rFonts w:ascii="宋体" w:hAnsi="宋体" w:cs="宋体" w:eastAsia="宋体" w:hint="default"/>
          <w:spacing w:val="-7"/>
        </w:rPr>
        <w:t>MES</w:t>
      </w:r>
      <w:r>
        <w:rPr>
          <w:spacing w:val="-7"/>
        </w:rPr>
        <w:t>（制造企业生产过程执行系统）、</w:t>
      </w:r>
      <w:r>
        <w:rPr>
          <w:rFonts w:ascii="宋体" w:hAnsi="宋体" w:cs="宋体" w:eastAsia="宋体" w:hint="default"/>
          <w:spacing w:val="-7"/>
        </w:rPr>
        <w:t>WMS</w:t>
      </w:r>
      <w:r>
        <w:rPr>
          <w:spacing w:val="-7"/>
        </w:rPr>
        <w:t>（仓储管理系统）、</w:t>
      </w:r>
      <w:r>
        <w:rPr>
          <w:rFonts w:ascii="宋体" w:hAnsi="宋体" w:cs="宋体" w:eastAsia="宋体" w:hint="default"/>
          <w:spacing w:val="-7"/>
        </w:rPr>
        <w:t>QMS</w:t>
      </w:r>
      <w:r>
        <w:rPr>
          <w:spacing w:val="-7"/>
        </w:rPr>
        <w:t>（质量管理体系）、</w:t>
      </w:r>
      <w:r>
        <w:rPr>
          <w:spacing w:val="-82"/>
        </w:rPr>
        <w:t> </w:t>
      </w:r>
      <w:r>
        <w:rPr>
          <w:spacing w:val="-82"/>
        </w:rPr>
      </w:r>
      <w:r>
        <w:rPr>
          <w:rFonts w:ascii="宋体" w:hAnsi="宋体" w:cs="宋体" w:eastAsia="宋体" w:hint="default"/>
        </w:rPr>
        <w:t>APS</w:t>
      </w:r>
      <w:r>
        <w:rPr/>
        <w:t>（高级计划与排程）等工业软件，并已经成功应用。最后，公司计划通过并购等方式加速智能制造板</w:t>
      </w:r>
      <w:r>
        <w:rPr>
          <w:spacing w:val="-28"/>
        </w:rPr>
        <w:t> </w:t>
      </w:r>
      <w:r>
        <w:rPr>
          <w:spacing w:val="-28"/>
        </w:rPr>
      </w:r>
      <w:r>
        <w:rPr/>
        <w:t>块的建设和布局，目前正在进一步发掘寻找为制造企业提供基于“云</w:t>
      </w:r>
      <w:r>
        <w:rPr>
          <w:rFonts w:ascii="宋体" w:hAnsi="宋体" w:cs="宋体" w:eastAsia="宋体" w:hint="default"/>
        </w:rPr>
        <w:t>+</w:t>
      </w:r>
      <w:r>
        <w:rPr/>
        <w:t>端</w:t>
      </w:r>
      <w:r>
        <w:rPr>
          <w:rFonts w:ascii="宋体" w:hAnsi="宋体" w:cs="宋体" w:eastAsia="宋体" w:hint="default"/>
        </w:rPr>
        <w:t>+</w:t>
      </w:r>
      <w:r>
        <w:rPr/>
        <w:t>应用”的“智能工厂”整体解决 方案及基于“两化融合”和“工业</w:t>
      </w:r>
      <w:r>
        <w:rPr>
          <w:rFonts w:ascii="宋体" w:hAnsi="宋体" w:cs="宋体" w:eastAsia="宋体" w:hint="default"/>
        </w:rPr>
        <w:t>4.0</w:t>
      </w:r>
      <w:r>
        <w:rPr/>
        <w:t>”的软硬件开发和信息系统集成的工业软件公司作为并购标的，优</w:t>
      </w:r>
      <w:r>
        <w:rPr>
          <w:spacing w:val="-35"/>
        </w:rPr>
        <w:t> </w:t>
      </w:r>
      <w:r>
        <w:rPr>
          <w:spacing w:val="-35"/>
        </w:rPr>
      </w:r>
      <w:r>
        <w:rPr/>
        <w:t>化智能制造板。</w:t>
      </w:r>
    </w:p>
    <w:p>
      <w:pPr>
        <w:pStyle w:val="BodyText"/>
        <w:spacing w:line="273" w:lineRule="auto" w:before="8"/>
        <w:ind w:left="574" w:right="0"/>
        <w:jc w:val="left"/>
      </w:pPr>
      <w:r>
        <w:rPr/>
        <w:t>（二）信息服务业务 本报告期信息服务业务营业收入为</w:t>
      </w:r>
      <w:r>
        <w:rPr>
          <w:rFonts w:ascii="宋体" w:hAnsi="宋体" w:cs="宋体" w:eastAsia="宋体" w:hint="default"/>
        </w:rPr>
        <w:t>322,628,635.94</w:t>
      </w:r>
      <w:r>
        <w:rPr/>
        <w:t>元，较上年同期上升</w:t>
      </w:r>
      <w:r>
        <w:rPr>
          <w:rFonts w:ascii="宋体" w:hAnsi="宋体" w:cs="宋体" w:eastAsia="宋体" w:hint="default"/>
        </w:rPr>
        <w:t>1.81%</w:t>
      </w:r>
      <w:r>
        <w:rPr/>
        <w:t>，毛利率为</w:t>
      </w:r>
      <w:r>
        <w:rPr>
          <w:rFonts w:ascii="宋体" w:hAnsi="宋体" w:cs="宋体" w:eastAsia="宋体" w:hint="default"/>
        </w:rPr>
        <w:t>20.78%</w:t>
      </w:r>
      <w:r>
        <w:rPr/>
        <w:t>，较</w:t>
      </w:r>
    </w:p>
    <w:p>
      <w:pPr>
        <w:pStyle w:val="BodyText"/>
        <w:spacing w:line="273" w:lineRule="auto"/>
        <w:ind w:left="574" w:right="0" w:hanging="420"/>
        <w:jc w:val="left"/>
      </w:pPr>
      <w:r>
        <w:rPr/>
        <w:t>上年同期下降</w:t>
      </w:r>
      <w:r>
        <w:rPr>
          <w:rFonts w:ascii="宋体" w:hAnsi="宋体" w:cs="宋体" w:eastAsia="宋体" w:hint="default"/>
        </w:rPr>
        <w:t>2.06%</w:t>
      </w:r>
      <w:r>
        <w:rPr/>
        <w:t>。 </w:t>
      </w:r>
      <w:r>
        <w:rPr>
          <w:rFonts w:ascii="宋体" w:hAnsi="宋体" w:cs="宋体" w:eastAsia="宋体" w:hint="default"/>
        </w:rPr>
        <w:t>1</w:t>
      </w:r>
      <w:r>
        <w:rPr/>
        <w:t>、通信及加油服务，通过商户优化、渠道缩减、技术优化提高运营效率，降低成本，提高收益；充</w:t>
      </w:r>
    </w:p>
    <w:p>
      <w:pPr>
        <w:pStyle w:val="BodyText"/>
        <w:spacing w:line="273" w:lineRule="auto"/>
        <w:ind w:right="0"/>
        <w:jc w:val="left"/>
      </w:pPr>
      <w:r>
        <w:rPr>
          <w:spacing w:val="-1"/>
        </w:rPr>
        <w:t>值业务打通与运营商的直连通道；成为电信总对总项目与支付宝合作业务的运营方，实现运营商的客户从</w:t>
      </w:r>
      <w:r>
        <w:rPr>
          <w:spacing w:val="-81"/>
        </w:rPr>
        <w:t> </w:t>
      </w:r>
      <w:r>
        <w:rPr>
          <w:spacing w:val="-81"/>
        </w:rPr>
      </w:r>
      <w:r>
        <w:rPr/>
        <w:t>通信服务到生活服务的业务深度运营。</w:t>
      </w:r>
    </w:p>
    <w:p>
      <w:pPr>
        <w:pStyle w:val="BodyText"/>
        <w:spacing w:line="273" w:lineRule="auto"/>
        <w:ind w:right="1130" w:firstLine="420"/>
        <w:jc w:val="right"/>
      </w:pPr>
      <w:r>
        <w:rPr>
          <w:rFonts w:ascii="宋体" w:hAnsi="宋体" w:cs="宋体" w:eastAsia="宋体" w:hint="default"/>
          <w:spacing w:val="-1"/>
        </w:rPr>
        <w:t>2</w:t>
      </w:r>
      <w:r>
        <w:rPr>
          <w:spacing w:val="-1"/>
        </w:rPr>
        <w:t>、</w:t>
      </w:r>
      <w:r>
        <w:rPr>
          <w:rFonts w:ascii="宋体" w:hAnsi="宋体" w:cs="宋体" w:eastAsia="宋体" w:hint="default"/>
          <w:spacing w:val="-1"/>
        </w:rPr>
        <w:t>IDC</w:t>
      </w:r>
      <w:r>
        <w:rPr>
          <w:spacing w:val="-1"/>
        </w:rPr>
        <w:t>业务，与全球领先的数据中心运营商</w:t>
      </w:r>
      <w:r>
        <w:rPr>
          <w:rFonts w:ascii="宋体" w:hAnsi="宋体" w:cs="宋体" w:eastAsia="宋体" w:hint="default"/>
          <w:spacing w:val="-1"/>
        </w:rPr>
        <w:t>Equinix</w:t>
      </w:r>
      <w:r>
        <w:rPr>
          <w:spacing w:val="-1"/>
        </w:rPr>
        <w:t>成立的合资公司进入实质运作阶段，目前运营</w:t>
      </w:r>
      <w:r>
        <w:rPr>
          <w:rFonts w:ascii="宋体" w:hAnsi="宋体" w:cs="宋体" w:eastAsia="宋体" w:hint="default"/>
          <w:spacing w:val="-1"/>
        </w:rPr>
        <w:t>3</w:t>
      </w:r>
      <w:r>
        <w:rPr>
          <w:spacing w:val="-1"/>
        </w:rPr>
        <w:t>个</w:t>
      </w:r>
      <w:r>
        <w:rPr/>
        <w:t> </w:t>
      </w:r>
      <w:r>
        <w:rPr>
          <w:spacing w:val="-5"/>
        </w:rPr>
        <w:t>数据中心，正在参建</w:t>
      </w:r>
      <w:r>
        <w:rPr>
          <w:rFonts w:ascii="宋体" w:hAnsi="宋体" w:cs="宋体" w:eastAsia="宋体" w:hint="default"/>
          <w:spacing w:val="-5"/>
        </w:rPr>
        <w:t>1</w:t>
      </w:r>
      <w:r>
        <w:rPr>
          <w:spacing w:val="-5"/>
        </w:rPr>
        <w:t>个数据中心；成功取得</w:t>
      </w:r>
      <w:r>
        <w:rPr>
          <w:rFonts w:ascii="宋体" w:hAnsi="宋体" w:cs="宋体" w:eastAsia="宋体" w:hint="default"/>
          <w:spacing w:val="-5"/>
        </w:rPr>
        <w:t>CDN</w:t>
      </w:r>
      <w:r>
        <w:rPr>
          <w:spacing w:val="-5"/>
        </w:rPr>
        <w:t>及云牌照，正在拓展</w:t>
      </w:r>
      <w:r>
        <w:rPr>
          <w:rFonts w:ascii="宋体" w:hAnsi="宋体" w:cs="宋体" w:eastAsia="宋体" w:hint="default"/>
          <w:spacing w:val="-5"/>
        </w:rPr>
        <w:t>CDN</w:t>
      </w:r>
      <w:r>
        <w:rPr>
          <w:spacing w:val="-5"/>
        </w:rPr>
        <w:t>业务、云业务，尝试进入</w:t>
      </w:r>
      <w:r>
        <w:rPr>
          <w:rFonts w:ascii="宋体" w:hAnsi="宋体" w:cs="宋体" w:eastAsia="宋体" w:hint="default"/>
          <w:spacing w:val="-5"/>
        </w:rPr>
        <w:t>MSP</w:t>
      </w:r>
      <w:r>
        <w:rPr>
          <w:spacing w:val="-5"/>
        </w:rPr>
        <w:t>业务。</w:t>
      </w:r>
      <w:r>
        <w:rPr>
          <w:spacing w:val="-97"/>
        </w:rPr>
        <w:t> </w:t>
      </w:r>
      <w:r>
        <w:rPr>
          <w:spacing w:val="-97"/>
        </w:rPr>
      </w:r>
      <w:r>
        <w:rPr>
          <w:rFonts w:ascii="宋体" w:hAnsi="宋体" w:cs="宋体" w:eastAsia="宋体" w:hint="default"/>
          <w:spacing w:val="-3"/>
        </w:rPr>
        <w:t>3</w:t>
      </w:r>
      <w:r>
        <w:rPr>
          <w:spacing w:val="-3"/>
        </w:rPr>
        <w:t>、移动信息业务，重点跟进运营商业务切换，积极申报咪咕联合会员、联通信息导航、电信爱动漫、</w:t>
      </w:r>
    </w:p>
    <w:p>
      <w:pPr>
        <w:pStyle w:val="BodyText"/>
        <w:spacing w:line="273" w:lineRule="auto"/>
        <w:ind w:left="574" w:right="0" w:hanging="420"/>
        <w:jc w:val="left"/>
      </w:pPr>
      <w:r>
        <w:rPr/>
        <w:t>联通</w:t>
      </w:r>
      <w:r>
        <w:rPr>
          <w:rFonts w:ascii="宋体" w:hAnsi="宋体" w:cs="宋体" w:eastAsia="宋体" w:hint="default"/>
        </w:rPr>
        <w:t>wo</w:t>
      </w:r>
      <w:r>
        <w:rPr/>
        <w:t>阅读、联通企业会员等新业务。 </w:t>
      </w:r>
      <w:r>
        <w:rPr>
          <w:rFonts w:ascii="宋体" w:hAnsi="宋体" w:cs="宋体" w:eastAsia="宋体" w:hint="default"/>
        </w:rPr>
        <w:t>4</w:t>
      </w:r>
      <w:r>
        <w:rPr/>
        <w:t>、移动传媒业务，加强与央视财经频道合作力度，新客户碧桂园、瓜子二手车已落单；积极参与和</w:t>
      </w:r>
    </w:p>
    <w:p>
      <w:pPr>
        <w:pStyle w:val="BodyText"/>
        <w:spacing w:line="273" w:lineRule="auto"/>
        <w:ind w:right="1118"/>
        <w:jc w:val="left"/>
      </w:pPr>
      <w:r>
        <w:rPr>
          <w:spacing w:val="-1"/>
        </w:rPr>
        <w:t>支持频道节目和活动，参与《厉害了，我的国》专题、《深圳四十年》纪录片、《一带一路投资指南》纪</w:t>
      </w:r>
      <w:r>
        <w:rPr>
          <w:spacing w:val="-85"/>
        </w:rPr>
        <w:t> </w:t>
      </w:r>
      <w:r>
        <w:rPr>
          <w:spacing w:val="-85"/>
        </w:rPr>
      </w:r>
      <w:r>
        <w:rPr/>
        <w:t>录片等。</w:t>
      </w:r>
    </w:p>
    <w:p>
      <w:pPr>
        <w:pStyle w:val="BodyText"/>
        <w:spacing w:line="273" w:lineRule="auto"/>
        <w:ind w:left="574" w:right="0"/>
        <w:jc w:val="left"/>
      </w:pPr>
      <w:r>
        <w:rPr/>
        <w:t>（三）</w:t>
      </w:r>
      <w:r>
        <w:rPr>
          <w:rFonts w:ascii="宋体" w:hAnsi="宋体" w:cs="宋体" w:eastAsia="宋体" w:hint="default"/>
        </w:rPr>
        <w:t>IT</w:t>
      </w:r>
      <w:r>
        <w:rPr/>
        <w:t>销售业务 </w:t>
      </w:r>
      <w:r>
        <w:rPr>
          <w:spacing w:val="-1"/>
        </w:rPr>
        <w:t>本报告期</w:t>
      </w:r>
      <w:r>
        <w:rPr>
          <w:rFonts w:ascii="宋体" w:hAnsi="宋体" w:cs="宋体" w:eastAsia="宋体" w:hint="default"/>
          <w:spacing w:val="-1"/>
        </w:rPr>
        <w:t>IT</w:t>
      </w:r>
      <w:r>
        <w:rPr>
          <w:spacing w:val="-1"/>
        </w:rPr>
        <w:t>销售业务营业收入为</w:t>
      </w:r>
      <w:r>
        <w:rPr>
          <w:rFonts w:ascii="宋体" w:hAnsi="宋体" w:cs="宋体" w:eastAsia="宋体" w:hint="default"/>
          <w:spacing w:val="-1"/>
        </w:rPr>
        <w:t>5,688,614,056.23</w:t>
      </w:r>
      <w:r>
        <w:rPr>
          <w:spacing w:val="-1"/>
        </w:rPr>
        <w:t>元，较上年同期下降</w:t>
      </w:r>
      <w:r>
        <w:rPr>
          <w:rFonts w:ascii="宋体" w:hAnsi="宋体" w:cs="宋体" w:eastAsia="宋体" w:hint="default"/>
          <w:spacing w:val="-1"/>
        </w:rPr>
        <w:t>6.11%</w:t>
      </w:r>
      <w:r>
        <w:rPr>
          <w:spacing w:val="-1"/>
        </w:rPr>
        <w:t>，毛利率为</w:t>
      </w:r>
      <w:r>
        <w:rPr>
          <w:rFonts w:ascii="宋体" w:hAnsi="宋体" w:cs="宋体" w:eastAsia="宋体" w:hint="default"/>
          <w:spacing w:val="-1"/>
        </w:rPr>
        <w:t>2.88%</w:t>
      </w:r>
      <w:r>
        <w:rPr>
          <w:spacing w:val="-1"/>
        </w:rPr>
        <w:t>，较上</w:t>
      </w:r>
    </w:p>
    <w:p>
      <w:pPr>
        <w:pStyle w:val="BodyText"/>
        <w:spacing w:line="273" w:lineRule="auto"/>
        <w:ind w:right="0"/>
        <w:jc w:val="left"/>
      </w:pPr>
      <w:r>
        <w:rPr/>
        <w:t>年同期上升</w:t>
      </w:r>
      <w:r>
        <w:rPr>
          <w:rFonts w:ascii="宋体" w:hAnsi="宋体" w:cs="宋体" w:eastAsia="宋体" w:hint="default"/>
        </w:rPr>
        <w:t>0.75%</w:t>
      </w:r>
      <w:r>
        <w:rPr/>
        <w:t>。随着</w:t>
      </w:r>
      <w:r>
        <w:rPr>
          <w:rFonts w:ascii="宋体" w:hAnsi="宋体" w:cs="宋体" w:eastAsia="宋体" w:hint="default"/>
        </w:rPr>
        <w:t>IT</w:t>
      </w:r>
      <w:r>
        <w:rPr/>
        <w:t>产品价格透明化加剧，竞争愈发激烈。高鸿鼎恒作为国内专业大卖场的</w:t>
      </w:r>
      <w:r>
        <w:rPr>
          <w:rFonts w:ascii="宋体" w:hAnsi="宋体" w:cs="宋体" w:eastAsia="宋体" w:hint="default"/>
        </w:rPr>
        <w:t>IT</w:t>
      </w:r>
      <w:r>
        <w:rPr/>
        <w:t>产品</w:t>
      </w:r>
      <w:r>
        <w:rPr>
          <w:spacing w:val="-25"/>
        </w:rPr>
        <w:t> </w:t>
      </w:r>
      <w:r>
        <w:rPr/>
        <w:t>专业供货平台，在江苏</w:t>
      </w:r>
      <w:r>
        <w:rPr>
          <w:rFonts w:ascii="宋体" w:hAnsi="宋体" w:cs="宋体" w:eastAsia="宋体" w:hint="default"/>
        </w:rPr>
        <w:t>IT</w:t>
      </w:r>
      <w:r>
        <w:rPr/>
        <w:t>分销领域保持龙头地位。高鸿鼎恒与联想、华硕、三星、</w:t>
      </w:r>
      <w:r>
        <w:rPr>
          <w:rFonts w:ascii="宋体" w:hAnsi="宋体" w:cs="宋体" w:eastAsia="宋体" w:hint="default"/>
        </w:rPr>
        <w:t>DELL</w:t>
      </w:r>
      <w:r>
        <w:rPr/>
        <w:t>等强势品牌开展核 心代理合作，继续巩固和加大原有线下渠道销售份额的同时，积极拓展了苏宁易购、京东、天猫等线上销 售渠道。报告期内，扩大了对苏宁易购、京东世纪的线上业务的供货规模，优化仓储、资金和物流服务。</w:t>
      </w:r>
      <w:r>
        <w:rPr>
          <w:spacing w:val="-35"/>
        </w:rPr>
        <w:t> </w:t>
      </w:r>
      <w:r>
        <w:rPr>
          <w:spacing w:val="-35"/>
        </w:rPr>
      </w:r>
      <w:r>
        <w:rPr/>
        <w:t>报告期内，公司</w:t>
      </w:r>
      <w:r>
        <w:rPr>
          <w:rFonts w:ascii="宋体" w:hAnsi="宋体" w:cs="宋体" w:eastAsia="宋体" w:hint="default"/>
        </w:rPr>
        <w:t>IT</w:t>
      </w:r>
      <w:r>
        <w:rPr/>
        <w:t>销售业务逐步规模收缩，毛利率略有上升。</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9,264,669,159.73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8,975,733,165.21</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3,098,752,494.04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2,534,456,496.40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322,628,635.94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316,880,700.05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5,688,614,056.23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6,058,625,826.97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142,756,006.32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4,655,124.71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11,917,967.20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61,115,017.08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通信设备产品及制 造业务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1,050,214,798.68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857,916,836.33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22.41%</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计算机涉密、系统集</w:t>
            </w:r>
            <w:r>
              <w:rPr>
                <w:rFonts w:ascii="宋体" w:hAnsi="宋体" w:cs="宋体" w:eastAsia="宋体" w:hint="default"/>
                <w:sz w:val="18"/>
                <w:szCs w:val="18"/>
              </w:rPr>
              <w:t> 成业务及外围设备 销售业务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2,048,537,695.36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22.11%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1,676,539,660.07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充值业务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140,414,463.34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168,082,860.70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兑换业务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14,737,512.51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28,406,934.75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3,788,316.79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移动传媒</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99,759,423.63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53,694,850.40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移动信息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64,902,627.81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62,907,737.41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0.70%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会员营销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2,814,608.65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5,688,614,056.23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6,058,625,826.97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67.50%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142,756,006.32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4,655,124.71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2,966.64%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11,917,967.20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61,115,017.08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119,830,742.96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292,391,144.71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2,892,781,074.78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2,287,728,862.66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191,499,463.23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229,271,817.67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176,957,810.98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122,748,374.44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5,583,447,542.93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5,920,105,209.80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53,793,545.93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38,779,968.73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216,529,454.81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57,673,833.79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275.44%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29,829,524.11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27,033,953.41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3,098,752,494.04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2,756,581,975.12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322,628,635.94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255,585,042.97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5,688,614,056.23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5,524,746,690.69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142,756,006.32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104,196,801.13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6,496.83%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通信设备产品及 制造业务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1,050,214,798.68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851,710,353.36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计算机涉密、系 统集成业务及外 围设备销售业务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2,048,537,695.36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1,904,871,621.76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充值业务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140,414,463.34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104,493,299.60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兑换业务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14,737,512.51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9,600,694.82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-75.84%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99,759,423.63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88,860,035.56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移动信息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64,902,627.81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50,128,837.19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会员营销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2,814,608.65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2,502,175.80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5,688,614,056.23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5,524,746,690.69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142,756,006.32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104,196,801.13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6,496.83%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119,830,742.96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95,656,575.72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2,891,165,450.19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2,633,866,732.99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191,499,463.23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162,007,837.37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175,071,018.58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159,121,187.99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5,575,031,992.72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5,319,870,405.22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53,793,545.93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48,815,935.70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216,529,454.81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200,438,578.28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29,829,524.11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21,333,256.64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6,587,805.52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6,960,191.58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227,152.43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2,749,994,169.60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2,254,118,665.05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购买的服务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255,585,042.97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244,503,487.90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5,524,746,690.69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5,929,475,035.08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商品采购成本</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1,579,497.58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104,196,801.13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256" w:lineRule="auto" w:before="77"/>
        <w:ind w:left="574" w:right="1127" w:hanging="420"/>
        <w:jc w:val="left"/>
      </w:pPr>
      <w:r>
        <w:rPr>
          <w:rFonts w:ascii="Times New Roman" w:hAnsi="Times New Roman" w:cs="Times New Roman" w:eastAsia="Times New Roman" w:hint="default"/>
        </w:rPr>
        <w:t>A</w:t>
      </w:r>
      <w:r>
        <w:rPr/>
        <w:t>、处置子公司 本期子公司大唐高鸿通信技术有限公司处置其子公司深圳大唐高鸿信息技术有限公司</w:t>
      </w:r>
      <w:r>
        <w:rPr>
          <w:rFonts w:ascii="Times New Roman" w:hAnsi="Times New Roman" w:cs="Times New Roman" w:eastAsia="Times New Roman" w:hint="default"/>
        </w:rPr>
        <w:t>80%</w:t>
      </w:r>
      <w:r>
        <w:rPr/>
        <w:t>股权，本期</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不纳入合并范围。</w:t>
      </w:r>
    </w:p>
    <w:p>
      <w:pPr>
        <w:pStyle w:val="BodyText"/>
        <w:spacing w:line="256" w:lineRule="auto" w:before="37"/>
        <w:ind w:left="574" w:right="0" w:hanging="420"/>
        <w:jc w:val="left"/>
      </w:pPr>
      <w:r>
        <w:rPr>
          <w:rFonts w:ascii="Times New Roman" w:hAnsi="Times New Roman" w:cs="Times New Roman" w:eastAsia="Times New Roman" w:hint="default"/>
        </w:rPr>
        <w:t>B</w:t>
      </w:r>
      <w:r>
        <w:rPr/>
        <w:t>、其他原因的合并范围变动 </w:t>
      </w:r>
      <w:r>
        <w:rPr>
          <w:spacing w:val="-1"/>
        </w:rPr>
        <w:t>本期减少合并范围</w:t>
      </w:r>
      <w:r>
        <w:rPr>
          <w:rFonts w:ascii="Times New Roman" w:hAnsi="Times New Roman" w:cs="Times New Roman" w:eastAsia="Times New Roman" w:hint="default"/>
          <w:spacing w:val="-1"/>
        </w:rPr>
        <w:t>3</w:t>
      </w:r>
      <w:r>
        <w:rPr>
          <w:spacing w:val="-1"/>
        </w:rPr>
        <w:t>家，本公司子公司大唐融合通信股份有限公司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31</w:t>
      </w:r>
      <w:r>
        <w:rPr>
          <w:spacing w:val="-1"/>
        </w:rPr>
        <w:t>日将持有大唐融合（盘</w:t>
      </w:r>
    </w:p>
    <w:p>
      <w:pPr>
        <w:pStyle w:val="BodyText"/>
        <w:spacing w:line="261" w:lineRule="auto" w:before="5"/>
        <w:ind w:right="1128"/>
        <w:jc w:val="both"/>
      </w:pPr>
      <w:r>
        <w:rPr/>
        <w:t>锦）科技有限公司</w:t>
      </w:r>
      <w:r>
        <w:rPr>
          <w:rFonts w:ascii="Times New Roman" w:hAnsi="Times New Roman" w:cs="Times New Roman" w:eastAsia="Times New Roman" w:hint="default"/>
        </w:rPr>
        <w:t>80%</w:t>
      </w:r>
      <w:r>
        <w:rPr/>
        <w:t>股权、大唐融合（贵阳）科技有限公司</w:t>
      </w:r>
      <w:r>
        <w:rPr>
          <w:rFonts w:ascii="Times New Roman" w:hAnsi="Times New Roman" w:cs="Times New Roman" w:eastAsia="Times New Roman" w:hint="default"/>
        </w:rPr>
        <w:t>80%</w:t>
      </w:r>
      <w:r>
        <w:rPr/>
        <w:t>股权转让给其子公司大唐融合信息服务</w:t>
      </w:r>
      <w:r>
        <w:rPr>
          <w:spacing w:val="-64"/>
        </w:rPr>
        <w:t> </w:t>
      </w:r>
      <w:r>
        <w:rPr>
          <w:spacing w:val="-64"/>
        </w:rPr>
      </w:r>
      <w:r>
        <w:rPr>
          <w:spacing w:val="-2"/>
        </w:rPr>
        <w:t>有限公司。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日，大唐融合信息服务有限公司增资扩股，以每股</w:t>
      </w:r>
      <w:r>
        <w:rPr>
          <w:rFonts w:ascii="Times New Roman" w:hAnsi="Times New Roman" w:cs="Times New Roman" w:eastAsia="Times New Roman" w:hint="default"/>
          <w:spacing w:val="-2"/>
        </w:rPr>
        <w:t>1.2</w:t>
      </w:r>
      <w:r>
        <w:rPr>
          <w:spacing w:val="-2"/>
        </w:rPr>
        <w:t>元引入新股东，公司及子公</w:t>
      </w:r>
      <w:r>
        <w:rPr>
          <w:spacing w:val="-84"/>
        </w:rPr>
        <w:t> </w:t>
      </w:r>
      <w:r>
        <w:rPr>
          <w:spacing w:val="-84"/>
        </w:rPr>
      </w:r>
      <w:r>
        <w:rPr>
          <w:spacing w:val="-2"/>
        </w:rPr>
        <w:t>司大唐融合合计对其持股比例由</w:t>
      </w:r>
      <w:r>
        <w:rPr>
          <w:rFonts w:ascii="Times New Roman" w:hAnsi="Times New Roman" w:cs="Times New Roman" w:eastAsia="Times New Roman" w:hint="default"/>
          <w:spacing w:val="-2"/>
        </w:rPr>
        <w:t>100%</w:t>
      </w:r>
      <w:r>
        <w:rPr>
          <w:spacing w:val="-2"/>
        </w:rPr>
        <w:t>下降到</w:t>
      </w:r>
      <w:r>
        <w:rPr>
          <w:rFonts w:ascii="Times New Roman" w:hAnsi="Times New Roman" w:cs="Times New Roman" w:eastAsia="Times New Roman" w:hint="default"/>
          <w:spacing w:val="-2"/>
        </w:rPr>
        <w:t>35%</w:t>
      </w:r>
      <w:r>
        <w:rPr>
          <w:spacing w:val="-2"/>
        </w:rPr>
        <w:t>，大唐融合信息服务有限公司董事会进行改组，公司对其</w:t>
      </w:r>
      <w:r>
        <w:rPr>
          <w:spacing w:val="-67"/>
        </w:rPr>
        <w:t> </w:t>
      </w:r>
      <w:r>
        <w:rPr>
          <w:spacing w:val="-67"/>
        </w:rPr>
      </w:r>
      <w:r>
        <w:rPr>
          <w:spacing w:val="-1"/>
        </w:rPr>
        <w:t>丧失控制权，大唐融合信息服务有限公司、大唐融合（盘锦）科技有限公司、大唐融合（贵阳）科技有限</w:t>
      </w:r>
      <w:r>
        <w:rPr>
          <w:spacing w:val="-85"/>
        </w:rPr>
        <w:t> </w:t>
      </w:r>
      <w:r>
        <w:rPr>
          <w:spacing w:val="-85"/>
        </w:rPr>
      </w:r>
      <w:r>
        <w:rPr/>
        <w:t>公司不再纳入合并范围。</w:t>
      </w:r>
    </w:p>
    <w:p>
      <w:pPr>
        <w:spacing w:line="240" w:lineRule="auto" w:before="5"/>
        <w:rPr>
          <w:rFonts w:ascii="宋体" w:hAnsi="宋体" w:cs="宋体" w:eastAsia="宋体" w:hint="default"/>
          <w:sz w:val="24"/>
          <w:szCs w:val="24"/>
        </w:rPr>
      </w:pPr>
    </w:p>
    <w:p>
      <w:pPr>
        <w:pStyle w:val="Heading4"/>
        <w:spacing w:line="240" w:lineRule="auto"/>
        <w:ind w:right="0"/>
        <w:jc w:val="both"/>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5,577,029,481.18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60.20%</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苏宁易购集团股份有限公司苏宁采购中心</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2,490,891,601.39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1,203,842,549.89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江苏聚高信息科技有限公司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1,121,858,842.51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12.11%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常州赫斯商贸有限公司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445,201,940.25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江苏兰创恒拓信息科技有限公司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315,234,547.14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5,577,029,481.18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60.20%</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4,202,920,176.47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46.87%</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华硕电脑（重庆）有限公司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8" w:right="0"/>
              <w:jc w:val="left"/>
              <w:rPr>
                <w:rFonts w:ascii="Times New Roman" w:hAnsi="Times New Roman" w:cs="Times New Roman" w:eastAsia="Times New Roman" w:hint="default"/>
                <w:sz w:val="18"/>
                <w:szCs w:val="18"/>
              </w:rPr>
            </w:pPr>
            <w:r>
              <w:rPr>
                <w:rFonts w:ascii="Times New Roman"/>
                <w:sz w:val="18"/>
              </w:rPr>
              <w:t>1,079,598,446.60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常州瑞腾供应链管理有限公司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950,002,159.88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华硕电脑（上海）有限公司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754,041,194.34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天津朗程智新科技有限公司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746,677,178.34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常州龙城供应链管理有限公司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672,601,197.31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4,202,920,176.47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38"/>
        <w:gridCol w:w="1287"/>
        <w:gridCol w:w="1417"/>
        <w:gridCol w:w="851"/>
        <w:gridCol w:w="5064"/>
      </w:tblGrid>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9"/>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5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177,301,118.64</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145,299,781.59</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22.02%</w:t>
            </w:r>
          </w:p>
        </w:tc>
        <w:tc>
          <w:tcPr>
            <w:tcW w:w="506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本报告期市场开拓及薪酬调整导致人工成本上升；为扩展业务销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售服务费、广告费、差旅费增加。</w:t>
            </w:r>
          </w:p>
        </w:tc>
      </w:tr>
      <w:tr>
        <w:trPr>
          <w:trHeight w:val="391" w:hRule="exact"/>
        </w:trPr>
        <w:tc>
          <w:tcPr>
            <w:tcW w:w="9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87" w:type="dxa"/>
            <w:vMerge/>
            <w:tcBorders>
              <w:left w:val="single" w:sz="9" w:space="0" w:color="D2D2D2"/>
              <w:right w:val="single" w:sz="4" w:space="0" w:color="000000"/>
            </w:tcBorders>
          </w:tcPr>
          <w:p>
            <w:pPr/>
          </w:p>
        </w:tc>
        <w:tc>
          <w:tcPr>
            <w:tcW w:w="1417"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5064" w:type="dxa"/>
            <w:vMerge/>
            <w:tcBorders>
              <w:left w:val="single" w:sz="4" w:space="0" w:color="000000"/>
              <w:right w:val="single" w:sz="4" w:space="0" w:color="000000"/>
            </w:tcBorders>
          </w:tcPr>
          <w:p>
            <w:pPr/>
          </w:p>
        </w:tc>
      </w:tr>
      <w:tr>
        <w:trPr>
          <w:trHeight w:val="161" w:hRule="exact"/>
        </w:trPr>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7" w:type="dxa"/>
            <w:vMerge/>
            <w:tcBorders>
              <w:left w:val="single" w:sz="9" w:space="0" w:color="D2D2D2"/>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5064" w:type="dxa"/>
            <w:vMerge/>
            <w:tcBorders>
              <w:left w:val="single" w:sz="4" w:space="0" w:color="000000"/>
              <w:bottom w:val="single" w:sz="4" w:space="0" w:color="000000"/>
              <w:right w:val="single" w:sz="4" w:space="0" w:color="000000"/>
            </w:tcBorders>
          </w:tcPr>
          <w:p>
            <w:pPr/>
          </w:p>
        </w:tc>
      </w:tr>
      <w:tr>
        <w:trPr>
          <w:trHeight w:val="162" w:hRule="exact"/>
        </w:trPr>
        <w:tc>
          <w:tcPr>
            <w:tcW w:w="9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162,203,405.44</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151,684,264.23</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7.52%</w:t>
            </w:r>
          </w:p>
        </w:tc>
        <w:tc>
          <w:tcPr>
            <w:tcW w:w="506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本报告期资产投入加大。导致折旧摊销增加。子公司开办费用增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加。</w:t>
            </w:r>
          </w:p>
        </w:tc>
      </w:tr>
      <w:tr>
        <w:trPr>
          <w:trHeight w:val="391" w:hRule="exact"/>
        </w:trPr>
        <w:tc>
          <w:tcPr>
            <w:tcW w:w="9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87" w:type="dxa"/>
            <w:vMerge/>
            <w:tcBorders>
              <w:left w:val="single" w:sz="9" w:space="0" w:color="D2D2D2"/>
              <w:right w:val="single" w:sz="4" w:space="0" w:color="000000"/>
            </w:tcBorders>
          </w:tcPr>
          <w:p>
            <w:pPr/>
          </w:p>
        </w:tc>
        <w:tc>
          <w:tcPr>
            <w:tcW w:w="1417"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5064" w:type="dxa"/>
            <w:vMerge/>
            <w:tcBorders>
              <w:left w:val="single" w:sz="4" w:space="0" w:color="000000"/>
              <w:right w:val="single" w:sz="4" w:space="0" w:color="000000"/>
            </w:tcBorders>
          </w:tcPr>
          <w:p>
            <w:pPr/>
          </w:p>
        </w:tc>
      </w:tr>
      <w:tr>
        <w:trPr>
          <w:trHeight w:val="161" w:hRule="exact"/>
        </w:trPr>
        <w:tc>
          <w:tcPr>
            <w:tcW w:w="9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7" w:type="dxa"/>
            <w:vMerge/>
            <w:tcBorders>
              <w:left w:val="single" w:sz="9" w:space="0" w:color="D2D2D2"/>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5064" w:type="dxa"/>
            <w:vMerge/>
            <w:tcBorders>
              <w:left w:val="single" w:sz="4" w:space="0" w:color="000000"/>
              <w:bottom w:val="single" w:sz="4" w:space="0" w:color="000000"/>
              <w:right w:val="single" w:sz="4" w:space="0" w:color="000000"/>
            </w:tcBorders>
          </w:tcPr>
          <w:p>
            <w:pPr/>
          </w:p>
        </w:tc>
      </w:tr>
      <w:tr>
        <w:trPr>
          <w:trHeight w:val="402"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112,992,997.92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113,583,861.97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-0.52%</w:t>
            </w:r>
          </w:p>
        </w:tc>
        <w:tc>
          <w:tcPr>
            <w:tcW w:w="50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23,710,226.79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71,983,983.88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-67.06%</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项目进入开发阶段，费用化的研发项目比去年同期减少。</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4" w:lineRule="auto" w:before="75"/>
        <w:ind w:right="0" w:firstLine="426"/>
        <w:jc w:val="left"/>
      </w:pPr>
      <w:r>
        <w:rPr/>
        <w:t>报告期内，公司研发投入</w:t>
      </w:r>
      <w:r>
        <w:rPr>
          <w:rFonts w:ascii="Times New Roman" w:hAnsi="Times New Roman" w:cs="Times New Roman" w:eastAsia="Times New Roman" w:hint="default"/>
        </w:rPr>
        <w:t>8,584.08</w:t>
      </w:r>
      <w:r>
        <w:rPr/>
        <w:t>万元，涉及</w:t>
      </w:r>
      <w:r>
        <w:rPr>
          <w:rFonts w:ascii="Times New Roman" w:hAnsi="Times New Roman" w:cs="Times New Roman" w:eastAsia="Times New Roman" w:hint="default"/>
        </w:rPr>
        <w:t>21</w:t>
      </w:r>
      <w:r>
        <w:rPr/>
        <w:t>个研发项目。研发项目详见</w:t>
      </w:r>
      <w:r>
        <w:rPr>
          <w:rFonts w:ascii="Times New Roman" w:hAnsi="Times New Roman" w:cs="Times New Roman" w:eastAsia="Times New Roman" w:hint="default"/>
        </w:rPr>
        <w:t>“</w:t>
      </w:r>
      <w:r>
        <w:rPr/>
        <w:t>七、合并财务报表项目注 释</w:t>
      </w:r>
      <w:r>
        <w:rPr>
          <w:rFonts w:ascii="Times New Roman" w:hAnsi="Times New Roman" w:cs="Times New Roman" w:eastAsia="Times New Roman" w:hint="default"/>
        </w:rPr>
        <w:t>21</w:t>
      </w:r>
      <w:r>
        <w:rPr/>
        <w:t>、开发支出</w:t>
      </w:r>
      <w:r>
        <w:rPr>
          <w:rFonts w:ascii="Times New Roman" w:hAnsi="Times New Roman" w:cs="Times New Roman" w:eastAsia="Times New Roman" w:hint="default"/>
        </w:rPr>
        <w:t>”</w:t>
      </w:r>
      <w:r>
        <w:rPr/>
        <w:t>项目。主要研发投入集中在企业信息化业务中的车联网项目、可信云计算项目方面。公</w:t>
      </w:r>
      <w:r>
        <w:rPr>
          <w:spacing w:val="-25"/>
        </w:rPr>
        <w:t> </w:t>
      </w:r>
      <w:r>
        <w:rPr>
          <w:spacing w:val="-25"/>
        </w:rPr>
      </w:r>
      <w:r>
        <w:rPr>
          <w:spacing w:val="-5"/>
        </w:rPr>
        <w:t>司致力于成为国内企业信息化细分行业领域领先企业、拥有核心技术、产品、运营能力的行业综合服务商。</w:t>
      </w:r>
      <w:r>
        <w:rPr>
          <w:spacing w:val="-101"/>
        </w:rPr>
        <w:t> </w:t>
      </w:r>
      <w:r>
        <w:rPr>
          <w:spacing w:val="-101"/>
        </w:rPr>
      </w:r>
      <w:r>
        <w:rPr/>
        <w:t>研发投入集中在发展车联网、可信（云）计算、智能制造等战略业务，以此提升核心竞争力和盈利能力，</w:t>
      </w:r>
      <w:r>
        <w:rPr>
          <w:spacing w:val="-27"/>
        </w:rPr>
        <w:t> </w:t>
      </w:r>
      <w:r>
        <w:rPr>
          <w:spacing w:val="-27"/>
        </w:rPr>
      </w:r>
      <w:r>
        <w:rPr/>
        <w:t>促进公司持续健康发展。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0"/>
        <w:ind w:right="0"/>
        <w:jc w:val="left"/>
      </w:pPr>
      <w:r>
        <w:rPr/>
        <w:t>公司研发投入情况</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813"/>
        <w:gridCol w:w="1961"/>
        <w:gridCol w:w="2392"/>
        <w:gridCol w:w="2392"/>
      </w:tblGrid>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-40.63%</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-12.39%</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85,840,809.00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111,766,849.35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-23.20%</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62,130,582.21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50,680,879.90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22.59%</w:t>
            </w:r>
          </w:p>
        </w:tc>
      </w:tr>
      <w:tr>
        <w:trPr>
          <w:trHeight w:val="403"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2102"/>
        <w:gridCol w:w="2392"/>
        <w:gridCol w:w="239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25,738,284,095.67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37,050,226,336.81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-30.53%</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26,203,152,306.25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36,881,903,097.76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-28.95%</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-464,868,210.58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168,323,239.05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-376.18%</w:t>
            </w:r>
            <w:r>
              <w:rPr>
                <w:rFonts w:ascii="Times New Roman"/>
                <w:sz w:val="18"/>
              </w:rPr>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428,651,212.41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320,483,284.00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33.75%</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845,774,829.73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363,389,299.00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132.75%</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-417,123,617.32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-42,906,015.00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872.18%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2,684,723,905.90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2,452,345,235.25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2,091,230,850.75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2,282,096,349.72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593,493,055.15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170,248,885.53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248.60%</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-288,464,060.62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295,614,374.16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-197.58%</w:t>
            </w:r>
            <w:r>
              <w:rPr>
                <w:rFonts w:ascii="Times New Roman"/>
                <w:sz w:val="18"/>
              </w:rPr>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1130" w:firstLine="426"/>
        <w:jc w:val="both"/>
      </w:pPr>
      <w:r>
        <w:rPr>
          <w:spacing w:val="-2"/>
        </w:rPr>
        <w:t>经营活动现金流入较去年同期下降</w:t>
      </w:r>
      <w:r>
        <w:rPr>
          <w:rFonts w:ascii="Times New Roman" w:hAnsi="Times New Roman" w:cs="Times New Roman" w:eastAsia="Times New Roman" w:hint="default"/>
          <w:spacing w:val="-2"/>
        </w:rPr>
        <w:t>30.53%</w:t>
      </w:r>
      <w:r>
        <w:rPr>
          <w:spacing w:val="-2"/>
        </w:rPr>
        <w:t>，主要是因为高阳捷迅根据经营策略调整，代收款项减少所</w:t>
      </w:r>
      <w:r>
        <w:rPr/>
        <w:t> </w:t>
      </w:r>
      <w:r>
        <w:rPr>
          <w:spacing w:val="-1"/>
        </w:rPr>
        <w:t>致；经营活动现金流出较去年同期下降</w:t>
      </w:r>
      <w:r>
        <w:rPr>
          <w:rFonts w:ascii="Times New Roman" w:hAnsi="Times New Roman" w:cs="Times New Roman" w:eastAsia="Times New Roman" w:hint="default"/>
          <w:spacing w:val="-1"/>
        </w:rPr>
        <w:t>28.95%</w:t>
      </w:r>
      <w:r>
        <w:rPr>
          <w:spacing w:val="-1"/>
        </w:rPr>
        <w:t>，主要是因为高阳捷迅根据经营策略调整，代付款项减少所</w:t>
      </w:r>
      <w:r>
        <w:rPr>
          <w:spacing w:val="-99"/>
        </w:rPr>
        <w:t> </w:t>
      </w:r>
      <w:r>
        <w:rPr>
          <w:spacing w:val="-99"/>
        </w:rPr>
      </w:r>
      <w:r>
        <w:rPr/>
        <w:t>致；经营活动产生的现金流量净额比上年同期下降</w:t>
      </w:r>
      <w:r>
        <w:rPr>
          <w:rFonts w:ascii="Times New Roman" w:hAnsi="Times New Roman" w:cs="Times New Roman" w:eastAsia="Times New Roman" w:hint="default"/>
        </w:rPr>
        <w:t>376.18%,</w:t>
      </w:r>
      <w:r>
        <w:rPr/>
        <w:t>主要是本期企业信息化业务和</w:t>
      </w:r>
      <w:r>
        <w:rPr>
          <w:rFonts w:ascii="Times New Roman" w:hAnsi="Times New Roman" w:cs="Times New Roman" w:eastAsia="Times New Roman" w:hint="default"/>
        </w:rPr>
        <w:t>IT</w:t>
      </w:r>
      <w:r>
        <w:rPr/>
        <w:t>销售业务收到</w:t>
      </w:r>
      <w:r>
        <w:rPr>
          <w:spacing w:val="-86"/>
        </w:rPr>
        <w:t> </w:t>
      </w:r>
      <w:r>
        <w:rPr>
          <w:spacing w:val="-86"/>
        </w:rPr>
      </w:r>
      <w:r>
        <w:rPr/>
        <w:t>的货款减少所致。投资活动产生的现金流量净额较上年同期下降</w:t>
      </w:r>
      <w:r>
        <w:rPr>
          <w:rFonts w:ascii="Times New Roman" w:hAnsi="Times New Roman" w:cs="Times New Roman" w:eastAsia="Times New Roman" w:hint="default"/>
        </w:rPr>
        <w:t>872.18%</w:t>
      </w:r>
      <w:r>
        <w:rPr/>
        <w:t>，主要是因为高阳捷迅使用用暂</w:t>
      </w:r>
      <w:r>
        <w:rPr>
          <w:spacing w:val="-50"/>
        </w:rPr>
        <w:t> </w:t>
      </w:r>
      <w:r>
        <w:rPr>
          <w:spacing w:val="-50"/>
        </w:rPr>
      </w:r>
      <w:r>
        <w:rPr/>
        <w:t>时闲置资金购买银行结构性存款净支出</w:t>
      </w:r>
      <w:r>
        <w:rPr>
          <w:rFonts w:ascii="Times New Roman" w:hAnsi="Times New Roman" w:cs="Times New Roman" w:eastAsia="Times New Roman" w:hint="default"/>
        </w:rPr>
        <w:t>16,000</w:t>
      </w:r>
      <w:r>
        <w:rPr/>
        <w:t>万元，大唐融合信息服务有限公司本期不再纳入合并范围减</w:t>
      </w:r>
      <w:r>
        <w:rPr>
          <w:spacing w:val="-76"/>
        </w:rPr>
        <w:t> </w:t>
      </w:r>
      <w:r>
        <w:rPr>
          <w:spacing w:val="-76"/>
        </w:rPr>
      </w:r>
      <w:r>
        <w:rPr>
          <w:spacing w:val="-2"/>
        </w:rPr>
        <w:t>少</w:t>
      </w:r>
      <w:r>
        <w:rPr>
          <w:rFonts w:ascii="Times New Roman" w:hAnsi="Times New Roman" w:cs="Times New Roman" w:eastAsia="Times New Roman" w:hint="default"/>
          <w:spacing w:val="-2"/>
        </w:rPr>
        <w:t>12,241.05</w:t>
      </w:r>
      <w:r>
        <w:rPr>
          <w:spacing w:val="-2"/>
        </w:rPr>
        <w:t>万元及去年同期处置一处投资性房地产收到现金</w:t>
      </w:r>
      <w:r>
        <w:rPr>
          <w:rFonts w:ascii="Times New Roman" w:hAnsi="Times New Roman" w:cs="Times New Roman" w:eastAsia="Times New Roman" w:hint="default"/>
          <w:spacing w:val="-2"/>
        </w:rPr>
        <w:t>5,217</w:t>
      </w:r>
      <w:r>
        <w:rPr>
          <w:spacing w:val="-2"/>
        </w:rPr>
        <w:t>万元本期无此业务所致；筹资活动产生的</w:t>
      </w:r>
      <w:r>
        <w:rPr>
          <w:spacing w:val="-74"/>
        </w:rPr>
        <w:t> </w:t>
      </w:r>
      <w:r>
        <w:rPr>
          <w:spacing w:val="-74"/>
        </w:rPr>
      </w:r>
      <w:r>
        <w:rPr>
          <w:spacing w:val="-2"/>
        </w:rPr>
        <w:t>现金流量净额较上年同期增长</w:t>
      </w:r>
      <w:r>
        <w:rPr>
          <w:rFonts w:ascii="Times New Roman" w:hAnsi="Times New Roman" w:cs="Times New Roman" w:eastAsia="Times New Roman" w:hint="default"/>
          <w:spacing w:val="-2"/>
        </w:rPr>
        <w:t>248.60%</w:t>
      </w:r>
      <w:r>
        <w:rPr>
          <w:spacing w:val="-2"/>
        </w:rPr>
        <w:t>，主要是本期子公司高阳捷迅和大唐融合引进战略投资者增资</w:t>
      </w:r>
      <w:r>
        <w:rPr>
          <w:rFonts w:ascii="Times New Roman" w:hAnsi="Times New Roman" w:cs="Times New Roman" w:eastAsia="Times New Roman" w:hint="default"/>
          <w:spacing w:val="-2"/>
        </w:rPr>
        <w:t>46,180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万元所致。</w:t>
      </w:r>
    </w:p>
    <w:p>
      <w:pPr>
        <w:spacing w:before="88"/>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580" w:right="0"/>
        <w:jc w:val="left"/>
      </w:pPr>
      <w:r>
        <w:rPr>
          <w:spacing w:val="22"/>
        </w:rPr>
        <w:t>报告期内公司经营活动产生的现金净流量</w:t>
      </w:r>
      <w:r>
        <w:rPr>
          <w:spacing w:val="-73"/>
        </w:rPr>
        <w:t> </w:t>
      </w:r>
      <w:r>
        <w:rPr>
          <w:rFonts w:ascii="宋体" w:hAnsi="宋体" w:cs="宋体" w:eastAsia="宋体" w:hint="default"/>
        </w:rPr>
        <w:t>-46,486.82</w:t>
      </w:r>
      <w:r>
        <w:rPr>
          <w:rFonts w:ascii="宋体" w:hAnsi="宋体" w:cs="宋体" w:eastAsia="宋体" w:hint="default"/>
          <w:spacing w:val="-79"/>
        </w:rPr>
        <w:t> </w:t>
      </w:r>
      <w:r>
        <w:rPr>
          <w:spacing w:val="16"/>
        </w:rPr>
        <w:t>万元</w:t>
      </w:r>
      <w:r>
        <w:rPr>
          <w:rFonts w:ascii="宋体" w:hAnsi="宋体" w:cs="宋体" w:eastAsia="宋体" w:hint="default"/>
          <w:spacing w:val="16"/>
        </w:rPr>
        <w:t>,</w:t>
      </w:r>
      <w:r>
        <w:rPr>
          <w:rFonts w:ascii="宋体" w:hAnsi="宋体" w:cs="宋体" w:eastAsia="宋体" w:hint="default"/>
          <w:spacing w:val="-80"/>
        </w:rPr>
        <w:t> </w:t>
      </w:r>
      <w:r>
        <w:rPr>
          <w:spacing w:val="20"/>
        </w:rPr>
        <w:t>本年度净利润</w:t>
      </w:r>
      <w:r>
        <w:rPr>
          <w:spacing w:val="-79"/>
        </w:rPr>
        <w:t> </w:t>
      </w:r>
      <w:r>
        <w:rPr>
          <w:rFonts w:ascii="宋体" w:hAnsi="宋体" w:cs="宋体" w:eastAsia="宋体" w:hint="default"/>
        </w:rPr>
        <w:t>5,824.08</w:t>
      </w:r>
      <w:r>
        <w:rPr>
          <w:rFonts w:ascii="宋体" w:hAnsi="宋体" w:cs="宋体" w:eastAsia="宋体" w:hint="default"/>
          <w:spacing w:val="-80"/>
        </w:rPr>
        <w:t> </w:t>
      </w:r>
      <w:r>
        <w:rPr>
          <w:spacing w:val="16"/>
        </w:rPr>
        <w:t>万元</w:t>
      </w:r>
      <w:r>
        <w:rPr>
          <w:rFonts w:ascii="宋体" w:hAnsi="宋体" w:cs="宋体" w:eastAsia="宋体" w:hint="default"/>
          <w:spacing w:val="16"/>
        </w:rPr>
        <w:t>,</w:t>
      </w:r>
      <w:r>
        <w:rPr>
          <w:rFonts w:ascii="宋体" w:hAnsi="宋体" w:cs="宋体" w:eastAsia="宋体" w:hint="default"/>
          <w:spacing w:val="-80"/>
        </w:rPr>
        <w:t> </w:t>
      </w:r>
      <w:r>
        <w:rPr>
          <w:spacing w:val="13"/>
        </w:rPr>
        <w:t>相差</w:t>
      </w:r>
      <w:r>
        <w:rPr>
          <w:spacing w:val="-79"/>
        </w:rPr>
        <w:t> </w:t>
      </w:r>
      <w:r>
        <w:rPr/>
      </w:r>
    </w:p>
    <w:p>
      <w:pPr>
        <w:pStyle w:val="BodyText"/>
        <w:spacing w:line="273" w:lineRule="auto" w:before="37"/>
        <w:ind w:right="1130"/>
        <w:jc w:val="both"/>
      </w:pPr>
      <w:r>
        <w:rPr>
          <w:rFonts w:ascii="宋体" w:hAnsi="宋体" w:cs="宋体" w:eastAsia="宋体" w:hint="default"/>
          <w:spacing w:val="-1"/>
        </w:rPr>
        <w:t>-52,310.90</w:t>
      </w:r>
      <w:r>
        <w:rPr>
          <w:spacing w:val="-1"/>
        </w:rPr>
        <w:t>万元，经营活动产生的现金流量净额与本年度净利润存在重大差异的主要因素为：计提资产减</w:t>
      </w:r>
      <w:r>
        <w:rPr>
          <w:spacing w:val="-77"/>
        </w:rPr>
        <w:t> </w:t>
      </w:r>
      <w:r>
        <w:rPr>
          <w:spacing w:val="-77"/>
        </w:rPr>
      </w:r>
      <w:r>
        <w:rPr>
          <w:spacing w:val="-1"/>
        </w:rPr>
        <w:t>值准备</w:t>
      </w:r>
      <w:r>
        <w:rPr>
          <w:rFonts w:ascii="宋体" w:hAnsi="宋体" w:cs="宋体" w:eastAsia="宋体" w:hint="default"/>
          <w:spacing w:val="-1"/>
        </w:rPr>
        <w:t>7,405.76</w:t>
      </w:r>
      <w:r>
        <w:rPr>
          <w:spacing w:val="-1"/>
        </w:rPr>
        <w:t>万元，折旧、摊销</w:t>
      </w:r>
      <w:r>
        <w:rPr>
          <w:rFonts w:ascii="宋体" w:hAnsi="宋体" w:cs="宋体" w:eastAsia="宋体" w:hint="default"/>
          <w:spacing w:val="-1"/>
        </w:rPr>
        <w:t>8,674.84</w:t>
      </w:r>
      <w:r>
        <w:rPr>
          <w:spacing w:val="-1"/>
        </w:rPr>
        <w:t>万元，财务费用</w:t>
      </w:r>
      <w:r>
        <w:rPr>
          <w:rFonts w:ascii="宋体" w:hAnsi="宋体" w:cs="宋体" w:eastAsia="宋体" w:hint="default"/>
          <w:spacing w:val="-1"/>
        </w:rPr>
        <w:t>11,658.07</w:t>
      </w:r>
      <w:r>
        <w:rPr>
          <w:spacing w:val="-1"/>
        </w:rPr>
        <w:t>万元</w:t>
      </w:r>
      <w:r>
        <w:rPr>
          <w:rFonts w:ascii="宋体" w:hAnsi="宋体" w:cs="宋体" w:eastAsia="宋体" w:hint="default"/>
          <w:spacing w:val="-1"/>
        </w:rPr>
        <w:t>,</w:t>
      </w:r>
      <w:r>
        <w:rPr>
          <w:spacing w:val="-1"/>
        </w:rPr>
        <w:t>存货减少</w:t>
      </w:r>
      <w:r>
        <w:rPr>
          <w:rFonts w:ascii="宋体" w:hAnsi="宋体" w:cs="宋体" w:eastAsia="宋体" w:hint="default"/>
          <w:spacing w:val="-1"/>
        </w:rPr>
        <w:t>38,743.98</w:t>
      </w:r>
      <w:r>
        <w:rPr>
          <w:spacing w:val="-1"/>
        </w:rPr>
        <w:t>万元</w:t>
      </w:r>
      <w:r>
        <w:rPr>
          <w:rFonts w:ascii="宋体" w:hAnsi="宋体" w:cs="宋体" w:eastAsia="宋体" w:hint="default"/>
          <w:spacing w:val="-1"/>
        </w:rPr>
        <w:t>,</w:t>
      </w:r>
      <w:r>
        <w:rPr>
          <w:spacing w:val="-1"/>
        </w:rPr>
        <w:t>经营</w:t>
      </w:r>
      <w:r>
        <w:rPr>
          <w:spacing w:val="-70"/>
        </w:rPr>
        <w:t> </w:t>
      </w:r>
      <w:r>
        <w:rPr/>
        <w:t>性应收、应付项目净减少</w:t>
      </w:r>
      <w:r>
        <w:rPr>
          <w:rFonts w:ascii="宋体" w:hAnsi="宋体" w:cs="宋体" w:eastAsia="宋体" w:hint="default"/>
        </w:rPr>
        <w:t>39,122.92</w:t>
      </w:r>
      <w:r>
        <w:rPr/>
        <w:t>万元等。</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三、非主营业务分析" w:id="40"/>
      <w:bookmarkEnd w:id="40"/>
      <w:r>
        <w:rPr>
          <w:b w:val="0"/>
          <w:bCs w:val="0"/>
        </w:rPr>
      </w:r>
      <w:r>
        <w:rPr/>
        <w:t>三、非主营业务分析</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334"/>
        <w:gridCol w:w="1325"/>
        <w:gridCol w:w="769"/>
        <w:gridCol w:w="1428"/>
        <w:gridCol w:w="713"/>
        <w:gridCol w:w="708"/>
        <w:gridCol w:w="3418"/>
      </w:tblGrid>
      <w:tr>
        <w:trPr>
          <w:trHeight w:val="402" w:hRule="exact"/>
        </w:trPr>
        <w:tc>
          <w:tcPr>
            <w:tcW w:w="1334" w:type="dxa"/>
            <w:vMerge w:val="restart"/>
            <w:tcBorders>
              <w:top w:val="single" w:sz="4" w:space="0" w:color="000000"/>
              <w:left w:val="single" w:sz="4" w:space="0" w:color="000000"/>
              <w:right w:val="single" w:sz="4" w:space="0" w:color="000000"/>
            </w:tcBorders>
          </w:tcPr>
          <w:p>
            <w:pPr/>
          </w:p>
        </w:tc>
        <w:tc>
          <w:tcPr>
            <w:tcW w:w="20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57" w:right="78"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4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34"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9" w:right="108"/>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81" w:right="7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708" w:type="dxa"/>
            <w:vMerge/>
            <w:tcBorders>
              <w:left w:val="single" w:sz="4" w:space="0" w:color="000000"/>
              <w:bottom w:val="single" w:sz="4" w:space="0" w:color="000000"/>
              <w:right w:val="single" w:sz="4" w:space="0" w:color="000000"/>
            </w:tcBorders>
          </w:tcPr>
          <w:p>
            <w:pPr/>
          </w:p>
        </w:tc>
        <w:tc>
          <w:tcPr>
            <w:tcW w:w="3418" w:type="dxa"/>
            <w:vMerge/>
            <w:tcBorders>
              <w:left w:val="single" w:sz="4" w:space="0" w:color="000000"/>
              <w:bottom w:val="single" w:sz="4" w:space="0" w:color="000000"/>
              <w:right w:val="single" w:sz="4" w:space="0" w:color="000000"/>
            </w:tcBorders>
          </w:tcPr>
          <w:p>
            <w:pPr/>
          </w:p>
        </w:tc>
      </w:tr>
      <w:tr>
        <w:trPr>
          <w:trHeight w:val="714"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1,709,028,756.25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19.55%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1,985,147,259.33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-4.75%</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3"/>
              <w:jc w:val="left"/>
              <w:rPr>
                <w:rFonts w:ascii="宋体" w:hAnsi="宋体" w:cs="宋体" w:eastAsia="宋体" w:hint="default"/>
                <w:sz w:val="18"/>
                <w:szCs w:val="18"/>
              </w:rPr>
            </w:pPr>
            <w:r>
              <w:rPr>
                <w:rFonts w:ascii="宋体" w:hAnsi="宋体" w:cs="宋体" w:eastAsia="宋体" w:hint="default"/>
                <w:sz w:val="18"/>
                <w:szCs w:val="18"/>
              </w:rPr>
              <w:t>本期支付货款支出增加，导致货币资金减 少。</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1,638,774,920.72</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992,534,725.19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6.60%</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本期销售规模增长，暂未回款。</w:t>
            </w:r>
          </w:p>
        </w:tc>
      </w:tr>
      <w:tr>
        <w:trPr>
          <w:trHeight w:val="1338"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1,300,006,179.48</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773,569,671.71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本公司子公司贵州大唐高鸿置业有限公司 </w:t>
            </w:r>
            <w:r>
              <w:rPr>
                <w:rFonts w:ascii="宋体" w:hAnsi="宋体" w:cs="宋体" w:eastAsia="宋体" w:hint="default"/>
                <w:spacing w:val="-4"/>
                <w:sz w:val="18"/>
                <w:szCs w:val="18"/>
              </w:rPr>
              <w:t>股东会决议通过，在建房产用途由自用转为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对外出售，在建房产由在建工程转入存货核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算。</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354,979,201.83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300,017,210.17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0.39%</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本期子公司项目完工转入。</w:t>
            </w:r>
          </w:p>
        </w:tc>
      </w:tr>
      <w:tr>
        <w:trPr>
          <w:trHeight w:val="2274"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152,280,569.33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91,946,393.51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0.61%</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公司及外部股东对下属子公司大唐融合通 信技术股份有限公司之子公司大唐融合信 </w:t>
            </w:r>
            <w:r>
              <w:rPr>
                <w:rFonts w:ascii="宋体" w:hAnsi="宋体" w:cs="宋体" w:eastAsia="宋体" w:hint="default"/>
                <w:spacing w:val="-4"/>
                <w:sz w:val="18"/>
                <w:szCs w:val="18"/>
              </w:rPr>
              <w:t>息服务有限公司增资，完成上述交易后，公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司及下属子公司大唐融合通信技术股份有 限公司合计对其持股比例为</w:t>
            </w:r>
            <w:r>
              <w:rPr>
                <w:rFonts w:ascii="宋体" w:hAnsi="宋体" w:cs="宋体" w:eastAsia="宋体" w:hint="default"/>
                <w:spacing w:val="-42"/>
                <w:sz w:val="18"/>
                <w:szCs w:val="18"/>
              </w:rPr>
              <w:t> </w:t>
            </w:r>
            <w:r>
              <w:rPr>
                <w:rFonts w:ascii="Times New Roman" w:hAnsi="Times New Roman" w:cs="Times New Roman" w:eastAsia="Times New Roman" w:hint="default"/>
                <w:spacing w:val="-10"/>
                <w:sz w:val="18"/>
                <w:szCs w:val="18"/>
              </w:rPr>
              <w:t>35%</w:t>
            </w:r>
            <w:r>
              <w:rPr>
                <w:rFonts w:ascii="宋体" w:hAnsi="宋体" w:cs="宋体" w:eastAsia="宋体" w:hint="default"/>
                <w:spacing w:val="-10"/>
                <w:sz w:val="18"/>
                <w:szCs w:val="18"/>
              </w:rPr>
              <w:t>，丧失控制</w:t>
            </w:r>
            <w:r>
              <w:rPr>
                <w:rFonts w:ascii="宋体" w:hAnsi="宋体" w:cs="宋体" w:eastAsia="宋体" w:hint="default"/>
                <w:sz w:val="18"/>
                <w:szCs w:val="18"/>
              </w:rPr>
              <w:t> </w:t>
            </w:r>
            <w:r>
              <w:rPr>
                <w:rFonts w:ascii="宋体" w:hAnsi="宋体" w:cs="宋体" w:eastAsia="宋体" w:hint="default"/>
                <w:spacing w:val="-4"/>
                <w:sz w:val="18"/>
                <w:szCs w:val="18"/>
              </w:rPr>
              <w:t>权，改按权益法核算。另外公司本年新增对</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两个联营企业的投资。</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109,022,664.53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102,543,604.40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c>
          <w:tcPr>
            <w:tcW w:w="341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512,481.99</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212,656,275.71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本公司子公司贵州大唐高鸿置业有限公司 </w:t>
            </w:r>
            <w:r>
              <w:rPr>
                <w:rFonts w:ascii="宋体" w:hAnsi="宋体" w:cs="宋体" w:eastAsia="宋体" w:hint="default"/>
                <w:spacing w:val="-4"/>
                <w:sz w:val="18"/>
                <w:szCs w:val="18"/>
              </w:rPr>
              <w:t>股东会决议通过，在建房产用途由自用转为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对外出售，在建房产由在建工程转入存货核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算。</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1,436,997,650.00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16.44%</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1,421,602,627.04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-0.96%</w:t>
            </w:r>
          </w:p>
        </w:tc>
        <w:tc>
          <w:tcPr>
            <w:tcW w:w="34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295,000,000.00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137,000,000.00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花溪慧谷物联网和大数据产业园项目取得</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年期长期借款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931,922,428.14</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1,096,905,734.37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货物到达，已结算。</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145,131,933.63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9,949,443.00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1.54%</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本期票据结算增加。</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91,497,710.69</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73,339,037.87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0.15%</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本期研发投入增加。</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33,992,937.81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18,356,690.88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本期计提的资产减值准备增加。</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285,914,702.13</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399,344,159.13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货物交付，已结算。</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109,910,344.95</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74,314,171.76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0.35%</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收入规模增长，应交增值税增加。</w:t>
            </w:r>
          </w:p>
        </w:tc>
      </w:tr>
      <w:tr>
        <w:trPr>
          <w:trHeight w:val="674"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2,112,751.00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492,840,996.10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-6.01%</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日面向合格投资者公</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3"/>
                <w:sz w:val="18"/>
                <w:szCs w:val="18"/>
              </w:rPr>
              <w:t>开发行公司债券，债券期限为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年，票面利</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44"/>
        <w:ind w:left="154" w:right="1040" w:firstLine="0"/>
        <w:jc w:val="right"/>
        <w:rPr>
          <w:rFonts w:ascii="宋体" w:hAnsi="宋体" w:cs="宋体" w:eastAsia="宋体" w:hint="default"/>
          <w:sz w:val="18"/>
          <w:szCs w:val="18"/>
        </w:rPr>
      </w:pPr>
      <w:r>
        <w:rPr/>
        <w:pict>
          <v:shape style="position:absolute;margin-left:55.080002pt;margin-top:-45.608307pt;width:485.5pt;height:214.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4"/>
                    <w:gridCol w:w="1325"/>
                    <w:gridCol w:w="769"/>
                    <w:gridCol w:w="1428"/>
                    <w:gridCol w:w="713"/>
                    <w:gridCol w:w="708"/>
                    <w:gridCol w:w="3418"/>
                  </w:tblGrid>
                  <w:tr>
                    <w:trPr>
                      <w:trHeight w:val="3171" w:hRule="exact"/>
                    </w:trPr>
                    <w:tc>
                      <w:tcPr>
                        <w:tcW w:w="1334"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4.30%</w:t>
                        </w:r>
                        <w:r>
                          <w:rPr>
                            <w:rFonts w:ascii="宋体" w:hAnsi="宋体" w:cs="宋体" w:eastAsia="宋体" w:hint="default"/>
                            <w:spacing w:val="-4"/>
                            <w:sz w:val="18"/>
                            <w:szCs w:val="18"/>
                          </w:rPr>
                          <w:t>，附第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年末发行人上调票面利率 </w:t>
                        </w:r>
                        <w:r>
                          <w:rPr>
                            <w:rFonts w:ascii="宋体" w:hAnsi="宋体" w:cs="宋体" w:eastAsia="宋体" w:hint="default"/>
                            <w:spacing w:val="-4"/>
                            <w:sz w:val="18"/>
                            <w:szCs w:val="18"/>
                          </w:rPr>
                          <w:t>选择权及投资者回售选择权。公司在本期债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券存续期第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年末选择上调本期债券票面</w:t>
                        </w:r>
                      </w:p>
                      <w:p>
                        <w:pPr>
                          <w:pStyle w:val="TableParagraph"/>
                          <w:spacing w:line="240" w:lineRule="auto" w:before="5"/>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w:t>
                        </w:r>
                        <w:r>
                          <w:rPr>
                            <w:rFonts w:ascii="宋体" w:hAnsi="宋体" w:cs="宋体" w:eastAsia="宋体" w:hint="default"/>
                            <w:spacing w:val="-2"/>
                            <w:sz w:val="18"/>
                            <w:szCs w:val="18"/>
                          </w:rPr>
                          <w:t>基</w:t>
                        </w:r>
                        <w:r>
                          <w:rPr>
                            <w:rFonts w:ascii="宋体" w:hAnsi="宋体" w:cs="宋体" w:eastAsia="宋体" w:hint="default"/>
                            <w:sz w:val="18"/>
                            <w:szCs w:val="18"/>
                          </w:rPr>
                          <w:t>点</w:t>
                        </w:r>
                        <w:r>
                          <w:rPr>
                            <w:rFonts w:ascii="宋体" w:hAnsi="宋体" w:cs="宋体" w:eastAsia="宋体" w:hint="default"/>
                            <w:spacing w:val="-90"/>
                            <w:sz w:val="18"/>
                            <w:szCs w:val="18"/>
                          </w:rPr>
                          <w:t>，</w:t>
                        </w:r>
                        <w:r>
                          <w:rPr>
                            <w:rFonts w:ascii="宋体" w:hAnsi="宋体" w:cs="宋体" w:eastAsia="宋体" w:hint="default"/>
                            <w:sz w:val="18"/>
                            <w:szCs w:val="18"/>
                          </w:rPr>
                          <w:t>调整后票面利率为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6.10%</w:t>
                        </w:r>
                      </w:p>
                      <w:p>
                        <w:pPr>
                          <w:pStyle w:val="TableParagraph"/>
                          <w:spacing w:line="300"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月，根据中国证券登记结算有限 </w:t>
                        </w:r>
                        <w:r>
                          <w:rPr>
                            <w:rFonts w:ascii="宋体" w:hAnsi="宋体" w:cs="宋体" w:eastAsia="宋体" w:hint="default"/>
                            <w:spacing w:val="-6"/>
                            <w:sz w:val="18"/>
                            <w:szCs w:val="18"/>
                          </w:rPr>
                          <w:t>责任公司深圳分公司提供的数据，“</w:t>
                        </w:r>
                        <w:r>
                          <w:rPr>
                            <w:rFonts w:ascii="Times New Roman" w:hAnsi="Times New Roman" w:cs="Times New Roman" w:eastAsia="Times New Roman" w:hint="default"/>
                            <w:spacing w:val="-6"/>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高鸿 债”的回售数量为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4,928,810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张，回售金额</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492,881,000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 </w:t>
                        </w:r>
                        <w:r>
                          <w:rPr>
                            <w:rFonts w:ascii="宋体" w:hAnsi="宋体" w:cs="宋体" w:eastAsia="宋体" w:hint="default"/>
                            <w:sz w:val="18"/>
                            <w:szCs w:val="18"/>
                          </w:rPr>
                          <w:t>元（不含利息</w:t>
                        </w:r>
                        <w:r>
                          <w:rPr>
                            <w:rFonts w:ascii="宋体" w:hAnsi="宋体" w:cs="宋体" w:eastAsia="宋体" w:hint="default"/>
                            <w:spacing w:val="-90"/>
                            <w:sz w:val="18"/>
                            <w:szCs w:val="18"/>
                          </w:rPr>
                          <w:t>）</w:t>
                        </w:r>
                        <w:r>
                          <w:rPr>
                            <w:rFonts w:ascii="宋体" w:hAnsi="宋体" w:cs="宋体" w:eastAsia="宋体" w:hint="default"/>
                            <w:sz w:val="18"/>
                            <w:szCs w:val="18"/>
                          </w:rPr>
                          <w:t>，剩余托</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管量为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21,190 </w:t>
                        </w:r>
                        <w:r>
                          <w:rPr>
                            <w:rFonts w:ascii="宋体" w:hAnsi="宋体" w:cs="宋体" w:eastAsia="宋体" w:hint="default"/>
                            <w:sz w:val="18"/>
                            <w:szCs w:val="18"/>
                          </w:rPr>
                          <w:t>张，回售资金发放日为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907,629,867.00</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648,307,048.00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本期资本公积转增股本。</w:t>
                        </w:r>
                      </w:p>
                    </w:tc>
                  </w:tr>
                  <w:tr>
                    <w:trPr>
                      <w:trHeight w:val="714" w:hRule="exact"/>
                    </w:trPr>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592,108,597.91</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205,824,412.48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子公司高阳捷迅和大唐融合新增股东投资 增加。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7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截至报告期末的资产权利受限情况" w:id="44"/>
      <w:bookmarkEnd w:id="44"/>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2"/>
        <w:spacing w:line="240" w:lineRule="auto" w:before="100"/>
        <w:ind w:right="0"/>
        <w:jc w:val="left"/>
        <w:rPr>
          <w:b w:val="0"/>
          <w:bCs w:val="0"/>
        </w:rPr>
      </w:pPr>
      <w:bookmarkStart w:name="五、投资状况" w:id="45"/>
      <w:bookmarkEnd w:id="45"/>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403,492,869.93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236,805,217.90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499"/>
        <w:gridCol w:w="284"/>
        <w:gridCol w:w="566"/>
        <w:gridCol w:w="709"/>
        <w:gridCol w:w="568"/>
        <w:gridCol w:w="1701"/>
        <w:gridCol w:w="425"/>
        <w:gridCol w:w="425"/>
        <w:gridCol w:w="852"/>
        <w:gridCol w:w="354"/>
        <w:gridCol w:w="920"/>
        <w:gridCol w:w="358"/>
        <w:gridCol w:w="638"/>
        <w:gridCol w:w="638"/>
      </w:tblGrid>
      <w:tr>
        <w:trPr>
          <w:trHeight w:val="1338"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5"/>
              <w:jc w:val="left"/>
              <w:rPr>
                <w:rFonts w:ascii="宋体" w:hAnsi="宋体" w:cs="宋体" w:eastAsia="宋体" w:hint="default"/>
                <w:sz w:val="18"/>
                <w:szCs w:val="18"/>
              </w:rPr>
            </w:pPr>
            <w:r>
              <w:rPr>
                <w:rFonts w:ascii="宋体" w:hAnsi="宋体" w:cs="宋体" w:eastAsia="宋体" w:hint="default"/>
                <w:sz w:val="18"/>
                <w:szCs w:val="18"/>
              </w:rPr>
              <w:t>主要 业务</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 w:right="47"/>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投资 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截至资产 负债表日 的进展情 况</w:t>
            </w:r>
          </w:p>
        </w:tc>
        <w:tc>
          <w:tcPr>
            <w:tcW w:w="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both"/>
              <w:rPr>
                <w:rFonts w:ascii="宋体" w:hAnsi="宋体" w:cs="宋体" w:eastAsia="宋体" w:hint="default"/>
                <w:sz w:val="18"/>
                <w:szCs w:val="18"/>
              </w:rPr>
            </w:pPr>
            <w:r>
              <w:rPr>
                <w:rFonts w:ascii="宋体" w:hAnsi="宋体" w:cs="宋体" w:eastAsia="宋体" w:hint="default"/>
                <w:sz w:val="18"/>
                <w:szCs w:val="18"/>
              </w:rPr>
              <w:t>预 计 收 益</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5" w:right="92" w:hanging="180"/>
              <w:jc w:val="left"/>
              <w:rPr>
                <w:rFonts w:ascii="宋体" w:hAnsi="宋体" w:cs="宋体" w:eastAsia="宋体" w:hint="default"/>
                <w:sz w:val="18"/>
                <w:szCs w:val="18"/>
              </w:rPr>
            </w:pPr>
            <w:r>
              <w:rPr>
                <w:rFonts w:ascii="宋体" w:hAnsi="宋体" w:cs="宋体" w:eastAsia="宋体" w:hint="default"/>
                <w:sz w:val="18"/>
                <w:szCs w:val="18"/>
              </w:rPr>
              <w:t>本期投资 盈亏</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 w:right="83"/>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中产投 科技有 限公司</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4"/>
              <w:jc w:val="both"/>
              <w:rPr>
                <w:rFonts w:ascii="宋体" w:hAnsi="宋体" w:cs="宋体" w:eastAsia="宋体" w:hint="default"/>
                <w:sz w:val="18"/>
                <w:szCs w:val="18"/>
              </w:rPr>
            </w:pPr>
            <w:r>
              <w:rPr>
                <w:rFonts w:ascii="宋体" w:hAnsi="宋体" w:cs="宋体" w:eastAsia="宋体" w:hint="default"/>
                <w:sz w:val="18"/>
                <w:szCs w:val="18"/>
              </w:rPr>
              <w:t>产权 交易 行业</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新 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12.96%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701"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71"/>
              <w:ind w:left="22" w:right="-54"/>
              <w:jc w:val="left"/>
              <w:rPr>
                <w:rFonts w:ascii="宋体" w:hAnsi="宋体" w:cs="宋体" w:eastAsia="宋体" w:hint="default"/>
                <w:sz w:val="18"/>
                <w:szCs w:val="18"/>
              </w:rPr>
            </w:pPr>
            <w:r>
              <w:rPr>
                <w:rFonts w:ascii="宋体" w:hAnsi="宋体" w:cs="宋体" w:eastAsia="宋体" w:hint="default"/>
                <w:sz w:val="18"/>
                <w:szCs w:val="18"/>
              </w:rPr>
              <w:t>北京中产智合咨询服 </w:t>
            </w:r>
            <w:r>
              <w:rPr>
                <w:rFonts w:ascii="宋体" w:hAnsi="宋体" w:cs="宋体" w:eastAsia="宋体" w:hint="default"/>
                <w:spacing w:val="-9"/>
                <w:sz w:val="18"/>
                <w:szCs w:val="18"/>
              </w:rPr>
              <w:t>务中心（有限合伙）、</w:t>
            </w:r>
            <w:r>
              <w:rPr>
                <w:rFonts w:ascii="宋体" w:hAnsi="宋体" w:cs="宋体" w:eastAsia="宋体" w:hint="default"/>
                <w:sz w:val="18"/>
                <w:szCs w:val="18"/>
              </w:rPr>
              <w:t> 中国恒天集团有限公</w:t>
            </w:r>
          </w:p>
        </w:tc>
        <w:tc>
          <w:tcPr>
            <w:tcW w:w="42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已设立</w:t>
            </w:r>
          </w:p>
        </w:tc>
        <w:tc>
          <w:tcPr>
            <w:tcW w:w="35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108,584.80</w:t>
            </w: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43"/>
              <w:jc w:val="both"/>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w:t>
            </w:r>
          </w:p>
        </w:tc>
      </w:tr>
    </w:tbl>
    <w:p>
      <w:pPr>
        <w:spacing w:after="0" w:line="36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262.940002pt;margin-top:72.47998pt;width:62.9pt;height:189.3pt;mso-position-horizontal-relative:page;mso-position-vertical-relative:page;z-index:-1546168" type="#_x0000_t202" filled="false" stroked="false">
            <v:textbox inset="0,0,0,0">
              <w:txbxContent>
                <w:p>
                  <w:pPr>
                    <w:spacing w:line="240" w:lineRule="auto" w:before="9"/>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有限公司、</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635"/>
        <w:gridCol w:w="499"/>
        <w:gridCol w:w="284"/>
        <w:gridCol w:w="566"/>
        <w:gridCol w:w="709"/>
        <w:gridCol w:w="568"/>
        <w:gridCol w:w="1701"/>
        <w:gridCol w:w="425"/>
        <w:gridCol w:w="425"/>
        <w:gridCol w:w="852"/>
        <w:gridCol w:w="354"/>
        <w:gridCol w:w="920"/>
        <w:gridCol w:w="358"/>
        <w:gridCol w:w="638"/>
        <w:gridCol w:w="638"/>
      </w:tblGrid>
      <w:tr>
        <w:trPr>
          <w:trHeight w:val="3795"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4"/>
              <w:jc w:val="left"/>
              <w:rPr>
                <w:rFonts w:ascii="宋体" w:hAnsi="宋体" w:cs="宋体" w:eastAsia="宋体" w:hint="default"/>
                <w:sz w:val="18"/>
                <w:szCs w:val="18"/>
              </w:rPr>
            </w:pPr>
            <w:r>
              <w:rPr>
                <w:rFonts w:ascii="宋体" w:hAnsi="宋体" w:cs="宋体" w:eastAsia="宋体" w:hint="default"/>
                <w:sz w:val="18"/>
                <w:szCs w:val="18"/>
              </w:rPr>
              <w:t>信息 化及 投 资、 咨询 服务</w:t>
            </w:r>
          </w:p>
        </w:tc>
        <w:tc>
          <w:tcPr>
            <w:tcW w:w="28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6"/>
                <w:sz w:val="18"/>
                <w:szCs w:val="18"/>
              </w:rPr>
              <w:t> </w:t>
            </w:r>
            <w:r>
              <w:rPr>
                <w:rFonts w:ascii="宋体" w:hAnsi="宋体" w:cs="宋体" w:eastAsia="宋体" w:hint="default"/>
                <w:spacing w:val="-9"/>
                <w:sz w:val="18"/>
                <w:szCs w:val="18"/>
              </w:rPr>
              <w:t>、中产智投咨询服</w:t>
            </w:r>
            <w:r>
              <w:rPr>
                <w:rFonts w:ascii="宋体" w:hAnsi="宋体" w:cs="宋体" w:eastAsia="宋体" w:hint="default"/>
                <w:sz w:val="18"/>
                <w:szCs w:val="18"/>
              </w:rPr>
              <w:t> </w:t>
            </w:r>
            <w:r>
              <w:rPr>
                <w:rFonts w:ascii="宋体" w:hAnsi="宋体" w:cs="宋体" w:eastAsia="宋体" w:hint="default"/>
                <w:spacing w:val="-7"/>
                <w:sz w:val="18"/>
                <w:szCs w:val="18"/>
              </w:rPr>
              <w:t>务（北京）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北京诚通资本投资有 限公司 </w:t>
            </w:r>
            <w:r>
              <w:rPr>
                <w:rFonts w:ascii="宋体" w:hAnsi="宋体" w:cs="宋体" w:eastAsia="宋体" w:hint="default"/>
                <w:spacing w:val="-11"/>
                <w:sz w:val="18"/>
                <w:szCs w:val="18"/>
              </w:rPr>
              <w:t>、国新资本有</w:t>
            </w:r>
            <w:r>
              <w:rPr>
                <w:rFonts w:ascii="宋体" w:hAnsi="宋体" w:cs="宋体" w:eastAsia="宋体" w:hint="default"/>
                <w:sz w:val="18"/>
                <w:szCs w:val="18"/>
              </w:rPr>
              <w:t> 限公司、北京产权交 易所有限公司 </w:t>
            </w:r>
            <w:r>
              <w:rPr>
                <w:rFonts w:ascii="宋体" w:hAnsi="宋体" w:cs="宋体" w:eastAsia="宋体" w:hint="default"/>
                <w:spacing w:val="-22"/>
                <w:sz w:val="18"/>
                <w:szCs w:val="18"/>
              </w:rPr>
              <w:t>、天津</w:t>
            </w:r>
            <w:r>
              <w:rPr>
                <w:rFonts w:ascii="宋体" w:hAnsi="宋体" w:cs="宋体" w:eastAsia="宋体" w:hint="default"/>
                <w:sz w:val="18"/>
                <w:szCs w:val="18"/>
              </w:rPr>
              <w:t> 产权交易中心、上海 联合产权交易所、武 汉光谷联合产权交易 所有限公司、广东联 合产权交易中心有限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785" w:lineRule="exact"/>
              <w:ind w:right="-51"/>
              <w:jc w:val="left"/>
              <w:rPr>
                <w:rFonts w:ascii="宋体" w:hAnsi="宋体" w:cs="宋体" w:eastAsia="宋体" w:hint="default"/>
                <w:sz w:val="20"/>
                <w:szCs w:val="20"/>
              </w:rPr>
            </w:pPr>
            <w:r>
              <w:rPr>
                <w:rFonts w:ascii="宋体" w:hAnsi="宋体" w:cs="宋体" w:eastAsia="宋体" w:hint="default"/>
                <w:position w:val="-75"/>
                <w:sz w:val="20"/>
                <w:szCs w:val="20"/>
              </w:rPr>
              <w:pict>
                <v:group style="width:20.8pt;height:189.3pt;mso-position-horizontal-relative:char;mso-position-vertical-relative:line" coordorigin="0,0" coordsize="416,3786">
                  <v:group style="position:absolute;left:0;top:0;width:416;height:3786" coordorigin="0,0" coordsize="416,3786">
                    <v:shape style="position:absolute;left:0;top:0;width:416;height:3786" coordorigin="0,0" coordsize="416,3786" path="m0,3785l415,3785,415,0,0,0,0,3785xe" filled="true" fillcolor="#ffffff" stroked="false">
                      <v:path arrowok="t"/>
                      <v:fill type="solid"/>
                    </v:shape>
                  </v:group>
                </v:group>
              </w:pict>
            </w:r>
            <w:r>
              <w:rPr>
                <w:rFonts w:ascii="宋体" w:hAnsi="宋体" w:cs="宋体" w:eastAsia="宋体" w:hint="default"/>
                <w:position w:val="-75"/>
                <w:sz w:val="20"/>
                <w:szCs w:val="20"/>
              </w:rPr>
            </w:r>
          </w:p>
        </w:tc>
        <w:tc>
          <w:tcPr>
            <w:tcW w:w="42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35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9"/>
              <w:jc w:val="right"/>
              <w:rPr>
                <w:rFonts w:ascii="Times New Roman" w:hAnsi="Times New Roman" w:cs="Times New Roman" w:eastAsia="Times New Roman" w:hint="default"/>
                <w:sz w:val="18"/>
                <w:szCs w:val="18"/>
              </w:rPr>
            </w:pPr>
            <w:r>
              <w:rPr>
                <w:rFonts w:ascii="Times New Roman"/>
                <w:spacing w:val="-1"/>
                <w:sz w:val="18"/>
              </w:rPr>
              <w:t>m.cn/</w:t>
            </w:r>
          </w:p>
        </w:tc>
      </w:tr>
      <w:tr>
        <w:trPr>
          <w:trHeight w:val="196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高鸿亿 利</w:t>
            </w:r>
            <w:r>
              <w:rPr>
                <w:rFonts w:ascii="Times New Roman" w:hAnsi="Times New Roman" w:cs="Times New Roman" w:eastAsia="Times New Roman" w:hint="default"/>
                <w:sz w:val="18"/>
                <w:szCs w:val="18"/>
              </w:rPr>
              <w:t>(</w:t>
            </w:r>
            <w:r>
              <w:rPr>
                <w:rFonts w:ascii="宋体" w:hAnsi="宋体" w:cs="宋体" w:eastAsia="宋体" w:hint="default"/>
                <w:sz w:val="18"/>
                <w:szCs w:val="18"/>
              </w:rPr>
              <w:t>上</w:t>
            </w:r>
          </w:p>
          <w:p>
            <w:pPr>
              <w:pStyle w:val="TableParagraph"/>
              <w:spacing w:line="312" w:lineRule="auto"/>
              <w:ind w:left="22" w:right="60"/>
              <w:jc w:val="left"/>
              <w:rPr>
                <w:rFonts w:ascii="宋体" w:hAnsi="宋体" w:cs="宋体" w:eastAsia="宋体" w:hint="default"/>
                <w:sz w:val="18"/>
                <w:szCs w:val="18"/>
              </w:rPr>
            </w:pPr>
            <w:r>
              <w:rPr>
                <w:rFonts w:ascii="宋体" w:hAnsi="宋体" w:cs="宋体" w:eastAsia="宋体" w:hint="default"/>
                <w:sz w:val="18"/>
                <w:szCs w:val="18"/>
              </w:rPr>
              <w:t>海</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 有限公 司</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信息 处理 和存 储支 持服 务</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新 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9" w:right="0"/>
              <w:jc w:val="left"/>
              <w:rPr>
                <w:rFonts w:ascii="Times New Roman" w:hAnsi="Times New Roman" w:cs="Times New Roman" w:eastAsia="Times New Roman" w:hint="default"/>
                <w:sz w:val="18"/>
                <w:szCs w:val="18"/>
              </w:rPr>
            </w:pPr>
            <w:r>
              <w:rPr>
                <w:rFonts w:ascii="Times New Roman"/>
                <w:sz w:val="18"/>
              </w:rPr>
              <w:t>000.00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62" w:lineRule="auto"/>
              <w:ind w:left="22" w:right="206"/>
              <w:jc w:val="left"/>
              <w:rPr>
                <w:rFonts w:ascii="Times New Roman" w:hAnsi="Times New Roman" w:cs="Times New Roman" w:eastAsia="Times New Roman" w:hint="default"/>
                <w:sz w:val="18"/>
                <w:szCs w:val="18"/>
              </w:rPr>
            </w:pPr>
            <w:r>
              <w:rPr>
                <w:rFonts w:ascii="Times New Roman"/>
                <w:sz w:val="18"/>
              </w:rPr>
              <w:t>Equinix Hong</w:t>
            </w:r>
            <w:r>
              <w:rPr>
                <w:rFonts w:ascii="Times New Roman"/>
                <w:spacing w:val="-1"/>
                <w:sz w:val="18"/>
              </w:rPr>
              <w:t> </w:t>
            </w:r>
            <w:r>
              <w:rPr>
                <w:rFonts w:ascii="Times New Roman"/>
                <w:sz w:val="18"/>
              </w:rPr>
              <w:t>Kong</w:t>
            </w:r>
            <w:r>
              <w:rPr>
                <w:rFonts w:ascii="Times New Roman"/>
                <w:sz w:val="18"/>
              </w:rPr>
              <w:t> Limited</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
              <w:jc w:val="center"/>
              <w:rPr>
                <w:rFonts w:ascii="宋体" w:hAnsi="宋体" w:cs="宋体" w:eastAsia="宋体" w:hint="default"/>
                <w:sz w:val="18"/>
                <w:szCs w:val="18"/>
              </w:rPr>
            </w:pPr>
            <w:r>
              <w:rPr>
                <w:rFonts w:ascii="宋体" w:hAnsi="宋体" w:cs="宋体" w:eastAsia="宋体" w:hint="default"/>
                <w:sz w:val="18"/>
                <w:szCs w:val="18"/>
              </w:rPr>
              <w:t>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已设立</w:t>
            </w:r>
          </w:p>
        </w:tc>
        <w:tc>
          <w:tcPr>
            <w:tcW w:w="35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3"/>
              <w:jc w:val="righ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4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2898"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2" w:right="60"/>
              <w:jc w:val="both"/>
              <w:rPr>
                <w:rFonts w:ascii="宋体" w:hAnsi="宋体" w:cs="宋体" w:eastAsia="宋体" w:hint="default"/>
                <w:sz w:val="18"/>
                <w:szCs w:val="18"/>
              </w:rPr>
            </w:pPr>
            <w:r>
              <w:rPr>
                <w:rFonts w:ascii="宋体" w:hAnsi="宋体" w:cs="宋体" w:eastAsia="宋体" w:hint="default"/>
                <w:sz w:val="18"/>
                <w:szCs w:val="18"/>
              </w:rPr>
              <w:t>大唐融 合信息 服务有 限公司</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呼叫 中心</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增 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z w:val="18"/>
              </w:rPr>
              <w:t>35.00%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中央企业贫困地区产 业投资基金股份有限 公司、沈丘县综合投 资公司、北京外企投 资上海有限公司、沈 丘县城区改造建设投 资开发有限公司、中 国有色矿业集团有限 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7"/>
              <w:jc w:val="center"/>
              <w:rPr>
                <w:rFonts w:ascii="宋体" w:hAnsi="宋体" w:cs="宋体" w:eastAsia="宋体" w:hint="default"/>
                <w:sz w:val="18"/>
                <w:szCs w:val="18"/>
              </w:rPr>
            </w:pPr>
            <w:r>
              <w:rPr>
                <w:rFonts w:ascii="宋体" w:hAnsi="宋体" w:cs="宋体" w:eastAsia="宋体" w:hint="default"/>
                <w:sz w:val="18"/>
                <w:szCs w:val="18"/>
              </w:rPr>
              <w:t>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已出资到 位</w:t>
            </w:r>
          </w:p>
        </w:tc>
        <w:tc>
          <w:tcPr>
            <w:tcW w:w="35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43"/>
              <w:jc w:val="righ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62" w:lineRule="auto"/>
              <w:ind w:left="22" w:right="4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96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北京大 唐高鸿 数据网 络技术 有限公 司</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both"/>
              <w:rPr>
                <w:rFonts w:ascii="宋体" w:hAnsi="宋体" w:cs="宋体" w:eastAsia="宋体" w:hint="default"/>
                <w:sz w:val="18"/>
                <w:szCs w:val="18"/>
              </w:rPr>
            </w:pPr>
            <w:r>
              <w:rPr>
                <w:rFonts w:ascii="宋体" w:hAnsi="宋体" w:cs="宋体" w:eastAsia="宋体" w:hint="default"/>
                <w:sz w:val="18"/>
                <w:szCs w:val="18"/>
              </w:rPr>
              <w:t>企业 信息 化业 务</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增 资</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4"/>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
              <w:jc w:val="center"/>
              <w:rPr>
                <w:rFonts w:ascii="宋体" w:hAnsi="宋体" w:cs="宋体" w:eastAsia="宋体" w:hint="default"/>
                <w:sz w:val="18"/>
                <w:szCs w:val="18"/>
              </w:rPr>
            </w:pPr>
            <w:r>
              <w:rPr>
                <w:rFonts w:ascii="宋体" w:hAnsi="宋体" w:cs="宋体" w:eastAsia="宋体" w:hint="default"/>
                <w:sz w:val="18"/>
                <w:szCs w:val="18"/>
              </w:rPr>
              <w:t>长期</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7"/>
              <w:jc w:val="center"/>
              <w:rPr>
                <w:rFonts w:ascii="宋体" w:hAnsi="宋体" w:cs="宋体" w:eastAsia="宋体" w:hint="default"/>
                <w:sz w:val="18"/>
                <w:szCs w:val="18"/>
              </w:rPr>
            </w:pPr>
            <w:r>
              <w:rPr>
                <w:rFonts w:ascii="宋体" w:hAnsi="宋体" w:cs="宋体" w:eastAsia="宋体" w:hint="default"/>
                <w:sz w:val="18"/>
                <w:szCs w:val="18"/>
              </w:rPr>
              <w:t>货物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3" w:right="96"/>
              <w:jc w:val="left"/>
              <w:rPr>
                <w:rFonts w:ascii="宋体" w:hAnsi="宋体" w:cs="宋体" w:eastAsia="宋体" w:hint="default"/>
                <w:sz w:val="18"/>
                <w:szCs w:val="18"/>
              </w:rPr>
            </w:pPr>
            <w:r>
              <w:rPr>
                <w:rFonts w:ascii="宋体" w:hAnsi="宋体" w:cs="宋体" w:eastAsia="宋体" w:hint="default"/>
                <w:sz w:val="18"/>
                <w:szCs w:val="18"/>
              </w:rPr>
              <w:t>已出资到 位</w:t>
            </w:r>
          </w:p>
        </w:tc>
        <w:tc>
          <w:tcPr>
            <w:tcW w:w="35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3"/>
              <w:jc w:val="righ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362" w:lineRule="auto"/>
              <w:ind w:left="22" w:right="43"/>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4"/>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00</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108,584.80</w:t>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24"/>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投资方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是否为 固定资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投资项 目涉及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本报告 期投入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截至报 告期末</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资金来</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项目进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预计收</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截止报 告期末</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未达到 计划进</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91"/>
              <w:jc w:val="left"/>
              <w:rPr>
                <w:rFonts w:ascii="宋体" w:hAnsi="宋体" w:cs="宋体" w:eastAsia="宋体" w:hint="default"/>
                <w:sz w:val="18"/>
                <w:szCs w:val="18"/>
              </w:rPr>
            </w:pPr>
            <w:r>
              <w:rPr>
                <w:rFonts w:ascii="宋体" w:hAnsi="宋体" w:cs="宋体" w:eastAsia="宋体" w:hint="default"/>
                <w:sz w:val="18"/>
                <w:szCs w:val="18"/>
              </w:rPr>
              <w:t>披露日 期（如</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80"/>
              <w:jc w:val="left"/>
              <w:rPr>
                <w:rFonts w:ascii="宋体" w:hAnsi="宋体" w:cs="宋体" w:eastAsia="宋体" w:hint="default"/>
                <w:sz w:val="18"/>
                <w:szCs w:val="18"/>
              </w:rPr>
            </w:pPr>
            <w:r>
              <w:rPr>
                <w:rFonts w:ascii="宋体" w:hAnsi="宋体" w:cs="宋体" w:eastAsia="宋体" w:hint="default"/>
                <w:sz w:val="18"/>
                <w:szCs w:val="18"/>
              </w:rPr>
              <w:t>披露索 引（如</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0"/>
              <w:jc w:val="right"/>
              <w:rPr>
                <w:rFonts w:ascii="宋体" w:hAnsi="宋体" w:cs="宋体" w:eastAsia="宋体" w:hint="default"/>
                <w:sz w:val="18"/>
                <w:szCs w:val="18"/>
              </w:rPr>
            </w:pPr>
            <w:r>
              <w:rPr>
                <w:rFonts w:ascii="宋体" w:hAnsi="宋体" w:cs="宋体" w:eastAsia="宋体" w:hint="default"/>
                <w:sz w:val="18"/>
                <w:szCs w:val="18"/>
              </w:rPr>
              <w:t>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271"/>
              <w:jc w:val="right"/>
              <w:rPr>
                <w:rFonts w:ascii="宋体" w:hAnsi="宋体" w:cs="宋体" w:eastAsia="宋体" w:hint="default"/>
                <w:sz w:val="18"/>
                <w:szCs w:val="18"/>
              </w:rPr>
            </w:pPr>
            <w:r>
              <w:rPr>
                <w:rFonts w:ascii="宋体" w:hAnsi="宋体" w:cs="宋体" w:eastAsia="宋体" w:hint="default"/>
                <w:sz w:val="18"/>
                <w:szCs w:val="18"/>
              </w:rPr>
              <w:t>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3"/>
              <w:jc w:val="center"/>
              <w:rPr>
                <w:rFonts w:ascii="宋体" w:hAnsi="宋体" w:cs="宋体" w:eastAsia="宋体" w:hint="default"/>
                <w:sz w:val="18"/>
                <w:szCs w:val="18"/>
              </w:rPr>
            </w:pPr>
            <w:r>
              <w:rPr>
                <w:rFonts w:ascii="宋体" w:hAnsi="宋体" w:cs="宋体" w:eastAsia="宋体" w:hint="default"/>
                <w:sz w:val="18"/>
                <w:szCs w:val="18"/>
              </w:rPr>
              <w:t>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有）</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大唐高 鸿电子 信息产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企业信 息化</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3,492,86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101,265,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146.63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自筹及 募集资 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26.79%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达到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39"/>
              <w:jc w:val="righ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3,492,86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101,265,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146.63</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2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65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2012</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107,943.48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866.47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95,627.34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87.10%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12,316.14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金存放在 募集资金 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12,316.14</w:t>
            </w:r>
          </w:p>
        </w:tc>
      </w:tr>
      <w:tr>
        <w:trPr>
          <w:trHeight w:val="1298"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发行股份 购买资产 并募集配</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14,908.92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1,107.01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1,232.11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13,676.81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金存放在 募集资金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pt;height:671.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362"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套资金</w:t>
                        </w: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2"/>
                          <w:jc w:val="center"/>
                          <w:rPr>
                            <w:rFonts w:ascii="宋体" w:hAnsi="宋体" w:cs="宋体" w:eastAsia="宋体" w:hint="default"/>
                            <w:sz w:val="18"/>
                            <w:szCs w:val="18"/>
                          </w:rPr>
                        </w:pPr>
                        <w:r>
                          <w:rPr>
                            <w:rFonts w:ascii="宋体" w:hAnsi="宋体" w:cs="宋体" w:eastAsia="宋体" w:hint="default"/>
                            <w:sz w:val="18"/>
                            <w:szCs w:val="18"/>
                          </w:rPr>
                          <w:t>专户中。</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122,852.4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1,973.48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96,859.45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1" w:right="0"/>
                          <w:jc w:val="left"/>
                          <w:rPr>
                            <w:rFonts w:ascii="Times New Roman" w:hAnsi="Times New Roman" w:cs="Times New Roman" w:eastAsia="Times New Roman" w:hint="default"/>
                            <w:sz w:val="18"/>
                            <w:szCs w:val="18"/>
                          </w:rPr>
                        </w:pPr>
                        <w:r>
                          <w:rPr>
                            <w:rFonts w:ascii="Times New Roman"/>
                            <w:sz w:val="18"/>
                          </w:rPr>
                          <w:t>94,018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1" w:right="0"/>
                          <w:jc w:val="left"/>
                          <w:rPr>
                            <w:rFonts w:ascii="Times New Roman" w:hAnsi="Times New Roman" w:cs="Times New Roman" w:eastAsia="Times New Roman" w:hint="default"/>
                            <w:sz w:val="18"/>
                            <w:szCs w:val="18"/>
                          </w:rPr>
                        </w:pPr>
                        <w:r>
                          <w:rPr>
                            <w:rFonts w:ascii="Times New Roman"/>
                            <w:sz w:val="18"/>
                          </w:rPr>
                          <w:t>76.53%</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0"/>
                          <w:ind w:left="116" w:right="0"/>
                          <w:jc w:val="left"/>
                          <w:rPr>
                            <w:rFonts w:ascii="Times New Roman" w:hAnsi="Times New Roman" w:cs="Times New Roman" w:eastAsia="Times New Roman" w:hint="default"/>
                            <w:sz w:val="18"/>
                            <w:szCs w:val="18"/>
                          </w:rPr>
                        </w:pPr>
                        <w:r>
                          <w:rPr>
                            <w:rFonts w:ascii="Times New Roman"/>
                            <w:sz w:val="18"/>
                          </w:rPr>
                          <w:t>25,992.95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12,316.14</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2259"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日收到的中国证监会证监许可</w:t>
                        </w:r>
                        <w:r>
                          <w:rPr>
                            <w:rFonts w:ascii="Times New Roman" w:hAnsi="Times New Roman" w:cs="Times New Roman" w:eastAsia="Times New Roman" w:hint="default"/>
                            <w:sz w:val="18"/>
                            <w:szCs w:val="18"/>
                          </w:rPr>
                          <w:t>[2012]690</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号文核准，于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日采取非公开发行股票方式向</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家特定对象发行股份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18,304</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万股股票，每股发行价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6.12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元，特定投资者均以货币资金认购。经中瑞岳华会计师事务所（特</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殊普通合伙）出具的中瑞岳华验字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号《验资报告》验证，本次共募集资金人民币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1,120,204,800.00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w:t>
                        </w:r>
                      </w:p>
                      <w:p>
                        <w:pPr>
                          <w:pStyle w:val="TableParagraph"/>
                          <w:spacing w:line="300"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承销、保荐及其他费用人民币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40,770,000.00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元后，本次实际募集资金净额为人民币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1,079,434,800.00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日，公司在中信银行股份有限公司北京望京支行开立的专户账号为：</w:t>
                        </w:r>
                        <w:r>
                          <w:rPr>
                            <w:rFonts w:ascii="Times New Roman" w:hAnsi="Times New Roman" w:cs="Times New Roman" w:eastAsia="Times New Roman" w:hint="default"/>
                            <w:sz w:val="18"/>
                            <w:szCs w:val="18"/>
                          </w:rPr>
                          <w:t>7113210182600033768</w:t>
                        </w:r>
                        <w:r>
                          <w:rPr>
                            <w:rFonts w:ascii="宋体" w:hAnsi="宋体" w:cs="宋体" w:eastAsia="宋体" w:hint="default"/>
                            <w:sz w:val="18"/>
                            <w:szCs w:val="18"/>
                          </w:rPr>
                          <w:t>，存入专户项目资金 </w:t>
                        </w:r>
                        <w:r>
                          <w:rPr>
                            <w:rFonts w:ascii="Times New Roman" w:hAnsi="Times New Roman" w:cs="Times New Roman" w:eastAsia="Times New Roman" w:hint="default"/>
                            <w:spacing w:val="-1"/>
                            <w:sz w:val="18"/>
                            <w:szCs w:val="18"/>
                          </w:rPr>
                          <w:t>280,360,000.00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元；在北京银行股份有限公司广源支行开立的专户账号为：</w:t>
                        </w:r>
                        <w:r>
                          <w:rPr>
                            <w:rFonts w:ascii="Times New Roman" w:hAnsi="Times New Roman" w:cs="Times New Roman" w:eastAsia="Times New Roman" w:hint="default"/>
                            <w:spacing w:val="-2"/>
                            <w:sz w:val="18"/>
                            <w:szCs w:val="18"/>
                          </w:rPr>
                          <w:t>01091565100120109003920</w:t>
                        </w:r>
                        <w:r>
                          <w:rPr>
                            <w:rFonts w:ascii="宋体" w:hAnsi="宋体" w:cs="宋体" w:eastAsia="宋体" w:hint="default"/>
                            <w:spacing w:val="-2"/>
                            <w:sz w:val="18"/>
                            <w:szCs w:val="18"/>
                          </w:rPr>
                          <w:t>，存入专户项目资金</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419,874,800.00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元；公司子公司大唐高鸿通信技术有限公司（以下简称：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高鸿通信</w:t>
                        </w:r>
                        <w:r>
                          <w:rPr>
                            <w:rFonts w:ascii="Times New Roman" w:hAnsi="Times New Roman" w:cs="Times New Roman" w:eastAsia="Times New Roman" w:hint="default"/>
                            <w:sz w:val="18"/>
                            <w:szCs w:val="18"/>
                          </w:rPr>
                          <w:t>”</w:t>
                        </w:r>
                        <w:r>
                          <w:rPr>
                            <w:rFonts w:ascii="宋体" w:hAnsi="宋体" w:cs="宋体" w:eastAsia="宋体" w:hint="default"/>
                            <w:sz w:val="18"/>
                            <w:szCs w:val="18"/>
                          </w:rPr>
                          <w:t>）在宁波银行股份有限公司北京分行</w:t>
                        </w:r>
                      </w:p>
                      <w:p>
                        <w:pPr>
                          <w:pStyle w:val="TableParagraph"/>
                          <w:spacing w:line="300" w:lineRule="auto" w:before="63"/>
                          <w:ind w:left="22" w:right="-1"/>
                          <w:jc w:val="left"/>
                          <w:rPr>
                            <w:rFonts w:ascii="宋体" w:hAnsi="宋体" w:cs="宋体" w:eastAsia="宋体" w:hint="default"/>
                            <w:sz w:val="18"/>
                            <w:szCs w:val="18"/>
                          </w:rPr>
                        </w:pPr>
                        <w:r>
                          <w:rPr>
                            <w:rFonts w:ascii="宋体" w:hAnsi="宋体" w:cs="宋体" w:eastAsia="宋体" w:hint="default"/>
                            <w:sz w:val="18"/>
                            <w:szCs w:val="18"/>
                          </w:rPr>
                          <w:t>开立的专户账号为：</w:t>
                        </w:r>
                        <w:r>
                          <w:rPr>
                            <w:rFonts w:ascii="Times New Roman" w:hAnsi="Times New Roman" w:cs="Times New Roman" w:eastAsia="Times New Roman" w:hint="default"/>
                            <w:sz w:val="18"/>
                            <w:szCs w:val="18"/>
                          </w:rPr>
                          <w:t>77010122000211049</w:t>
                        </w:r>
                        <w:r>
                          <w:rPr>
                            <w:rFonts w:ascii="宋体" w:hAnsi="宋体" w:cs="宋体" w:eastAsia="宋体" w:hint="default"/>
                            <w:sz w:val="18"/>
                            <w:szCs w:val="18"/>
                          </w:rPr>
                          <w:t>，存入专户项目资金人民币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379,200,000.00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日公司在宁波银行 股份有限公司北京丰台支行营业部开立的专户账号为：</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，由高鸿通信在宁波银行股份有限公司北京分 行开立的专户账号：</w:t>
                        </w:r>
                        <w:r>
                          <w:rPr>
                            <w:rFonts w:ascii="Times New Roman" w:hAnsi="Times New Roman" w:cs="Times New Roman" w:eastAsia="Times New Roman" w:hint="default"/>
                            <w:sz w:val="18"/>
                            <w:szCs w:val="18"/>
                          </w:rPr>
                          <w:t>77010122000211049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转入人民币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121,453,390.00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同时存入自有资金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公司在北京银行股份有限公司广源支行开立的专户账号为：</w:t>
                        </w:r>
                        <w:r>
                          <w:rPr>
                            <w:rFonts w:ascii="Times New Roman" w:hAnsi="Times New Roman" w:cs="Times New Roman" w:eastAsia="Times New Roman" w:hint="default"/>
                            <w:sz w:val="18"/>
                            <w:szCs w:val="18"/>
                          </w:rPr>
                          <w:t>20000013601000003259152</w:t>
                        </w:r>
                        <w:r>
                          <w:rPr>
                            <w:rFonts w:ascii="宋体" w:hAnsi="宋体" w:cs="宋体" w:eastAsia="宋体" w:hint="default"/>
                            <w:sz w:val="18"/>
                            <w:szCs w:val="18"/>
                          </w:rPr>
                          <w:t>，由本公司在中信银行股份有限公 司北京望京支行开立的专户账号：</w:t>
                        </w:r>
                        <w:r>
                          <w:rPr>
                            <w:rFonts w:ascii="Times New Roman" w:hAnsi="Times New Roman" w:cs="Times New Roman" w:eastAsia="Times New Roman" w:hint="default"/>
                            <w:sz w:val="18"/>
                            <w:szCs w:val="18"/>
                          </w:rPr>
                          <w:t>7113210182600033768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转入人民币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日，公司在招商银 行股份有限公司北京亚运村支行开立的专户账号为：</w:t>
                        </w:r>
                        <w:r>
                          <w:rPr>
                            <w:rFonts w:ascii="Times New Roman" w:hAnsi="Times New Roman" w:cs="Times New Roman" w:eastAsia="Times New Roman" w:hint="default"/>
                            <w:sz w:val="18"/>
                            <w:szCs w:val="18"/>
                          </w:rPr>
                          <w:t>110907057610806</w:t>
                        </w:r>
                        <w:r>
                          <w:rPr>
                            <w:rFonts w:ascii="宋体" w:hAnsi="宋体" w:cs="宋体" w:eastAsia="宋体" w:hint="default"/>
                            <w:sz w:val="18"/>
                            <w:szCs w:val="18"/>
                          </w:rPr>
                          <w:t>，由本公司在北京银行股份有限公司广源支行的专 户账号为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20000013601000003259152,</w:t>
                        </w:r>
                        <w:r>
                          <w:rPr>
                            <w:rFonts w:ascii="宋体" w:hAnsi="宋体" w:cs="宋体" w:eastAsia="宋体" w:hint="default"/>
                            <w:sz w:val="18"/>
                            <w:szCs w:val="18"/>
                          </w:rPr>
                          <w:t>转入人民币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77,000,000.00 </w:t>
                        </w:r>
                        <w:r>
                          <w:rPr>
                            <w:rFonts w:ascii="宋体" w:hAnsi="宋体" w:cs="宋体" w:eastAsia="宋体" w:hint="default"/>
                            <w:sz w:val="18"/>
                            <w:szCs w:val="18"/>
                          </w:rPr>
                          <w:t>元。</w:t>
                        </w:r>
                        <w:r>
                          <w:rPr>
                            <w:rFonts w:ascii="宋体" w:hAnsi="宋体" w:cs="宋体" w:eastAsia="宋体" w:hint="default"/>
                            <w:spacing w:val="-39"/>
                            <w:sz w:val="18"/>
                            <w:szCs w:val="18"/>
                          </w:rPr>
                          <w:t> </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日，公司在中信银行股份有限公</w:t>
                        </w:r>
                        <w:r>
                          <w:rPr>
                            <w:rFonts w:ascii="宋体" w:hAnsi="宋体" w:cs="宋体" w:eastAsia="宋体" w:hint="default"/>
                            <w:sz w:val="18"/>
                            <w:szCs w:val="18"/>
                          </w:rPr>
                          <w:t> 司北京望京支行开立的专户账号为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7113210182600033768</w:t>
                        </w:r>
                        <w:r>
                          <w:rPr>
                            <w:rFonts w:ascii="宋体" w:hAnsi="宋体" w:cs="宋体" w:eastAsia="宋体" w:hint="default"/>
                            <w:sz w:val="18"/>
                            <w:szCs w:val="18"/>
                          </w:rPr>
                          <w:t>，账户余额为人民币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7,225,700.90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元；公司在北京银行股份有限 公司广源支行开立的专户账号为：</w:t>
                        </w:r>
                        <w:r>
                          <w:rPr>
                            <w:rFonts w:ascii="Times New Roman" w:hAnsi="Times New Roman" w:cs="Times New Roman" w:eastAsia="Times New Roman" w:hint="default"/>
                            <w:sz w:val="18"/>
                            <w:szCs w:val="18"/>
                          </w:rPr>
                          <w:t>20000013601000003259152</w:t>
                        </w:r>
                        <w:r>
                          <w:rPr>
                            <w:rFonts w:ascii="宋体" w:hAnsi="宋体" w:cs="宋体" w:eastAsia="宋体" w:hint="default"/>
                            <w:sz w:val="18"/>
                            <w:szCs w:val="18"/>
                          </w:rPr>
                          <w:t>，账户余额为人民币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67,792,558.24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元；公司在招商银行股份</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有限公司北京亚运村支行开立的专户账号为：</w:t>
                        </w:r>
                        <w:r>
                          <w:rPr>
                            <w:rFonts w:ascii="Times New Roman" w:hAnsi="Times New Roman" w:cs="Times New Roman" w:eastAsia="Times New Roman" w:hint="default"/>
                            <w:sz w:val="18"/>
                            <w:szCs w:val="18"/>
                          </w:rPr>
                          <w:t>110907057610806</w:t>
                        </w:r>
                        <w:r>
                          <w:rPr>
                            <w:rFonts w:ascii="宋体" w:hAnsi="宋体" w:cs="宋体" w:eastAsia="宋体" w:hint="default"/>
                            <w:sz w:val="18"/>
                            <w:szCs w:val="18"/>
                          </w:rPr>
                          <w:t>，账户余额为人民币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20,744.48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元；公司在北京银行股份有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限公司广源支行开立的专户账号为：</w:t>
                        </w:r>
                        <w:r>
                          <w:rPr>
                            <w:rFonts w:ascii="Times New Roman" w:hAnsi="Times New Roman" w:cs="Times New Roman" w:eastAsia="Times New Roman" w:hint="default"/>
                            <w:sz w:val="18"/>
                            <w:szCs w:val="18"/>
                          </w:rPr>
                          <w:t>01091565100120109003920</w:t>
                        </w:r>
                        <w:r>
                          <w:rPr>
                            <w:rFonts w:ascii="宋体" w:hAnsi="宋体" w:cs="宋体" w:eastAsia="宋体" w:hint="default"/>
                            <w:sz w:val="18"/>
                            <w:szCs w:val="18"/>
                          </w:rPr>
                          <w:t>，账户余额为人民币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元，已销户；公司子公司大唐高</w:t>
                        </w:r>
                      </w:p>
                      <w:p>
                        <w:pPr>
                          <w:pStyle w:val="TableParagraph"/>
                          <w:spacing w:line="300" w:lineRule="auto" w:before="63"/>
                          <w:ind w:left="22" w:right="79"/>
                          <w:jc w:val="both"/>
                          <w:rPr>
                            <w:rFonts w:ascii="宋体" w:hAnsi="宋体" w:cs="宋体" w:eastAsia="宋体" w:hint="default"/>
                            <w:sz w:val="18"/>
                            <w:szCs w:val="18"/>
                          </w:rPr>
                        </w:pPr>
                        <w:r>
                          <w:rPr>
                            <w:rFonts w:ascii="宋体" w:hAnsi="宋体" w:cs="宋体" w:eastAsia="宋体" w:hint="default"/>
                            <w:sz w:val="18"/>
                            <w:szCs w:val="18"/>
                          </w:rPr>
                          <w:t>鸿通信技术有限公司在宁波银行股份有限公司北京分行开立的专户账号为：</w:t>
                        </w:r>
                        <w:r>
                          <w:rPr>
                            <w:rFonts w:ascii="Times New Roman" w:hAnsi="Times New Roman" w:cs="Times New Roman" w:eastAsia="Times New Roman" w:hint="default"/>
                            <w:sz w:val="18"/>
                            <w:szCs w:val="18"/>
                          </w:rPr>
                          <w:t>77010122000211049</w:t>
                        </w:r>
                        <w:r>
                          <w:rPr>
                            <w:rFonts w:ascii="宋体" w:hAnsi="宋体" w:cs="宋体" w:eastAsia="宋体" w:hint="default"/>
                            <w:sz w:val="18"/>
                            <w:szCs w:val="18"/>
                          </w:rPr>
                          <w:t>，账户余额为人民币</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元，已销户；公司在宁波银行股份有限公司北京丰台支行营业部开立的专户账号为：</w:t>
                        </w:r>
                        <w:r>
                          <w:rPr>
                            <w:rFonts w:ascii="Times New Roman" w:hAnsi="Times New Roman" w:cs="Times New Roman" w:eastAsia="Times New Roman" w:hint="default"/>
                            <w:sz w:val="18"/>
                            <w:szCs w:val="18"/>
                          </w:rPr>
                          <w:t>77040122000002366</w:t>
                        </w:r>
                        <w:r>
                          <w:rPr>
                            <w:rFonts w:ascii="宋体" w:hAnsi="宋体" w:cs="宋体" w:eastAsia="宋体" w:hint="default"/>
                            <w:sz w:val="18"/>
                            <w:szCs w:val="18"/>
                          </w:rPr>
                          <w:t>，账户余额为人 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0 .00 </w:t>
                        </w:r>
                        <w:r>
                          <w:rPr>
                            <w:rFonts w:ascii="宋体" w:hAnsi="宋体" w:cs="宋体" w:eastAsia="宋体" w:hint="default"/>
                            <w:sz w:val="18"/>
                            <w:szCs w:val="18"/>
                          </w:rPr>
                          <w:t>元，已销户。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日将</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元全部归还并存入公司募集资金专用账户；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元补充</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日已将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元全部归还并存入募集资金专户；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日滚动使用</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元闲置募集资金购买理财产品，于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日全部归还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400,000,000.00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元并存入募集资金专户；</w:t>
                        </w:r>
                        <w:r>
                          <w:rPr>
                            <w:rFonts w:ascii="Times New Roman" w:hAnsi="Times New Roman" w:cs="Times New Roman" w:eastAsia="Times New Roman" w:hint="default"/>
                            <w:spacing w:val="-3"/>
                            <w:sz w:val="18"/>
                            <w:szCs w:val="18"/>
                          </w:rPr>
                          <w:t>2014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滚</w:t>
                        </w:r>
                        <w:r>
                          <w:rPr>
                            <w:rFonts w:ascii="宋体" w:hAnsi="宋体" w:cs="宋体" w:eastAsia="宋体" w:hint="default"/>
                            <w:sz w:val="18"/>
                            <w:szCs w:val="18"/>
                          </w:rPr>
                          <w:t>动使用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200,000</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元闲置募集资金购买理财产品</w:t>
                        </w:r>
                        <w:r>
                          <w:rPr>
                            <w:rFonts w:ascii="宋体" w:hAnsi="宋体" w:cs="宋体" w:eastAsia="宋体" w:hint="default"/>
                            <w:spacing w:val="-77"/>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日全部赎回归还至募集资金专户</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390,000,000.00 </w:t>
                        </w:r>
                        <w:r>
                          <w:rPr>
                            <w:rFonts w:ascii="宋体" w:hAnsi="宋体" w:cs="宋体" w:eastAsia="宋体" w:hint="default"/>
                            <w:spacing w:val="-4"/>
                            <w:sz w:val="18"/>
                            <w:szCs w:val="18"/>
                          </w:rPr>
                          <w:t>元补充流动资金，截至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日全部归还并存入募集资金专用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账户。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日，同意公司滚动使用不超过人民币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元闲置募集资金适时购买保本型理财产品，于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日已全部归还并存入募集资金专用账户</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同意公司滚动使用不超过人民币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元闲置募集资金适时购买保本型理财产品。截至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日全部赎回并存入募集资金专用账户。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60,000,000.00 </w:t>
                        </w:r>
                        <w:r>
                          <w:rPr>
                            <w:rFonts w:ascii="宋体" w:hAnsi="宋体" w:cs="宋体" w:eastAsia="宋体" w:hint="default"/>
                            <w:spacing w:val="-4"/>
                            <w:sz w:val="18"/>
                            <w:szCs w:val="18"/>
                          </w:rPr>
                          <w:t>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60,000,000.00 </w:t>
                        </w:r>
                        <w:r>
                          <w:rPr>
                            <w:rFonts w:ascii="宋体" w:hAnsi="宋体" w:cs="宋体" w:eastAsia="宋体" w:hint="default"/>
                            <w:sz w:val="18"/>
                            <w:szCs w:val="18"/>
                          </w:rPr>
                          <w:t>元全部归还并存入公司募集资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金专用账户。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元补充流动资金，于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日将</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60,000,000.00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元全部归还并存入公司募集资金专用账户</w:t>
                        </w:r>
                        <w:r>
                          <w:rPr>
                            <w:rFonts w:ascii="宋体" w:hAnsi="宋体" w:cs="宋体" w:eastAsia="宋体" w:hint="default"/>
                            <w:spacing w:val="-77"/>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元补充流动资</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已</w:t>
                        </w:r>
                        <w:r>
                          <w:rPr>
                            <w:rFonts w:ascii="宋体" w:hAnsi="宋体" w:cs="宋体" w:eastAsia="宋体" w:hint="default"/>
                            <w:sz w:val="18"/>
                            <w:szCs w:val="18"/>
                          </w:rPr>
                          <w:t>全部归还并存入募集资金专用账户</w:t>
                        </w:r>
                        <w:r>
                          <w:rPr>
                            <w:rFonts w:ascii="宋体" w:hAnsi="宋体" w:cs="宋体" w:eastAsia="宋体" w:hint="default"/>
                            <w:spacing w:val="-90"/>
                            <w:sz w:val="18"/>
                            <w:szCs w:val="18"/>
                          </w:rPr>
                          <w:t>。</w:t>
                        </w:r>
                        <w:r>
                          <w:rPr>
                            <w:rFonts w:ascii="宋体" w:hAnsi="宋体" w:cs="宋体" w:eastAsia="宋体" w:hint="default"/>
                            <w:sz w:val="18"/>
                            <w:szCs w:val="18"/>
                          </w:rPr>
                          <w:t>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日</w:t>
                        </w:r>
                        <w:r>
                          <w:rPr>
                            <w:rFonts w:ascii="宋体" w:hAnsi="宋体" w:cs="宋体" w:eastAsia="宋体" w:hint="default"/>
                            <w:sz w:val="18"/>
                            <w:szCs w:val="18"/>
                          </w:rPr>
                          <w:t>收到的中国证监会证监许可</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号文核准，采取非公开发行股票方式向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家特定对象发行股份</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13,377,775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股股票，每股发行价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11.6</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元，特定投资者均以货</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币资金认购。经立信会计师事务所（特殊普通合伙）出具的信会师报字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712094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号《验资报告》验证，本次共募集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155,182,190.00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元，扣除承销、保荐及其他费用人民币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6,093,000.00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元后，本次实际募集资金净额为人民币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149,098,190.00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元，本报告期使用募集资金总额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11,070,118.15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元，其中投入高鸿鼎恒智能化仓储物流平台建设项目人民币</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11,070,118.15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元。累积投入募集资金总额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1,232.11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元闲置募集资金暂</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时补充流动资金，截至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日已全部归还并存入募集资金专用账户。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154" w:right="1145"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0"/>
        <w:ind w:left="154" w:right="1156" w:firstLine="0"/>
        <w:jc w:val="right"/>
        <w:rPr>
          <w:rFonts w:ascii="宋体" w:hAnsi="宋体" w:cs="宋体" w:eastAsia="宋体" w:hint="default"/>
          <w:sz w:val="18"/>
          <w:szCs w:val="18"/>
        </w:rPr>
      </w:pPr>
      <w:r>
        <w:rPr/>
        <w:pict>
          <v:shape style="position:absolute;margin-left:56.459999pt;margin-top:-516.02832pt;width:479.2pt;height:625.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企业信息化系列产 品研发升级与产业化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9,636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3,169.86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电子商务项目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41,987.48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222.73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222.73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-1,712.85</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移动增值业务升级 扩容建设及数字新媒 体内容采集与运营项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37,920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4,066.75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4,066.75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高鸿鼎恒智能化仓 储物流平台建设项目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14,908.92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14,908.92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1,107.01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1,232.11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28,834.4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1,123.48</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8,691.45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-1,306.07</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122,852.4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28,834.4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1,123.48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8,691.45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-1,306.07</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856"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、公司初步拟定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月份，而募集资金实际到位</w:t>
                        </w:r>
                      </w:p>
                      <w:p>
                        <w:pPr>
                          <w:pStyle w:val="TableParagraph"/>
                          <w:spacing w:line="309" w:lineRule="auto" w:before="61"/>
                          <w:ind w:left="16"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月份，募集资金到位时间晚于预期。三个项目的投资均未达到计划进度，未达到 </w:t>
                        </w:r>
                        <w:r>
                          <w:rPr>
                            <w:rFonts w:ascii="宋体" w:hAnsi="宋体" w:cs="宋体" w:eastAsia="宋体" w:hint="default"/>
                            <w:spacing w:val="-3"/>
                            <w:sz w:val="18"/>
                            <w:szCs w:val="18"/>
                          </w:rPr>
                          <w:t>预期收益。（</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）企业信息化系列产品研发升级与产业化项目，因实际取得募集资金款项时间较可研</w:t>
                        </w:r>
                        <w:r>
                          <w:rPr>
                            <w:rFonts w:ascii="宋体" w:hAnsi="宋体" w:cs="宋体" w:eastAsia="宋体" w:hint="default"/>
                            <w:spacing w:val="-48"/>
                            <w:sz w:val="18"/>
                            <w:szCs w:val="18"/>
                          </w:rPr>
                          <w:t> </w:t>
                        </w:r>
                        <w:r>
                          <w:rPr>
                            <w:rFonts w:ascii="宋体" w:hAnsi="宋体" w:cs="宋体" w:eastAsia="宋体" w:hint="default"/>
                            <w:sz w:val="18"/>
                            <w:szCs w:val="18"/>
                          </w:rPr>
                          <w:t>报告出具日晚，整体计划有所延后，公司将在后续年度根据计划和项目市场环境继续投入。故此项 </w:t>
                        </w:r>
                        <w:r>
                          <w:rPr>
                            <w:rFonts w:ascii="宋体" w:hAnsi="宋体" w:cs="宋体" w:eastAsia="宋体" w:hint="default"/>
                            <w:spacing w:val="-2"/>
                            <w:sz w:val="18"/>
                            <w:szCs w:val="18"/>
                          </w:rPr>
                          <w:t>目未达到预期进度，未达到预期收益。</w:t>
                        </w:r>
                        <w:r>
                          <w:rPr>
                            <w:rFonts w:ascii="宋体" w:hAnsi="宋体" w:cs="宋体" w:eastAsia="宋体" w:hint="default"/>
                            <w:spacing w:val="-8"/>
                            <w:sz w:val="18"/>
                            <w:szCs w:val="18"/>
                          </w:rPr>
                          <w:t> </w:t>
                        </w:r>
                        <w:r>
                          <w:rPr>
                            <w:rFonts w:ascii="宋体" w:hAnsi="宋体" w:cs="宋体" w:eastAsia="宋体" w:hint="default"/>
                            <w:spacing w:val="-2"/>
                            <w:sz w:val="18"/>
                            <w:szCs w:val="18"/>
                          </w:rPr>
                          <w:t>公司为保证募集资金的使用效率，变更了此项目的部分募集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资金的用途。（</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）电子商务项目，根据电子商务项目的募集资金使用计划，该项目募集资金投资期</w:t>
                        </w:r>
                        <w:r>
                          <w:rPr>
                            <w:rFonts w:ascii="宋体" w:hAnsi="宋体" w:cs="宋体" w:eastAsia="宋体" w:hint="default"/>
                            <w:spacing w:val="-48"/>
                            <w:sz w:val="18"/>
                            <w:szCs w:val="18"/>
                          </w:rPr>
                          <w:t> </w:t>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3"/>
                            <w:sz w:val="18"/>
                            <w:szCs w:val="18"/>
                          </w:rPr>
                          <w:t>年，由于募集资金到位晚于预期，且属于该募投项目的物流园基建项目受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年下半年政策性 因素影响，项目变更时尚未进入招拍挂阶段，电子商务项目建设较原计划进度大幅延后。公司考虑 到电子商务实体商品经营，仓储物流成本较高，</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类产品价格透明化毛利较低，行业内竞争激烈 且公司电子商务在行业内表现并不突出，基于作为境内上市公司对盈利能力的诉求，并希望保证募 集资金的使用可以实现有效回报，公司在此电子商务项目现有经营上并未进行规模性投入。公司为 </w:t>
                        </w:r>
                        <w:r>
                          <w:rPr>
                            <w:rFonts w:ascii="宋体" w:hAnsi="宋体" w:cs="宋体" w:eastAsia="宋体" w:hint="default"/>
                            <w:spacing w:val="-3"/>
                            <w:sz w:val="18"/>
                            <w:szCs w:val="18"/>
                          </w:rPr>
                          <w:t>保证募集资金的使用效率，变更了此项目的部分募集资金的用途。（</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）移动增值业务升级扩容建设</w:t>
                        </w:r>
                        <w:r>
                          <w:rPr>
                            <w:rFonts w:ascii="宋体" w:hAnsi="宋体" w:cs="宋体" w:eastAsia="宋体" w:hint="default"/>
                            <w:spacing w:val="-48"/>
                            <w:sz w:val="18"/>
                            <w:szCs w:val="18"/>
                          </w:rPr>
                          <w:t> </w:t>
                        </w:r>
                        <w:r>
                          <w:rPr>
                            <w:rFonts w:ascii="宋体" w:hAnsi="宋体" w:cs="宋体" w:eastAsia="宋体" w:hint="default"/>
                            <w:spacing w:val="-5"/>
                            <w:sz w:val="18"/>
                            <w:szCs w:val="18"/>
                          </w:rPr>
                          <w:t>与数字新媒体内容采集与运营项目，公司初步拟定</w:t>
                        </w:r>
                        <w:r>
                          <w:rPr>
                            <w:rFonts w:ascii="宋体" w:hAnsi="宋体" w:cs="宋体" w:eastAsia="宋体" w:hint="default"/>
                            <w:spacing w:val="-48"/>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8"/>
                            <w:sz w:val="18"/>
                            <w:szCs w:val="18"/>
                          </w:rPr>
                          <w:t> </w:t>
                        </w:r>
                        <w:r>
                          <w:rPr>
                            <w:rFonts w:ascii="Times New Roman" w:hAnsi="Times New Roman" w:cs="Times New Roman" w:eastAsia="Times New Roman" w:hint="default"/>
                            <w:spacing w:val="-2"/>
                            <w:sz w:val="18"/>
                            <w:szCs w:val="18"/>
                          </w:rPr>
                          <w:t>2011</w:t>
                        </w:r>
                      </w:p>
                      <w:p>
                        <w:pPr>
                          <w:pStyle w:val="TableParagraph"/>
                          <w:spacing w:line="300" w:lineRule="auto" w:before="5"/>
                          <w:ind w:left="16" w:right="2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月份，而募集资金实际到位时间为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月份，募集资金到位时间晚于预期，公司移动增 值业务升级扩容建设及数字新媒体内容采集与运营项目的募集资金项目进度受到严重耽搁，另外，</w:t>
                        </w:r>
                      </w:p>
                    </w:tc>
                  </w:tr>
                  <w:tr>
                    <w:trPr>
                      <w:trHeight w:val="1016"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tcPr>
                      <w:p>
                        <w:pPr/>
                      </w:p>
                    </w:tc>
                  </w:tr>
                  <w:tr>
                    <w:trPr>
                      <w:trHeight w:val="1858"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2.2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254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由于政策等外部环境发生较大变化，移动增值业务升级扩容建设及数字新媒体内容采集与运营项目 前景低于公司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年时对于该项目的业务趋势研判。公司为保证募集资金的使用效率，变更了此项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目的部分募集资金的用途。</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、高鸿鼎恒智能化仓储物流平台建设项目拟在在南京建设中心仓集中储</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运货品，同时在广州、成都、沈阳、北京建设四个中转仓负责华南、西南、西北、华北、东北等地 的货物分拣、转运。公司先在北京和广州建立了两个分仓，作为试点运行，但由于分货精准程度不 高，分仓试行不理想，公司近两年重点拓展京东业务，鉴于线上、线下运营模式以及对物流响应时 效要求差异较大，线上业务对物流响应时效要求更高。公司规划的募投项目不能满足线上需求，投 入较原计划有所延缓，故公司此项目未达进度。</w:t>
                        </w:r>
                      </w:p>
                    </w:tc>
                  </w:tr>
                  <w:tr>
                    <w:trPr>
                      <w:trHeight w:val="5746"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）根据电子商务项目的募集资金使用计划，该项目募集资金投资期为</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pacing w:val="-3"/>
                            <w:sz w:val="18"/>
                            <w:szCs w:val="18"/>
                          </w:rPr>
                          <w:t>年，由于募集资金到位晚</w:t>
                        </w:r>
                      </w:p>
                      <w:p>
                        <w:pPr>
                          <w:pStyle w:val="TableParagraph"/>
                          <w:spacing w:line="300" w:lineRule="auto" w:before="61"/>
                          <w:ind w:left="22" w:right="20"/>
                          <w:jc w:val="both"/>
                          <w:rPr>
                            <w:rFonts w:ascii="宋体" w:hAnsi="宋体" w:cs="宋体" w:eastAsia="宋体" w:hint="default"/>
                            <w:sz w:val="18"/>
                            <w:szCs w:val="18"/>
                          </w:rPr>
                        </w:pPr>
                        <w:r>
                          <w:rPr>
                            <w:rFonts w:ascii="宋体" w:hAnsi="宋体" w:cs="宋体" w:eastAsia="宋体" w:hint="default"/>
                            <w:spacing w:val="-3"/>
                            <w:sz w:val="18"/>
                            <w:szCs w:val="18"/>
                          </w:rPr>
                          <w:t>于预期，且属于该募投项目的物流园基建项目受</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年下半年外部因素影响，截至项目变更时尚未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进入招拍挂阶段，电子商务项目建设较原计划进度大幅延后，公司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销售业务盈利能力和规模拓展 </w:t>
                        </w:r>
                        <w:r>
                          <w:rPr>
                            <w:rFonts w:ascii="宋体" w:hAnsi="宋体" w:cs="宋体" w:eastAsia="宋体" w:hint="default"/>
                            <w:spacing w:val="-7"/>
                            <w:sz w:val="18"/>
                            <w:szCs w:val="18"/>
                          </w:rPr>
                          <w:t>亟待提升。（</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）公司初步拟定</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月份，而募集</w:t>
                        </w:r>
                      </w:p>
                      <w:p>
                        <w:pPr>
                          <w:pStyle w:val="TableParagraph"/>
                          <w:spacing w:line="312" w:lineRule="auto" w:before="13"/>
                          <w:ind w:left="22" w:right="23"/>
                          <w:jc w:val="both"/>
                          <w:rPr>
                            <w:rFonts w:ascii="宋体" w:hAnsi="宋体" w:cs="宋体" w:eastAsia="宋体" w:hint="default"/>
                            <w:sz w:val="18"/>
                            <w:szCs w:val="18"/>
                          </w:rPr>
                        </w:pPr>
                        <w:r>
                          <w:rPr>
                            <w:rFonts w:ascii="宋体" w:hAnsi="宋体" w:cs="宋体" w:eastAsia="宋体" w:hint="default"/>
                            <w:sz w:val="18"/>
                            <w:szCs w:val="18"/>
                          </w:rPr>
                          <w:t>资金实际到位时间为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月份，由于募集资金到位时间晚于预期，公司移动增值业务升级扩 容建设及数字新媒体内容采集与运营项目的募集资金项目进度受到严重耽搁，另外，由于政策等外 部环境发生较大变化，移动增值业务升级扩容建设及数字新媒体内容采集与运营项目前景低于公司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年时对于该项目的业务趋势研判。（</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）公司初步拟定</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年度募集资金可行性研究报告的时</w:t>
                        </w:r>
                      </w:p>
                      <w:p>
                        <w:pPr>
                          <w:pStyle w:val="TableParagraph"/>
                          <w:spacing w:line="240" w:lineRule="auto" w:before="3"/>
                          <w:ind w:left="22" w:right="0"/>
                          <w:jc w:val="both"/>
                          <w:rPr>
                            <w:rFonts w:ascii="宋体" w:hAnsi="宋体" w:cs="宋体" w:eastAsia="宋体" w:hint="default"/>
                            <w:sz w:val="18"/>
                            <w:szCs w:val="18"/>
                          </w:rPr>
                        </w:pPr>
                        <w:r>
                          <w:rPr>
                            <w:rFonts w:ascii="宋体" w:hAnsi="宋体" w:cs="宋体" w:eastAsia="宋体" w:hint="default"/>
                            <w:sz w:val="18"/>
                            <w:szCs w:val="18"/>
                          </w:rPr>
                          <w:t>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月份，而募集资金实际到位时间为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w:t>
                        </w:r>
                        <w:r>
                          <w:rPr>
                            <w:rFonts w:ascii="宋体" w:hAnsi="宋体" w:cs="宋体" w:eastAsia="宋体" w:hint="default"/>
                            <w:spacing w:val="-2"/>
                            <w:sz w:val="18"/>
                            <w:szCs w:val="18"/>
                          </w:rPr>
                          <w:t> </w:t>
                        </w:r>
                        <w:r>
                          <w:rPr>
                            <w:rFonts w:ascii="宋体" w:hAnsi="宋体" w:cs="宋体" w:eastAsia="宋体" w:hint="default"/>
                            <w:sz w:val="18"/>
                            <w:szCs w:val="18"/>
                          </w:rPr>
                          <w:t>根据企业信息化系列产品研发</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升级与产业化项目的募集资金使用计划，该项目募集资金投资期为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年，由于募集资金到位晚于预 期，该项目拟开发新产品的现有市场环境变动较大，公司对此项目投入较少，企业信息化系列产品 </w:t>
                        </w:r>
                        <w:r>
                          <w:rPr>
                            <w:rFonts w:ascii="宋体" w:hAnsi="宋体" w:cs="宋体" w:eastAsia="宋体" w:hint="default"/>
                            <w:spacing w:val="-5"/>
                            <w:sz w:val="18"/>
                            <w:szCs w:val="18"/>
                          </w:rPr>
                          <w:t>研发升级与产业化项目建设较原计划进度大幅延后，而目前公司盈利能力和规模拓展亟待提升。（</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高鸿鼎恒智能化仓储物流平台建设项目拟在在南京建设中心仓集中储运货品，同时在广州、成都、 沈阳、北京建设四个中转仓负责华南、西南、西北、华北、东北等地的货物分拣、转运。公司先在 北京和广州建立了两个分仓，作为试点运行，但由于分货精准程度不高，分仓试行不理想，公司近 两年重点拓展京东业务，鉴于线上、线下运营模式以及对物流响应时效要求差异较大，线上业务对 </w:t>
                        </w:r>
                        <w:r>
                          <w:rPr>
                            <w:rFonts w:ascii="宋体" w:hAnsi="宋体" w:cs="宋体" w:eastAsia="宋体" w:hint="default"/>
                            <w:spacing w:val="-3"/>
                            <w:sz w:val="18"/>
                            <w:szCs w:val="18"/>
                          </w:rPr>
                          <w:t>物流响应时效要求更高。公司规划的募投项目不能满足线上需求，故此项目可行性出现了重大变化</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以上项目的可行性均出现了重大变化。</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0"/>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2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日，公司以自筹资金投入募集资金总额为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万元，全部为移动增值业务升级</w:t>
                        </w:r>
                      </w:p>
                      <w:p>
                        <w:pPr>
                          <w:pStyle w:val="TableParagraph"/>
                          <w:spacing w:line="309" w:lineRule="auto" w:before="63"/>
                          <w:ind w:left="22" w:right="24"/>
                          <w:jc w:val="both"/>
                          <w:rPr>
                            <w:rFonts w:ascii="宋体" w:hAnsi="宋体" w:cs="宋体" w:eastAsia="宋体" w:hint="default"/>
                            <w:sz w:val="18"/>
                            <w:szCs w:val="18"/>
                          </w:rPr>
                        </w:pPr>
                        <w:r>
                          <w:rPr>
                            <w:rFonts w:ascii="宋体" w:hAnsi="宋体" w:cs="宋体" w:eastAsia="宋体" w:hint="default"/>
                            <w:sz w:val="18"/>
                            <w:szCs w:val="18"/>
                          </w:rPr>
                          <w:t>扩容建设及数字新媒体内容采集与运营项目的投入。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日，经公司第七届董事会第十 </w:t>
                        </w:r>
                        <w:r>
                          <w:rPr>
                            <w:rFonts w:ascii="宋体" w:hAnsi="宋体" w:cs="宋体" w:eastAsia="宋体" w:hint="default"/>
                            <w:spacing w:val="-3"/>
                            <w:sz w:val="18"/>
                            <w:szCs w:val="18"/>
                          </w:rPr>
                          <w:t>三次会议审议通过《关于募集资金置换预先投入募集资金投资项目的自筹资金的议案》，独立董事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监事会、保荐机构分别发表了意见，同意公司使用募集资金人民币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万元置换已预先投入募集资</w:t>
                        </w:r>
                      </w:p>
                      <w:p>
                        <w:pPr>
                          <w:pStyle w:val="TableParagraph"/>
                          <w:spacing w:line="300" w:lineRule="auto" w:before="5"/>
                          <w:ind w:left="22" w:right="23"/>
                          <w:jc w:val="both"/>
                          <w:rPr>
                            <w:rFonts w:ascii="宋体" w:hAnsi="宋体" w:cs="宋体" w:eastAsia="宋体" w:hint="default"/>
                            <w:sz w:val="18"/>
                            <w:szCs w:val="18"/>
                          </w:rPr>
                        </w:pPr>
                        <w:r>
                          <w:rPr>
                            <w:rFonts w:ascii="宋体" w:hAnsi="宋体" w:cs="宋体" w:eastAsia="宋体" w:hint="default"/>
                            <w:sz w:val="18"/>
                            <w:szCs w:val="18"/>
                          </w:rPr>
                          <w:t>金投资项目的自筹资金。会计师出具了中瑞岳华专审字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0846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号《以自筹资金预先投入募集 </w:t>
                        </w:r>
                        <w:r>
                          <w:rPr>
                            <w:rFonts w:ascii="宋体" w:hAnsi="宋体" w:cs="宋体" w:eastAsia="宋体" w:hint="default"/>
                            <w:spacing w:val="-5"/>
                            <w:sz w:val="18"/>
                            <w:szCs w:val="18"/>
                          </w:rPr>
                          <w:t>资金投资项目情况的专项审核报告》。经公司保荐机构国信证券股份有限公司核查，国信证券及保荐</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44"/>
        <w:ind w:left="154"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before="44"/>
        <w:ind w:left="154"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44"/>
        <w:ind w:left="154" w:right="1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0"/>
        <w:ind w:left="154" w:right="1140" w:firstLine="0"/>
        <w:jc w:val="right"/>
        <w:rPr>
          <w:rFonts w:ascii="宋体" w:hAnsi="宋体" w:cs="宋体" w:eastAsia="宋体" w:hint="default"/>
          <w:sz w:val="18"/>
          <w:szCs w:val="18"/>
        </w:rPr>
      </w:pPr>
      <w:r>
        <w:rPr/>
        <w:pict>
          <v:shape style="position:absolute;margin-left:56.459999pt;margin-top:-306.428284pt;width:479.2pt;height:560.450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代表人同意公司以本次非公开发行募集资金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万元置换预先投入募集资金投资项目的自筹资金。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891"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日公司第七届董事会第九次会议审议通过并于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年第八次临</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时股东大会审议批准，将不超过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万元的闲置募集资金暂时用于补充公司流动资金，期限自股</w:t>
                        </w:r>
                      </w:p>
                      <w:p>
                        <w:pPr>
                          <w:pStyle w:val="TableParagraph"/>
                          <w:spacing w:line="300"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东大会批准之日起不超过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个月。公司聘请的保荐机构国信证券就上述事项出具了核查意见。国信 </w:t>
                        </w:r>
                        <w:r>
                          <w:rPr>
                            <w:rFonts w:ascii="宋体" w:hAnsi="宋体" w:cs="宋体" w:eastAsia="宋体" w:hint="default"/>
                            <w:spacing w:val="-1"/>
                            <w:sz w:val="18"/>
                            <w:szCs w:val="18"/>
                          </w:rPr>
                          <w:t>证券保荐代表人对高鸿股份拟进行的上述使用部分闲置募集资金补充流动资金事项无异议。</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万元补充流动资金，于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部归还并存入公司募集资金专用账户。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日经公司董事会第七届第十五次会议审议通</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过并于第二次临时股东大会会议审议批准，将不超过</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万元的闲置募集资金暂时用于补充公司</w:t>
                        </w:r>
                      </w:p>
                      <w:p>
                        <w:pPr>
                          <w:pStyle w:val="TableParagraph"/>
                          <w:spacing w:line="309" w:lineRule="auto" w:before="63"/>
                          <w:ind w:left="22"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流动资金，使用期限为临时股东大会批准之日起不超过</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个月。公司聘请的保荐机构国信证券就上</w:t>
                        </w:r>
                        <w:r>
                          <w:rPr>
                            <w:rFonts w:ascii="宋体" w:hAnsi="宋体" w:cs="宋体" w:eastAsia="宋体" w:hint="default"/>
                            <w:sz w:val="18"/>
                            <w:szCs w:val="18"/>
                          </w:rPr>
                          <w:t> 述事项出具了核查意见。国信证券保荐代表人对高鸿股份拟进行的上述使用部分闲置募集资金补充 流动资金事项无异议。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日公司使用闲置募集资金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万元补充流动资金，于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日提前归还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万元并存入募集资金专用账户，剩余资金于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日全部归还</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并存入募集资金专用账户</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经公司董事会第七届第二十七次会议审议通过并于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3"/>
                            <w:sz w:val="18"/>
                            <w:szCs w:val="18"/>
                          </w:rPr>
                          <w:t>年第三次临时股东大会会议审议批准，将不超过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万元的闲置募集资金暂时用于补充公司流动</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资金，使用期限为临时股东大会批准之日起不超过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日公司使用闲置募集资</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日，已全部归还并存入募集资金专用账户。</w:t>
                        </w:r>
                        <w:r>
                          <w:rPr>
                            <w:rFonts w:ascii="Times New Roman" w:hAnsi="Times New Roman" w:cs="Times New Roman" w:eastAsia="Times New Roman" w:hint="default"/>
                            <w:sz w:val="18"/>
                            <w:szCs w:val="18"/>
                          </w:rPr>
                          <w:t>2015</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日经公司董事会第七届第四十三次会议审议通过，将不超过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万元的闲置募集资金暂</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时用于补充公司流动资金，使用期限为自批准之日起不超过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日公司使用闲</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置募集资金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万元补充流动资金，截至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日，已全部归还并存入募集资金专用账户</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日经公司董事会第七届第五十八次会议审议通过，同意公司继续使用不超过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元闲置募集资金暂时补充流动资金，使用期限为自批准之日起不超过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司使用闲置募集资金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万元补充流动资金，截至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日，已全部归还并存入募集资金</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专用账户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日经公司董事会第八届第十一次会议审议通过，拟使用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万元的闲置</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募集资金暂时用于补充公司流动资金，使用期限为自批准之日起不超过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63"/>
                          <w:ind w:left="22" w:right="71"/>
                          <w:jc w:val="both"/>
                          <w:rPr>
                            <w:rFonts w:ascii="宋体" w:hAnsi="宋体" w:cs="宋体" w:eastAsia="宋体" w:hint="default"/>
                            <w:sz w:val="18"/>
                            <w:szCs w:val="18"/>
                          </w:rPr>
                        </w:pPr>
                        <w:r>
                          <w:rPr>
                            <w:rFonts w:ascii="宋体" w:hAnsi="宋体" w:cs="宋体" w:eastAsia="宋体" w:hint="default"/>
                            <w:sz w:val="18"/>
                            <w:szCs w:val="18"/>
                          </w:rPr>
                          <w:t>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13,700 </w:t>
                        </w:r>
                        <w:r>
                          <w:rPr>
                            <w:rFonts w:ascii="宋体" w:hAnsi="宋体" w:cs="宋体" w:eastAsia="宋体" w:hint="default"/>
                            <w:sz w:val="18"/>
                            <w:szCs w:val="18"/>
                          </w:rPr>
                          <w:t>万元补充流动资金，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日使用闲置募集资金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万元补充 流动资金，截止本报告日，上述补充流动资金的闲置募集资金已全部归还。</w:t>
                        </w:r>
                      </w:p>
                    </w:tc>
                  </w:tr>
                  <w:tr>
                    <w:trPr>
                      <w:trHeight w:val="804" w:hRule="exact"/>
                    </w:trPr>
                    <w:tc>
                      <w:tcPr>
                        <w:tcW w:w="1770" w:type="dxa"/>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剩余资金存放于公司在开户银行设立的募集资金专用账户，将依照承诺项目计划进度使用。</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4"/>
        <w:spacing w:line="240" w:lineRule="auto" w:before="35"/>
        <w:ind w:right="0"/>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8"/>
        <w:gridCol w:w="1136"/>
        <w:gridCol w:w="778"/>
        <w:gridCol w:w="959"/>
        <w:gridCol w:w="956"/>
        <w:gridCol w:w="956"/>
        <w:gridCol w:w="956"/>
        <w:gridCol w:w="957"/>
        <w:gridCol w:w="958"/>
        <w:gridCol w:w="945"/>
      </w:tblGrid>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2" w:right="23" w:hanging="360"/>
              <w:jc w:val="left"/>
              <w:rPr>
                <w:rFonts w:ascii="宋体" w:hAnsi="宋体" w:cs="宋体" w:eastAsia="宋体" w:hint="default"/>
                <w:sz w:val="18"/>
                <w:szCs w:val="18"/>
              </w:rPr>
            </w:pPr>
            <w:r>
              <w:rPr>
                <w:rFonts w:ascii="宋体" w:hAnsi="宋体" w:cs="宋体" w:eastAsia="宋体" w:hint="default"/>
                <w:sz w:val="18"/>
                <w:szCs w:val="18"/>
              </w:rPr>
              <w:t>对应的原承诺 项目</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3" w:right="23"/>
              <w:jc w:val="both"/>
              <w:rPr>
                <w:rFonts w:ascii="宋体" w:hAnsi="宋体" w:cs="宋体" w:eastAsia="宋体" w:hint="default"/>
                <w:sz w:val="18"/>
                <w:szCs w:val="18"/>
              </w:rPr>
            </w:pPr>
            <w:r>
              <w:rPr>
                <w:rFonts w:ascii="宋体" w:hAnsi="宋体" w:cs="宋体" w:eastAsia="宋体" w:hint="default"/>
                <w:sz w:val="18"/>
                <w:szCs w:val="18"/>
              </w:rPr>
              <w:t>变更后项 目拟投入 募集资金</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0"/>
              <w:jc w:val="both"/>
              <w:rPr>
                <w:rFonts w:ascii="宋体" w:hAnsi="宋体" w:cs="宋体" w:eastAsia="宋体" w:hint="default"/>
                <w:sz w:val="18"/>
                <w:szCs w:val="18"/>
              </w:rPr>
            </w:pPr>
            <w:r>
              <w:rPr>
                <w:rFonts w:ascii="宋体" w:hAnsi="宋体" w:cs="宋体" w:eastAsia="宋体" w:hint="default"/>
                <w:sz w:val="18"/>
                <w:szCs w:val="18"/>
              </w:rPr>
              <w:t>变更后的项 目可行性是 否发生重大</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8"/>
        <w:gridCol w:w="1136"/>
        <w:gridCol w:w="778"/>
        <w:gridCol w:w="959"/>
        <w:gridCol w:w="956"/>
        <w:gridCol w:w="956"/>
        <w:gridCol w:w="956"/>
        <w:gridCol w:w="957"/>
        <w:gridCol w:w="958"/>
        <w:gridCol w:w="956"/>
      </w:tblGrid>
      <w:tr>
        <w:trPr>
          <w:trHeight w:val="36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w:t>
            </w:r>
            <w:r>
              <w:rPr>
                <w:rFonts w:ascii="Times New Roman" w:hAnsi="Times New Roman" w:cs="Times New Roman" w:eastAsia="Times New Roman" w:hint="default"/>
                <w:sz w:val="18"/>
                <w:szCs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2" w:right="0"/>
              <w:jc w:val="left"/>
              <w:rPr>
                <w:rFonts w:ascii="宋体" w:hAnsi="宋体" w:cs="宋体" w:eastAsia="宋体" w:hint="default"/>
                <w:sz w:val="18"/>
                <w:szCs w:val="18"/>
              </w:rPr>
            </w:pPr>
            <w:r>
              <w:rPr>
                <w:rFonts w:ascii="宋体" w:hAnsi="宋体" w:cs="宋体" w:eastAsia="宋体" w:hint="default"/>
                <w:sz w:val="18"/>
                <w:szCs w:val="18"/>
              </w:rPr>
              <w:t>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江苏高鸿鼎 恒项目</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电子商务项目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15,118</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15,118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7,101.16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3"/>
              <w:jc w:val="both"/>
              <w:rPr>
                <w:rFonts w:ascii="宋体" w:hAnsi="宋体" w:cs="宋体" w:eastAsia="宋体" w:hint="default"/>
                <w:sz w:val="18"/>
                <w:szCs w:val="18"/>
              </w:rPr>
            </w:pPr>
            <w:r>
              <w:rPr>
                <w:rFonts w:ascii="宋体" w:hAnsi="宋体" w:cs="宋体" w:eastAsia="宋体" w:hint="default"/>
                <w:sz w:val="18"/>
                <w:szCs w:val="18"/>
              </w:rPr>
              <w:t>收购高阳捷 迅并对其增 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移动增值业务 升级扩容建设 与数字新媒体 内容采集与运 营项目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6,503.14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增资北京高 阳捷迅信息 技术有限公 司投资综合 卡兑换平台 业务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移动增值业务 升级扩容建设 与数字新媒体 内容采集与运 营项目和电子 商务项目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浙江义乌建 设大唐高鸿 电子信息产 业园</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企业信息化系 列产品研发升 级与产业化项 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9,150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55.33%</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3"/>
              <w:jc w:val="both"/>
              <w:rPr>
                <w:rFonts w:ascii="宋体" w:hAnsi="宋体" w:cs="宋体" w:eastAsia="宋体" w:hint="default"/>
                <w:sz w:val="18"/>
                <w:szCs w:val="18"/>
              </w:rPr>
            </w:pPr>
            <w:r>
              <w:rPr>
                <w:rFonts w:ascii="宋体" w:hAnsi="宋体" w:cs="宋体" w:eastAsia="宋体" w:hint="default"/>
                <w:sz w:val="18"/>
                <w:szCs w:val="18"/>
              </w:rPr>
              <w:t>大唐高鸿科 研产业发展 基地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电子商务项目 与企业信息化 系列产品研发 升级与产业化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 w:right="0"/>
              <w:jc w:val="left"/>
              <w:rPr>
                <w:rFonts w:ascii="Times New Roman" w:hAnsi="Times New Roman" w:cs="Times New Roman" w:eastAsia="Times New Roman" w:hint="default"/>
                <w:sz w:val="18"/>
                <w:szCs w:val="18"/>
              </w:rPr>
            </w:pPr>
            <w:r>
              <w:rPr>
                <w:rFonts w:ascii="Times New Roman"/>
                <w:sz w:val="18"/>
              </w:rPr>
              <w:t>10,873,180.</w:t>
            </w:r>
          </w:p>
          <w:p>
            <w:pPr>
              <w:pStyle w:val="TableParagraph"/>
              <w:spacing w:line="240" w:lineRule="auto" w:before="105"/>
              <w:ind w:left="592" w:right="0"/>
              <w:jc w:val="lef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94,018</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88,168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13,437.85</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5667"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变更原因：</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）根据电子商务项目的募集资金使用计划，该项目募集资金投资期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年，由于募集资金到位晚于预期，且属于该募投项目的物流园基建项目受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pacing w:val="-1"/>
                <w:sz w:val="18"/>
                <w:szCs w:val="18"/>
              </w:rPr>
              <w:t>年下半年外部因素影响，截至目前尚未进入招拍挂阶段，电子商务项目建设较原计划</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进度大幅延后，公司 </w:t>
            </w:r>
            <w:r>
              <w:rPr>
                <w:rFonts w:ascii="Times New Roman" w:hAnsi="Times New Roman" w:cs="Times New Roman" w:eastAsia="Times New Roman" w:hint="default"/>
                <w:sz w:val="18"/>
                <w:szCs w:val="18"/>
              </w:rPr>
              <w:t>IT </w:t>
            </w:r>
            <w:r>
              <w:rPr>
                <w:rFonts w:ascii="宋体" w:hAnsi="宋体" w:cs="宋体" w:eastAsia="宋体" w:hint="default"/>
                <w:sz w:val="18"/>
                <w:szCs w:val="18"/>
              </w:rPr>
              <w:t>销售业务盈利能力和规模拓展亟待提升。</w:t>
            </w:r>
            <w:r>
              <w:rPr>
                <w:rFonts w:ascii="宋体" w:hAnsi="宋体" w:cs="宋体" w:eastAsia="宋体" w:hint="default"/>
                <w:spacing w:val="-4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）公司初步拟 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月份，而募集资金实际到位</w:t>
            </w:r>
          </w:p>
          <w:p>
            <w:pPr>
              <w:pStyle w:val="TableParagraph"/>
              <w:spacing w:line="309" w:lineRule="auto" w:before="9"/>
              <w:ind w:left="23" w:right="3"/>
              <w:jc w:val="left"/>
              <w:rPr>
                <w:rFonts w:ascii="宋体" w:hAnsi="宋体" w:cs="宋体" w:eastAsia="宋体" w:hint="default"/>
                <w:sz w:val="18"/>
                <w:szCs w:val="18"/>
              </w:rPr>
            </w:pPr>
            <w:r>
              <w:rPr>
                <w:rFonts w:ascii="宋体" w:hAnsi="宋体" w:cs="宋体" w:eastAsia="宋体" w:hint="default"/>
                <w:sz w:val="18"/>
                <w:szCs w:val="18"/>
              </w:rPr>
              <w:t>时间为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月份，由于募集资金到位时间晚于预期，公司移动增值业务升级扩 容建设及数字新媒体内容采集与运营项目的募集资金项目进度受到严重耽搁，另外， 由于政策等外部环境发生较大变化，移动增值业务升级扩容建设及数字新媒体内容采 集与运营项目前景低于公司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年时对于该项目的业务趋势研判。</w:t>
            </w:r>
            <w:r>
              <w:rPr>
                <w:rFonts w:ascii="宋体" w:hAnsi="宋体" w:cs="宋体" w:eastAsia="宋体" w:hint="default"/>
                <w:spacing w:val="-5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）公司初步 拟定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月份，而募集资金实际到</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位时间为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w:t>
            </w:r>
            <w:r>
              <w:rPr>
                <w:rFonts w:ascii="宋体" w:hAnsi="宋体" w:cs="宋体" w:eastAsia="宋体" w:hint="default"/>
                <w:spacing w:val="1"/>
                <w:sz w:val="18"/>
                <w:szCs w:val="18"/>
              </w:rPr>
              <w:t> </w:t>
            </w:r>
            <w:r>
              <w:rPr>
                <w:rFonts w:ascii="宋体" w:hAnsi="宋体" w:cs="宋体" w:eastAsia="宋体" w:hint="default"/>
                <w:sz w:val="18"/>
                <w:szCs w:val="18"/>
              </w:rPr>
              <w:t>根据企业信息化系列产品研发升级与产业化项目的募集</w:t>
            </w:r>
          </w:p>
          <w:p>
            <w:pPr>
              <w:pStyle w:val="TableParagraph"/>
              <w:spacing w:line="312" w:lineRule="auto" w:before="63"/>
              <w:ind w:left="23" w:right="21"/>
              <w:jc w:val="left"/>
              <w:rPr>
                <w:rFonts w:ascii="宋体" w:hAnsi="宋体" w:cs="宋体" w:eastAsia="宋体" w:hint="default"/>
                <w:sz w:val="18"/>
                <w:szCs w:val="18"/>
              </w:rPr>
            </w:pPr>
            <w:r>
              <w:rPr>
                <w:rFonts w:ascii="宋体" w:hAnsi="宋体" w:cs="宋体" w:eastAsia="宋体" w:hint="default"/>
                <w:sz w:val="18"/>
                <w:szCs w:val="18"/>
              </w:rPr>
              <w:t>资金使用计划，该项目募集资金投资期为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年，由于募集资金到位晚于预期，该项目 </w:t>
            </w:r>
            <w:r>
              <w:rPr>
                <w:rFonts w:ascii="宋体" w:hAnsi="宋体" w:cs="宋体" w:eastAsia="宋体" w:hint="default"/>
                <w:spacing w:val="-1"/>
                <w:sz w:val="18"/>
                <w:szCs w:val="18"/>
              </w:rPr>
              <w:t>拟开发新产品的现有市场环境变动较大，截至目前公司对此项目投入较少，企业信息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化系列产品研发升级与产业化项目建设较原计划进度大幅延后，而目前公司盈利能力</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和规模拓展亟待提升。为提高募集资金的使用效率，避免募集资金闲置导致的资金效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率低下，公司根据各项目的实施进度，为有效实现对公司现有业务的补充与延伸，推</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动业务发展规划的顺利实现，公司变更了以上项目。 决策程序及披露情况：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1"/>
                <w:sz w:val="18"/>
                <w:szCs w:val="18"/>
              </w:rPr>
              <w:t>江苏高鸿鼎恒项目：经第七届第十三次董事会审议的《关于变更部分募集资金投向的</w:t>
            </w:r>
          </w:p>
        </w:tc>
      </w:tr>
    </w:tbl>
    <w:p>
      <w:pPr>
        <w:spacing w:after="0" w:line="31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pt;height:694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9"/>
                  </w:tblGrid>
                  <w:tr>
                    <w:trPr>
                      <w:trHeight w:val="7227"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议案》通过，独立董事、监事会和保荐机构发表了独立意见，并经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会审议批准。信息披露情况详见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日的《第七届第十三次董事会决议公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106"/>
                            <w:sz w:val="18"/>
                            <w:szCs w:val="18"/>
                          </w:rPr>
                          <w:t>》</w:t>
                        </w:r>
                        <w:r>
                          <w:rPr>
                            <w:rFonts w:ascii="宋体" w:hAnsi="宋体" w:cs="宋体" w:eastAsia="宋体" w:hint="default"/>
                            <w:sz w:val="18"/>
                            <w:szCs w:val="18"/>
                          </w:rPr>
                          <w:t>（公告号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012</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16"/>
                            <w:sz w:val="18"/>
                            <w:szCs w:val="18"/>
                          </w:rPr>
                          <w:t>的</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年股东大会决议公告</w:t>
                        </w:r>
                        <w:r>
                          <w:rPr>
                            <w:rFonts w:ascii="宋体" w:hAnsi="宋体" w:cs="宋体" w:eastAsia="宋体" w:hint="default"/>
                            <w:spacing w:val="-106"/>
                            <w:sz w:val="18"/>
                            <w:szCs w:val="18"/>
                          </w:rPr>
                          <w:t>》</w:t>
                        </w:r>
                        <w:r>
                          <w:rPr>
                            <w:rFonts w:ascii="宋体" w:hAnsi="宋体" w:cs="宋体" w:eastAsia="宋体" w:hint="default"/>
                            <w:sz w:val="18"/>
                            <w:szCs w:val="18"/>
                          </w:rPr>
                          <w:t>（公告号</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028</w:t>
                        </w:r>
                        <w:r>
                          <w:rPr>
                            <w:rFonts w:ascii="宋体" w:hAnsi="宋体" w:cs="宋体" w:eastAsia="宋体" w:hint="default"/>
                            <w:sz w:val="18"/>
                            <w:szCs w:val="18"/>
                          </w:rPr>
                          <w:t>）及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日的《关于变更部分募集资金投向暨对外投资的公告</w:t>
                        </w:r>
                      </w:p>
                      <w:p>
                        <w:pPr>
                          <w:pStyle w:val="TableParagraph"/>
                          <w:spacing w:line="300" w:lineRule="auto" w:before="63"/>
                          <w:ind w:left="23" w:right="48"/>
                          <w:jc w:val="left"/>
                          <w:rPr>
                            <w:rFonts w:ascii="宋体" w:hAnsi="宋体" w:cs="宋体" w:eastAsia="宋体" w:hint="default"/>
                            <w:sz w:val="18"/>
                            <w:szCs w:val="18"/>
                          </w:rPr>
                        </w:pPr>
                        <w:r>
                          <w:rPr>
                            <w:rFonts w:ascii="宋体" w:hAnsi="宋体" w:cs="宋体" w:eastAsia="宋体" w:hint="default"/>
                            <w:sz w:val="18"/>
                            <w:szCs w:val="18"/>
                          </w:rPr>
                          <w:t>（公告号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021</w:t>
                        </w:r>
                        <w:r>
                          <w:rPr>
                            <w:rFonts w:ascii="宋体" w:hAnsi="宋体" w:cs="宋体" w:eastAsia="宋体" w:hint="default"/>
                            <w:sz w:val="18"/>
                            <w:szCs w:val="18"/>
                          </w:rPr>
                          <w:t>）</w:t>
                        </w:r>
                        <w:r>
                          <w:rPr>
                            <w:rFonts w:ascii="宋体" w:hAnsi="宋体" w:cs="宋体" w:eastAsia="宋体" w:hint="default"/>
                            <w:spacing w:val="-4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）收购高阳捷迅并对其增资项目：经第七届第十七次董事 会审议的《关于变更部分募集资金投向的议案》通过，并经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5"/>
                            <w:sz w:val="18"/>
                            <w:szCs w:val="18"/>
                          </w:rPr>
                          <w:t>大会批准。信息披露情况详见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日的《第七届第十七次董事会决议公告</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2013-047</w:t>
                        </w:r>
                        <w:r>
                          <w:rPr>
                            <w:rFonts w:ascii="宋体" w:hAnsi="宋体" w:cs="宋体" w:eastAsia="宋体" w:hint="default"/>
                            <w:spacing w:val="-90"/>
                            <w:sz w:val="18"/>
                            <w:szCs w:val="18"/>
                          </w:rPr>
                          <w:t>）、</w:t>
                        </w:r>
                        <w:r>
                          <w:rPr>
                            <w:rFonts w:ascii="宋体" w:hAnsi="宋体" w:cs="宋体" w:eastAsia="宋体" w:hint="default"/>
                            <w:sz w:val="18"/>
                            <w:szCs w:val="18"/>
                          </w:rPr>
                          <w:t>《关于变更部分募集资金投向暨对外投资关联交易的公告》</w:t>
                        </w:r>
                      </w:p>
                      <w:p>
                        <w:pPr>
                          <w:pStyle w:val="TableParagraph"/>
                          <w:spacing w:line="307" w:lineRule="auto" w:before="63"/>
                          <w:ind w:left="23" w:right="21"/>
                          <w:jc w:val="both"/>
                          <w:rPr>
                            <w:rFonts w:ascii="宋体" w:hAnsi="宋体" w:cs="宋体" w:eastAsia="宋体" w:hint="default"/>
                            <w:sz w:val="18"/>
                            <w:szCs w:val="18"/>
                          </w:rPr>
                        </w:pP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2013-048</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年第四次临时股东大会决议公 </w:t>
                        </w:r>
                        <w:r>
                          <w:rPr>
                            <w:rFonts w:ascii="宋体" w:hAnsi="宋体" w:cs="宋体" w:eastAsia="宋体" w:hint="default"/>
                            <w:spacing w:val="-10"/>
                            <w:sz w:val="18"/>
                            <w:szCs w:val="18"/>
                          </w:rPr>
                          <w:t>告》（公告编号：</w:t>
                        </w:r>
                        <w:r>
                          <w:rPr>
                            <w:rFonts w:ascii="Times New Roman" w:hAnsi="Times New Roman" w:cs="Times New Roman" w:eastAsia="Times New Roman" w:hint="default"/>
                            <w:spacing w:val="-10"/>
                            <w:sz w:val="18"/>
                            <w:szCs w:val="18"/>
                          </w:rPr>
                          <w:t>2013-057</w:t>
                        </w:r>
                        <w:r>
                          <w:rPr>
                            <w:rFonts w:ascii="宋体" w:hAnsi="宋体" w:cs="宋体" w:eastAsia="宋体" w:hint="default"/>
                            <w:spacing w:val="-10"/>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）浙江义乌建设大唐高鸿电子信息产业园项目及增 </w:t>
                        </w:r>
                        <w:r>
                          <w:rPr>
                            <w:rFonts w:ascii="宋体" w:hAnsi="宋体" w:cs="宋体" w:eastAsia="宋体" w:hint="default"/>
                            <w:spacing w:val="-1"/>
                            <w:sz w:val="18"/>
                            <w:szCs w:val="18"/>
                          </w:rPr>
                          <w:t>资北京高阳捷迅信息技术有限公司投资综合卡兑换平台业务：经第七届第三十五次董</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事会审议的《关于变更部分募集资金投向的议案》通过，并经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w:t>
                        </w:r>
                      </w:p>
                      <w:p>
                        <w:pPr>
                          <w:pStyle w:val="TableParagraph"/>
                          <w:spacing w:line="300" w:lineRule="auto" w:before="7"/>
                          <w:ind w:left="23" w:right="92"/>
                          <w:jc w:val="left"/>
                          <w:rPr>
                            <w:rFonts w:ascii="宋体" w:hAnsi="宋体" w:cs="宋体" w:eastAsia="宋体" w:hint="default"/>
                            <w:sz w:val="18"/>
                            <w:szCs w:val="18"/>
                          </w:rPr>
                        </w:pPr>
                        <w:r>
                          <w:rPr>
                            <w:rFonts w:ascii="宋体" w:hAnsi="宋体" w:cs="宋体" w:eastAsia="宋体" w:hint="default"/>
                            <w:sz w:val="18"/>
                            <w:szCs w:val="18"/>
                          </w:rPr>
                          <w:t>东大会审议批准。信息披露情况详见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日《第七届第三十五次董事会 </w:t>
                        </w:r>
                        <w:r>
                          <w:rPr>
                            <w:rFonts w:ascii="宋体" w:hAnsi="宋体" w:cs="宋体" w:eastAsia="宋体" w:hint="default"/>
                            <w:spacing w:val="-15"/>
                            <w:sz w:val="18"/>
                            <w:szCs w:val="18"/>
                          </w:rPr>
                          <w:t>决议公告》（公告编号：</w:t>
                        </w:r>
                        <w:r>
                          <w:rPr>
                            <w:rFonts w:ascii="Times New Roman" w:hAnsi="Times New Roman" w:cs="Times New Roman" w:eastAsia="Times New Roman" w:hint="default"/>
                            <w:spacing w:val="-15"/>
                            <w:sz w:val="18"/>
                            <w:szCs w:val="18"/>
                          </w:rPr>
                          <w:t>2014-123</w:t>
                        </w:r>
                        <w:r>
                          <w:rPr>
                            <w:rFonts w:ascii="宋体" w:hAnsi="宋体" w:cs="宋体" w:eastAsia="宋体" w:hint="default"/>
                            <w:spacing w:val="-15"/>
                            <w:sz w:val="18"/>
                            <w:szCs w:val="18"/>
                          </w:rPr>
                          <w:t>）、《关于变更部分募集资金投向暨对外投资公告（一）</w:t>
                        </w:r>
                        <w:r>
                          <w:rPr>
                            <w:rFonts w:ascii="宋体" w:hAnsi="宋体" w:cs="宋体" w:eastAsia="宋体" w:hint="default"/>
                            <w:sz w:val="18"/>
                            <w:szCs w:val="18"/>
                          </w:rPr>
                        </w:r>
                      </w:p>
                      <w:p>
                        <w:pPr>
                          <w:pStyle w:val="TableParagraph"/>
                          <w:spacing w:line="304" w:lineRule="auto" w:before="13"/>
                          <w:ind w:left="23" w:right="3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（公告编号：</w:t>
                        </w:r>
                        <w:r>
                          <w:rPr>
                            <w:rFonts w:ascii="Times New Roman" w:hAnsi="Times New Roman" w:cs="Times New Roman" w:eastAsia="Times New Roman" w:hint="default"/>
                            <w:spacing w:val="-9"/>
                            <w:sz w:val="18"/>
                            <w:szCs w:val="18"/>
                          </w:rPr>
                          <w:t>2014-124</w:t>
                        </w:r>
                        <w:r>
                          <w:rPr>
                            <w:rFonts w:ascii="宋体" w:hAnsi="宋体" w:cs="宋体" w:eastAsia="宋体" w:hint="default"/>
                            <w:spacing w:val="-9"/>
                            <w:sz w:val="18"/>
                            <w:szCs w:val="18"/>
                          </w:rPr>
                          <w:t>）、《关于变更部分募集资金投向暨对外投资公告（二）》（公告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2014-125</w:t>
                        </w:r>
                        <w:r>
                          <w:rPr>
                            <w:rFonts w:ascii="宋体" w:hAnsi="宋体" w:cs="宋体" w:eastAsia="宋体" w:hint="default"/>
                            <w:sz w:val="18"/>
                            <w:szCs w:val="18"/>
                          </w:rPr>
                          <w:t>）及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w:t>
                        </w:r>
                        <w:r>
                          <w:rPr>
                            <w:rFonts w:ascii="Times New Roman" w:hAnsi="Times New Roman" w:cs="Times New Roman" w:eastAsia="Times New Roman" w:hint="default"/>
                            <w:sz w:val="18"/>
                            <w:szCs w:val="18"/>
                          </w:rPr>
                          <w:t>2014 </w:t>
                        </w:r>
                        <w:r>
                          <w:rPr>
                            <w:rFonts w:ascii="宋体" w:hAnsi="宋体" w:cs="宋体" w:eastAsia="宋体" w:hint="default"/>
                            <w:spacing w:val="-6"/>
                            <w:sz w:val="18"/>
                            <w:szCs w:val="18"/>
                          </w:rPr>
                          <w:t>年第六次临时股东大会决议公告》（公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2014-136</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）大唐高鸿科研产业发展基地项目：经第七届第三十八次董 事会审议的《关于变更募集资金用于投资建设大唐高鸿科研产业发展基地项目的议 案》通过，并经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年第一次临时股东大会审议批准。信息披露情况详见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9" w:lineRule="auto" w:before="9"/>
                          <w:ind w:left="23" w:right="-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w:t>
                        </w:r>
                        <w:r>
                          <w:rPr>
                            <w:rFonts w:ascii="宋体" w:hAnsi="宋体" w:cs="宋体" w:eastAsia="宋体" w:hint="default"/>
                            <w:spacing w:val="1"/>
                            <w:sz w:val="18"/>
                            <w:szCs w:val="18"/>
                          </w:rPr>
                          <w:t>七</w:t>
                        </w:r>
                        <w:r>
                          <w:rPr>
                            <w:rFonts w:ascii="宋体" w:hAnsi="宋体" w:cs="宋体" w:eastAsia="宋体" w:hint="default"/>
                            <w:sz w:val="18"/>
                            <w:szCs w:val="18"/>
                          </w:rPr>
                          <w:t>届第三十八次董事会决议公告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z w:val="18"/>
                            <w:szCs w:val="18"/>
                          </w:rPr>
                          <w:t>2015-002</w:t>
                        </w:r>
                        <w:r>
                          <w:rPr>
                            <w:rFonts w:ascii="宋体" w:hAnsi="宋体" w:cs="宋体" w:eastAsia="宋体" w:hint="default"/>
                            <w:spacing w:val="-90"/>
                            <w:sz w:val="18"/>
                            <w:szCs w:val="18"/>
                          </w:rPr>
                          <w:t>）、</w:t>
                        </w:r>
                        <w:r>
                          <w:rPr>
                            <w:rFonts w:ascii="宋体" w:hAnsi="宋体" w:cs="宋体" w:eastAsia="宋体" w:hint="default"/>
                            <w:sz w:val="18"/>
                            <w:szCs w:val="18"/>
                          </w:rPr>
                          <w:t>《关于明确大</w:t>
                        </w:r>
                        <w:r>
                          <w:rPr>
                            <w:rFonts w:ascii="宋体" w:hAnsi="宋体" w:cs="宋体" w:eastAsia="宋体" w:hint="default"/>
                            <w:sz w:val="18"/>
                            <w:szCs w:val="18"/>
                          </w:rPr>
                          <w:t> 唐高鸿科研产业发展基地项目资金来源暨变更部分募集资金投资公告</w:t>
                        </w:r>
                        <w:r>
                          <w:rPr>
                            <w:rFonts w:ascii="宋体" w:hAnsi="宋体" w:cs="宋体" w:eastAsia="宋体" w:hint="default"/>
                            <w:spacing w:val="-90"/>
                            <w:sz w:val="18"/>
                            <w:szCs w:val="18"/>
                          </w:rPr>
                          <w:t>》</w:t>
                        </w:r>
                        <w:r>
                          <w:rPr>
                            <w:rFonts w:ascii="宋体" w:hAnsi="宋体" w:cs="宋体" w:eastAsia="宋体" w:hint="default"/>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2015-002</w:t>
                        </w:r>
                        <w:r>
                          <w:rPr>
                            <w:rFonts w:ascii="宋体" w:hAnsi="宋体" w:cs="宋体" w:eastAsia="宋体" w:hint="default"/>
                            <w:sz w:val="18"/>
                            <w:szCs w:val="18"/>
                          </w:rPr>
                          <w:t>）及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年第一次临时股东大会决议公告</w:t>
                        </w:r>
                        <w:r>
                          <w:rPr>
                            <w:rFonts w:ascii="宋体" w:hAnsi="宋体" w:cs="宋体" w:eastAsia="宋体" w:hint="default"/>
                            <w:spacing w:val="-90"/>
                            <w:sz w:val="18"/>
                            <w:szCs w:val="18"/>
                          </w:rPr>
                          <w:t>》</w:t>
                        </w:r>
                        <w:r>
                          <w:rPr>
                            <w:rFonts w:ascii="宋体" w:hAnsi="宋体" w:cs="宋体" w:eastAsia="宋体" w:hint="default"/>
                            <w:sz w:val="18"/>
                            <w:szCs w:val="18"/>
                          </w:rPr>
                          <w:t>（公告编号：</w:t>
                        </w:r>
                      </w:p>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6642"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公司初步拟定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年度募集资金可行性研究报告的时间为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月份，而募集资</w:t>
                        </w:r>
                      </w:p>
                      <w:p>
                        <w:pPr>
                          <w:pStyle w:val="TableParagraph"/>
                          <w:spacing w:line="307" w:lineRule="auto" w:before="61"/>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金实际到位时间为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月份，募集资金到位时间晚于预期。三个项目的投资均 </w:t>
                        </w:r>
                        <w:r>
                          <w:rPr>
                            <w:rFonts w:ascii="宋体" w:hAnsi="宋体" w:cs="宋体" w:eastAsia="宋体" w:hint="default"/>
                            <w:spacing w:val="-6"/>
                            <w:sz w:val="18"/>
                            <w:szCs w:val="18"/>
                          </w:rPr>
                          <w:t>未达到计划进度，未达到预期收益。（</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）企业信息化系列产品研发升级与产业化项目</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
                            <w:sz w:val="18"/>
                            <w:szCs w:val="18"/>
                          </w:rPr>
                          <w:t>因实际取得募集资金款项时间较可研报告出具日晚，整体计划有所延后，公司将在后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续年度根据计划和项目市场环境继续投入。故此项目未达到预期进度，未达到预期收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 </w:t>
                        </w:r>
                        <w:r>
                          <w:rPr>
                            <w:rFonts w:ascii="宋体" w:hAnsi="宋体" w:cs="宋体" w:eastAsia="宋体" w:hint="default"/>
                            <w:spacing w:val="-3"/>
                            <w:sz w:val="18"/>
                            <w:szCs w:val="18"/>
                          </w:rPr>
                          <w:t>公司为保证募集资金的使用效率，变更了此项目的部分募集资金的用途。（</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电子商务项目，根据电子商务项目的募集资金使用计划，该项目募集资金投资期为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309" w:lineRule="auto" w:before="7"/>
                          <w:ind w:left="23" w:right="3"/>
                          <w:jc w:val="left"/>
                          <w:rPr>
                            <w:rFonts w:ascii="宋体" w:hAnsi="宋体" w:cs="宋体" w:eastAsia="宋体" w:hint="default"/>
                            <w:sz w:val="18"/>
                            <w:szCs w:val="18"/>
                          </w:rPr>
                        </w:pPr>
                        <w:r>
                          <w:rPr>
                            <w:rFonts w:ascii="宋体" w:hAnsi="宋体" w:cs="宋体" w:eastAsia="宋体" w:hint="default"/>
                            <w:sz w:val="18"/>
                            <w:szCs w:val="18"/>
                          </w:rPr>
                          <w:t>年，由于募集资金到位晚于预期，且属于该募投项目的物流园基建项目受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 半年政策性因素影响，截至报告期末尚未进入招拍挂阶段，电子商务项目建设较原计 划进度大幅延后。公司考虑到电子商务实体商品经营，仓储物流成本较高，</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类产 品价格透明化毛利较低，行业内竞争激烈，且公司电子商务在行业内表现并不突出， 基于作为境内上市公司对盈利能力的诉求，并希望保证募集资金的使用可以实现有效 回报，公司在此电子商务项目现有经营上并未进行规模性投入。公司为保证募集资金 </w:t>
                        </w:r>
                        <w:r>
                          <w:rPr>
                            <w:rFonts w:ascii="宋体" w:hAnsi="宋体" w:cs="宋体" w:eastAsia="宋体" w:hint="default"/>
                            <w:spacing w:val="-3"/>
                            <w:sz w:val="18"/>
                            <w:szCs w:val="18"/>
                          </w:rPr>
                          <w:t>的使用效率，变更了此项目的部分募集资金的用途。（</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）移动增值业务升级扩容建设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与数字新媒体内容采集与运营项目，公司初步拟定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年度募集资金可行性研究报</w:t>
                        </w:r>
                      </w:p>
                      <w:p>
                        <w:pPr>
                          <w:pStyle w:val="TableParagraph"/>
                          <w:spacing w:line="312"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告的时间为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月份，而募集资金实际到位时间为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月份，募集资金 </w:t>
                        </w:r>
                        <w:r>
                          <w:rPr>
                            <w:rFonts w:ascii="宋体" w:hAnsi="宋体" w:cs="宋体" w:eastAsia="宋体" w:hint="default"/>
                            <w:spacing w:val="-1"/>
                            <w:sz w:val="18"/>
                            <w:szCs w:val="18"/>
                          </w:rPr>
                          <w:t>到位时间晚于预期，公司移动增值业务升级扩容建设及数字新媒体内容采集与运营项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目的募集资金项目进度受到严重耽搁，另外，由于政策等外部环境发生较大变化，移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动增值业务升级扩容建设及数字新媒体内容采集与运营项目前景低于公司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年时 </w:t>
                        </w:r>
                        <w:r>
                          <w:rPr>
                            <w:rFonts w:ascii="宋体" w:hAnsi="宋体" w:cs="宋体" w:eastAsia="宋体" w:hint="default"/>
                            <w:spacing w:val="-1"/>
                            <w:sz w:val="18"/>
                            <w:szCs w:val="18"/>
                          </w:rPr>
                          <w:t>对于该项目的业务趋势研判。公司为保证募集资金的使用效率，变更了此项目的部分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募集资金的用途。</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5"/>
          <w:szCs w:val="15"/>
        </w:rPr>
      </w:pPr>
    </w:p>
    <w:p>
      <w:pPr>
        <w:spacing w:before="0"/>
        <w:ind w:left="154"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154"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before="44"/>
        <w:ind w:left="154"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before="0"/>
        <w:ind w:left="154"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2"/>
        <w:gridCol w:w="6699"/>
      </w:tblGrid>
      <w:tr>
        <w:trPr>
          <w:trHeight w:val="1650" w:hRule="exact"/>
        </w:trPr>
        <w:tc>
          <w:tcPr>
            <w:tcW w:w="2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
              <w:jc w:val="both"/>
              <w:rPr>
                <w:rFonts w:ascii="宋体" w:hAnsi="宋体" w:cs="宋体" w:eastAsia="宋体" w:hint="default"/>
                <w:sz w:val="18"/>
                <w:szCs w:val="18"/>
              </w:rPr>
            </w:pPr>
            <w:r>
              <w:rPr>
                <w:rFonts w:ascii="宋体" w:hAnsi="宋体" w:cs="宋体" w:eastAsia="宋体" w:hint="default"/>
                <w:sz w:val="18"/>
                <w:szCs w:val="18"/>
              </w:rPr>
              <w:t>原计划的大唐高鸿电子信息产业园分为两期，目前项目一期已经建设完成投入使用， 实际使用资金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9,150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万元，总建筑面积为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2,0125.31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平米，主要用于公司信息化建设的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办公室、实验室、机房等，满足公司在当地可信云计算等相关企业信息化业务的开展</w:t>
            </w:r>
            <w:r>
              <w:rPr>
                <w:rFonts w:ascii="宋体" w:hAnsi="宋体" w:cs="宋体" w:eastAsia="宋体" w:hint="default"/>
                <w:sz w:val="18"/>
                <w:szCs w:val="18"/>
              </w:rPr>
              <w:t> 且有部分剩余空间。结合公司业务推进情况，目前情况已满足公司经营发展需求，短 期内暂不开展二期建设。</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北京大唐高 鸿数据网络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2,600,376,30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826,466,162.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4,101,382,52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-1,204,882.7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-749,413.08</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北京大唐高 鸿软件技术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67,692,442.4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61,527,960.8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34,430,179.1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890,973.34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1,001,879.87</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大唐高鸿通 信技术有限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242,018,840.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197,747,957.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146,071,606.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3,080,195.95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3,065,881.38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651,799,096.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355,174,705.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307,601,856.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580,073.66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774,053.80</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高鸿恒昌科 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68,500,000.0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36,251,075.4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5,559,275.54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24,767,787.4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-16,643,353.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-16,727,157.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大唐高鸿济 宁电子信息 技术有限公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223,055,562.</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162,093,075.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140,331,334.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3,884,067.36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967,807.49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江苏高鸿鼎 恒信息技术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1,320,504,58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486,777,867.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3,392,471,20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88,709,316.0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71,011,567.5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贵州大唐高 鸿置业有限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企业信息 化、</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713,669,748.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188,348,649.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-6,473,698.7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-6,473,697.3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大唐融合通 信股份有限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118,000,000.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773,265,902.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387,954,620.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934,487,799.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10,910,748.5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15,121,628.3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信息服务业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154,180,961.</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931,860,722.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893,971,574.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237,681,771.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75,035,154.7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63,366,942.7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大唐投资管 </w:t>
            </w:r>
            <w:r>
              <w:rPr>
                <w:rFonts w:ascii="宋体" w:hAnsi="宋体" w:cs="宋体" w:eastAsia="宋体" w:hint="default"/>
                <w:spacing w:val="-14"/>
                <w:sz w:val="18"/>
                <w:szCs w:val="18"/>
              </w:rPr>
              <w:t>理（北京）有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55,822,702.2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55,142,546.1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2,550,943.33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-765,659.13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-346,796.46</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大唐高</w:t>
            </w:r>
            <w:r>
              <w:rPr>
                <w:rFonts w:ascii="宋体" w:hAnsi="宋体" w:cs="宋体" w:eastAsia="宋体" w:hint="default"/>
                <w:spacing w:val="-82"/>
                <w:sz w:val="18"/>
                <w:szCs w:val="18"/>
              </w:rPr>
              <w:t>鸿</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82"/>
                <w:sz w:val="18"/>
                <w:szCs w:val="18"/>
              </w:rPr>
              <w:t>）</w:t>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453,228.14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20,912,233.0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789,274.99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9,007,182.67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311,140.95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285,471.82</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大唐高鸿信 息通信研究 </w:t>
            </w:r>
            <w:r>
              <w:rPr>
                <w:rFonts w:ascii="宋体" w:hAnsi="宋体" w:cs="宋体" w:eastAsia="宋体" w:hint="default"/>
                <w:spacing w:val="-14"/>
                <w:sz w:val="18"/>
                <w:szCs w:val="18"/>
              </w:rPr>
              <w:t>院（义乌）有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0"/>
              <w:jc w:val="left"/>
              <w:rPr>
                <w:rFonts w:ascii="宋体" w:hAnsi="宋体" w:cs="宋体" w:eastAsia="宋体" w:hint="default"/>
                <w:sz w:val="18"/>
                <w:szCs w:val="18"/>
              </w:rPr>
            </w:pPr>
            <w:r>
              <w:rPr>
                <w:rFonts w:ascii="宋体" w:hAnsi="宋体" w:cs="宋体" w:eastAsia="宋体" w:hint="default"/>
                <w:sz w:val="18"/>
                <w:szCs w:val="18"/>
              </w:rPr>
              <w:t>企业信息化 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137,734,847.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35,801,560.3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34,571,226.7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-9,944,704.4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-10,008,730.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7"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深圳大唐高鸿信息技术有限公司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对外出售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对公司业务的连续性、管理层稳定性没 有影响。股权出售增加报告期利润总额</w:t>
            </w:r>
          </w:p>
          <w:p>
            <w:pPr>
              <w:pStyle w:val="TableParagraph"/>
              <w:spacing w:line="240" w:lineRule="auto" w:before="2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580" w:right="0"/>
        <w:jc w:val="left"/>
      </w:pPr>
      <w:r>
        <w:rPr/>
        <w:t>（一）行业格局和趋势</w:t>
      </w:r>
    </w:p>
    <w:p>
      <w:pPr>
        <w:pStyle w:val="BodyText"/>
        <w:spacing w:line="240" w:lineRule="auto" w:before="37"/>
        <w:ind w:left="580" w:right="0"/>
        <w:jc w:val="left"/>
      </w:pPr>
      <w:r>
        <w:rPr>
          <w:rFonts w:ascii="Times New Roman" w:hAnsi="Times New Roman" w:cs="Times New Roman" w:eastAsia="Times New Roman" w:hint="default"/>
        </w:rPr>
        <w:t>1</w:t>
      </w:r>
      <w:r>
        <w:rPr/>
        <w:t>．内外部环境因素研判</w:t>
      </w:r>
    </w:p>
    <w:p>
      <w:pPr>
        <w:pStyle w:val="BodyText"/>
        <w:spacing w:line="240" w:lineRule="auto" w:before="21"/>
        <w:ind w:left="580" w:right="0"/>
        <w:jc w:val="left"/>
      </w:pPr>
      <w:r>
        <w:rPr/>
        <w:t>（</w:t>
      </w:r>
      <w:r>
        <w:rPr>
          <w:rFonts w:ascii="Times New Roman" w:hAnsi="Times New Roman" w:cs="Times New Roman" w:eastAsia="Times New Roman" w:hint="default"/>
        </w:rPr>
        <w:t>1</w:t>
      </w:r>
      <w:r>
        <w:rPr/>
        <w:t>）宏观环境分析：</w:t>
      </w:r>
    </w:p>
    <w:p>
      <w:pPr>
        <w:pStyle w:val="BodyText"/>
        <w:spacing w:line="256" w:lineRule="auto" w:before="21"/>
        <w:ind w:left="580" w:right="1118"/>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政治环境</w:t>
      </w:r>
      <w:r>
        <w:rPr>
          <w:w w:val="99"/>
        </w:rPr>
        <w:t> </w:t>
      </w:r>
      <w:r>
        <w:rPr>
          <w:spacing w:val="-6"/>
        </w:rPr>
        <w:t>十九大提出，进一步明确国企改革方向，要完善各类国有资产管理体制，改革国有资本授权经营体制，</w:t>
      </w:r>
    </w:p>
    <w:p>
      <w:pPr>
        <w:pStyle w:val="BodyText"/>
        <w:spacing w:line="240" w:lineRule="auto" w:before="22"/>
        <w:ind w:right="0"/>
        <w:jc w:val="left"/>
      </w:pPr>
      <w:r>
        <w:rPr/>
        <w:t>加快国有经济布局优化、结构调整、战略性重组，促进国有资产保值增值，推动国有资本做强做优做大，</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31"/>
        <w:jc w:val="both"/>
      </w:pPr>
      <w:r>
        <w:rPr>
          <w:spacing w:val="-1"/>
        </w:rPr>
        <w:t>有效防止国有资产流失；深化国有企业改革，发展混合所有制经济，培育各个领域重点国企成为具有全球</w:t>
      </w:r>
      <w:r>
        <w:rPr>
          <w:spacing w:val="-83"/>
        </w:rPr>
        <w:t> </w:t>
      </w:r>
      <w:r>
        <w:rPr>
          <w:spacing w:val="-83"/>
        </w:rPr>
      </w:r>
      <w:r>
        <w:rPr>
          <w:spacing w:val="-1"/>
        </w:rPr>
        <w:t>竞争力的世界一流企业。</w:t>
      </w:r>
      <w:r>
        <w:rPr>
          <w:rFonts w:ascii="Times New Roman" w:hAnsi="Times New Roman" w:cs="Times New Roman" w:eastAsia="Times New Roman" w:hint="default"/>
          <w:spacing w:val="-1"/>
        </w:rPr>
        <w:t>2019</w:t>
      </w:r>
      <w:r>
        <w:rPr>
          <w:spacing w:val="-1"/>
        </w:rPr>
        <w:t>年，要充分发挥国有企业在供给侧结构性改革当中的作用，国有企业需要在</w:t>
      </w:r>
      <w:r>
        <w:rPr>
          <w:spacing w:val="-80"/>
        </w:rPr>
        <w:t> </w:t>
      </w:r>
      <w:r>
        <w:rPr>
          <w:spacing w:val="-80"/>
        </w:rPr>
      </w:r>
      <w:r>
        <w:rPr/>
        <w:t>三方面发力：一是要加快创新驱动发展。二是要做强做精主业和实业。三是要优化国有资本布局。</w:t>
      </w:r>
    </w:p>
    <w:p>
      <w:pPr>
        <w:pStyle w:val="BodyText"/>
        <w:spacing w:line="273" w:lineRule="auto" w:before="16"/>
        <w:ind w:right="1130" w:firstLine="426"/>
        <w:jc w:val="left"/>
      </w:pPr>
      <w:r>
        <w:rPr>
          <w:spacing w:val="-1"/>
        </w:rPr>
        <w:t>我国将继续按照《十三五国家信息发展战略纲要》内容，进一步推进信息经济的发展，自主可控、网</w:t>
      </w:r>
      <w:r>
        <w:rPr/>
        <w:t> 络安全、中国制造</w:t>
      </w:r>
      <w:r>
        <w:rPr>
          <w:rFonts w:ascii="Times New Roman" w:hAnsi="Times New Roman" w:cs="Times New Roman" w:eastAsia="Times New Roman" w:hint="default"/>
        </w:rPr>
        <w:t>2025</w:t>
      </w:r>
      <w:r>
        <w:rPr/>
        <w:t>、</w:t>
      </w:r>
      <w:r>
        <w:rPr>
          <w:rFonts w:ascii="Times New Roman" w:hAnsi="Times New Roman" w:cs="Times New Roman" w:eastAsia="Times New Roman" w:hint="default"/>
        </w:rPr>
        <w:t>5G</w:t>
      </w:r>
      <w:r>
        <w:rPr/>
        <w:t>、人工智能、宽带中国、智慧城市、云计算等新经济发展领域将获得加速。</w:t>
      </w:r>
    </w:p>
    <w:p>
      <w:pPr>
        <w:pStyle w:val="BodyText"/>
        <w:spacing w:line="256" w:lineRule="auto" w:before="0"/>
        <w:ind w:left="580" w:right="1118"/>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经济环境</w:t>
      </w:r>
      <w:r>
        <w:rPr>
          <w:w w:val="99"/>
        </w:rPr>
        <w:t> </w:t>
      </w:r>
      <w:r>
        <w:rPr/>
        <w:t>未来几年中国经济将呈现</w:t>
      </w:r>
      <w:r>
        <w:rPr>
          <w:rFonts w:ascii="Times New Roman" w:hAnsi="Times New Roman" w:cs="Times New Roman" w:eastAsia="Times New Roman" w:hint="default"/>
        </w:rPr>
        <w:t>L</w:t>
      </w:r>
      <w:r>
        <w:rPr/>
        <w:t>型发展走势，我国实体经济下行压力逐步增大。</w:t>
      </w:r>
      <w:r>
        <w:rPr>
          <w:rFonts w:ascii="Times New Roman" w:hAnsi="Times New Roman" w:cs="Times New Roman" w:eastAsia="Times New Roman" w:hint="default"/>
        </w:rPr>
        <w:t>2019</w:t>
      </w:r>
      <w:r>
        <w:rPr/>
        <w:t>年，将坚持稳中求进</w:t>
      </w:r>
    </w:p>
    <w:p>
      <w:pPr>
        <w:pStyle w:val="BodyText"/>
        <w:spacing w:line="273" w:lineRule="auto" w:before="5"/>
        <w:ind w:right="1133"/>
        <w:jc w:val="both"/>
      </w:pPr>
      <w:r>
        <w:rPr>
          <w:spacing w:val="-1"/>
        </w:rPr>
        <w:t>工作总基调，坚持以供给侧结构性改革为主线，坚持深化市场化改革、扩大高水平开放，着力激发微观主</w:t>
      </w:r>
      <w:r>
        <w:rPr>
          <w:spacing w:val="-86"/>
        </w:rPr>
        <w:t> </w:t>
      </w:r>
      <w:r>
        <w:rPr>
          <w:spacing w:val="-86"/>
        </w:rPr>
      </w:r>
      <w:r>
        <w:rPr>
          <w:spacing w:val="-6"/>
        </w:rPr>
        <w:t>体活力，创新和完善宏观调控，统筹推进稳增长、促改革、调结构、惠民生、防风险工作，进一步稳就业、</w:t>
      </w:r>
      <w:r>
        <w:rPr>
          <w:spacing w:val="-59"/>
        </w:rPr>
        <w:t> </w:t>
      </w:r>
      <w:r>
        <w:rPr>
          <w:spacing w:val="-59"/>
        </w:rPr>
      </w:r>
      <w:r>
        <w:rPr/>
        <w:t>稳金融、稳外贸、稳外资、稳投资、稳预期，提振市场信心，保持经济运行在合理区间。</w:t>
      </w:r>
    </w:p>
    <w:p>
      <w:pPr>
        <w:pStyle w:val="BodyText"/>
        <w:spacing w:line="273" w:lineRule="auto"/>
        <w:ind w:right="1130" w:firstLine="426"/>
        <w:jc w:val="left"/>
      </w:pPr>
      <w:r>
        <w:rPr>
          <w:spacing w:val="-1"/>
        </w:rPr>
        <w:t>未来三年，预计国家将继续大力发展直接融资市场，推进多层次资本市场建设，支撑国家供给侧改革</w:t>
      </w:r>
      <w:r>
        <w:rPr/>
        <w:t> 及实体经济转型升级。设立科创板，支持国家创新战略落地，进一步实行减税政策，减轻企业负担。</w:t>
      </w:r>
    </w:p>
    <w:p>
      <w:pPr>
        <w:pStyle w:val="BodyText"/>
        <w:spacing w:line="256" w:lineRule="auto"/>
        <w:ind w:left="580" w:right="113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1"/>
        </w:rPr>
        <w:t> </w:t>
      </w:r>
      <w:r>
        <w:rPr/>
        <w:t>社会环境</w:t>
      </w:r>
      <w:r>
        <w:rPr>
          <w:w w:val="99"/>
        </w:rPr>
        <w:t> </w:t>
      </w:r>
      <w:r>
        <w:rPr>
          <w:spacing w:val="-1"/>
        </w:rPr>
        <w:t>近年来，我国社会消费形式向全面小康型消费转变，消费形态由物质型向服务型转变，从众型、排浪</w:t>
      </w:r>
    </w:p>
    <w:p>
      <w:pPr>
        <w:pStyle w:val="BodyText"/>
        <w:spacing w:line="273" w:lineRule="auto" w:before="22"/>
        <w:ind w:right="1133"/>
        <w:jc w:val="both"/>
      </w:pPr>
      <w:r>
        <w:rPr>
          <w:spacing w:val="-5"/>
        </w:rPr>
        <w:t>式消费模式逐步退潮，个性化、定制化、多样化消费渐成主流。消费者更注重个性体验，更追求生活质量，</w:t>
      </w:r>
      <w:r>
        <w:rPr/>
        <w:t> 对消费品位、品牌不断提升。</w:t>
      </w:r>
    </w:p>
    <w:p>
      <w:pPr>
        <w:pStyle w:val="BodyText"/>
        <w:spacing w:line="256" w:lineRule="auto"/>
        <w:ind w:right="1117" w:firstLine="426"/>
        <w:jc w:val="left"/>
      </w:pPr>
      <w:r>
        <w:rPr/>
        <w:t>随着国家互联网</w:t>
      </w:r>
      <w:r>
        <w:rPr>
          <w:rFonts w:ascii="Times New Roman" w:hAnsi="Times New Roman" w:cs="Times New Roman" w:eastAsia="Times New Roman" w:hint="default"/>
        </w:rPr>
        <w:t>+</w:t>
      </w:r>
      <w:r>
        <w:rPr/>
        <w:t>为主题的产业转型深化，</w:t>
      </w:r>
      <w:r>
        <w:rPr>
          <w:rFonts w:ascii="Times New Roman" w:hAnsi="Times New Roman" w:cs="Times New Roman" w:eastAsia="Times New Roman" w:hint="default"/>
        </w:rPr>
        <w:t>“ABC”</w:t>
      </w:r>
      <w:r>
        <w:rPr/>
        <w:t>（</w:t>
      </w:r>
      <w:r>
        <w:rPr>
          <w:rFonts w:ascii="Times New Roman" w:hAnsi="Times New Roman" w:cs="Times New Roman" w:eastAsia="Times New Roman" w:hint="default"/>
        </w:rPr>
        <w:t>AI/Bigdata/Cloud</w:t>
      </w:r>
      <w:r>
        <w:rPr/>
        <w:t>）等前沿领域将面临较为严重的 </w:t>
      </w:r>
      <w:r>
        <w:rPr>
          <w:spacing w:val="-5"/>
        </w:rPr>
        <w:t>人才结构性短缺状况，随着竞争的加剧，企业人力成本总体将不断上升，企业的成本管理将面临较大挑战。</w:t>
      </w:r>
    </w:p>
    <w:p>
      <w:pPr>
        <w:pStyle w:val="BodyText"/>
        <w:spacing w:line="240" w:lineRule="auto" w:before="22"/>
        <w:ind w:left="580" w:right="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31"/>
        </w:rPr>
        <w:t> </w:t>
      </w:r>
      <w:r>
        <w:rPr/>
        <w:t>技术环境</w:t>
      </w:r>
    </w:p>
    <w:p>
      <w:pPr>
        <w:pStyle w:val="BodyText"/>
        <w:spacing w:line="256" w:lineRule="auto" w:before="21"/>
        <w:ind w:right="1121" w:firstLine="426"/>
        <w:jc w:val="left"/>
      </w:pPr>
      <w:r>
        <w:rPr/>
        <w:t>我国高度重视</w:t>
      </w:r>
      <w:r>
        <w:rPr>
          <w:rFonts w:ascii="Times New Roman" w:hAnsi="Times New Roman" w:cs="Times New Roman" w:eastAsia="Times New Roman" w:hint="default"/>
        </w:rPr>
        <w:t>5G</w:t>
      </w:r>
      <w:r>
        <w:rPr/>
        <w:t>战略地位，政府大力推进</w:t>
      </w:r>
      <w:r>
        <w:rPr>
          <w:rFonts w:ascii="Times New Roman" w:hAnsi="Times New Roman" w:cs="Times New Roman" w:eastAsia="Times New Roman" w:hint="default"/>
        </w:rPr>
        <w:t>5G</w:t>
      </w:r>
      <w:r>
        <w:rPr/>
        <w:t>技术、标准和产业的发展。自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IMT-2020</w:t>
      </w:r>
      <w:r>
        <w:rPr/>
        <w:t>（</w:t>
      </w:r>
      <w:r>
        <w:rPr>
          <w:rFonts w:ascii="Times New Roman" w:hAnsi="Times New Roman" w:cs="Times New Roman" w:eastAsia="Times New Roman" w:hint="default"/>
        </w:rPr>
        <w:t>5G</w:t>
      </w:r>
      <w:r>
        <w:rPr/>
        <w:t>）推</w:t>
      </w:r>
      <w:r>
        <w:rPr>
          <w:spacing w:val="-2"/>
        </w:rPr>
        <w:t> </w:t>
      </w:r>
      <w:r>
        <w:rPr/>
        <w:t>进组成立以来，中国</w:t>
      </w:r>
      <w:r>
        <w:rPr>
          <w:rFonts w:ascii="Times New Roman" w:hAnsi="Times New Roman" w:cs="Times New Roman" w:eastAsia="Times New Roman" w:hint="default"/>
        </w:rPr>
        <w:t>5G</w:t>
      </w:r>
      <w:r>
        <w:rPr/>
        <w:t>发展迅猛，截至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月，第三阶段非独立组网（</w:t>
      </w:r>
      <w:r>
        <w:rPr>
          <w:rFonts w:ascii="Times New Roman" w:hAnsi="Times New Roman" w:cs="Times New Roman" w:eastAsia="Times New Roman" w:hint="default"/>
        </w:rPr>
        <w:t>NSA</w:t>
      </w:r>
      <w:r>
        <w:rPr/>
        <w:t>）测试已完成，独立组网</w:t>
      </w:r>
    </w:p>
    <w:p>
      <w:pPr>
        <w:pStyle w:val="BodyText"/>
        <w:spacing w:line="256" w:lineRule="auto" w:before="5"/>
        <w:ind w:right="1133"/>
        <w:jc w:val="both"/>
      </w:pPr>
      <w:r>
        <w:rPr/>
        <w:t>（</w:t>
      </w:r>
      <w:r>
        <w:rPr>
          <w:rFonts w:ascii="Times New Roman" w:hAnsi="Times New Roman" w:cs="Times New Roman" w:eastAsia="Times New Roman" w:hint="default"/>
        </w:rPr>
        <w:t>SA</w:t>
      </w:r>
      <w:r>
        <w:rPr/>
        <w:t>）测试进程亦过半。</w:t>
      </w:r>
      <w:r>
        <w:rPr>
          <w:rFonts w:ascii="Times New Roman" w:hAnsi="Times New Roman" w:cs="Times New Roman" w:eastAsia="Times New Roman" w:hint="default"/>
        </w:rPr>
        <w:t>2019</w:t>
      </w:r>
      <w:r>
        <w:rPr/>
        <w:t>年，我国三大运营商非独立组网（</w:t>
      </w:r>
      <w:r>
        <w:rPr>
          <w:rFonts w:ascii="Times New Roman" w:hAnsi="Times New Roman" w:cs="Times New Roman" w:eastAsia="Times New Roman" w:hint="default"/>
        </w:rPr>
        <w:t>NSA</w:t>
      </w:r>
      <w:r>
        <w:rPr/>
        <w:t>模式）预计投资约</w:t>
      </w:r>
      <w:r>
        <w:rPr>
          <w:rFonts w:ascii="Times New Roman" w:hAnsi="Times New Roman" w:cs="Times New Roman" w:eastAsia="Times New Roman" w:hint="default"/>
        </w:rPr>
        <w:t>340</w:t>
      </w:r>
      <w:r>
        <w:rPr/>
        <w:t>亿元，部署基</w:t>
      </w:r>
      <w:r>
        <w:rPr>
          <w:spacing w:val="-90"/>
        </w:rPr>
        <w:t> </w:t>
      </w:r>
      <w:r>
        <w:rPr>
          <w:spacing w:val="-90"/>
        </w:rPr>
      </w:r>
      <w:r>
        <w:rPr/>
        <w:t>站超过</w:t>
      </w:r>
      <w:r>
        <w:rPr>
          <w:rFonts w:ascii="Times New Roman" w:hAnsi="Times New Roman" w:cs="Times New Roman" w:eastAsia="Times New Roman" w:hint="default"/>
        </w:rPr>
        <w:t>10</w:t>
      </w:r>
      <w:r>
        <w:rPr/>
        <w:t>万个，全国</w:t>
      </w:r>
      <w:r>
        <w:rPr>
          <w:rFonts w:ascii="Times New Roman" w:hAnsi="Times New Roman" w:cs="Times New Roman" w:eastAsia="Times New Roman" w:hint="default"/>
        </w:rPr>
        <w:t>5G</w:t>
      </w:r>
      <w:r>
        <w:rPr/>
        <w:t>网络部署初现雏形。</w:t>
      </w:r>
    </w:p>
    <w:p>
      <w:pPr>
        <w:pStyle w:val="BodyText"/>
        <w:spacing w:line="266" w:lineRule="auto" w:before="5"/>
        <w:ind w:right="922" w:firstLine="426"/>
        <w:jc w:val="left"/>
      </w:pPr>
      <w:r>
        <w:rPr/>
        <w:t>全球车联网产业进入快速发展阶段，信息化、智能化引领，全球车联网服务需求逐渐加大。我国智能 网联汽车发展持续加速，汽车与电子、通信、互联网等跨界合作加强，在关键技术研发、产业链布局、测 试示范等方面取得积极进展。国家发改委和交通运输部发布了《推进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便捷交通促进智能交通发</w:t>
      </w:r>
      <w:r>
        <w:rPr>
          <w:spacing w:val="-18"/>
        </w:rPr>
        <w:t> </w:t>
      </w:r>
      <w:r>
        <w:rPr>
          <w:spacing w:val="-18"/>
        </w:rPr>
      </w:r>
      <w:r>
        <w:rPr/>
        <w:t>展的实施方案》，将</w:t>
      </w:r>
      <w:r>
        <w:rPr>
          <w:rFonts w:ascii="Times New Roman" w:hAnsi="Times New Roman" w:cs="Times New Roman" w:eastAsia="Times New Roman" w:hint="default"/>
        </w:rPr>
        <w:t>“</w:t>
      </w:r>
      <w:r>
        <w:rPr/>
        <w:t>构建下一代交通信息基础网络</w:t>
      </w:r>
      <w:r>
        <w:rPr>
          <w:rFonts w:ascii="Times New Roman" w:hAnsi="Times New Roman" w:cs="Times New Roman" w:eastAsia="Times New Roman" w:hint="default"/>
        </w:rPr>
        <w:t>”</w:t>
      </w:r>
      <w:r>
        <w:rPr/>
        <w:t>作为重点发展任务，提出了要加快车联网建设，为载 </w:t>
      </w:r>
      <w:r>
        <w:rPr>
          <w:spacing w:val="-1"/>
        </w:rPr>
        <w:t>运工具提供无线接入互联网的公共服务，以及建设基于下一代互联网和专用短距离通信的道路无线通信网。</w:t>
      </w:r>
      <w:r>
        <w:rPr>
          <w:spacing w:val="-80"/>
        </w:rPr>
        <w:t> </w:t>
      </w:r>
      <w:r>
        <w:rPr>
          <w:spacing w:val="-80"/>
        </w:rPr>
      </w:r>
      <w:r>
        <w:rPr/>
        <w:t>随着</w:t>
      </w:r>
      <w:r>
        <w:rPr>
          <w:rFonts w:ascii="Times New Roman" w:hAnsi="Times New Roman" w:cs="Times New Roman" w:eastAsia="Times New Roman" w:hint="default"/>
        </w:rPr>
        <w:t>5G</w:t>
      </w:r>
      <w:r>
        <w:rPr/>
        <w:t>和</w:t>
      </w:r>
      <w:r>
        <w:rPr>
          <w:rFonts w:ascii="Times New Roman" w:hAnsi="Times New Roman" w:cs="Times New Roman" w:eastAsia="Times New Roman" w:hint="default"/>
        </w:rPr>
        <w:t>C-V2X</w:t>
      </w:r>
      <w:r>
        <w:rPr/>
        <w:t>技术的快速发展，智能化与网联化技术正在加速融合，</w:t>
      </w:r>
      <w:r>
        <w:rPr>
          <w:rFonts w:ascii="Times New Roman" w:hAnsi="Times New Roman" w:cs="Times New Roman" w:eastAsia="Times New Roman" w:hint="default"/>
        </w:rPr>
        <w:t>V2X</w:t>
      </w:r>
      <w:r>
        <w:rPr/>
        <w:t>应用时代即将到来。</w:t>
      </w:r>
    </w:p>
    <w:p>
      <w:pPr>
        <w:pStyle w:val="BodyText"/>
        <w:spacing w:line="261" w:lineRule="auto" w:before="0"/>
        <w:ind w:right="1132" w:firstLine="426"/>
        <w:jc w:val="both"/>
      </w:pPr>
      <w:r>
        <w:rPr>
          <w:spacing w:val="-1"/>
        </w:rPr>
        <w:t>互联网进入下半场，移动互联网用户红利见顶，消费互联网成熟，产业互联网开始兴起，互联网公司</w:t>
      </w:r>
      <w:r>
        <w:rPr/>
        <w:t> 大规模进入</w:t>
      </w:r>
      <w:r>
        <w:rPr>
          <w:rFonts w:ascii="Times New Roman" w:hAnsi="Times New Roman" w:cs="Times New Roman" w:eastAsia="Times New Roman" w:hint="default"/>
        </w:rPr>
        <w:t>B</w:t>
      </w:r>
      <w:r>
        <w:rPr/>
        <w:t>端市场，人工智能、大数据、云计算、自动驾驶等技术成为新的技术驱动力，成为互联网巨</w:t>
      </w:r>
      <w:r>
        <w:rPr>
          <w:spacing w:val="-67"/>
        </w:rPr>
        <w:t> </w:t>
      </w:r>
      <w:r>
        <w:rPr>
          <w:spacing w:val="-67"/>
        </w:rPr>
      </w:r>
      <w:r>
        <w:rPr>
          <w:spacing w:val="-1"/>
        </w:rPr>
        <w:t>头新的竞争魔杖，并深刻影响和改变信息产业格局，电信设备商、</w:t>
      </w:r>
      <w:r>
        <w:rPr>
          <w:rFonts w:ascii="Times New Roman" w:hAnsi="Times New Roman" w:cs="Times New Roman" w:eastAsia="Times New Roman" w:hint="default"/>
          <w:spacing w:val="-1"/>
        </w:rPr>
        <w:t>IT</w:t>
      </w:r>
      <w:r>
        <w:rPr>
          <w:spacing w:val="-1"/>
        </w:rPr>
        <w:t>设备商及互联网厂商之间的竞争界限</w:t>
      </w:r>
      <w:r>
        <w:rPr>
          <w:spacing w:val="-70"/>
        </w:rPr>
        <w:t> </w:t>
      </w:r>
      <w:r>
        <w:rPr/>
        <w:t>日益模糊，商业向服务形态转型。</w:t>
      </w:r>
    </w:p>
    <w:p>
      <w:pPr>
        <w:pStyle w:val="BodyText"/>
        <w:spacing w:line="240" w:lineRule="auto" w:before="18"/>
        <w:ind w:left="580" w:right="0"/>
        <w:jc w:val="left"/>
      </w:pPr>
      <w:r>
        <w:rPr/>
        <w:t>（</w:t>
      </w:r>
      <w:r>
        <w:rPr>
          <w:rFonts w:ascii="Times New Roman" w:hAnsi="Times New Roman" w:cs="Times New Roman" w:eastAsia="Times New Roman" w:hint="default"/>
        </w:rPr>
        <w:t>2</w:t>
      </w:r>
      <w:r>
        <w:rPr/>
        <w:t>）产业环境分析</w:t>
      </w:r>
    </w:p>
    <w:p>
      <w:pPr>
        <w:pStyle w:val="BodyText"/>
        <w:spacing w:line="256" w:lineRule="auto" w:before="21"/>
        <w:ind w:left="580"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企业信息化市场</w:t>
      </w:r>
      <w:r>
        <w:rPr>
          <w:w w:val="99"/>
        </w:rPr>
        <w:t> </w:t>
      </w:r>
      <w:r>
        <w:rPr>
          <w:spacing w:val="-1"/>
        </w:rPr>
        <w:t>云计算已成为国家发展战略，根据工信部预测目标，</w:t>
      </w:r>
      <w:r>
        <w:rPr>
          <w:rFonts w:ascii="Times New Roman" w:hAnsi="Times New Roman" w:cs="Times New Roman" w:eastAsia="Times New Roman" w:hint="default"/>
          <w:spacing w:val="-1"/>
        </w:rPr>
        <w:t>2019</w:t>
      </w:r>
      <w:r>
        <w:rPr>
          <w:spacing w:val="-1"/>
        </w:rPr>
        <w:t>年，云计算产业规模将达到</w:t>
      </w:r>
      <w:r>
        <w:rPr>
          <w:rFonts w:ascii="Times New Roman" w:hAnsi="Times New Roman" w:cs="Times New Roman" w:eastAsia="Times New Roman" w:hint="default"/>
          <w:spacing w:val="-1"/>
        </w:rPr>
        <w:t>4300</w:t>
      </w:r>
      <w:r>
        <w:rPr>
          <w:spacing w:val="-1"/>
        </w:rPr>
        <w:t>亿元，增长</w:t>
      </w:r>
    </w:p>
    <w:p>
      <w:pPr>
        <w:pStyle w:val="BodyText"/>
        <w:spacing w:line="256" w:lineRule="auto" w:before="5"/>
        <w:ind w:right="1128"/>
        <w:jc w:val="both"/>
      </w:pPr>
      <w:r>
        <w:rPr/>
        <w:t>率增速达到</w:t>
      </w:r>
      <w:r>
        <w:rPr>
          <w:rFonts w:ascii="Times New Roman" w:hAnsi="Times New Roman" w:cs="Times New Roman" w:eastAsia="Times New Roman" w:hint="default"/>
        </w:rPr>
        <w:t>30%</w:t>
      </w:r>
      <w:r>
        <w:rPr/>
        <w:t>。私有云有望成长为千亿级市场，增长率预计超过</w:t>
      </w:r>
      <w:r>
        <w:rPr>
          <w:rFonts w:ascii="Times New Roman" w:hAnsi="Times New Roman" w:cs="Times New Roman" w:eastAsia="Times New Roman" w:hint="default"/>
        </w:rPr>
        <w:t>20%</w:t>
      </w:r>
      <w:r>
        <w:rPr/>
        <w:t>；混合云将成为大中型企业主流的</w:t>
      </w:r>
      <w:r>
        <w:rPr>
          <w:spacing w:val="-64"/>
        </w:rPr>
        <w:t> </w:t>
      </w:r>
      <w:r>
        <w:rPr/>
        <w:t>云应用场景，目前大型互联网企业、电信设备厂商、</w:t>
      </w:r>
      <w:r>
        <w:rPr>
          <w:rFonts w:ascii="Times New Roman" w:hAnsi="Times New Roman" w:cs="Times New Roman" w:eastAsia="Times New Roman" w:hint="default"/>
        </w:rPr>
        <w:t>ICT</w:t>
      </w:r>
      <w:r>
        <w:rPr/>
        <w:t>厂商纷纷发力私有云市场。随着云计算不断渗透</w:t>
      </w:r>
      <w:r>
        <w:rPr>
          <w:spacing w:val="-51"/>
        </w:rPr>
        <w:t> </w:t>
      </w:r>
      <w:r>
        <w:rPr>
          <w:spacing w:val="-51"/>
        </w:rPr>
      </w:r>
      <w:r>
        <w:rPr/>
        <w:t>到各个行业，客户的云规划、迁移、开发、运维等服务需求凸显。</w:t>
      </w:r>
    </w:p>
    <w:p>
      <w:pPr>
        <w:pStyle w:val="BodyText"/>
        <w:spacing w:line="273" w:lineRule="auto" w:before="22"/>
        <w:ind w:right="1127" w:firstLine="426"/>
        <w:jc w:val="left"/>
      </w:pPr>
      <w:r>
        <w:rPr>
          <w:spacing w:val="-1"/>
        </w:rPr>
        <w:t>信息安全上升为国家战略，随着《网络安全法》和《国家网络空间安全战略》的发布，信息安全行业</w:t>
      </w:r>
      <w:r>
        <w:rPr/>
        <w:t> </w:t>
      </w:r>
      <w:r>
        <w:rPr>
          <w:spacing w:val="-5"/>
        </w:rPr>
        <w:t>面临空前的发展机遇，大型关键信息设施安全与云安全需求增长迅速。</w:t>
      </w:r>
      <w:r>
        <w:rPr>
          <w:rFonts w:ascii="Times New Roman" w:hAnsi="Times New Roman" w:cs="Times New Roman" w:eastAsia="Times New Roman" w:hint="default"/>
          <w:spacing w:val="-5"/>
        </w:rPr>
        <w:t>2019</w:t>
      </w:r>
      <w:r>
        <w:rPr>
          <w:spacing w:val="-5"/>
        </w:rPr>
        <w:t>年，《网络安全等级保护条例》</w:t>
      </w:r>
    </w:p>
    <w:p>
      <w:pPr>
        <w:pStyle w:val="BodyText"/>
        <w:spacing w:line="256" w:lineRule="auto" w:before="0"/>
        <w:ind w:right="1128"/>
        <w:jc w:val="both"/>
      </w:pPr>
      <w:r>
        <w:rPr/>
        <w:t>（即等级保护</w:t>
      </w:r>
      <w:r>
        <w:rPr>
          <w:rFonts w:ascii="Times New Roman" w:hAnsi="Times New Roman" w:cs="Times New Roman" w:eastAsia="Times New Roman" w:hint="default"/>
        </w:rPr>
        <w:t>2.0</w:t>
      </w:r>
      <w:r>
        <w:rPr/>
        <w:t>条例）文件即将发布，新条例把等级保护系统对象从传统的网络和信息系统向</w:t>
      </w:r>
      <w:r>
        <w:rPr>
          <w:rFonts w:ascii="Times New Roman" w:hAnsi="Times New Roman" w:cs="Times New Roman" w:eastAsia="Times New Roman" w:hint="default"/>
        </w:rPr>
        <w:t>“</w:t>
      </w:r>
      <w:r>
        <w:rPr/>
        <w:t>云大物智</w:t>
      </w:r>
      <w:r>
        <w:rPr>
          <w:spacing w:val="-64"/>
        </w:rPr>
        <w:t> </w:t>
      </w:r>
      <w:r>
        <w:rPr>
          <w:spacing w:val="-1"/>
        </w:rPr>
        <w:t>移</w:t>
      </w:r>
      <w:r>
        <w:rPr>
          <w:rFonts w:ascii="Times New Roman" w:hAnsi="Times New Roman" w:cs="Times New Roman" w:eastAsia="Times New Roman" w:hint="default"/>
          <w:spacing w:val="-1"/>
        </w:rPr>
        <w:t>”</w:t>
      </w:r>
      <w:r>
        <w:rPr>
          <w:spacing w:val="-1"/>
        </w:rPr>
        <w:t>进行了扩展。同时为了适应新的网络安全威胁，等保</w:t>
      </w:r>
      <w:r>
        <w:rPr>
          <w:rFonts w:ascii="Times New Roman" w:hAnsi="Times New Roman" w:cs="Times New Roman" w:eastAsia="Times New Roman" w:hint="default"/>
          <w:spacing w:val="-1"/>
        </w:rPr>
        <w:t>2.0</w:t>
      </w:r>
      <w:r>
        <w:rPr>
          <w:spacing w:val="-1"/>
        </w:rPr>
        <w:t>条例中增加了主动防御等要求。等保</w:t>
      </w:r>
      <w:r>
        <w:rPr>
          <w:rFonts w:ascii="Times New Roman" w:hAnsi="Times New Roman" w:cs="Times New Roman" w:eastAsia="Times New Roman" w:hint="default"/>
          <w:spacing w:val="-1"/>
        </w:rPr>
        <w:t>2.0</w:t>
      </w:r>
      <w:r>
        <w:rPr>
          <w:spacing w:val="-1"/>
        </w:rPr>
        <w:t>条例的</w:t>
      </w:r>
      <w:r>
        <w:rPr>
          <w:spacing w:val="-68"/>
        </w:rPr>
        <w:t> </w:t>
      </w:r>
      <w:r>
        <w:rPr/>
        <w:t>实施，有望带动可信计算市场需求的大幅增长。</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left="580" w:right="101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行业信息化市场</w:t>
      </w:r>
      <w:r>
        <w:rPr>
          <w:w w:val="99"/>
        </w:rPr>
        <w:t> </w:t>
      </w:r>
      <w:r>
        <w:rPr/>
        <w:t>车联网国家产业发展政策环境持续向好，国家计划到</w:t>
      </w:r>
      <w:r>
        <w:rPr>
          <w:rFonts w:ascii="Times New Roman" w:hAnsi="Times New Roman" w:cs="Times New Roman" w:eastAsia="Times New Roman" w:hint="default"/>
        </w:rPr>
        <w:t>2020</w:t>
      </w:r>
      <w:r>
        <w:rPr/>
        <w:t>年，智能汽车新车占比达到</w:t>
      </w:r>
      <w:r>
        <w:rPr>
          <w:spacing w:val="6"/>
        </w:rPr>
        <w:t> </w:t>
      </w:r>
      <w:r>
        <w:rPr>
          <w:rFonts w:ascii="Times New Roman" w:hAnsi="Times New Roman" w:cs="Times New Roman" w:eastAsia="Times New Roman" w:hint="default"/>
        </w:rPr>
        <w:t>50%</w:t>
      </w:r>
      <w:r>
        <w:rPr/>
        <w:t>，大城市、</w:t>
      </w:r>
    </w:p>
    <w:p>
      <w:pPr>
        <w:pStyle w:val="BodyText"/>
        <w:spacing w:line="240" w:lineRule="auto" w:before="5"/>
        <w:ind w:right="0"/>
        <w:jc w:val="both"/>
      </w:pPr>
      <w:r>
        <w:rPr/>
        <w:t>高速公路的车用无线通信网络（</w:t>
      </w:r>
      <w:r>
        <w:rPr>
          <w:rFonts w:ascii="Times New Roman" w:hAnsi="Times New Roman" w:cs="Times New Roman" w:eastAsia="Times New Roman" w:hint="default"/>
        </w:rPr>
        <w:t>LTE-V2X</w:t>
      </w:r>
      <w:r>
        <w:rPr/>
        <w:t>）覆盖率达到</w:t>
      </w:r>
      <w:r>
        <w:rPr>
          <w:rFonts w:ascii="Times New Roman" w:hAnsi="Times New Roman" w:cs="Times New Roman" w:eastAsia="Times New Roman" w:hint="default"/>
        </w:rPr>
        <w:t>90%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月，工业和信息化部印发《车联网</w:t>
      </w:r>
    </w:p>
    <w:p>
      <w:pPr>
        <w:pStyle w:val="BodyText"/>
        <w:spacing w:line="259" w:lineRule="auto" w:before="21"/>
        <w:ind w:right="1131"/>
        <w:jc w:val="right"/>
      </w:pPr>
      <w:r>
        <w:rPr>
          <w:spacing w:val="-7"/>
        </w:rPr>
        <w:t>（智能网联汽车）直连通信使用</w:t>
      </w:r>
      <w:r>
        <w:rPr>
          <w:rFonts w:ascii="Times New Roman" w:hAnsi="Times New Roman" w:cs="Times New Roman" w:eastAsia="Times New Roman" w:hint="default"/>
          <w:spacing w:val="-7"/>
        </w:rPr>
        <w:t>5905-5925MHz</w:t>
      </w:r>
      <w:r>
        <w:rPr>
          <w:spacing w:val="-7"/>
        </w:rPr>
        <w:t>频段管理规定（暂行）》，规划了</w:t>
      </w:r>
      <w:r>
        <w:rPr>
          <w:rFonts w:ascii="Times New Roman" w:hAnsi="Times New Roman" w:cs="Times New Roman" w:eastAsia="Times New Roman" w:hint="default"/>
          <w:spacing w:val="-7"/>
        </w:rPr>
        <w:t>5905-5925MHz</w:t>
      </w:r>
      <w:r>
        <w:rPr>
          <w:spacing w:val="-7"/>
        </w:rPr>
        <w:t>频段共</w:t>
      </w:r>
      <w:r>
        <w:rPr>
          <w:rFonts w:ascii="Times New Roman" w:hAnsi="Times New Roman" w:cs="Times New Roman" w:eastAsia="Times New Roman" w:hint="default"/>
          <w:spacing w:val="-7"/>
        </w:rPr>
        <w:t>20MHz</w:t>
      </w:r>
      <w:r>
        <w:rPr>
          <w:rFonts w:ascii="Times New Roman" w:hAnsi="Times New Roman" w:cs="Times New Roman" w:eastAsia="Times New Roman" w:hint="default"/>
          <w:spacing w:val="-50"/>
        </w:rPr>
        <w:t> </w:t>
      </w:r>
      <w:r>
        <w:rPr/>
        <w:t>带宽的专用频率资源，用于基于</w:t>
      </w:r>
      <w:r>
        <w:rPr>
          <w:rFonts w:ascii="Times New Roman" w:hAnsi="Times New Roman" w:cs="Times New Roman" w:eastAsia="Times New Roman" w:hint="default"/>
        </w:rPr>
        <w:t>LTE</w:t>
      </w:r>
      <w:r>
        <w:rPr/>
        <w:t>演进形成的</w:t>
      </w:r>
      <w:r>
        <w:rPr>
          <w:rFonts w:ascii="Times New Roman" w:hAnsi="Times New Roman" w:cs="Times New Roman" w:eastAsia="Times New Roman" w:hint="default"/>
        </w:rPr>
        <w:t>V2X</w:t>
      </w:r>
      <w:r>
        <w:rPr/>
        <w:t>智能网联汽车的直连通信技术。同时，工信部牵头推</w:t>
      </w:r>
      <w:r>
        <w:rPr>
          <w:spacing w:val="-102"/>
        </w:rPr>
        <w:t> </w:t>
      </w:r>
      <w:r>
        <w:rPr>
          <w:spacing w:val="-102"/>
        </w:rPr>
      </w:r>
      <w:r>
        <w:rPr>
          <w:spacing w:val="-1"/>
        </w:rPr>
        <w:t>进在</w:t>
      </w:r>
      <w:r>
        <w:rPr>
          <w:rFonts w:ascii="Times New Roman" w:hAnsi="Times New Roman" w:cs="Times New Roman" w:eastAsia="Times New Roman" w:hint="default"/>
          <w:spacing w:val="-1"/>
        </w:rPr>
        <w:t>“5+2”</w:t>
      </w:r>
      <w:r>
        <w:rPr>
          <w:spacing w:val="-1"/>
        </w:rPr>
        <w:t>示范区部署</w:t>
      </w:r>
      <w:r>
        <w:rPr>
          <w:rFonts w:ascii="Times New Roman" w:hAnsi="Times New Roman" w:cs="Times New Roman" w:eastAsia="Times New Roman" w:hint="default"/>
          <w:spacing w:val="-1"/>
        </w:rPr>
        <w:t>LTE-V2X</w:t>
      </w:r>
      <w:r>
        <w:rPr>
          <w:spacing w:val="-1"/>
        </w:rPr>
        <w:t>基础设施，与北京、上海、浙江、重庆等地签订了</w:t>
      </w:r>
      <w:r>
        <w:rPr>
          <w:rFonts w:ascii="Times New Roman" w:hAnsi="Times New Roman" w:cs="Times New Roman" w:eastAsia="Times New Roman" w:hint="default"/>
          <w:spacing w:val="-1"/>
        </w:rPr>
        <w:t>“</w:t>
      </w:r>
      <w:r>
        <w:rPr>
          <w:spacing w:val="-1"/>
        </w:rPr>
        <w:t>基于宽带移动互联网的</w:t>
      </w:r>
      <w:r>
        <w:rPr>
          <w:spacing w:val="-99"/>
        </w:rPr>
        <w:t> </w:t>
      </w:r>
      <w:r>
        <w:rPr>
          <w:spacing w:val="-99"/>
        </w:rPr>
      </w:r>
      <w:r>
        <w:rPr>
          <w:spacing w:val="-3"/>
        </w:rPr>
        <w:t>智能汽车与智慧交通示范应用</w:t>
      </w:r>
      <w:r>
        <w:rPr>
          <w:rFonts w:ascii="Times New Roman" w:hAnsi="Times New Roman" w:cs="Times New Roman" w:eastAsia="Times New Roman" w:hint="default"/>
          <w:spacing w:val="-3"/>
        </w:rPr>
        <w:t>”</w:t>
      </w:r>
      <w:r>
        <w:rPr>
          <w:spacing w:val="-3"/>
        </w:rPr>
        <w:t>合作框架协议，创建示范应用基地，加快推进车联网产品创新和应用落地。</w:t>
      </w:r>
      <w:r>
        <w:rPr>
          <w:spacing w:val="-88"/>
        </w:rPr>
        <w:t> </w:t>
      </w:r>
      <w:r>
        <w:rPr>
          <w:spacing w:val="-88"/>
        </w:rPr>
      </w:r>
      <w:r>
        <w:rPr>
          <w:spacing w:val="-1"/>
        </w:rPr>
        <w:t>在国家政策推动、制造业技术转型升级等背景下，中国智能制造产业发展迅速，对产业发展和分工格</w:t>
      </w:r>
      <w:r>
        <w:rPr/>
        <w:t> </w:t>
      </w:r>
      <w:r>
        <w:rPr>
          <w:spacing w:val="-1"/>
        </w:rPr>
        <w:t>局带来深刻影响。</w:t>
      </w:r>
      <w:r>
        <w:rPr>
          <w:rFonts w:ascii="Times New Roman" w:hAnsi="Times New Roman" w:cs="Times New Roman" w:eastAsia="Times New Roman" w:hint="default"/>
          <w:spacing w:val="-1"/>
        </w:rPr>
        <w:t>2017</w:t>
      </w:r>
      <w:r>
        <w:rPr>
          <w:spacing w:val="-1"/>
        </w:rPr>
        <w:t>年中国智能制造行业市场规模为</w:t>
      </w:r>
      <w:r>
        <w:rPr>
          <w:rFonts w:ascii="Times New Roman" w:hAnsi="Times New Roman" w:cs="Times New Roman" w:eastAsia="Times New Roman" w:hint="default"/>
          <w:spacing w:val="-1"/>
        </w:rPr>
        <w:t>15150</w:t>
      </w:r>
      <w:r>
        <w:rPr>
          <w:spacing w:val="-1"/>
        </w:rPr>
        <w:t>亿元，增长率为</w:t>
      </w:r>
      <w:r>
        <w:rPr>
          <w:rFonts w:ascii="Times New Roman" w:hAnsi="Times New Roman" w:cs="Times New Roman" w:eastAsia="Times New Roman" w:hint="default"/>
          <w:spacing w:val="-1"/>
        </w:rPr>
        <w:t>22.6%</w:t>
      </w:r>
      <w:r>
        <w:rPr>
          <w:spacing w:val="-1"/>
        </w:rPr>
        <w:t>，预计</w:t>
      </w:r>
      <w:r>
        <w:rPr>
          <w:rFonts w:ascii="Times New Roman" w:hAnsi="Times New Roman" w:cs="Times New Roman" w:eastAsia="Times New Roman" w:hint="default"/>
          <w:spacing w:val="-1"/>
        </w:rPr>
        <w:t>2019</w:t>
      </w:r>
      <w:r>
        <w:rPr>
          <w:spacing w:val="-1"/>
        </w:rPr>
        <w:t>年市场规模</w:t>
      </w:r>
      <w:r>
        <w:rPr/>
        <w:t> 将超</w:t>
      </w:r>
      <w:r>
        <w:rPr>
          <w:rFonts w:ascii="Times New Roman" w:hAnsi="Times New Roman" w:cs="Times New Roman" w:eastAsia="Times New Roman" w:hint="default"/>
        </w:rPr>
        <w:t>19000</w:t>
      </w:r>
      <w:r>
        <w:rPr/>
        <w:t>亿元。中国经济的整体发展以及两化融合的深入贯彻和落实，给中国的工业软件带来了巨大的</w:t>
      </w:r>
      <w:r>
        <w:rPr>
          <w:spacing w:val="-58"/>
        </w:rPr>
        <w:t> </w:t>
      </w:r>
      <w:r>
        <w:rPr>
          <w:spacing w:val="-58"/>
        </w:rPr>
      </w:r>
      <w:r>
        <w:rPr/>
        <w:t>发展机遇。</w:t>
      </w:r>
      <w:r>
        <w:rPr>
          <w:rFonts w:ascii="Times New Roman" w:hAnsi="Times New Roman" w:cs="Times New Roman" w:eastAsia="Times New Roman" w:hint="default"/>
        </w:rPr>
        <w:t>2017</w:t>
      </w:r>
      <w:r>
        <w:rPr/>
        <w:t>年，国内工业软件市场规模突破</w:t>
      </w:r>
      <w:r>
        <w:rPr>
          <w:rFonts w:ascii="Times New Roman" w:hAnsi="Times New Roman" w:cs="Times New Roman" w:eastAsia="Times New Roman" w:hint="default"/>
        </w:rPr>
        <w:t>1400</w:t>
      </w:r>
      <w:r>
        <w:rPr/>
        <w:t>亿，三年内增长率预计约为</w:t>
      </w:r>
      <w:r>
        <w:rPr>
          <w:rFonts w:ascii="Times New Roman" w:hAnsi="Times New Roman" w:cs="Times New Roman" w:eastAsia="Times New Roman" w:hint="default"/>
        </w:rPr>
        <w:t>12%</w:t>
      </w:r>
      <w:r>
        <w:rPr/>
        <w:t>。目前国外巨头在研 </w:t>
      </w:r>
      <w:r>
        <w:rPr>
          <w:spacing w:val="-1"/>
        </w:rPr>
        <w:t>发及设计、生产控制高端市场优势短期内难以撼动，国内工业软件厂商主要聚焦于咨询及实施技术服务环</w:t>
      </w:r>
    </w:p>
    <w:p>
      <w:pPr>
        <w:pStyle w:val="BodyText"/>
        <w:spacing w:line="240" w:lineRule="auto" w:before="20"/>
        <w:ind w:right="0"/>
        <w:jc w:val="both"/>
      </w:pPr>
      <w:r>
        <w:rPr/>
        <w:t>节，行业壁垒及个性化需求使得国内工业软件厂商存在细分领域机会。</w:t>
      </w:r>
    </w:p>
    <w:p>
      <w:pPr>
        <w:pStyle w:val="BodyText"/>
        <w:spacing w:line="256" w:lineRule="auto" w:before="37"/>
        <w:ind w:left="580" w:right="113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1"/>
        </w:rPr>
        <w:t> </w:t>
      </w:r>
      <w:r>
        <w:rPr/>
        <w:t>信息服务市场</w:t>
      </w:r>
      <w:r>
        <w:rPr>
          <w:w w:val="99"/>
        </w:rPr>
        <w:t> </w:t>
      </w:r>
      <w:r>
        <w:rPr>
          <w:spacing w:val="-1"/>
        </w:rPr>
        <w:t>随着用户和流量红利见顶，移动互联网进入存量运营时代，线上获客成本急剧上升，线下渠道被重新</w:t>
      </w:r>
    </w:p>
    <w:p>
      <w:pPr>
        <w:pStyle w:val="BodyText"/>
        <w:spacing w:line="261" w:lineRule="auto" w:before="22"/>
        <w:ind w:right="1128"/>
        <w:jc w:val="both"/>
      </w:pPr>
      <w:r>
        <w:rPr>
          <w:spacing w:val="-1"/>
        </w:rPr>
        <w:t>重视。互联网巨头以</w:t>
      </w:r>
      <w:r>
        <w:rPr>
          <w:rFonts w:ascii="Times New Roman" w:hAnsi="Times New Roman" w:cs="Times New Roman" w:eastAsia="Times New Roman" w:hint="default"/>
          <w:spacing w:val="-1"/>
        </w:rPr>
        <w:t>AI</w:t>
      </w:r>
      <w:r>
        <w:rPr>
          <w:spacing w:val="-1"/>
        </w:rPr>
        <w:t>、大数据等技术为手段，强化精细化运营，不断侵入细分领域，挤占产业链上下游</w:t>
      </w:r>
      <w:r>
        <w:rPr>
          <w:spacing w:val="-98"/>
        </w:rPr>
        <w:t> </w:t>
      </w:r>
      <w:r>
        <w:rPr>
          <w:spacing w:val="-98"/>
        </w:rPr>
      </w:r>
      <w:r>
        <w:rPr>
          <w:spacing w:val="-2"/>
        </w:rPr>
        <w:t>市场。顺应</w:t>
      </w:r>
      <w:r>
        <w:rPr>
          <w:rFonts w:ascii="Times New Roman" w:hAnsi="Times New Roman" w:cs="Times New Roman" w:eastAsia="Times New Roman" w:hint="default"/>
          <w:spacing w:val="-2"/>
        </w:rPr>
        <w:t>2B/2C</w:t>
      </w:r>
      <w:r>
        <w:rPr>
          <w:spacing w:val="-2"/>
        </w:rPr>
        <w:t>双线融合趋势，互联网厂商开始建设中台体系，实现数据及技术资源共享，支撑</w:t>
      </w:r>
      <w:r>
        <w:rPr>
          <w:rFonts w:ascii="Times New Roman" w:hAnsi="Times New Roman" w:cs="Times New Roman" w:eastAsia="Times New Roman" w:hint="default"/>
          <w:spacing w:val="-2"/>
        </w:rPr>
        <w:t>2B/2C</w:t>
      </w:r>
      <w:r>
        <w:rPr>
          <w:spacing w:val="-2"/>
        </w:rPr>
        <w:t>双</w:t>
      </w:r>
      <w:r>
        <w:rPr>
          <w:spacing w:val="-73"/>
        </w:rPr>
        <w:t> </w:t>
      </w:r>
      <w:r>
        <w:rPr>
          <w:spacing w:val="-1"/>
        </w:rPr>
        <w:t>线作战；运营商开始进行全营销渠道整合，与互联网企业在头部流量平台深入合作。随着微信、支付宝等</w:t>
      </w:r>
      <w:r>
        <w:rPr>
          <w:spacing w:val="-86"/>
        </w:rPr>
        <w:t> </w:t>
      </w:r>
      <w:r>
        <w:rPr>
          <w:spacing w:val="-86"/>
        </w:rPr>
      </w:r>
      <w:r>
        <w:rPr/>
        <w:t>流量平台生态的不断丰富，垂直细分领域存在发展机会。</w:t>
      </w:r>
    </w:p>
    <w:p>
      <w:pPr>
        <w:pStyle w:val="BodyText"/>
        <w:spacing w:line="264" w:lineRule="auto" w:before="18"/>
        <w:ind w:right="1131" w:firstLine="426"/>
        <w:jc w:val="both"/>
      </w:pPr>
      <w:r>
        <w:rPr>
          <w:spacing w:val="-1"/>
        </w:rPr>
        <w:t>未来几年，移动广告将持续升温。预计</w:t>
      </w:r>
      <w:r>
        <w:rPr>
          <w:rFonts w:ascii="Times New Roman" w:hAnsi="Times New Roman" w:cs="Times New Roman" w:eastAsia="Times New Roman" w:hint="default"/>
          <w:spacing w:val="-1"/>
        </w:rPr>
        <w:t>2020</w:t>
      </w:r>
      <w:r>
        <w:rPr>
          <w:spacing w:val="-1"/>
        </w:rPr>
        <w:t>年，我国网络广告规模为</w:t>
      </w:r>
      <w:r>
        <w:rPr>
          <w:rFonts w:ascii="Times New Roman" w:hAnsi="Times New Roman" w:cs="Times New Roman" w:eastAsia="Times New Roman" w:hint="default"/>
          <w:spacing w:val="-1"/>
        </w:rPr>
        <w:t>7600</w:t>
      </w:r>
      <w:r>
        <w:rPr>
          <w:spacing w:val="-1"/>
        </w:rPr>
        <w:t>亿元</w:t>
      </w:r>
      <w:r>
        <w:rPr>
          <w:rFonts w:ascii="Times New Roman" w:hAnsi="Times New Roman" w:cs="Times New Roman" w:eastAsia="Times New Roman" w:hint="default"/>
          <w:spacing w:val="-1"/>
        </w:rPr>
        <w:t>,</w:t>
      </w:r>
      <w:r>
        <w:rPr>
          <w:spacing w:val="-1"/>
        </w:rPr>
        <w:t>增长率达到</w:t>
      </w:r>
      <w:r>
        <w:rPr>
          <w:rFonts w:ascii="Times New Roman" w:hAnsi="Times New Roman" w:cs="Times New Roman" w:eastAsia="Times New Roman" w:hint="default"/>
          <w:spacing w:val="-1"/>
        </w:rPr>
        <w:t>25%</w:t>
      </w:r>
      <w:r>
        <w:rPr>
          <w:spacing w:val="-1"/>
        </w:rPr>
        <w:t>。传统</w:t>
      </w:r>
      <w:r>
        <w:rPr/>
        <w:t> </w:t>
      </w:r>
      <w:r>
        <w:rPr>
          <w:spacing w:val="-1"/>
        </w:rPr>
        <w:t>媒体品牌广告产业将逐步衰退，展示类广告变现遭遇天花板，网络广告市场规模和占比不断提升，效果广</w:t>
      </w:r>
      <w:r>
        <w:rPr>
          <w:spacing w:val="-83"/>
        </w:rPr>
        <w:t> </w:t>
      </w:r>
      <w:r>
        <w:rPr>
          <w:spacing w:val="-83"/>
        </w:rPr>
      </w:r>
      <w:r>
        <w:rPr/>
        <w:t>告大势所趋，信息流广告将成为新的增长点。</w:t>
      </w:r>
    </w:p>
    <w:p>
      <w:pPr>
        <w:pStyle w:val="BodyText"/>
        <w:tabs>
          <w:tab w:pos="994" w:val="left" w:leader="none"/>
        </w:tabs>
        <w:spacing w:line="256" w:lineRule="auto" w:before="16"/>
        <w:ind w:left="580" w:right="1130"/>
        <w:jc w:val="left"/>
        <w:rPr>
          <w:rFonts w:ascii="Times New Roman" w:hAnsi="Times New Roman" w:cs="Times New Roman" w:eastAsia="Times New Roman" w:hint="default"/>
        </w:rPr>
      </w:pPr>
      <w:r>
        <w:rPr>
          <w:rFonts w:ascii="Times New Roman" w:hAnsi="Times New Roman" w:cs="Times New Roman" w:eastAsia="Times New Roman" w:hint="default"/>
        </w:rPr>
        <w:t>d)</w:t>
        <w:tab/>
        <w:t>IT</w:t>
      </w:r>
      <w:r>
        <w:rPr/>
        <w:t>销售</w:t>
      </w:r>
      <w:r>
        <w:rPr>
          <w:w w:val="99"/>
        </w:rPr>
        <w:t> </w:t>
      </w:r>
      <w:r>
        <w:rPr>
          <w:spacing w:val="-2"/>
        </w:rPr>
        <w:t>中国技术消费品零售市场趋势，线上市场仍将持续增长，</w:t>
      </w:r>
      <w:r>
        <w:rPr>
          <w:rFonts w:ascii="Times New Roman" w:hAnsi="Times New Roman" w:cs="Times New Roman" w:eastAsia="Times New Roman" w:hint="default"/>
          <w:spacing w:val="-2"/>
        </w:rPr>
        <w:t>2018</w:t>
      </w:r>
      <w:r>
        <w:rPr>
          <w:spacing w:val="-2"/>
        </w:rPr>
        <w:t>年技术消费品整体市场，预计达到</w:t>
      </w:r>
      <w:r>
        <w:rPr>
          <w:rFonts w:ascii="Times New Roman" w:hAnsi="Times New Roman" w:cs="Times New Roman" w:eastAsia="Times New Roman" w:hint="default"/>
          <w:spacing w:val="-2"/>
        </w:rPr>
        <w:t>2.775</w:t>
      </w:r>
    </w:p>
    <w:p>
      <w:pPr>
        <w:pStyle w:val="BodyText"/>
        <w:spacing w:line="240" w:lineRule="auto" w:before="5"/>
        <w:ind w:right="0"/>
        <w:jc w:val="both"/>
      </w:pPr>
      <w:r>
        <w:rPr/>
        <w:t>万亿元，同比增长</w:t>
      </w:r>
      <w:r>
        <w:rPr>
          <w:rFonts w:ascii="Times New Roman" w:hAnsi="Times New Roman" w:cs="Times New Roman" w:eastAsia="Times New Roman" w:hint="default"/>
        </w:rPr>
        <w:t>12.3%</w:t>
      </w:r>
      <w:r>
        <w:rPr/>
        <w:t>。高端产品更受消费者青睐，消费升级持续。</w:t>
      </w:r>
    </w:p>
    <w:p>
      <w:pPr>
        <w:pStyle w:val="BodyText"/>
        <w:spacing w:line="240" w:lineRule="auto" w:before="21"/>
        <w:ind w:left="580" w:right="0"/>
        <w:jc w:val="left"/>
      </w:pPr>
      <w:r>
        <w:rPr>
          <w:rFonts w:ascii="Times New Roman" w:hAnsi="Times New Roman" w:cs="Times New Roman" w:eastAsia="Times New Roman" w:hint="default"/>
        </w:rPr>
        <w:t>2</w:t>
      </w:r>
      <w:r>
        <w:rPr/>
        <w:t>．行业地位及作用</w:t>
      </w:r>
    </w:p>
    <w:p>
      <w:pPr>
        <w:pStyle w:val="BodyText"/>
        <w:spacing w:line="240" w:lineRule="auto" w:before="21"/>
        <w:ind w:left="664" w:right="0"/>
        <w:jc w:val="left"/>
      </w:pPr>
      <w:r>
        <w:rPr/>
        <w:t>（</w:t>
      </w:r>
      <w:r>
        <w:rPr>
          <w:rFonts w:ascii="Times New Roman" w:hAnsi="Times New Roman" w:cs="Times New Roman" w:eastAsia="Times New Roman" w:hint="default"/>
        </w:rPr>
        <w:t>1</w:t>
      </w:r>
      <w:r>
        <w:rPr/>
        <w:t>）企业信息化业务</w:t>
      </w:r>
    </w:p>
    <w:p>
      <w:pPr>
        <w:pStyle w:val="BodyText"/>
        <w:spacing w:line="240" w:lineRule="auto" w:before="21"/>
        <w:ind w:left="580"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车联网</w:t>
      </w:r>
    </w:p>
    <w:p>
      <w:pPr>
        <w:pStyle w:val="BodyText"/>
        <w:spacing w:line="256" w:lineRule="auto" w:before="21"/>
        <w:ind w:right="1026" w:firstLine="426"/>
        <w:jc w:val="left"/>
      </w:pPr>
      <w:r>
        <w:rPr/>
        <w:t>大唐高鸿持续开展</w:t>
      </w:r>
      <w:r>
        <w:rPr>
          <w:rFonts w:ascii="Times New Roman" w:hAnsi="Times New Roman" w:cs="Times New Roman" w:eastAsia="Times New Roman" w:hint="default"/>
        </w:rPr>
        <w:t>LTE-V</w:t>
      </w:r>
      <w:r>
        <w:rPr/>
        <w:t>车联网技术的研究及预商用产品的研制，参与相关标准制定，</w:t>
      </w:r>
      <w:r>
        <w:rPr>
          <w:rFonts w:ascii="Times New Roman" w:hAnsi="Times New Roman" w:cs="Times New Roman" w:eastAsia="Times New Roman" w:hint="default"/>
        </w:rPr>
        <w:t>LTE-V</w:t>
      </w:r>
      <w:r>
        <w:rPr/>
        <w:t>技术及 </w:t>
      </w:r>
      <w:r>
        <w:rPr>
          <w:spacing w:val="-4"/>
        </w:rPr>
        <w:t>产品处于业内领先地位。陆续发布业界首款</w:t>
      </w:r>
      <w:r>
        <w:rPr>
          <w:rFonts w:ascii="Times New Roman" w:hAnsi="Times New Roman" w:cs="Times New Roman" w:eastAsia="Times New Roman" w:hint="default"/>
          <w:spacing w:val="-4"/>
        </w:rPr>
        <w:t>LTE-V2X</w:t>
      </w:r>
      <w:r>
        <w:rPr>
          <w:spacing w:val="-4"/>
        </w:rPr>
        <w:t>测试车载整机、路侧单元及通信模组及配套开发软件，</w:t>
      </w:r>
      <w:r>
        <w:rPr>
          <w:spacing w:val="-59"/>
        </w:rPr>
        <w:t> </w:t>
      </w:r>
      <w:r>
        <w:rPr>
          <w:spacing w:val="-59"/>
        </w:rPr>
      </w:r>
      <w:r>
        <w:rPr/>
        <w:t>发布了</w:t>
      </w:r>
      <w:r>
        <w:rPr>
          <w:rFonts w:ascii="Times New Roman" w:hAnsi="Times New Roman" w:cs="Times New Roman" w:eastAsia="Times New Roman" w:hint="default"/>
        </w:rPr>
        <w:t>LTE-V2X</w:t>
      </w:r>
      <w:r>
        <w:rPr/>
        <w:t>系列产品，并向长城、吉利、广汽等车企、广汽研究院、清华大学、百度、车网互联、万 集等合作伙伴提供试用，受到业界广泛关注。</w:t>
      </w:r>
    </w:p>
    <w:p>
      <w:pPr>
        <w:pStyle w:val="BodyText"/>
        <w:spacing w:line="261" w:lineRule="auto" w:before="22"/>
        <w:ind w:right="1039" w:firstLine="426"/>
        <w:jc w:val="left"/>
      </w:pPr>
      <w:r>
        <w:rPr/>
        <w:t>大唐高鸿积极参与国家智能网联示范区建设，目前已完成长城汽车车联网园区和重庆示范区的建设， 并与产业链上下游多家企业形成密切合作，有力推动</w:t>
      </w:r>
      <w:r>
        <w:rPr>
          <w:rFonts w:ascii="Times New Roman" w:hAnsi="Times New Roman" w:cs="Times New Roman" w:eastAsia="Times New Roman" w:hint="default"/>
        </w:rPr>
        <w:t>LTE-V2X</w:t>
      </w:r>
      <w:r>
        <w:rPr/>
        <w:t>产业化。</w:t>
      </w:r>
      <w:r>
        <w:rPr>
          <w:rFonts w:ascii="Times New Roman" w:hAnsi="Times New Roman" w:cs="Times New Roman" w:eastAsia="Times New Roman" w:hint="default"/>
        </w:rPr>
        <w:t>2018</w:t>
      </w:r>
      <w:r>
        <w:rPr/>
        <w:t>年，大唐高鸿与福特汽车开展 了联合测试；与高通、华为完成互联互通测试；在重庆智博会上，作为</w:t>
      </w:r>
      <w:r>
        <w:rPr>
          <w:rFonts w:ascii="Times New Roman" w:hAnsi="Times New Roman" w:cs="Times New Roman" w:eastAsia="Times New Roman" w:hint="default"/>
        </w:rPr>
        <w:t>LTE-V2X</w:t>
      </w:r>
      <w:r>
        <w:rPr/>
        <w:t>技术支持方，支撑多个厂 商参加了无人驾驶大赛；在上海嘉定完成了世界首例</w:t>
      </w:r>
      <w:r>
        <w:rPr>
          <w:rFonts w:ascii="Times New Roman" w:hAnsi="Times New Roman" w:cs="Times New Roman" w:eastAsia="Times New Roman" w:hint="default"/>
        </w:rPr>
        <w:t>LTE-</w:t>
      </w:r>
      <w:r>
        <w:rPr>
          <w:rFonts w:ascii="Times New Roman" w:hAnsi="Times New Roman" w:cs="Times New Roman" w:eastAsia="Times New Roman" w:hint="default"/>
        </w:rPr>
        <w:t>V2X“</w:t>
      </w:r>
      <w:r>
        <w:rPr/>
        <w:t>三跨</w:t>
      </w:r>
      <w:r>
        <w:rPr>
          <w:rFonts w:ascii="Times New Roman" w:hAnsi="Times New Roman" w:cs="Times New Roman" w:eastAsia="Times New Roman" w:hint="default"/>
        </w:rPr>
        <w:t>”</w:t>
      </w:r>
      <w:r>
        <w:rPr/>
        <w:t>（跨模组、终端、主机厂）互联互通 测试，外场互联互通测试取得重大进展。</w:t>
      </w:r>
    </w:p>
    <w:p>
      <w:pPr>
        <w:pStyle w:val="BodyText"/>
        <w:spacing w:line="256" w:lineRule="auto" w:before="18"/>
        <w:ind w:left="580" w:right="1121"/>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可信云计算</w:t>
      </w:r>
      <w:r>
        <w:rPr>
          <w:w w:val="99"/>
        </w:rPr>
        <w:t> </w:t>
      </w:r>
      <w:r>
        <w:rPr/>
        <w:t>大唐高鸿是国内领先的可信计算产品、方案及服务提供商，是</w:t>
      </w:r>
      <w:r>
        <w:rPr>
          <w:rFonts w:ascii="Times New Roman" w:hAnsi="Times New Roman" w:cs="Times New Roman" w:eastAsia="Times New Roman" w:hint="default"/>
        </w:rPr>
        <w:t>Intel</w:t>
      </w:r>
      <w:r>
        <w:rPr/>
        <w:t>中国区网络安全技术独家战略合作</w:t>
      </w:r>
    </w:p>
    <w:p>
      <w:pPr>
        <w:pStyle w:val="BodyText"/>
        <w:spacing w:line="266" w:lineRule="auto" w:before="5"/>
        <w:ind w:right="1131"/>
        <w:jc w:val="both"/>
      </w:pPr>
      <w:r>
        <w:rPr/>
        <w:t>伙伴。</w:t>
      </w:r>
      <w:r>
        <w:rPr>
          <w:rFonts w:ascii="Times New Roman" w:hAnsi="Times New Roman" w:cs="Times New Roman" w:eastAsia="Times New Roman" w:hint="default"/>
        </w:rPr>
        <w:t>2018</w:t>
      </w:r>
      <w:r>
        <w:rPr/>
        <w:t>年，大唐高鸿持续研发及完善</w:t>
      </w:r>
      <w:r>
        <w:rPr>
          <w:rFonts w:ascii="Times New Roman" w:hAnsi="Times New Roman" w:cs="Times New Roman" w:eastAsia="Times New Roman" w:hint="default"/>
        </w:rPr>
        <w:t>Intel</w:t>
      </w:r>
      <w:r>
        <w:rPr>
          <w:rFonts w:ascii="Times New Roman" w:hAnsi="Times New Roman" w:cs="Times New Roman" w:eastAsia="Times New Roman" w:hint="default"/>
          <w:spacing w:val="34"/>
        </w:rPr>
        <w:t> </w:t>
      </w:r>
      <w:r>
        <w:rPr>
          <w:rFonts w:ascii="Times New Roman" w:hAnsi="Times New Roman" w:cs="Times New Roman" w:eastAsia="Times New Roman" w:hint="default"/>
        </w:rPr>
        <w:t>Purley</w:t>
      </w:r>
      <w:r>
        <w:rPr/>
        <w:t>平台可信服务器、操作系统可信增强系统、可信管理</w:t>
      </w:r>
      <w:r>
        <w:rPr>
          <w:w w:val="99"/>
        </w:rPr>
        <w:t> </w:t>
      </w:r>
      <w:r>
        <w:rPr>
          <w:spacing w:val="-1"/>
        </w:rPr>
        <w:t>套件、可信云管理平台、可信分布式存储管理平台和可信虚拟化系统等产品，形成了一站式交付可信云数</w:t>
      </w:r>
      <w:r>
        <w:rPr>
          <w:spacing w:val="-84"/>
        </w:rPr>
        <w:t> </w:t>
      </w:r>
      <w:r>
        <w:rPr>
          <w:spacing w:val="-84"/>
        </w:rPr>
      </w:r>
      <w:r>
        <w:rPr/>
        <w:t>据中心产品及方案。</w:t>
      </w:r>
    </w:p>
    <w:p>
      <w:pPr>
        <w:pStyle w:val="BodyText"/>
        <w:spacing w:line="256" w:lineRule="auto" w:before="14"/>
        <w:ind w:right="0" w:firstLine="426"/>
        <w:jc w:val="left"/>
      </w:pPr>
      <w:r>
        <w:rPr/>
        <w:t>大唐高鸿是</w:t>
      </w:r>
      <w:r>
        <w:rPr>
          <w:rFonts w:ascii="Times New Roman" w:hAnsi="Times New Roman" w:cs="Times New Roman" w:eastAsia="Times New Roman" w:hint="default"/>
        </w:rPr>
        <w:t>Openstack</w:t>
      </w:r>
      <w:r>
        <w:rPr/>
        <w:t>社区重要贡献者及</w:t>
      </w:r>
      <w:r>
        <w:rPr>
          <w:rFonts w:ascii="Times New Roman" w:hAnsi="Times New Roman" w:cs="Times New Roman" w:eastAsia="Times New Roman" w:hint="default"/>
        </w:rPr>
        <w:t>OpenCIT</w:t>
      </w:r>
      <w:r>
        <w:rPr/>
        <w:t>、</w:t>
      </w:r>
      <w:r>
        <w:rPr>
          <w:rFonts w:ascii="Times New Roman" w:hAnsi="Times New Roman" w:cs="Times New Roman" w:eastAsia="Times New Roman" w:hint="default"/>
        </w:rPr>
        <w:t>TBoot</w:t>
      </w:r>
      <w:r>
        <w:rPr/>
        <w:t>等可信开源项目的积极贡献者。</w:t>
      </w:r>
      <w:r>
        <w:rPr>
          <w:rFonts w:ascii="Times New Roman" w:hAnsi="Times New Roman" w:cs="Times New Roman" w:eastAsia="Times New Roman" w:hint="default"/>
        </w:rPr>
        <w:t>2018</w:t>
      </w:r>
      <w:r>
        <w:rPr/>
        <w:t>年，大</w:t>
      </w:r>
      <w:r>
        <w:rPr>
          <w:spacing w:val="1"/>
        </w:rPr>
        <w:t> </w:t>
      </w:r>
      <w:r>
        <w:rPr>
          <w:spacing w:val="-1"/>
        </w:rPr>
        <w:t>唐高鸿携手</w:t>
      </w:r>
      <w:r>
        <w:rPr>
          <w:rFonts w:ascii="Times New Roman" w:hAnsi="Times New Roman" w:cs="Times New Roman" w:eastAsia="Times New Roman" w:hint="default"/>
          <w:spacing w:val="-1"/>
        </w:rPr>
        <w:t>Intel</w:t>
      </w:r>
      <w:r>
        <w:rPr>
          <w:spacing w:val="-1"/>
        </w:rPr>
        <w:t>全球发布了可信计算典型应用白皮书：《</w:t>
      </w:r>
      <w:r>
        <w:rPr>
          <w:rFonts w:ascii="Times New Roman" w:hAnsi="Times New Roman" w:cs="Times New Roman" w:eastAsia="Times New Roman" w:hint="default"/>
          <w:spacing w:val="-1"/>
        </w:rPr>
        <w:t>TSDI</w:t>
      </w:r>
      <w:r>
        <w:rPr>
          <w:spacing w:val="-1"/>
        </w:rPr>
        <w:t>可信软件定义基础设施白皮书》、《基于可</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0"/>
        <w:jc w:val="left"/>
      </w:pPr>
      <w:r>
        <w:rPr/>
        <w:t>信计算和</w:t>
      </w:r>
      <w:r>
        <w:rPr>
          <w:rFonts w:ascii="Times New Roman" w:hAnsi="Times New Roman" w:cs="Times New Roman" w:eastAsia="Times New Roman" w:hint="default"/>
        </w:rPr>
        <w:t>SGX</w:t>
      </w:r>
      <w:r>
        <w:rPr/>
        <w:t>技术的软件保护白皮书》。致力于为金融、医疗、互联网、政府、公安、电信等行业提供可 信安全服务，并与行业伙伴共同研制发布版权保护等行业应用一体机，扩大了可信产品的行业应用范围。</w:t>
      </w:r>
    </w:p>
    <w:p>
      <w:pPr>
        <w:pStyle w:val="BodyText"/>
        <w:spacing w:line="256" w:lineRule="auto" w:before="22"/>
        <w:ind w:left="580" w:right="1118"/>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1"/>
        </w:rPr>
        <w:t> </w:t>
      </w:r>
      <w:r>
        <w:rPr/>
        <w:t>智能制造</w:t>
      </w:r>
      <w:r>
        <w:rPr>
          <w:w w:val="99"/>
        </w:rPr>
        <w:t> </w:t>
      </w:r>
      <w:r>
        <w:rPr>
          <w:spacing w:val="-2"/>
        </w:rPr>
        <w:t>大唐高鸿专注于搭建领先的智能制造行业平台，自主开展智能</w:t>
      </w:r>
      <w:r>
        <w:rPr>
          <w:rFonts w:ascii="Times New Roman" w:hAnsi="Times New Roman" w:cs="Times New Roman" w:eastAsia="Times New Roman" w:hint="default"/>
          <w:spacing w:val="-2"/>
        </w:rPr>
        <w:t>MES</w:t>
      </w:r>
      <w:r>
        <w:rPr>
          <w:spacing w:val="-2"/>
        </w:rPr>
        <w:t>项目研发，发布了汽车行业</w:t>
      </w:r>
      <w:r>
        <w:rPr>
          <w:rFonts w:ascii="Times New Roman" w:hAnsi="Times New Roman" w:cs="Times New Roman" w:eastAsia="Times New Roman" w:hint="default"/>
          <w:spacing w:val="-2"/>
        </w:rPr>
        <w:t>MES</w:t>
      </w:r>
      <w:r>
        <w:rPr>
          <w:spacing w:val="-2"/>
        </w:rPr>
        <w:t>生</w:t>
      </w:r>
    </w:p>
    <w:p>
      <w:pPr>
        <w:pStyle w:val="BodyText"/>
        <w:spacing w:line="256" w:lineRule="auto" w:before="5"/>
        <w:ind w:right="1010"/>
        <w:jc w:val="left"/>
      </w:pPr>
      <w:r>
        <w:rPr/>
        <w:t>产执行控制系统、</w:t>
      </w:r>
      <w:r>
        <w:rPr>
          <w:rFonts w:ascii="Times New Roman" w:hAnsi="Times New Roman" w:cs="Times New Roman" w:eastAsia="Times New Roman" w:hint="default"/>
        </w:rPr>
        <w:t>WMS</w:t>
      </w:r>
      <w:r>
        <w:rPr/>
        <w:t>仓储管理系统、数据采集软件、能源管理系统、生产过程监视与控制系统等产品， 并在北汽集团（青岛汽车厂）、宁波高悦零部件工厂及京东物流等企业获得了应用。</w:t>
      </w:r>
    </w:p>
    <w:p>
      <w:pPr>
        <w:pStyle w:val="BodyText"/>
        <w:spacing w:line="261" w:lineRule="auto" w:before="22"/>
        <w:ind w:right="1131" w:firstLine="426"/>
        <w:jc w:val="both"/>
      </w:pPr>
      <w:r>
        <w:rPr/>
        <w:t>大唐高鸿与西门子、</w:t>
      </w:r>
      <w:r>
        <w:rPr>
          <w:rFonts w:ascii="Times New Roman" w:hAnsi="Times New Roman" w:cs="Times New Roman" w:eastAsia="Times New Roman" w:hint="default"/>
        </w:rPr>
        <w:t>PTC</w:t>
      </w:r>
      <w:r>
        <w:rPr/>
        <w:t>等国际工业制造软件领域巨头开展深度合作，联合西门子与武汉经开区联合 </w:t>
      </w:r>
      <w:r>
        <w:rPr>
          <w:spacing w:val="-6"/>
          <w:w w:val="100"/>
        </w:rPr>
        <w:t>创建</w:t>
      </w:r>
      <w:r>
        <w:rPr>
          <w:rFonts w:ascii="Times New Roman" w:hAnsi="Times New Roman" w:cs="Times New Roman" w:eastAsia="Times New Roman" w:hint="default"/>
          <w:spacing w:val="-6"/>
          <w:w w:val="100"/>
        </w:rPr>
        <w:t>“</w:t>
      </w:r>
      <w:r>
        <w:rPr>
          <w:spacing w:val="-6"/>
          <w:w w:val="100"/>
        </w:rPr>
        <w:t>大唐</w:t>
      </w:r>
      <w:r>
        <w:rPr>
          <w:rFonts w:ascii="Times New Roman" w:hAnsi="Times New Roman" w:cs="Times New Roman" w:eastAsia="Times New Roman" w:hint="default"/>
          <w:spacing w:val="-6"/>
          <w:w w:val="100"/>
        </w:rPr>
        <w:t>-</w:t>
      </w:r>
      <w:r>
        <w:rPr>
          <w:spacing w:val="-6"/>
          <w:w w:val="100"/>
        </w:rPr>
        <w:t>西门子智能制造创新中心和公共服务平台</w:t>
      </w:r>
      <w:r>
        <w:rPr>
          <w:rFonts w:ascii="Times New Roman" w:hAnsi="Times New Roman" w:cs="Times New Roman" w:eastAsia="Times New Roman" w:hint="default"/>
          <w:spacing w:val="-6"/>
          <w:w w:val="100"/>
        </w:rPr>
        <w:t>”</w:t>
      </w:r>
      <w:r>
        <w:rPr>
          <w:spacing w:val="-6"/>
          <w:w w:val="100"/>
        </w:rPr>
        <w:t>。未来，大唐高鸿还将与东风设计院、东风技术中心、</w:t>
      </w:r>
      <w:r>
        <w:rPr>
          <w:spacing w:val="-93"/>
          <w:w w:val="100"/>
        </w:rPr>
        <w:t> </w:t>
      </w:r>
      <w:r>
        <w:rPr>
          <w:spacing w:val="-93"/>
          <w:w w:val="100"/>
        </w:rPr>
      </w:r>
      <w:r>
        <w:rPr>
          <w:spacing w:val="-1"/>
        </w:rPr>
        <w:t>北汽集团等地方合作伙伴携手，共同打造工业互联网云平台、智能制造创新服务平台，开放资源服务于广</w:t>
      </w:r>
      <w:r>
        <w:rPr>
          <w:spacing w:val="-83"/>
        </w:rPr>
        <w:t> </w:t>
      </w:r>
      <w:r>
        <w:rPr>
          <w:spacing w:val="-83"/>
        </w:rPr>
      </w:r>
      <w:r>
        <w:rPr/>
        <w:t>大中小生产制造企业，构建符合区域产业特色的智能制造生态圈。</w:t>
      </w:r>
    </w:p>
    <w:p>
      <w:pPr>
        <w:pStyle w:val="BodyText"/>
        <w:spacing w:line="256" w:lineRule="auto" w:before="18"/>
        <w:ind w:left="580" w:right="1118"/>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31"/>
        </w:rPr>
        <w:t> </w:t>
      </w:r>
      <w:r>
        <w:rPr/>
        <w:t>智能客服</w:t>
      </w:r>
      <w:r>
        <w:rPr>
          <w:w w:val="99"/>
        </w:rPr>
        <w:t> </w:t>
      </w:r>
      <w:r>
        <w:rPr>
          <w:spacing w:val="-1"/>
        </w:rPr>
        <w:t>赋能大数据、云计算和</w:t>
      </w:r>
      <w:r>
        <w:rPr>
          <w:rFonts w:ascii="Times New Roman" w:hAnsi="Times New Roman" w:cs="Times New Roman" w:eastAsia="Times New Roman" w:hint="default"/>
          <w:spacing w:val="-1"/>
        </w:rPr>
        <w:t>AI</w:t>
      </w:r>
      <w:r>
        <w:rPr>
          <w:spacing w:val="-1"/>
        </w:rPr>
        <w:t>等新一代信息技术，大唐高鸿面向呼叫中心</w:t>
      </w:r>
      <w:r>
        <w:rPr>
          <w:rFonts w:ascii="Times New Roman" w:hAnsi="Times New Roman" w:cs="Times New Roman" w:eastAsia="Times New Roman" w:hint="default"/>
          <w:spacing w:val="-1"/>
        </w:rPr>
        <w:t>BPO</w:t>
      </w:r>
      <w:r>
        <w:rPr>
          <w:spacing w:val="-1"/>
        </w:rPr>
        <w:t>项目，自主研发智能客服平</w:t>
      </w:r>
    </w:p>
    <w:p>
      <w:pPr>
        <w:pStyle w:val="BodyText"/>
        <w:spacing w:line="256" w:lineRule="auto" w:before="5"/>
        <w:ind w:right="1117"/>
        <w:jc w:val="left"/>
      </w:pPr>
      <w:r>
        <w:rPr>
          <w:spacing w:val="-1"/>
        </w:rPr>
        <w:t>台，开发了</w:t>
      </w:r>
      <w:r>
        <w:rPr>
          <w:rFonts w:ascii="Times New Roman" w:hAnsi="Times New Roman" w:cs="Times New Roman" w:eastAsia="Times New Roman" w:hint="default"/>
          <w:spacing w:val="-1"/>
        </w:rPr>
        <w:t>AI</w:t>
      </w:r>
      <w:r>
        <w:rPr>
          <w:spacing w:val="-1"/>
        </w:rPr>
        <w:t>文本对话机器人、智能坐席助理、智能质检等</w:t>
      </w:r>
      <w:r>
        <w:rPr>
          <w:rFonts w:ascii="Times New Roman" w:hAnsi="Times New Roman" w:cs="Times New Roman" w:eastAsia="Times New Roman" w:hint="default"/>
          <w:spacing w:val="-1"/>
        </w:rPr>
        <w:t>AI</w:t>
      </w:r>
      <w:r>
        <w:rPr>
          <w:spacing w:val="-1"/>
        </w:rPr>
        <w:t>应用产品，实现基于人工智能和大数据支撑</w:t>
      </w:r>
      <w:r>
        <w:rPr/>
        <w:t> 的精准交互服务，提高了呼叫中心的运营效率和服务质量。</w:t>
      </w:r>
    </w:p>
    <w:p>
      <w:pPr>
        <w:pStyle w:val="BodyText"/>
        <w:spacing w:line="256" w:lineRule="auto" w:before="22"/>
        <w:ind w:left="580" w:right="1130"/>
        <w:jc w:val="left"/>
      </w:pPr>
      <w:r>
        <w:rPr/>
        <w:t>（</w:t>
      </w:r>
      <w:r>
        <w:rPr>
          <w:rFonts w:ascii="Times New Roman" w:hAnsi="Times New Roman" w:cs="Times New Roman" w:eastAsia="Times New Roman" w:hint="default"/>
        </w:rPr>
        <w:t>2</w:t>
      </w:r>
      <w:r>
        <w:rPr/>
        <w:t>）信息服务业务 </w:t>
      </w:r>
      <w:r>
        <w:rPr>
          <w:spacing w:val="-1"/>
        </w:rPr>
        <w:t>大唐高鸿与支付宝开展战略合作，整合生活号、花呗会员等资源，培育掌上加油、生活号运营、总对</w:t>
      </w:r>
    </w:p>
    <w:p>
      <w:pPr>
        <w:pStyle w:val="BodyText"/>
        <w:spacing w:line="256" w:lineRule="auto" w:before="22"/>
        <w:ind w:right="0"/>
        <w:jc w:val="left"/>
      </w:pPr>
      <w:r>
        <w:rPr/>
        <w:t>总等创新业务，成为电信总对总项目</w:t>
      </w:r>
      <w:r>
        <w:rPr>
          <w:rFonts w:ascii="Times New Roman" w:hAnsi="Times New Roman" w:cs="Times New Roman" w:eastAsia="Times New Roman" w:hint="default"/>
        </w:rPr>
        <w:t>(</w:t>
      </w:r>
      <w:r>
        <w:rPr/>
        <w:t>中国移动、中国电信</w:t>
      </w:r>
      <w:r>
        <w:rPr>
          <w:rFonts w:ascii="Times New Roman" w:hAnsi="Times New Roman" w:cs="Times New Roman" w:eastAsia="Times New Roman" w:hint="default"/>
        </w:rPr>
        <w:t>)</w:t>
      </w:r>
      <w:r>
        <w:rPr/>
        <w:t>与支付宝合作业务的运营方，帮助运营商实现</w:t>
      </w:r>
      <w:r>
        <w:rPr>
          <w:spacing w:val="-64"/>
        </w:rPr>
        <w:t> </w:t>
      </w:r>
      <w:r>
        <w:rPr>
          <w:spacing w:val="-64"/>
        </w:rPr>
      </w:r>
      <w:r>
        <w:rPr/>
        <w:t>从通信服务到生活服务的业务深度运营，打造具有竞争力的细分领域互联网营销平台。</w:t>
      </w:r>
    </w:p>
    <w:p>
      <w:pPr>
        <w:pStyle w:val="BodyText"/>
        <w:spacing w:line="264" w:lineRule="auto" w:before="22"/>
        <w:ind w:right="1133" w:firstLine="426"/>
        <w:jc w:val="both"/>
      </w:pPr>
      <w:r>
        <w:rPr>
          <w:spacing w:val="-1"/>
        </w:rPr>
        <w:t>大唐高鸿呼叫中心业务在运营商行业取得突破性进展，承接了吉林、河南、山东、甘肃、内蒙移动及</w:t>
      </w:r>
      <w:r>
        <w:rPr/>
        <w:t> 河南三地市联通等业务；中标互联网行业美团打车、美团外卖、去哪儿网</w:t>
      </w:r>
      <w:r>
        <w:rPr>
          <w:rFonts w:ascii="Times New Roman" w:hAnsi="Times New Roman" w:cs="Times New Roman" w:eastAsia="Times New Roman" w:hint="default"/>
        </w:rPr>
        <w:t>Chat</w:t>
      </w:r>
      <w:r>
        <w:rPr/>
        <w:t>业务；加快</w:t>
      </w:r>
      <w:r>
        <w:rPr>
          <w:rFonts w:ascii="Times New Roman" w:hAnsi="Times New Roman" w:cs="Times New Roman" w:eastAsia="Times New Roman" w:hint="default"/>
        </w:rPr>
        <w:t>BPO</w:t>
      </w:r>
      <w:r>
        <w:rPr/>
        <w:t>基地建设步</w:t>
      </w:r>
      <w:r>
        <w:rPr>
          <w:spacing w:val="-98"/>
        </w:rPr>
        <w:t> </w:t>
      </w:r>
      <w:r>
        <w:rPr>
          <w:spacing w:val="-98"/>
        </w:rPr>
      </w:r>
      <w:r>
        <w:rPr/>
        <w:t>伐，已建成基地</w:t>
      </w:r>
      <w:r>
        <w:rPr>
          <w:rFonts w:ascii="Times New Roman" w:hAnsi="Times New Roman" w:cs="Times New Roman" w:eastAsia="Times New Roman" w:hint="default"/>
        </w:rPr>
        <w:t>5</w:t>
      </w:r>
      <w:r>
        <w:rPr/>
        <w:t>个（</w:t>
      </w:r>
      <w:r>
        <w:rPr>
          <w:rFonts w:ascii="Times New Roman" w:hAnsi="Times New Roman" w:cs="Times New Roman" w:eastAsia="Times New Roman" w:hint="default"/>
        </w:rPr>
        <w:t>4500</w:t>
      </w:r>
      <w:r>
        <w:rPr/>
        <w:t>个坐席），建设中基地</w:t>
      </w:r>
      <w:r>
        <w:rPr>
          <w:rFonts w:ascii="Times New Roman" w:hAnsi="Times New Roman" w:cs="Times New Roman" w:eastAsia="Times New Roman" w:hint="default"/>
        </w:rPr>
        <w:t>7</w:t>
      </w:r>
      <w:r>
        <w:rPr/>
        <w:t>个。</w:t>
      </w:r>
    </w:p>
    <w:p>
      <w:pPr>
        <w:pStyle w:val="BodyText"/>
        <w:spacing w:line="266" w:lineRule="auto" w:before="0"/>
        <w:ind w:right="1130" w:firstLine="426"/>
        <w:jc w:val="both"/>
      </w:pPr>
      <w:r>
        <w:rPr>
          <w:spacing w:val="-1"/>
        </w:rPr>
        <w:t>移动信息业务领域，大唐高鸿重点跟进运营商业务切换步伐，大部分业务代码得到保留，并积极申报</w:t>
      </w:r>
      <w:r>
        <w:rPr/>
        <w:t> </w:t>
      </w:r>
      <w:r>
        <w:rPr>
          <w:spacing w:val="-2"/>
        </w:rPr>
        <w:t>咪咕联合会员、联通信息导航、电信爱动漫、联通</w:t>
      </w:r>
      <w:r>
        <w:rPr>
          <w:rFonts w:ascii="Times New Roman" w:hAnsi="Times New Roman" w:cs="Times New Roman" w:eastAsia="Times New Roman" w:hint="default"/>
          <w:spacing w:val="-2"/>
        </w:rPr>
        <w:t>wo</w:t>
      </w:r>
      <w:r>
        <w:rPr>
          <w:spacing w:val="-2"/>
        </w:rPr>
        <w:t>阅读、联通企业会员等新业务，致力于与电信运营商</w:t>
      </w:r>
      <w:r>
        <w:rPr>
          <w:spacing w:val="-84"/>
        </w:rPr>
        <w:t> </w:t>
      </w:r>
      <w:r>
        <w:rPr>
          <w:spacing w:val="-84"/>
        </w:rPr>
      </w:r>
      <w:r>
        <w:rPr/>
        <w:t>持续深入合作，提供具有竞争优势的数字内容。</w:t>
      </w:r>
    </w:p>
    <w:p>
      <w:pPr>
        <w:pStyle w:val="BodyText"/>
        <w:spacing w:line="264" w:lineRule="auto" w:before="14"/>
        <w:ind w:right="1129" w:firstLine="426"/>
        <w:jc w:val="both"/>
      </w:pPr>
      <w:r>
        <w:rPr/>
        <w:t>大唐高鸿在移动传媒业务继续加强与央视财经频道合作力度，客户续签率接近</w:t>
      </w:r>
      <w:r>
        <w:rPr>
          <w:rFonts w:ascii="Times New Roman" w:hAnsi="Times New Roman" w:cs="Times New Roman" w:eastAsia="Times New Roman" w:hint="default"/>
        </w:rPr>
        <w:t>70%</w:t>
      </w:r>
      <w:r>
        <w:rPr/>
        <w:t>，拓展碧桂园、瓜 </w:t>
      </w:r>
      <w:r>
        <w:rPr>
          <w:spacing w:val="-6"/>
        </w:rPr>
        <w:t>子二手车等新客户；积极参与并支持央视财经频道《厉害了，我的国》专题、《深圳四十年》纪录片、《一</w:t>
      </w:r>
      <w:r>
        <w:rPr>
          <w:spacing w:val="-63"/>
        </w:rPr>
        <w:t> </w:t>
      </w:r>
      <w:r>
        <w:rPr>
          <w:spacing w:val="-63"/>
        </w:rPr>
      </w:r>
      <w:r>
        <w:rPr/>
        <w:t>带一路投资指南》纪录片等大型节目和活动。</w:t>
      </w:r>
    </w:p>
    <w:p>
      <w:pPr>
        <w:pStyle w:val="BodyText"/>
        <w:spacing w:line="256" w:lineRule="auto" w:before="16"/>
        <w:ind w:left="580" w:right="0"/>
        <w:jc w:val="left"/>
      </w:pPr>
      <w:r>
        <w:rPr>
          <w:rFonts w:ascii="Times New Roman" w:hAnsi="Times New Roman" w:cs="Times New Roman" w:eastAsia="Times New Roman" w:hint="default"/>
        </w:rPr>
        <w:t>c) IT</w:t>
      </w:r>
      <w:r>
        <w:rPr/>
        <w:t>销售板块</w:t>
      </w:r>
      <w:r>
        <w:rPr>
          <w:w w:val="99"/>
        </w:rPr>
        <w:t> </w:t>
      </w:r>
      <w:r>
        <w:rPr/>
        <w:t>传统线下渠道，大唐高鸿与联想、华硕、</w:t>
      </w:r>
      <w:r>
        <w:rPr>
          <w:rFonts w:ascii="Times New Roman" w:hAnsi="Times New Roman" w:cs="Times New Roman" w:eastAsia="Times New Roman" w:hint="default"/>
        </w:rPr>
        <w:t>DELL</w:t>
      </w:r>
      <w:r>
        <w:rPr/>
        <w:t>等强势品牌深度合作，开展核心代理，并继续巩固与</w:t>
      </w:r>
    </w:p>
    <w:p>
      <w:pPr>
        <w:pStyle w:val="BodyText"/>
        <w:spacing w:line="273" w:lineRule="auto" w:before="5"/>
        <w:ind w:right="0"/>
        <w:jc w:val="left"/>
      </w:pPr>
      <w:r>
        <w:rPr>
          <w:spacing w:val="-1"/>
        </w:rPr>
        <w:t>加大原有线下渠道销售份额。线上新渠道，大唐高鸿继续加大苏宁易购、京东、天猫等线上市场的拓展力</w:t>
      </w:r>
      <w:r>
        <w:rPr>
          <w:spacing w:val="-85"/>
        </w:rPr>
        <w:t> </w:t>
      </w:r>
      <w:r>
        <w:rPr>
          <w:spacing w:val="-85"/>
        </w:rPr>
      </w:r>
      <w:r>
        <w:rPr/>
        <w:t>度，保持收入快速增长。</w:t>
      </w:r>
    </w:p>
    <w:p>
      <w:pPr>
        <w:pStyle w:val="BodyText"/>
        <w:spacing w:line="240" w:lineRule="auto"/>
        <w:ind w:left="580" w:right="0"/>
        <w:jc w:val="left"/>
      </w:pPr>
      <w:r>
        <w:rPr>
          <w:rFonts w:ascii="Times New Roman" w:hAnsi="Times New Roman" w:cs="Times New Roman" w:eastAsia="Times New Roman" w:hint="default"/>
        </w:rPr>
        <w:t>3.</w:t>
      </w:r>
      <w:r>
        <w:rPr/>
        <w:t>公司根据环境因素变化及优劣势分析</w:t>
      </w:r>
    </w:p>
    <w:p>
      <w:pPr>
        <w:pStyle w:val="BodyText"/>
        <w:spacing w:line="240" w:lineRule="auto" w:before="21"/>
        <w:ind w:left="580" w:right="0"/>
        <w:jc w:val="left"/>
      </w:pPr>
      <w:r>
        <w:rPr/>
        <w:t>（</w:t>
      </w:r>
      <w:r>
        <w:rPr>
          <w:rFonts w:ascii="Times New Roman" w:hAnsi="Times New Roman" w:cs="Times New Roman" w:eastAsia="Times New Roman" w:hint="default"/>
        </w:rPr>
        <w:t>1</w:t>
      </w:r>
      <w:r>
        <w:rPr/>
        <w:t>）企业信息化板块内部环境因素变化及优劣势分析</w:t>
      </w:r>
    </w:p>
    <w:p>
      <w:pPr>
        <w:spacing w:line="240" w:lineRule="auto" w:before="10"/>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4830"/>
        <w:gridCol w:w="4829"/>
      </w:tblGrid>
      <w:tr>
        <w:trPr>
          <w:trHeight w:val="347"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77" w:right="0"/>
              <w:jc w:val="center"/>
              <w:rPr>
                <w:rFonts w:ascii="宋体" w:hAnsi="宋体" w:cs="宋体" w:eastAsia="宋体" w:hint="default"/>
                <w:sz w:val="21"/>
                <w:szCs w:val="21"/>
              </w:rPr>
            </w:pPr>
            <w:r>
              <w:rPr>
                <w:rFonts w:ascii="宋体" w:hAnsi="宋体" w:cs="宋体" w:eastAsia="宋体" w:hint="default"/>
                <w:sz w:val="21"/>
                <w:szCs w:val="21"/>
              </w:rPr>
              <w:t>优势</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80" w:right="0"/>
              <w:jc w:val="center"/>
              <w:rPr>
                <w:rFonts w:ascii="宋体" w:hAnsi="宋体" w:cs="宋体" w:eastAsia="宋体" w:hint="default"/>
                <w:sz w:val="21"/>
                <w:szCs w:val="21"/>
              </w:rPr>
            </w:pPr>
            <w:r>
              <w:rPr>
                <w:rFonts w:ascii="宋体" w:hAnsi="宋体" w:cs="宋体" w:eastAsia="宋体" w:hint="default"/>
                <w:sz w:val="21"/>
                <w:szCs w:val="21"/>
              </w:rPr>
              <w:t>劣势</w:t>
            </w:r>
          </w:p>
        </w:tc>
      </w:tr>
      <w:tr>
        <w:trPr>
          <w:trHeight w:val="1284"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18" w:firstLine="480"/>
              <w:jc w:val="both"/>
              <w:rPr>
                <w:rFonts w:ascii="宋体" w:hAnsi="宋体" w:cs="宋体" w:eastAsia="宋体" w:hint="default"/>
                <w:sz w:val="21"/>
                <w:szCs w:val="21"/>
              </w:rPr>
            </w:pPr>
            <w:r>
              <w:rPr>
                <w:rFonts w:ascii="宋体" w:hAnsi="宋体" w:cs="宋体" w:eastAsia="宋体" w:hint="default"/>
                <w:spacing w:val="-5"/>
                <w:sz w:val="21"/>
                <w:szCs w:val="21"/>
              </w:rPr>
              <w:t>拥有系统集成一级、涉密甲级、安防资质，是国</w:t>
            </w:r>
            <w:r>
              <w:rPr>
                <w:rFonts w:ascii="宋体" w:hAnsi="宋体" w:cs="宋体" w:eastAsia="宋体" w:hint="default"/>
                <w:sz w:val="21"/>
                <w:szCs w:val="21"/>
              </w:rPr>
              <w:t> </w:t>
            </w:r>
            <w:r>
              <w:rPr>
                <w:rFonts w:ascii="宋体" w:hAnsi="宋体" w:cs="宋体" w:eastAsia="宋体" w:hint="default"/>
                <w:spacing w:val="8"/>
                <w:sz w:val="21"/>
                <w:szCs w:val="21"/>
              </w:rPr>
              <w:t>内重要的系统集成服务提供商和信息化产品方案供</w:t>
            </w:r>
            <w:r>
              <w:rPr>
                <w:rFonts w:ascii="宋体" w:hAnsi="宋体" w:cs="宋体" w:eastAsia="宋体" w:hint="default"/>
                <w:sz w:val="21"/>
                <w:szCs w:val="21"/>
              </w:rPr>
              <w:t> 应商；</w:t>
            </w:r>
            <w:r>
              <w:rPr>
                <w:rFonts w:ascii="Times New Roman" w:hAnsi="Times New Roman" w:cs="Times New Roman" w:eastAsia="Times New Roman" w:hint="default"/>
                <w:sz w:val="21"/>
                <w:szCs w:val="21"/>
              </w:rPr>
              <w:t>LTE-V</w:t>
            </w:r>
            <w:r>
              <w:rPr>
                <w:rFonts w:ascii="宋体" w:hAnsi="宋体" w:cs="宋体" w:eastAsia="宋体" w:hint="default"/>
                <w:sz w:val="21"/>
                <w:szCs w:val="21"/>
              </w:rPr>
              <w:t>车联网技术与产品业内领先；具备较为 完善的可信云计算技术产品线，技术水平国内领先。</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9" w:firstLine="480"/>
              <w:jc w:val="both"/>
              <w:rPr>
                <w:rFonts w:ascii="宋体" w:hAnsi="宋体" w:cs="宋体" w:eastAsia="宋体" w:hint="default"/>
                <w:sz w:val="21"/>
                <w:szCs w:val="21"/>
              </w:rPr>
            </w:pPr>
            <w:r>
              <w:rPr>
                <w:rFonts w:ascii="宋体" w:hAnsi="宋体" w:cs="宋体" w:eastAsia="宋体" w:hint="default"/>
                <w:spacing w:val="-4"/>
                <w:sz w:val="21"/>
                <w:szCs w:val="21"/>
              </w:rPr>
              <w:t>系统集成业务的可持续发展能力不足，行业核心</w:t>
            </w:r>
            <w:r>
              <w:rPr>
                <w:rFonts w:ascii="宋体" w:hAnsi="宋体" w:cs="宋体" w:eastAsia="宋体" w:hint="default"/>
                <w:sz w:val="21"/>
                <w:szCs w:val="21"/>
              </w:rPr>
              <w:t> 竞争力不够；企业信息化业务产品及技术人员老化， 对云计算和大数据等新一代信息技术、应用及服务能 力缺乏持续的跟踪和准备。</w:t>
            </w:r>
          </w:p>
        </w:tc>
      </w:tr>
    </w:tbl>
    <w:p>
      <w:pPr>
        <w:pStyle w:val="BodyText"/>
        <w:spacing w:line="276" w:lineRule="exact" w:before="0"/>
        <w:ind w:left="580" w:right="0"/>
        <w:jc w:val="left"/>
      </w:pPr>
      <w:r>
        <w:rPr/>
        <w:t>（</w:t>
      </w:r>
      <w:r>
        <w:rPr>
          <w:rFonts w:ascii="Times New Roman" w:hAnsi="Times New Roman" w:cs="Times New Roman" w:eastAsia="Times New Roman" w:hint="default"/>
        </w:rPr>
        <w:t>2</w:t>
      </w:r>
      <w:r>
        <w:rPr/>
        <w:t>）</w:t>
      </w:r>
      <w:r>
        <w:rPr>
          <w:spacing w:val="-21"/>
        </w:rPr>
        <w:t> </w:t>
      </w:r>
      <w:r>
        <w:rPr/>
        <w:t>信息服务板块内部环境因素变化及优劣势分析</w:t>
      </w:r>
    </w:p>
    <w:p>
      <w:pPr>
        <w:spacing w:line="240" w:lineRule="auto" w:before="10"/>
        <w:rPr>
          <w:rFonts w:ascii="宋体" w:hAnsi="宋体" w:cs="宋体" w:eastAsia="宋体" w:hint="default"/>
          <w:sz w:val="2"/>
          <w:szCs w:val="2"/>
        </w:rPr>
      </w:pPr>
    </w:p>
    <w:tbl>
      <w:tblPr>
        <w:tblW w:w="0" w:type="auto"/>
        <w:jc w:val="left"/>
        <w:tblInd w:w="164" w:type="dxa"/>
        <w:tblLayout w:type="fixed"/>
        <w:tblCellMar>
          <w:top w:w="0" w:type="dxa"/>
          <w:left w:w="0" w:type="dxa"/>
          <w:bottom w:w="0" w:type="dxa"/>
          <w:right w:w="0" w:type="dxa"/>
        </w:tblCellMar>
        <w:tblLook w:val="01E0"/>
      </w:tblPr>
      <w:tblGrid>
        <w:gridCol w:w="4830"/>
        <w:gridCol w:w="4829"/>
      </w:tblGrid>
      <w:tr>
        <w:trPr>
          <w:trHeight w:val="347"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77" w:right="0"/>
              <w:jc w:val="center"/>
              <w:rPr>
                <w:rFonts w:ascii="宋体" w:hAnsi="宋体" w:cs="宋体" w:eastAsia="宋体" w:hint="default"/>
                <w:sz w:val="21"/>
                <w:szCs w:val="21"/>
              </w:rPr>
            </w:pPr>
            <w:r>
              <w:rPr>
                <w:rFonts w:ascii="宋体" w:hAnsi="宋体" w:cs="宋体" w:eastAsia="宋体" w:hint="default"/>
                <w:sz w:val="21"/>
                <w:szCs w:val="21"/>
              </w:rPr>
              <w:t>优势</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80" w:right="0"/>
              <w:jc w:val="center"/>
              <w:rPr>
                <w:rFonts w:ascii="宋体" w:hAnsi="宋体" w:cs="宋体" w:eastAsia="宋体" w:hint="default"/>
                <w:sz w:val="21"/>
                <w:szCs w:val="21"/>
              </w:rPr>
            </w:pPr>
            <w:r>
              <w:rPr>
                <w:rFonts w:ascii="宋体" w:hAnsi="宋体" w:cs="宋体" w:eastAsia="宋体" w:hint="default"/>
                <w:sz w:val="21"/>
                <w:szCs w:val="21"/>
              </w:rPr>
              <w:t>劣势</w:t>
            </w:r>
          </w:p>
        </w:tc>
      </w:tr>
      <w:tr>
        <w:trPr>
          <w:trHeight w:val="972"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30" w:firstLine="480"/>
              <w:jc w:val="left"/>
              <w:rPr>
                <w:rFonts w:ascii="宋体" w:hAnsi="宋体" w:cs="宋体" w:eastAsia="宋体" w:hint="default"/>
                <w:sz w:val="21"/>
                <w:szCs w:val="21"/>
              </w:rPr>
            </w:pPr>
            <w:r>
              <w:rPr>
                <w:rFonts w:ascii="宋体" w:hAnsi="宋体" w:cs="宋体" w:eastAsia="宋体" w:hint="default"/>
                <w:sz w:val="21"/>
                <w:szCs w:val="21"/>
              </w:rPr>
              <w:t>在细分业务领域具有一定市场地位和技术能力 具备线上互联网</w:t>
            </w:r>
            <w:r>
              <w:rPr>
                <w:rFonts w:ascii="Times New Roman" w:hAnsi="Times New Roman" w:cs="Times New Roman" w:eastAsia="Times New Roman" w:hint="default"/>
                <w:sz w:val="21"/>
                <w:szCs w:val="21"/>
              </w:rPr>
              <w:t>B</w:t>
            </w:r>
            <w:r>
              <w:rPr>
                <w:rFonts w:ascii="宋体" w:hAnsi="宋体" w:cs="宋体" w:eastAsia="宋体" w:hint="default"/>
                <w:sz w:val="21"/>
                <w:szCs w:val="21"/>
              </w:rPr>
              <w:t>端和线下小微</w:t>
            </w:r>
            <w:r>
              <w:rPr>
                <w:rFonts w:ascii="Times New Roman" w:hAnsi="Times New Roman" w:cs="Times New Roman" w:eastAsia="Times New Roman" w:hint="default"/>
                <w:sz w:val="21"/>
                <w:szCs w:val="21"/>
              </w:rPr>
              <w:t>B</w:t>
            </w:r>
            <w:r>
              <w:rPr>
                <w:rFonts w:ascii="宋体" w:hAnsi="宋体" w:cs="宋体" w:eastAsia="宋体" w:hint="default"/>
                <w:sz w:val="21"/>
                <w:szCs w:val="21"/>
              </w:rPr>
              <w:t>端的运营经验。</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0" w:hanging="151"/>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4"/>
                <w:sz w:val="21"/>
                <w:szCs w:val="21"/>
              </w:rPr>
              <w:t>小微商户资源整合能力不足；大数据开发及服务</w:t>
            </w:r>
            <w:r>
              <w:rPr>
                <w:rFonts w:ascii="宋体" w:hAnsi="宋体" w:cs="宋体" w:eastAsia="宋体" w:hint="default"/>
                <w:sz w:val="21"/>
                <w:szCs w:val="21"/>
              </w:rPr>
              <w:t> </w:t>
            </w:r>
            <w:r>
              <w:rPr>
                <w:rFonts w:ascii="宋体" w:hAnsi="宋体" w:cs="宋体" w:eastAsia="宋体" w:hint="default"/>
                <w:spacing w:val="-1"/>
                <w:sz w:val="21"/>
                <w:szCs w:val="21"/>
              </w:rPr>
              <w:t>能力不足；公司管控机制、文化与互联网行业一线公</w:t>
            </w:r>
            <w:r>
              <w:rPr>
                <w:rFonts w:ascii="宋体" w:hAnsi="宋体" w:cs="宋体" w:eastAsia="宋体" w:hint="default"/>
                <w:sz w:val="21"/>
                <w:szCs w:val="21"/>
              </w:rPr>
              <w:t> 司相比存在差距。</w:t>
            </w:r>
          </w:p>
        </w:tc>
      </w:tr>
    </w:tbl>
    <w:p>
      <w:pPr>
        <w:pStyle w:val="BodyText"/>
        <w:spacing w:line="276" w:lineRule="exact" w:before="0"/>
        <w:ind w:left="580" w:right="0"/>
        <w:jc w:val="left"/>
      </w:pPr>
      <w:r>
        <w:rPr/>
        <w:t>（</w:t>
      </w:r>
      <w:r>
        <w:rPr>
          <w:rFonts w:ascii="Times New Roman" w:hAnsi="Times New Roman" w:cs="Times New Roman" w:eastAsia="Times New Roman" w:hint="default"/>
        </w:rPr>
        <w:t>3</w:t>
      </w:r>
      <w:r>
        <w:rPr/>
        <w:t>）</w:t>
      </w:r>
      <w:r>
        <w:rPr>
          <w:spacing w:val="-22"/>
        </w:rPr>
        <w:t> </w:t>
      </w:r>
      <w:r>
        <w:rPr>
          <w:rFonts w:ascii="Times New Roman" w:hAnsi="Times New Roman" w:cs="Times New Roman" w:eastAsia="Times New Roman" w:hint="default"/>
        </w:rPr>
        <w:t>IT</w:t>
      </w:r>
      <w:r>
        <w:rPr/>
        <w:t>销售板块内部环境因素变化及优劣势分析</w:t>
      </w:r>
    </w:p>
    <w:p>
      <w:pPr>
        <w:spacing w:after="0" w:line="276" w:lineRule="exact"/>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4" w:type="dxa"/>
        <w:tblLayout w:type="fixed"/>
        <w:tblCellMar>
          <w:top w:w="0" w:type="dxa"/>
          <w:left w:w="0" w:type="dxa"/>
          <w:bottom w:w="0" w:type="dxa"/>
          <w:right w:w="0" w:type="dxa"/>
        </w:tblCellMar>
        <w:tblLook w:val="01E0"/>
      </w:tblPr>
      <w:tblGrid>
        <w:gridCol w:w="4830"/>
        <w:gridCol w:w="4829"/>
      </w:tblGrid>
      <w:tr>
        <w:trPr>
          <w:trHeight w:val="347"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77" w:right="0"/>
              <w:jc w:val="center"/>
              <w:rPr>
                <w:rFonts w:ascii="宋体" w:hAnsi="宋体" w:cs="宋体" w:eastAsia="宋体" w:hint="default"/>
                <w:sz w:val="21"/>
                <w:szCs w:val="21"/>
              </w:rPr>
            </w:pPr>
            <w:r>
              <w:rPr>
                <w:rFonts w:ascii="宋体" w:hAnsi="宋体" w:cs="宋体" w:eastAsia="宋体" w:hint="default"/>
                <w:sz w:val="21"/>
                <w:szCs w:val="21"/>
              </w:rPr>
              <w:t>优势</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80" w:right="0"/>
              <w:jc w:val="center"/>
              <w:rPr>
                <w:rFonts w:ascii="宋体" w:hAnsi="宋体" w:cs="宋体" w:eastAsia="宋体" w:hint="default"/>
                <w:sz w:val="21"/>
                <w:szCs w:val="21"/>
              </w:rPr>
            </w:pPr>
            <w:r>
              <w:rPr>
                <w:rFonts w:ascii="宋体" w:hAnsi="宋体" w:cs="宋体" w:eastAsia="宋体" w:hint="default"/>
                <w:sz w:val="21"/>
                <w:szCs w:val="21"/>
              </w:rPr>
              <w:t>劣势</w:t>
            </w:r>
          </w:p>
        </w:tc>
      </w:tr>
      <w:tr>
        <w:trPr>
          <w:trHeight w:val="1284"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2" w:right="-7" w:firstLine="480"/>
              <w:jc w:val="both"/>
              <w:rPr>
                <w:rFonts w:ascii="宋体" w:hAnsi="宋体" w:cs="宋体" w:eastAsia="宋体" w:hint="default"/>
                <w:sz w:val="21"/>
                <w:szCs w:val="21"/>
              </w:rPr>
            </w:pPr>
            <w:r>
              <w:rPr>
                <w:rFonts w:ascii="宋体" w:hAnsi="宋体" w:cs="宋体" w:eastAsia="宋体" w:hint="default"/>
                <w:spacing w:val="5"/>
                <w:sz w:val="21"/>
                <w:szCs w:val="21"/>
              </w:rPr>
              <w:t>旗下高鸿鼎恒公司自成立开始就致力于打造专</w:t>
            </w:r>
            <w:r>
              <w:rPr>
                <w:rFonts w:ascii="宋体" w:hAnsi="宋体" w:cs="宋体" w:eastAsia="宋体" w:hint="default"/>
                <w:sz w:val="21"/>
                <w:szCs w:val="21"/>
              </w:rPr>
              <w:t> 业大卖场供货平台，作为南京地区最大的</w:t>
            </w:r>
            <w:r>
              <w:rPr>
                <w:rFonts w:ascii="Times New Roman" w:hAnsi="Times New Roman" w:cs="Times New Roman" w:eastAsia="Times New Roman" w:hint="default"/>
                <w:sz w:val="21"/>
                <w:szCs w:val="21"/>
              </w:rPr>
              <w:t>IT</w:t>
            </w:r>
            <w:r>
              <w:rPr>
                <w:rFonts w:ascii="宋体" w:hAnsi="宋体" w:cs="宋体" w:eastAsia="宋体" w:hint="default"/>
                <w:sz w:val="21"/>
                <w:szCs w:val="21"/>
              </w:rPr>
              <w:t>分销商， </w:t>
            </w:r>
            <w:r>
              <w:rPr>
                <w:rFonts w:ascii="宋体" w:hAnsi="宋体" w:cs="宋体" w:eastAsia="宋体" w:hint="default"/>
                <w:spacing w:val="-1"/>
                <w:sz w:val="21"/>
                <w:szCs w:val="21"/>
              </w:rPr>
              <w:t>已经形成了明显的规模优势，拥有优质、数量众多的</w:t>
            </w:r>
            <w:r>
              <w:rPr>
                <w:rFonts w:ascii="宋体" w:hAnsi="宋体" w:cs="宋体" w:eastAsia="宋体" w:hint="default"/>
                <w:sz w:val="21"/>
                <w:szCs w:val="21"/>
              </w:rPr>
              <w:t> 客户资源。</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 w:right="1" w:firstLine="480"/>
              <w:jc w:val="both"/>
              <w:rPr>
                <w:rFonts w:ascii="宋体" w:hAnsi="宋体" w:cs="宋体" w:eastAsia="宋体" w:hint="default"/>
                <w:sz w:val="21"/>
                <w:szCs w:val="21"/>
              </w:rPr>
            </w:pPr>
            <w:r>
              <w:rPr>
                <w:rFonts w:ascii="宋体" w:hAnsi="宋体" w:cs="宋体" w:eastAsia="宋体" w:hint="default"/>
                <w:spacing w:val="-4"/>
                <w:sz w:val="21"/>
                <w:szCs w:val="21"/>
              </w:rPr>
              <w:t>供应链服务信息平台增值服务能力不足；目前代</w:t>
            </w:r>
            <w:r>
              <w:rPr>
                <w:rFonts w:ascii="宋体" w:hAnsi="宋体" w:cs="宋体" w:eastAsia="宋体" w:hint="default"/>
                <w:sz w:val="21"/>
                <w:szCs w:val="21"/>
              </w:rPr>
              <w:t> </w:t>
            </w:r>
            <w:r>
              <w:rPr>
                <w:rFonts w:ascii="宋体" w:hAnsi="宋体" w:cs="宋体" w:eastAsia="宋体" w:hint="default"/>
                <w:spacing w:val="-1"/>
                <w:sz w:val="21"/>
                <w:szCs w:val="21"/>
              </w:rPr>
              <w:t>理产品主要是计算机品类，市场增长乏力，利润水平</w:t>
            </w:r>
            <w:r>
              <w:rPr>
                <w:rFonts w:ascii="宋体" w:hAnsi="宋体" w:cs="宋体" w:eastAsia="宋体" w:hint="default"/>
                <w:sz w:val="21"/>
                <w:szCs w:val="21"/>
              </w:rPr>
              <w:t> </w:t>
            </w:r>
            <w:r>
              <w:rPr>
                <w:rFonts w:ascii="宋体" w:hAnsi="宋体" w:cs="宋体" w:eastAsia="宋体" w:hint="default"/>
                <w:spacing w:val="-1"/>
                <w:sz w:val="21"/>
                <w:szCs w:val="21"/>
              </w:rPr>
              <w:t>低，产品资源整合有待深化，品类和物流管理面临挑</w:t>
            </w:r>
            <w:r>
              <w:rPr>
                <w:rFonts w:ascii="宋体" w:hAnsi="宋体" w:cs="宋体" w:eastAsia="宋体" w:hint="default"/>
                <w:sz w:val="21"/>
                <w:szCs w:val="21"/>
              </w:rPr>
              <w:t> 战。</w:t>
            </w:r>
          </w:p>
        </w:tc>
      </w:tr>
    </w:tbl>
    <w:p>
      <w:pPr>
        <w:pStyle w:val="BodyText"/>
        <w:spacing w:line="260" w:lineRule="exact" w:before="0"/>
        <w:ind w:left="580" w:right="0"/>
        <w:jc w:val="left"/>
      </w:pPr>
      <w:r>
        <w:rPr/>
        <w:t>（二）公司发展战略</w:t>
      </w:r>
    </w:p>
    <w:p>
      <w:pPr>
        <w:pStyle w:val="BodyText"/>
        <w:spacing w:line="268" w:lineRule="auto" w:before="37"/>
        <w:ind w:right="1130" w:firstLine="426"/>
        <w:jc w:val="both"/>
      </w:pPr>
      <w:r>
        <w:rPr>
          <w:spacing w:val="-1"/>
        </w:rPr>
        <w:t>未来三年公司以</w:t>
      </w:r>
      <w:r>
        <w:rPr>
          <w:rFonts w:ascii="Times New Roman" w:hAnsi="Times New Roman" w:cs="Times New Roman" w:eastAsia="Times New Roman" w:hint="default"/>
          <w:spacing w:val="-1"/>
        </w:rPr>
        <w:t>“</w:t>
      </w:r>
      <w:r>
        <w:rPr>
          <w:spacing w:val="-1"/>
        </w:rPr>
        <w:t>稳中求变，增强实业，整合资源</w:t>
      </w:r>
      <w:r>
        <w:rPr>
          <w:rFonts w:ascii="Times New Roman" w:hAnsi="Times New Roman" w:cs="Times New Roman" w:eastAsia="Times New Roman" w:hint="default"/>
          <w:spacing w:val="-1"/>
        </w:rPr>
        <w:t>”</w:t>
      </w:r>
      <w:r>
        <w:rPr>
          <w:spacing w:val="-1"/>
        </w:rPr>
        <w:t>为战略指导方针，将坚持稳中求变的总基调，以增</w:t>
      </w:r>
      <w:r>
        <w:rPr/>
        <w:t> </w:t>
      </w:r>
      <w:r>
        <w:rPr>
          <w:spacing w:val="-1"/>
        </w:rPr>
        <w:t>强实业、整合资源为经营方针，大力推进稳队伍革机制、稳规模调结构、稳增长求质量的经营理念，进一</w:t>
      </w:r>
      <w:r>
        <w:rPr>
          <w:spacing w:val="-83"/>
        </w:rPr>
        <w:t> </w:t>
      </w:r>
      <w:r>
        <w:rPr>
          <w:spacing w:val="-83"/>
        </w:rPr>
      </w:r>
      <w:r>
        <w:rPr>
          <w:spacing w:val="-1"/>
        </w:rPr>
        <w:t>步聚焦实业增强创新能力，优化资源配置防范经营风险，保持公司可持续发展，努力使主要业务板块在细</w:t>
      </w:r>
      <w:r>
        <w:rPr>
          <w:spacing w:val="-83"/>
        </w:rPr>
        <w:t> </w:t>
      </w:r>
      <w:r>
        <w:rPr>
          <w:spacing w:val="-83"/>
        </w:rPr>
      </w:r>
      <w:r>
        <w:rPr>
          <w:spacing w:val="-5"/>
        </w:rPr>
        <w:t>分领域内成为具有竞争优势的企业，持续提升符合高科技企业管理特点的战略管控、人力资源、财务运营、</w:t>
      </w:r>
      <w:r>
        <w:rPr>
          <w:spacing w:val="-101"/>
        </w:rPr>
        <w:t> </w:t>
      </w:r>
      <w:r>
        <w:rPr>
          <w:spacing w:val="-101"/>
        </w:rPr>
      </w:r>
      <w:r>
        <w:rPr/>
        <w:t>资本运作、文化引领水平。</w:t>
      </w:r>
    </w:p>
    <w:p>
      <w:pPr>
        <w:pStyle w:val="BodyText"/>
        <w:spacing w:line="240" w:lineRule="auto" w:before="12"/>
        <w:ind w:left="580" w:right="0"/>
        <w:jc w:val="left"/>
      </w:pPr>
      <w:r>
        <w:rPr/>
        <w:t>具体业务板块战略：</w:t>
      </w:r>
    </w:p>
    <w:p>
      <w:pPr>
        <w:pStyle w:val="BodyText"/>
        <w:spacing w:line="256" w:lineRule="auto" w:before="37"/>
        <w:ind w:left="580" w:right="113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1"/>
        </w:rPr>
        <w:t> </w:t>
      </w:r>
      <w:r>
        <w:rPr/>
        <w:t>企业信息化板块</w:t>
      </w:r>
      <w:r>
        <w:rPr>
          <w:w w:val="99"/>
        </w:rPr>
        <w:t> </w:t>
      </w:r>
      <w:r>
        <w:rPr>
          <w:spacing w:val="-1"/>
        </w:rPr>
        <w:t>致力于成为国内企业信息化细分行业领域领先企业、拥有核心技术、产品、运营能力的行业综合服务</w:t>
      </w:r>
    </w:p>
    <w:p>
      <w:pPr>
        <w:pStyle w:val="BodyText"/>
        <w:spacing w:line="266" w:lineRule="auto" w:before="22"/>
        <w:ind w:right="1131"/>
        <w:jc w:val="both"/>
      </w:pPr>
      <w:r>
        <w:rPr>
          <w:spacing w:val="-1"/>
        </w:rPr>
        <w:t>商，适应</w:t>
      </w:r>
      <w:r>
        <w:rPr>
          <w:rFonts w:ascii="Times New Roman" w:hAnsi="Times New Roman" w:cs="Times New Roman" w:eastAsia="Times New Roman" w:hint="default"/>
          <w:spacing w:val="-1"/>
        </w:rPr>
        <w:t>“ABC”</w:t>
      </w:r>
      <w:r>
        <w:rPr>
          <w:spacing w:val="-1"/>
        </w:rPr>
        <w:t>等新技术发展趋势，持续优化商业模式和组织架构，强化技术产品等供应链整合能力，大</w:t>
      </w:r>
      <w:r>
        <w:rPr>
          <w:spacing w:val="-72"/>
        </w:rPr>
        <w:t> </w:t>
      </w:r>
      <w:r>
        <w:rPr>
          <w:spacing w:val="-72"/>
        </w:rPr>
      </w:r>
      <w:r>
        <w:rPr>
          <w:spacing w:val="-1"/>
        </w:rPr>
        <w:t>力发展车联网、可信（云）计算、智能制造等战略业务，继续巩固呼叫中心、系统集成等成熟业务，通过</w:t>
      </w:r>
      <w:r>
        <w:rPr>
          <w:spacing w:val="-85"/>
        </w:rPr>
        <w:t> </w:t>
      </w:r>
      <w:r>
        <w:rPr>
          <w:spacing w:val="-85"/>
        </w:rPr>
      </w:r>
      <w:r>
        <w:rPr>
          <w:spacing w:val="-1"/>
        </w:rPr>
        <w:t>孵化和并购创新优化业务结构，提升行业解决方案组织能力，深挖重点行业与战略项目机会，聚焦、整合</w:t>
      </w:r>
      <w:r>
        <w:rPr>
          <w:spacing w:val="-86"/>
        </w:rPr>
        <w:t> </w:t>
      </w:r>
      <w:r>
        <w:rPr>
          <w:spacing w:val="-86"/>
        </w:rPr>
      </w:r>
      <w:r>
        <w:rPr/>
        <w:t>资源做强做大，持续提升核心竞争力和盈利能力，促进公司持续健康发展。</w:t>
      </w:r>
    </w:p>
    <w:p>
      <w:pPr>
        <w:pStyle w:val="BodyText"/>
        <w:spacing w:line="256" w:lineRule="auto" w:before="14"/>
        <w:ind w:left="580" w:right="111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31"/>
        </w:rPr>
        <w:t> </w:t>
      </w:r>
      <w:r>
        <w:rPr/>
        <w:t>信息服务业务板块</w:t>
      </w:r>
      <w:r>
        <w:rPr>
          <w:w w:val="99"/>
        </w:rPr>
        <w:t> </w:t>
      </w:r>
      <w:r>
        <w:rPr/>
        <w:t>致力于成为国内移动互联网细分领域领军企业、</w:t>
      </w:r>
      <w:r>
        <w:rPr>
          <w:rFonts w:ascii="Times New Roman" w:hAnsi="Times New Roman" w:cs="Times New Roman" w:eastAsia="Times New Roman" w:hint="default"/>
        </w:rPr>
        <w:t>“</w:t>
      </w:r>
      <w:r>
        <w:rPr/>
        <w:t>移动互联网智能生活服务专家</w:t>
      </w:r>
      <w:r>
        <w:rPr>
          <w:rFonts w:ascii="Times New Roman" w:hAnsi="Times New Roman" w:cs="Times New Roman" w:eastAsia="Times New Roman" w:hint="default"/>
        </w:rPr>
        <w:t>”</w:t>
      </w:r>
      <w:r>
        <w:rPr/>
        <w:t>，以智能生活服务云</w:t>
      </w:r>
    </w:p>
    <w:p>
      <w:pPr>
        <w:pStyle w:val="BodyText"/>
        <w:spacing w:line="261" w:lineRule="auto" w:before="5"/>
        <w:ind w:right="0"/>
        <w:jc w:val="left"/>
      </w:pPr>
      <w:r>
        <w:rPr>
          <w:spacing w:val="-2"/>
        </w:rPr>
        <w:t>平台为基础，面向广大独立决策的中小型企业和个体消费者，构建兼顾</w:t>
      </w:r>
      <w:r>
        <w:rPr>
          <w:rFonts w:ascii="Times New Roman" w:hAnsi="Times New Roman" w:cs="Times New Roman" w:eastAsia="Times New Roman" w:hint="default"/>
          <w:spacing w:val="-2"/>
        </w:rPr>
        <w:t>C</w:t>
      </w:r>
      <w:r>
        <w:rPr>
          <w:spacing w:val="-2"/>
        </w:rPr>
        <w:t>端和</w:t>
      </w:r>
      <w:r>
        <w:rPr>
          <w:rFonts w:ascii="Times New Roman" w:hAnsi="Times New Roman" w:cs="Times New Roman" w:eastAsia="Times New Roman" w:hint="default"/>
          <w:spacing w:val="-2"/>
        </w:rPr>
        <w:t>B</w:t>
      </w:r>
      <w:r>
        <w:rPr>
          <w:spacing w:val="-2"/>
        </w:rPr>
        <w:t>端的移动互联网闭环生态系</w:t>
      </w:r>
      <w:r>
        <w:rPr>
          <w:spacing w:val="-103"/>
        </w:rPr>
        <w:t> </w:t>
      </w:r>
      <w:r>
        <w:rPr/>
        <w:t>统，着力提升资源整合、用户及数据运营等核心能力建设。将继续巩固话费充值及流量业务、移动支付、</w:t>
      </w:r>
      <w:r>
        <w:rPr>
          <w:spacing w:val="-35"/>
        </w:rPr>
        <w:t> </w:t>
      </w:r>
      <w:r>
        <w:rPr>
          <w:spacing w:val="-35"/>
        </w:rPr>
      </w:r>
      <w:r>
        <w:rPr>
          <w:rFonts w:ascii="Times New Roman" w:hAnsi="Times New Roman" w:cs="Times New Roman" w:eastAsia="Times New Roman" w:hint="default"/>
        </w:rPr>
        <w:t>IDC</w:t>
      </w:r>
      <w:r>
        <w:rPr/>
        <w:t>、呼叫中心外包运营等成熟业务；大力发展互联网通信业务营销、移动传媒等战略业务；布局移动加</w:t>
      </w:r>
      <w:r>
        <w:rPr>
          <w:spacing w:val="-77"/>
        </w:rPr>
        <w:t> </w:t>
      </w:r>
      <w:r>
        <w:rPr>
          <w:spacing w:val="-77"/>
        </w:rPr>
      </w:r>
      <w:r>
        <w:rPr/>
        <w:t>油等种子业务。</w:t>
      </w:r>
    </w:p>
    <w:p>
      <w:pPr>
        <w:pStyle w:val="BodyText"/>
        <w:spacing w:line="256" w:lineRule="auto" w:before="18"/>
        <w:ind w:left="634" w:right="1126"/>
        <w:jc w:val="left"/>
      </w:pPr>
      <w:r>
        <w:rPr>
          <w:rFonts w:ascii="Times New Roman" w:hAnsi="Times New Roman" w:cs="Times New Roman" w:eastAsia="Times New Roman" w:hint="default"/>
        </w:rPr>
        <w:t>c) IT</w:t>
      </w:r>
      <w:r>
        <w:rPr/>
        <w:t>销售板块</w:t>
      </w:r>
      <w:r>
        <w:rPr>
          <w:w w:val="99"/>
        </w:rPr>
        <w:t> </w:t>
      </w:r>
      <w:r>
        <w:rPr>
          <w:spacing w:val="-1"/>
        </w:rPr>
        <w:t>致力于成为国内</w:t>
      </w:r>
      <w:r>
        <w:rPr>
          <w:rFonts w:ascii="Times New Roman" w:hAnsi="Times New Roman" w:cs="Times New Roman" w:eastAsia="Times New Roman" w:hint="default"/>
          <w:spacing w:val="-1"/>
        </w:rPr>
        <w:t>IT</w:t>
      </w:r>
      <w:r>
        <w:rPr>
          <w:spacing w:val="-1"/>
        </w:rPr>
        <w:t>分销区域市场龙头企业、</w:t>
      </w:r>
      <w:r>
        <w:rPr>
          <w:rFonts w:ascii="Times New Roman" w:hAnsi="Times New Roman" w:cs="Times New Roman" w:eastAsia="Times New Roman" w:hint="default"/>
          <w:spacing w:val="-1"/>
        </w:rPr>
        <w:t>“IT</w:t>
      </w:r>
      <w:r>
        <w:rPr>
          <w:spacing w:val="-1"/>
        </w:rPr>
        <w:t>电子类产品多层次供应链服务专家</w:t>
      </w:r>
      <w:r>
        <w:rPr>
          <w:rFonts w:ascii="Times New Roman" w:hAnsi="Times New Roman" w:cs="Times New Roman" w:eastAsia="Times New Roman" w:hint="default"/>
          <w:spacing w:val="-1"/>
        </w:rPr>
        <w:t>”</w:t>
      </w:r>
      <w:r>
        <w:rPr>
          <w:spacing w:val="-1"/>
        </w:rPr>
        <w:t>，将持续巩固与优</w:t>
      </w:r>
    </w:p>
    <w:p>
      <w:pPr>
        <w:pStyle w:val="BodyText"/>
        <w:spacing w:line="273" w:lineRule="auto" w:before="5"/>
        <w:ind w:right="1130"/>
        <w:jc w:val="both"/>
      </w:pPr>
      <w:r>
        <w:rPr/>
        <w:t>势品牌厂商合作，丰富产品品类；巩固线下渠道业务，</w:t>
      </w:r>
      <w:r>
        <w:rPr>
          <w:spacing w:val="50"/>
        </w:rPr>
        <w:t> </w:t>
      </w:r>
      <w:r>
        <w:rPr/>
        <w:t>大力拓展线上渠道业务，加强物流及供应链服务</w:t>
      </w:r>
      <w:r>
        <w:rPr>
          <w:spacing w:val="-88"/>
        </w:rPr>
        <w:t> </w:t>
      </w:r>
      <w:r>
        <w:rPr>
          <w:spacing w:val="-88"/>
        </w:rPr>
      </w:r>
      <w:r>
        <w:rPr/>
        <w:t>平台能力。</w:t>
      </w:r>
    </w:p>
    <w:p>
      <w:pPr>
        <w:pStyle w:val="BodyText"/>
        <w:spacing w:line="256" w:lineRule="auto"/>
        <w:ind w:left="634" w:right="6072"/>
        <w:jc w:val="left"/>
      </w:pPr>
      <w:r>
        <w:rPr/>
        <w:t>（三）</w:t>
      </w:r>
      <w:r>
        <w:rPr>
          <w:rFonts w:ascii="Times New Roman" w:hAnsi="Times New Roman" w:cs="Times New Roman" w:eastAsia="Times New Roman" w:hint="default"/>
        </w:rPr>
        <w:t>2019</w:t>
      </w:r>
      <w:r>
        <w:rPr/>
        <w:t>年经营计划 指导思想：稳中求变，增强实业，整合资源。</w:t>
      </w:r>
    </w:p>
    <w:p>
      <w:pPr>
        <w:pStyle w:val="BodyText"/>
        <w:spacing w:line="264" w:lineRule="auto" w:before="22"/>
        <w:ind w:right="1130" w:firstLine="480"/>
        <w:jc w:val="both"/>
      </w:pPr>
      <w:r>
        <w:rPr>
          <w:spacing w:val="-1"/>
        </w:rPr>
        <w:t>经营思路：围绕公司</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发展规划，以</w:t>
      </w:r>
      <w:r>
        <w:rPr>
          <w:rFonts w:ascii="Times New Roman" w:hAnsi="Times New Roman" w:cs="Times New Roman" w:eastAsia="Times New Roman" w:hint="default"/>
          <w:spacing w:val="-1"/>
        </w:rPr>
        <w:t>“</w:t>
      </w:r>
      <w:r>
        <w:rPr>
          <w:spacing w:val="-1"/>
        </w:rPr>
        <w:t>稳中求变，增强实业，整合资源</w:t>
      </w:r>
      <w:r>
        <w:rPr>
          <w:rFonts w:ascii="Times New Roman" w:hAnsi="Times New Roman" w:cs="Times New Roman" w:eastAsia="Times New Roman" w:hint="default"/>
          <w:spacing w:val="-1"/>
        </w:rPr>
        <w:t>”</w:t>
      </w:r>
      <w:r>
        <w:rPr>
          <w:spacing w:val="-1"/>
        </w:rPr>
        <w:t>为指导思想，将坚持稳</w:t>
      </w:r>
      <w:r>
        <w:rPr/>
        <w:t> </w:t>
      </w:r>
      <w:r>
        <w:rPr>
          <w:spacing w:val="-1"/>
        </w:rPr>
        <w:t>中求变的总基调，以增强实业、整合资源为经营方针，大力推进稳队伍革机制、稳规模调结构、稳增长求</w:t>
      </w:r>
      <w:r>
        <w:rPr>
          <w:spacing w:val="-83"/>
        </w:rPr>
        <w:t> </w:t>
      </w:r>
      <w:r>
        <w:rPr>
          <w:spacing w:val="-83"/>
        </w:rPr>
      </w:r>
      <w:r>
        <w:rPr/>
        <w:t>质量的经营理念，进一步聚焦实业增强创新能力，优化资源配置防范经营风险，保持公司可持续发展。</w:t>
      </w:r>
    </w:p>
    <w:p>
      <w:pPr>
        <w:pStyle w:val="BodyText"/>
        <w:spacing w:line="240" w:lineRule="auto" w:before="16"/>
        <w:ind w:left="634" w:right="0"/>
        <w:jc w:val="left"/>
      </w:pPr>
      <w:r>
        <w:rPr>
          <w:rFonts w:ascii="Times New Roman" w:hAnsi="Times New Roman" w:cs="Times New Roman" w:eastAsia="Times New Roman" w:hint="default"/>
        </w:rPr>
        <w:t>2019</w:t>
      </w:r>
      <w:r>
        <w:rPr/>
        <w:t>年度重点工作安排：</w:t>
      </w:r>
    </w:p>
    <w:p>
      <w:pPr>
        <w:pStyle w:val="BodyText"/>
        <w:spacing w:line="256" w:lineRule="auto" w:before="21"/>
        <w:ind w:left="634" w:right="1124" w:hanging="54"/>
        <w:jc w:val="left"/>
      </w:pPr>
      <w:r>
        <w:rPr/>
        <w:t>（</w:t>
      </w:r>
      <w:r>
        <w:rPr>
          <w:rFonts w:ascii="Times New Roman" w:hAnsi="Times New Roman" w:cs="Times New Roman" w:eastAsia="Times New Roman" w:hint="default"/>
        </w:rPr>
        <w:t>1</w:t>
      </w:r>
      <w:r>
        <w:rPr/>
        <w:t>）企业信息化板块 </w:t>
      </w:r>
      <w:r>
        <w:rPr>
          <w:spacing w:val="-2"/>
        </w:rPr>
        <w:t>可信云计算业务，</w:t>
      </w:r>
      <w:r>
        <w:rPr>
          <w:rFonts w:ascii="Times New Roman" w:hAnsi="Times New Roman" w:cs="Times New Roman" w:eastAsia="Times New Roman" w:hint="default"/>
          <w:spacing w:val="-2"/>
        </w:rPr>
        <w:t>2019</w:t>
      </w:r>
      <w:r>
        <w:rPr>
          <w:spacing w:val="-2"/>
        </w:rPr>
        <w:t>年，将紧密围绕云计算产业，广泛开展合作，打造有竞争力的云产品软硬件供</w:t>
      </w:r>
    </w:p>
    <w:p>
      <w:pPr>
        <w:pStyle w:val="BodyText"/>
        <w:spacing w:line="256" w:lineRule="auto" w:before="5"/>
        <w:ind w:right="1130"/>
        <w:jc w:val="both"/>
      </w:pPr>
      <w:r>
        <w:rPr/>
        <w:t>应链平台，积极对接行业与地方政府资源，并继续与</w:t>
      </w:r>
      <w:r>
        <w:rPr>
          <w:rFonts w:ascii="Times New Roman" w:hAnsi="Times New Roman" w:cs="Times New Roman" w:eastAsia="Times New Roman" w:hint="default"/>
        </w:rPr>
        <w:t>Intel</w:t>
      </w:r>
      <w:r>
        <w:rPr/>
        <w:t>、武汉大学深度合作，保持可信计算技术领先。</w:t>
      </w:r>
      <w:r>
        <w:rPr>
          <w:spacing w:val="-96"/>
        </w:rPr>
        <w:t> </w:t>
      </w:r>
      <w:r>
        <w:rPr>
          <w:spacing w:val="-96"/>
        </w:rPr>
      </w:r>
      <w:r>
        <w:rPr>
          <w:spacing w:val="-2"/>
        </w:rPr>
        <w:t>市场方面，以行业云</w:t>
      </w:r>
      <w:r>
        <w:rPr>
          <w:rFonts w:ascii="Times New Roman" w:hAnsi="Times New Roman" w:cs="Times New Roman" w:eastAsia="Times New Roman" w:hint="default"/>
          <w:spacing w:val="-2"/>
        </w:rPr>
        <w:t>+</w:t>
      </w:r>
      <w:r>
        <w:rPr>
          <w:spacing w:val="-2"/>
        </w:rPr>
        <w:t>大客户</w:t>
      </w:r>
      <w:r>
        <w:rPr>
          <w:rFonts w:ascii="Times New Roman" w:hAnsi="Times New Roman" w:cs="Times New Roman" w:eastAsia="Times New Roman" w:hint="default"/>
          <w:spacing w:val="-2"/>
        </w:rPr>
        <w:t>+</w:t>
      </w:r>
      <w:r>
        <w:rPr>
          <w:spacing w:val="-2"/>
        </w:rPr>
        <w:t>应用一体机为基础展开经营活动和资源聚焦，探索可信技术涉及的核心技术</w:t>
      </w:r>
      <w:r>
        <w:rPr>
          <w:spacing w:val="-59"/>
        </w:rPr>
        <w:t> </w:t>
      </w:r>
      <w:r>
        <w:rPr>
          <w:spacing w:val="-59"/>
        </w:rPr>
      </w:r>
      <w:r>
        <w:rPr/>
        <w:t>外延至区块链、</w:t>
      </w:r>
      <w:r>
        <w:rPr>
          <w:rFonts w:ascii="Times New Roman" w:hAnsi="Times New Roman" w:cs="Times New Roman" w:eastAsia="Times New Roman" w:hint="default"/>
        </w:rPr>
        <w:t>AI</w:t>
      </w:r>
      <w:r>
        <w:rPr/>
        <w:t>、工业互联网等新兴领域。</w:t>
      </w:r>
    </w:p>
    <w:p>
      <w:pPr>
        <w:pStyle w:val="BodyText"/>
        <w:spacing w:line="264" w:lineRule="auto" w:before="5"/>
        <w:ind w:right="1130" w:firstLine="480"/>
        <w:jc w:val="both"/>
      </w:pPr>
      <w:r>
        <w:rPr>
          <w:spacing w:val="-2"/>
        </w:rPr>
        <w:t>公司将加快孵化</w:t>
      </w:r>
      <w:r>
        <w:rPr>
          <w:rFonts w:ascii="Times New Roman" w:hAnsi="Times New Roman" w:cs="Times New Roman" w:eastAsia="Times New Roman" w:hint="default"/>
          <w:spacing w:val="-2"/>
        </w:rPr>
        <w:t>C-V2X</w:t>
      </w:r>
      <w:r>
        <w:rPr>
          <w:spacing w:val="-2"/>
        </w:rPr>
        <w:t>车联网项目，推动</w:t>
      </w:r>
      <w:r>
        <w:rPr>
          <w:rFonts w:ascii="Times New Roman" w:hAnsi="Times New Roman" w:cs="Times New Roman" w:eastAsia="Times New Roman" w:hint="default"/>
          <w:spacing w:val="-2"/>
        </w:rPr>
        <w:t>C-V2X</w:t>
      </w:r>
      <w:r>
        <w:rPr>
          <w:spacing w:val="-2"/>
        </w:rPr>
        <w:t>车联网产业化进程，重点开展工规级生产线、供应链</w:t>
      </w:r>
      <w:r>
        <w:rPr/>
        <w:t> </w:t>
      </w:r>
      <w:r>
        <w:rPr>
          <w:spacing w:val="-1"/>
        </w:rPr>
        <w:t>能力建设，提升包括终端、后台、车载和路侧控制、传感接口对接的整体解决方案能力，产生落地实施范</w:t>
      </w:r>
      <w:r>
        <w:rPr>
          <w:spacing w:val="-83"/>
        </w:rPr>
        <w:t> </w:t>
      </w:r>
      <w:r>
        <w:rPr>
          <w:spacing w:val="-83"/>
        </w:rPr>
      </w:r>
      <w:r>
        <w:rPr>
          <w:spacing w:val="-2"/>
        </w:rPr>
        <w:t>例。同时，跟踪</w:t>
      </w:r>
      <w:r>
        <w:rPr>
          <w:rFonts w:ascii="Times New Roman" w:hAnsi="Times New Roman" w:cs="Times New Roman" w:eastAsia="Times New Roman" w:hint="default"/>
          <w:spacing w:val="-2"/>
        </w:rPr>
        <w:t>3GPP</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1"/>
        </w:rPr>
        <w:t>C-V2X</w:t>
      </w:r>
      <w:r>
        <w:rPr>
          <w:spacing w:val="-1"/>
        </w:rPr>
        <w:t>标准化进展，展开</w:t>
      </w:r>
      <w:r>
        <w:rPr>
          <w:rFonts w:ascii="Times New Roman" w:hAnsi="Times New Roman" w:cs="Times New Roman" w:eastAsia="Times New Roman" w:hint="default"/>
          <w:spacing w:val="-1"/>
        </w:rPr>
        <w:t>NR-V2X</w:t>
      </w:r>
      <w:r>
        <w:rPr>
          <w:spacing w:val="-1"/>
        </w:rPr>
        <w:t>技术和产品预研，保持技术领先。</w:t>
      </w:r>
      <w:r>
        <w:rPr>
          <w:rFonts w:ascii="Times New Roman" w:hAnsi="Times New Roman" w:cs="Times New Roman" w:eastAsia="Times New Roman" w:hint="default"/>
          <w:spacing w:val="-1"/>
        </w:rPr>
        <w:t>2019</w:t>
      </w:r>
      <w:r>
        <w:rPr>
          <w:spacing w:val="-1"/>
        </w:rPr>
        <w:t>年，将进一</w:t>
      </w:r>
      <w:r>
        <w:rPr/>
        <w:t> </w:t>
      </w:r>
      <w:r>
        <w:rPr>
          <w:spacing w:val="-1"/>
        </w:rPr>
        <w:t>步对接行业与地方政府资源，引入外部资本和战略投资者，进一步增强业务发展能力和市场影响力；深化</w:t>
      </w:r>
      <w:r>
        <w:rPr>
          <w:spacing w:val="-83"/>
        </w:rPr>
        <w:t> </w:t>
      </w:r>
      <w:r>
        <w:rPr>
          <w:spacing w:val="-83"/>
        </w:rPr>
      </w:r>
      <w:r>
        <w:rPr/>
        <w:t>与</w:t>
      </w:r>
      <w:r>
        <w:rPr>
          <w:rFonts w:ascii="Times New Roman" w:hAnsi="Times New Roman" w:cs="Times New Roman" w:eastAsia="Times New Roman" w:hint="default"/>
        </w:rPr>
        <w:t>Tier1/</w:t>
      </w:r>
      <w:r>
        <w:rPr/>
        <w:t>车厂等重点客户合作，扩大产品应用广度和深度。</w:t>
      </w:r>
    </w:p>
    <w:p>
      <w:pPr>
        <w:spacing w:after="0" w:line="264"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29" w:firstLine="480"/>
        <w:jc w:val="both"/>
      </w:pPr>
      <w:r>
        <w:rPr>
          <w:spacing w:val="-2"/>
        </w:rPr>
        <w:t>智能制造业务，将推动自研</w:t>
      </w:r>
      <w:r>
        <w:rPr>
          <w:rFonts w:ascii="Times New Roman" w:hAnsi="Times New Roman" w:cs="Times New Roman" w:eastAsia="Times New Roman" w:hint="default"/>
          <w:spacing w:val="-2"/>
        </w:rPr>
        <w:t>MES</w:t>
      </w:r>
      <w:r>
        <w:rPr>
          <w:spacing w:val="-2"/>
        </w:rPr>
        <w:t>平台等产品在汽车行业的落地；稳固西门子、</w:t>
      </w:r>
      <w:r>
        <w:rPr>
          <w:rFonts w:ascii="Times New Roman" w:hAnsi="Times New Roman" w:cs="Times New Roman" w:eastAsia="Times New Roman" w:hint="default"/>
          <w:spacing w:val="-2"/>
        </w:rPr>
        <w:t>PTC</w:t>
      </w:r>
      <w:r>
        <w:rPr>
          <w:spacing w:val="-2"/>
        </w:rPr>
        <w:t>等工业软件分销业</w:t>
      </w:r>
      <w:r>
        <w:rPr/>
        <w:t> </w:t>
      </w:r>
      <w:r>
        <w:rPr>
          <w:spacing w:val="-1"/>
        </w:rPr>
        <w:t>务，有序在各个基地建设工业互联网运营平台，加速武汉、无锡等平台基地智能制造生态圈打造，进一步</w:t>
      </w:r>
      <w:r>
        <w:rPr>
          <w:spacing w:val="-86"/>
        </w:rPr>
        <w:t> </w:t>
      </w:r>
      <w:r>
        <w:rPr>
          <w:spacing w:val="-86"/>
        </w:rPr>
      </w:r>
      <w:r>
        <w:rPr/>
        <w:t>盘活智能制造公共服务平台。</w:t>
      </w:r>
    </w:p>
    <w:p>
      <w:pPr>
        <w:pStyle w:val="BodyText"/>
        <w:spacing w:line="256" w:lineRule="auto" w:before="16"/>
        <w:ind w:left="634" w:right="0"/>
        <w:jc w:val="left"/>
      </w:pPr>
      <w:r>
        <w:rPr/>
        <w:t>（</w:t>
      </w:r>
      <w:r>
        <w:rPr>
          <w:rFonts w:ascii="Times New Roman" w:hAnsi="Times New Roman" w:cs="Times New Roman" w:eastAsia="Times New Roman" w:hint="default"/>
        </w:rPr>
        <w:t>2</w:t>
      </w:r>
      <w:r>
        <w:rPr/>
        <w:t>）信息服务板块 </w:t>
      </w:r>
      <w:r>
        <w:rPr>
          <w:spacing w:val="-3"/>
        </w:rPr>
        <w:t>通信及加油服务，结合</w:t>
      </w:r>
      <w:r>
        <w:rPr>
          <w:rFonts w:ascii="Times New Roman" w:hAnsi="Times New Roman" w:cs="Times New Roman" w:eastAsia="Times New Roman" w:hint="default"/>
          <w:spacing w:val="-3"/>
        </w:rPr>
        <w:t>AI</w:t>
      </w:r>
      <w:r>
        <w:rPr>
          <w:spacing w:val="-3"/>
        </w:rPr>
        <w:t>机器人、领劵中心等营销工具手段，紧密捆绑支付宝、运营商、油企等战略</w:t>
      </w:r>
    </w:p>
    <w:p>
      <w:pPr>
        <w:pStyle w:val="BodyText"/>
        <w:spacing w:line="273" w:lineRule="auto" w:before="5"/>
        <w:ind w:right="0"/>
        <w:jc w:val="left"/>
      </w:pPr>
      <w:r>
        <w:rPr>
          <w:spacing w:val="-1"/>
        </w:rPr>
        <w:t>合作伙伴，在掌上加油业务、总对总项目上深耕细作、深度运营，加速市场拓展、开放生态链，提供异业</w:t>
      </w:r>
      <w:r>
        <w:rPr>
          <w:spacing w:val="-83"/>
        </w:rPr>
        <w:t> </w:t>
      </w:r>
      <w:r>
        <w:rPr>
          <w:spacing w:val="-83"/>
        </w:rPr>
      </w:r>
      <w:r>
        <w:rPr/>
        <w:t>间的合作、产业链整合，实现深度运营。</w:t>
      </w:r>
    </w:p>
    <w:p>
      <w:pPr>
        <w:pStyle w:val="BodyText"/>
        <w:spacing w:line="256" w:lineRule="auto"/>
        <w:ind w:right="1132" w:firstLine="480"/>
        <w:jc w:val="both"/>
      </w:pPr>
      <w:r>
        <w:rPr>
          <w:rFonts w:ascii="Times New Roman" w:hAnsi="Times New Roman" w:cs="Times New Roman" w:eastAsia="Times New Roman" w:hint="default"/>
          <w:spacing w:val="-5"/>
        </w:rPr>
        <w:t>IDC</w:t>
      </w:r>
      <w:r>
        <w:rPr>
          <w:spacing w:val="-5"/>
        </w:rPr>
        <w:t>业务，稳定持续发展原有业务基础上，投建</w:t>
      </w:r>
      <w:r>
        <w:rPr>
          <w:rFonts w:ascii="Times New Roman" w:hAnsi="Times New Roman" w:cs="Times New Roman" w:eastAsia="Times New Roman" w:hint="default"/>
          <w:spacing w:val="-5"/>
        </w:rPr>
        <w:t>SH6</w:t>
      </w:r>
      <w:r>
        <w:rPr>
          <w:spacing w:val="-5"/>
        </w:rPr>
        <w:t>数据中心，策划开展服务器租赁业务、</w:t>
      </w:r>
      <w:r>
        <w:rPr>
          <w:rFonts w:ascii="Times New Roman" w:hAnsi="Times New Roman" w:cs="Times New Roman" w:eastAsia="Times New Roman" w:hint="default"/>
          <w:spacing w:val="-5"/>
        </w:rPr>
        <w:t>CDN</w:t>
      </w:r>
      <w:r>
        <w:rPr>
          <w:spacing w:val="-5"/>
        </w:rPr>
        <w:t>业务、</w:t>
      </w:r>
      <w:r>
        <w:rPr/>
        <w:t> 云业务、带宽转售业务等增值业务。</w:t>
      </w:r>
    </w:p>
    <w:p>
      <w:pPr>
        <w:pStyle w:val="BodyText"/>
        <w:spacing w:line="273" w:lineRule="auto" w:before="22"/>
        <w:ind w:right="1032" w:firstLine="480"/>
        <w:jc w:val="both"/>
      </w:pPr>
      <w:r>
        <w:rPr/>
        <w:t>移动传媒业务，完成与央视合作续约；老客户维系与新客户挖掘相结合，稳定现有模式的收入规模。 发挥比较优势，深化与央视合作，共同推进央视</w:t>
      </w:r>
      <w:r>
        <w:rPr>
          <w:rFonts w:ascii="Times New Roman" w:hAnsi="Times New Roman" w:cs="Times New Roman" w:eastAsia="Times New Roman" w:hint="default"/>
        </w:rPr>
        <w:t>+</w:t>
      </w:r>
      <w:r>
        <w:rPr/>
        <w:t>政企新媒体信息服务市场。</w:t>
      </w:r>
    </w:p>
    <w:p>
      <w:pPr>
        <w:pStyle w:val="BodyText"/>
        <w:spacing w:line="256" w:lineRule="auto" w:before="0"/>
        <w:ind w:left="634" w:right="103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IT</w:t>
      </w:r>
      <w:r>
        <w:rPr/>
        <w:t>销售板块 继续优化客户结构，全力提升对京东的销售规模，寻求新品牌的合作；强化供应链上下游控制力度，</w:t>
      </w:r>
    </w:p>
    <w:p>
      <w:pPr>
        <w:pStyle w:val="BodyText"/>
        <w:spacing w:line="240" w:lineRule="auto" w:before="22"/>
        <w:ind w:right="0"/>
        <w:jc w:val="left"/>
      </w:pPr>
      <w:r>
        <w:rPr/>
        <w:t>降低经营风险。</w:t>
      </w:r>
    </w:p>
    <w:p>
      <w:pPr>
        <w:pStyle w:val="BodyText"/>
        <w:spacing w:line="273" w:lineRule="auto" w:before="37"/>
        <w:ind w:right="1131" w:firstLine="480"/>
        <w:jc w:val="both"/>
      </w:pPr>
      <w:r>
        <w:rPr>
          <w:spacing w:val="-2"/>
        </w:rPr>
        <w:t>上述经营计划并不代表公司的盈利预测，能否实现取决于市场状况变化、经营团队的努力程度等多种</w:t>
      </w:r>
      <w:r>
        <w:rPr/>
        <w:t> 因素，存在很大的不确定性，请投资者特别注意。</w:t>
      </w:r>
    </w:p>
    <w:p>
      <w:pPr>
        <w:pStyle w:val="BodyText"/>
        <w:spacing w:line="240" w:lineRule="auto"/>
        <w:ind w:left="634" w:right="0"/>
        <w:jc w:val="left"/>
      </w:pPr>
      <w:r>
        <w:rPr/>
        <w:t>（四）可能面对的风险</w:t>
      </w:r>
    </w:p>
    <w:p>
      <w:pPr>
        <w:pStyle w:val="BodyText"/>
        <w:spacing w:line="256" w:lineRule="auto" w:before="37"/>
        <w:ind w:right="1142" w:firstLine="48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宏观经济风险：受外部贸易摩擦冲击，中国经济增长有所放缓，国内股市汇市波动加大，实体经 济经营出现一定困难。</w:t>
      </w:r>
    </w:p>
    <w:p>
      <w:pPr>
        <w:pStyle w:val="BodyText"/>
        <w:spacing w:line="256" w:lineRule="auto" w:before="22"/>
        <w:ind w:right="1130" w:firstLine="480"/>
        <w:jc w:val="both"/>
      </w:pPr>
      <w:r>
        <w:rPr>
          <w:spacing w:val="-2"/>
        </w:rPr>
        <w:t>措施：立足国家经济新常态的重大战略判断，深度解读国家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规划有关政策，抓住国企深化改</w:t>
      </w:r>
      <w:r>
        <w:rPr/>
        <w:t> </w:t>
      </w:r>
      <w:r>
        <w:rPr>
          <w:spacing w:val="-2"/>
        </w:rPr>
        <w:t>革、供给侧结构性改革、国家产业结构调整和升级等重大机遇，主动融入国家</w:t>
      </w:r>
      <w:r>
        <w:rPr>
          <w:rFonts w:ascii="Times New Roman" w:hAnsi="Times New Roman" w:cs="Times New Roman" w:eastAsia="Times New Roman" w:hint="default"/>
          <w:spacing w:val="-2"/>
        </w:rPr>
        <w:t>“</w:t>
      </w:r>
      <w:r>
        <w:rPr>
          <w:spacing w:val="-2"/>
        </w:rPr>
        <w:t>京津冀协同发展</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一带一</w:t>
      </w:r>
      <w:r>
        <w:rPr>
          <w:spacing w:val="-101"/>
        </w:rPr>
        <w:t> </w:t>
      </w:r>
      <w:r>
        <w:rPr/>
        <w:t>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城镇化和城乡一体化</w:t>
      </w:r>
      <w:r>
        <w:rPr>
          <w:rFonts w:ascii="Times New Roman" w:hAnsi="Times New Roman" w:cs="Times New Roman" w:eastAsia="Times New Roman" w:hint="default"/>
        </w:rPr>
        <w:t>”</w:t>
      </w:r>
      <w:r>
        <w:rPr/>
        <w:t>等重大战略布局，确定公司发展空间布局和产业发展重点。</w:t>
      </w:r>
    </w:p>
    <w:p>
      <w:pPr>
        <w:pStyle w:val="BodyText"/>
        <w:spacing w:line="266" w:lineRule="auto" w:before="5"/>
        <w:ind w:right="1131" w:firstLine="480"/>
        <w:jc w:val="both"/>
      </w:pPr>
      <w:r>
        <w:rPr>
          <w:rFonts w:ascii="Times New Roman" w:hAnsi="Times New Roman" w:cs="Times New Roman" w:eastAsia="Times New Roman" w:hint="default"/>
          <w:spacing w:val="-1"/>
        </w:rPr>
        <w:t>2.</w:t>
      </w:r>
      <w:r>
        <w:rPr>
          <w:spacing w:val="-1"/>
        </w:rPr>
        <w:t>市场风险：企业信息化和信息服务在国家政策支持、行业技术进步及市场需求转换不断加快的背景</w:t>
      </w:r>
      <w:r>
        <w:rPr/>
        <w:t> </w:t>
      </w:r>
      <w:r>
        <w:rPr>
          <w:spacing w:val="-1"/>
        </w:rPr>
        <w:t>下，细分行业发展迅猛，吸引社会资本进入，推动了行业竞争愈发激烈和行业产品迭代加快，企业信息化</w:t>
      </w:r>
      <w:r>
        <w:rPr>
          <w:spacing w:val="-86"/>
        </w:rPr>
        <w:t> </w:t>
      </w:r>
      <w:r>
        <w:rPr>
          <w:spacing w:val="-86"/>
        </w:rPr>
      </w:r>
      <w:r>
        <w:rPr>
          <w:spacing w:val="-1"/>
        </w:rPr>
        <w:t>业务的部分产品线市场出现一定的萎缩；信息服务业务市场空间受到挤压，进而对公司业务发展战略的有</w:t>
      </w:r>
      <w:r>
        <w:rPr>
          <w:spacing w:val="-81"/>
        </w:rPr>
        <w:t> </w:t>
      </w:r>
      <w:r>
        <w:rPr>
          <w:spacing w:val="-81"/>
        </w:rPr>
      </w:r>
      <w:r>
        <w:rPr/>
        <w:t>效落地产生一定的风险。</w:t>
      </w:r>
    </w:p>
    <w:p>
      <w:pPr>
        <w:pStyle w:val="BodyText"/>
        <w:spacing w:line="268" w:lineRule="auto" w:before="14"/>
        <w:ind w:right="1131" w:firstLine="480"/>
        <w:jc w:val="both"/>
      </w:pPr>
      <w:r>
        <w:rPr>
          <w:spacing w:val="-2"/>
        </w:rPr>
        <w:t>措施：公司的主要业务为企业信息化业务、信息服务业务及</w:t>
      </w:r>
      <w:r>
        <w:rPr>
          <w:rFonts w:ascii="Times New Roman" w:hAnsi="Times New Roman" w:cs="Times New Roman" w:eastAsia="Times New Roman" w:hint="default"/>
          <w:spacing w:val="-2"/>
        </w:rPr>
        <w:t>IT</w:t>
      </w:r>
      <w:r>
        <w:rPr>
          <w:spacing w:val="-2"/>
        </w:rPr>
        <w:t>销售业务，各业务均有一定的行业竞争</w:t>
      </w:r>
      <w:r>
        <w:rPr/>
        <w:t> </w:t>
      </w:r>
      <w:r>
        <w:rPr>
          <w:spacing w:val="-1"/>
        </w:rPr>
        <w:t>压力，为了规避上述业务战略风险，公司将密切跟踪行业发展态势与市场变化，适时调整业务战略及对应</w:t>
      </w:r>
      <w:r>
        <w:rPr>
          <w:spacing w:val="-83"/>
        </w:rPr>
        <w:t> </w:t>
      </w:r>
      <w:r>
        <w:rPr>
          <w:spacing w:val="-83"/>
        </w:rPr>
      </w:r>
      <w:r>
        <w:rPr>
          <w:spacing w:val="-1"/>
        </w:rPr>
        <w:t>策略；企业信息化业务方面，加大资源投入，加强资源整合，推动原有产品转型升级和新业务拓展；信息</w:t>
      </w:r>
      <w:r>
        <w:rPr>
          <w:spacing w:val="-83"/>
        </w:rPr>
        <w:t> </w:t>
      </w:r>
      <w:r>
        <w:rPr>
          <w:spacing w:val="-83"/>
        </w:rPr>
      </w:r>
      <w:r>
        <w:rPr>
          <w:spacing w:val="-1"/>
        </w:rPr>
        <w:t>服务业务方面，在原有产品基础上不断创新，将产品做细做强，优化创新商业模式，提升市场占有率和盈</w:t>
      </w:r>
      <w:r>
        <w:rPr>
          <w:spacing w:val="-86"/>
        </w:rPr>
        <w:t> </w:t>
      </w:r>
      <w:r>
        <w:rPr>
          <w:spacing w:val="-86"/>
        </w:rPr>
      </w:r>
      <w:r>
        <w:rPr>
          <w:spacing w:val="-1"/>
        </w:rPr>
        <w:t>利能力；着重加强三个业务板块的业务协同，努力提升优势互补的能力，放大业务协同效应，提升公司整</w:t>
      </w:r>
      <w:r>
        <w:rPr>
          <w:spacing w:val="-86"/>
        </w:rPr>
        <w:t> </w:t>
      </w:r>
      <w:r>
        <w:rPr>
          <w:spacing w:val="-86"/>
        </w:rPr>
      </w:r>
      <w:r>
        <w:rPr/>
        <w:t>体综合竞争力。</w:t>
      </w:r>
    </w:p>
    <w:p>
      <w:pPr>
        <w:pStyle w:val="BodyText"/>
        <w:spacing w:line="256" w:lineRule="auto" w:before="12"/>
        <w:ind w:right="1136" w:firstLine="426"/>
        <w:jc w:val="both"/>
      </w:pPr>
      <w:r>
        <w:rPr>
          <w:rFonts w:ascii="Times New Roman" w:hAnsi="Times New Roman" w:cs="Times New Roman" w:eastAsia="Times New Roman" w:hint="default"/>
        </w:rPr>
        <w:t>3.</w:t>
      </w:r>
      <w:r>
        <w:rPr/>
        <w:t>财务风险：公司业务规模日益扩大以及根据业务战略开展的产业并购，导致对于资金的需求随之扩 大，面临资金安全风险与投资回收风险。</w:t>
      </w:r>
    </w:p>
    <w:p>
      <w:pPr>
        <w:pStyle w:val="BodyText"/>
        <w:spacing w:line="273" w:lineRule="auto" w:before="22"/>
        <w:ind w:right="1131" w:firstLine="426"/>
        <w:jc w:val="both"/>
      </w:pPr>
      <w:r>
        <w:rPr>
          <w:spacing w:val="-1"/>
        </w:rPr>
        <w:t>措施：对于业务导致的资金回收风险，加强库存周转和业务回款管理力度，逐步完善供应链信用管理</w:t>
      </w:r>
      <w:r>
        <w:rPr/>
        <w:t> </w:t>
      </w:r>
      <w:r>
        <w:rPr>
          <w:spacing w:val="-1"/>
        </w:rPr>
        <w:t>体系；对于投资并购导致的资金短缺风险，一方面，丰富投资策略，降低现金支出比例，另一方面，针对</w:t>
      </w:r>
      <w:r>
        <w:rPr>
          <w:spacing w:val="-83"/>
        </w:rPr>
        <w:t> </w:t>
      </w:r>
      <w:r>
        <w:rPr>
          <w:spacing w:val="-83"/>
        </w:rPr>
      </w:r>
      <w:r>
        <w:rPr/>
        <w:t>投资项目，优化短、中、长期融资结构，降低公司的资金链风险。</w:t>
      </w:r>
    </w:p>
    <w:p>
      <w:pPr>
        <w:pStyle w:val="BodyText"/>
        <w:spacing w:line="264" w:lineRule="auto"/>
        <w:ind w:left="580" w:right="1017"/>
        <w:jc w:val="left"/>
      </w:pPr>
      <w:r>
        <w:rPr>
          <w:rFonts w:ascii="Times New Roman" w:hAnsi="Times New Roman" w:cs="Times New Roman" w:eastAsia="Times New Roman" w:hint="default"/>
        </w:rPr>
        <w:t>4.</w:t>
      </w:r>
      <w:r>
        <w:rPr/>
        <w:t>管理风险：业务拓展，业务模式不一，财务管理风险较大对管理团队提出更高要求。 措施：加强现有管理团队培训，引入专业技术管理人才，提升内部管理流程化建设，降低管理风险。</w:t>
      </w:r>
      <w:r>
        <w:rPr>
          <w:spacing w:val="-43"/>
        </w:rPr>
        <w:t> </w:t>
      </w:r>
      <w:r>
        <w:rPr>
          <w:spacing w:val="-43"/>
        </w:rPr>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业务发展风险：</w:t>
      </w:r>
    </w:p>
    <w:p>
      <w:pPr>
        <w:pStyle w:val="BodyText"/>
        <w:spacing w:line="264" w:lineRule="auto" w:before="0"/>
        <w:ind w:right="1132" w:firstLine="426"/>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C-V2X</w:t>
      </w:r>
      <w:r>
        <w:rPr>
          <w:spacing w:val="-2"/>
        </w:rPr>
        <w:t>车联网市场目前尚未成熟，随着</w:t>
      </w:r>
      <w:r>
        <w:rPr>
          <w:rFonts w:ascii="Times New Roman" w:hAnsi="Times New Roman" w:cs="Times New Roman" w:eastAsia="Times New Roman" w:hint="default"/>
          <w:spacing w:val="-2"/>
        </w:rPr>
        <w:t>LTE-V2X</w:t>
      </w:r>
      <w:r>
        <w:rPr>
          <w:spacing w:val="-2"/>
        </w:rPr>
        <w:t>向</w:t>
      </w:r>
      <w:r>
        <w:rPr>
          <w:rFonts w:ascii="Times New Roman" w:hAnsi="Times New Roman" w:cs="Times New Roman" w:eastAsia="Times New Roman" w:hint="default"/>
          <w:spacing w:val="-2"/>
        </w:rPr>
        <w:t>NR-V2X</w:t>
      </w:r>
      <w:r>
        <w:rPr>
          <w:spacing w:val="-2"/>
        </w:rPr>
        <w:t>的演进，车联网产品市场窗口期尚未</w:t>
      </w:r>
      <w:r>
        <w:rPr/>
        <w:t> </w:t>
      </w:r>
      <w:r>
        <w:rPr>
          <w:spacing w:val="-1"/>
        </w:rPr>
        <w:t>明晰；跨领域协同产业链尚未完全成型，汽车、通信及互联网各方巨头均高度重视车联网产业，预测未来</w:t>
      </w:r>
      <w:r>
        <w:rPr>
          <w:spacing w:val="-86"/>
        </w:rPr>
        <w:t> </w:t>
      </w:r>
      <w:r>
        <w:rPr>
          <w:spacing w:val="-86"/>
        </w:rPr>
      </w:r>
      <w:r>
        <w:rPr/>
        <w:t>市场竞争激烈，产业发展存在较大不确定性。</w:t>
      </w:r>
    </w:p>
    <w:p>
      <w:pPr>
        <w:pStyle w:val="BodyText"/>
        <w:spacing w:line="240" w:lineRule="auto" w:before="16"/>
        <w:ind w:left="580" w:right="0"/>
        <w:jc w:val="left"/>
      </w:pPr>
      <w:r>
        <w:rPr/>
        <w:t>措施：密切跟进并推动</w:t>
      </w:r>
      <w:r>
        <w:rPr>
          <w:rFonts w:ascii="Times New Roman" w:hAnsi="Times New Roman" w:cs="Times New Roman" w:eastAsia="Times New Roman" w:hint="default"/>
        </w:rPr>
        <w:t>C-V2X</w:t>
      </w:r>
      <w:r>
        <w:rPr/>
        <w:t>标准及技术演进；巩固优化</w:t>
      </w:r>
      <w:r>
        <w:rPr>
          <w:rFonts w:ascii="Times New Roman" w:hAnsi="Times New Roman" w:cs="Times New Roman" w:eastAsia="Times New Roman" w:hint="default"/>
        </w:rPr>
        <w:t>C-V2X</w:t>
      </w:r>
      <w:r>
        <w:rPr/>
        <w:t>技术与现有产品，加强产业化能力建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设，扩大产业合作范围，提升供应链管理水平与车规级生产能力。</w:t>
      </w:r>
    </w:p>
    <w:p>
      <w:pPr>
        <w:pStyle w:val="BodyText"/>
        <w:spacing w:line="256" w:lineRule="auto" w:before="37"/>
        <w:ind w:right="0" w:firstLine="426"/>
        <w:jc w:val="left"/>
      </w:pPr>
      <w:r>
        <w:rPr>
          <w:spacing w:val="-4"/>
        </w:rPr>
        <w:t>（</w:t>
      </w:r>
      <w:r>
        <w:rPr>
          <w:rFonts w:ascii="Times New Roman" w:hAnsi="Times New Roman" w:cs="Times New Roman" w:eastAsia="Times New Roman" w:hint="default"/>
          <w:spacing w:val="-4"/>
        </w:rPr>
        <w:t>2</w:t>
      </w:r>
      <w:r>
        <w:rPr>
          <w:spacing w:val="-4"/>
        </w:rPr>
        <w:t>）可信云计算业务成为</w:t>
      </w:r>
      <w:r>
        <w:rPr>
          <w:rFonts w:ascii="Times New Roman" w:hAnsi="Times New Roman" w:cs="Times New Roman" w:eastAsia="Times New Roman" w:hint="default"/>
          <w:spacing w:val="-4"/>
        </w:rPr>
        <w:t>ICT</w:t>
      </w:r>
      <w:r>
        <w:rPr>
          <w:spacing w:val="-4"/>
        </w:rPr>
        <w:t>和互联网巨头共同进行战略聚焦的方向，国内主流服务器厂商积极布局，</w:t>
      </w:r>
      <w:r>
        <w:rPr/>
        <w:t> 导致竞争加剧，资本投入规模巨大，技术变化和发展迅速，专业人才存在缺口，创新发展挑战较大。</w:t>
      </w:r>
    </w:p>
    <w:p>
      <w:pPr>
        <w:pStyle w:val="BodyText"/>
        <w:spacing w:line="266" w:lineRule="auto" w:before="63"/>
        <w:ind w:right="1132"/>
        <w:jc w:val="both"/>
      </w:pPr>
      <w:r>
        <w:rPr>
          <w:spacing w:val="-2"/>
        </w:rPr>
        <w:t>对策：紧抓等保</w:t>
      </w:r>
      <w:r>
        <w:rPr>
          <w:rFonts w:ascii="Times New Roman" w:hAnsi="Times New Roman" w:cs="Times New Roman" w:eastAsia="Times New Roman" w:hint="default"/>
          <w:spacing w:val="-2"/>
        </w:rPr>
        <w:t>2.0</w:t>
      </w:r>
      <w:r>
        <w:rPr>
          <w:spacing w:val="-2"/>
        </w:rPr>
        <w:t>标准落地机会，聚焦细分领域，拓展行业信息安全市场，面向政府、互联网、电力、航</w:t>
      </w:r>
      <w:r>
        <w:rPr>
          <w:spacing w:val="-88"/>
        </w:rPr>
        <w:t> </w:t>
      </w:r>
      <w:r>
        <w:rPr>
          <w:spacing w:val="-88"/>
        </w:rPr>
      </w:r>
      <w:r>
        <w:rPr>
          <w:spacing w:val="-1"/>
        </w:rPr>
        <w:t>天、军队等重点行业，提供专业的云咨询、实施、托管及资源管理服务，并结合公司资质优势拓展云计算</w:t>
      </w:r>
      <w:r>
        <w:rPr>
          <w:spacing w:val="-83"/>
        </w:rPr>
        <w:t> </w:t>
      </w:r>
      <w:r>
        <w:rPr>
          <w:spacing w:val="-83"/>
        </w:rPr>
      </w:r>
      <w:r>
        <w:rPr/>
        <w:t>自主集成业务。</w:t>
      </w:r>
    </w:p>
    <w:p>
      <w:pPr>
        <w:spacing w:line="240" w:lineRule="auto" w:before="3"/>
        <w:rPr>
          <w:rFonts w:ascii="宋体" w:hAnsi="宋体" w:cs="宋体" w:eastAsia="宋体" w:hint="default"/>
          <w:sz w:val="22"/>
          <w:szCs w:val="22"/>
        </w:rPr>
      </w:pPr>
    </w:p>
    <w:p>
      <w:pPr>
        <w:pStyle w:val="Heading2"/>
        <w:spacing w:line="240" w:lineRule="auto"/>
        <w:ind w:right="0"/>
        <w:jc w:val="both"/>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1084"/>
        <w:gridCol w:w="455"/>
        <w:gridCol w:w="1246"/>
        <w:gridCol w:w="460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http://irm.cninfo.com.cn/ircs/search?keyword=000851</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http://irm.cninfo.com.cn/ircs/search?keyword=000851</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http://irm.cninfo.com.cn/ircs/search?keyword=000851</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http://irm.cninfo.com.cn/ircs/search?keyword=000851</w:t>
              </w:r>
            </w:hyperlink>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http://irm.cninfo.com.cn/ircs/search?keyword=000851</w:t>
              </w:r>
            </w:hyperlink>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040"/>
        <w:jc w:val="center"/>
        <w:rPr>
          <w:b w:val="0"/>
          <w:bCs w:val="0"/>
        </w:rPr>
      </w:pPr>
      <w:bookmarkStart w:name="第五节 重要事项" w:id="64"/>
      <w:bookmarkEnd w:id="64"/>
      <w:r>
        <w:rPr>
          <w:b w:val="0"/>
          <w:bCs w:val="0"/>
        </w:rPr>
      </w:r>
      <w:bookmarkStart w:name="_bookmark4" w:id="65"/>
      <w:bookmarkEnd w:id="65"/>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pStyle w:val="BodyText"/>
        <w:spacing w:line="273" w:lineRule="auto" w:before="75"/>
        <w:ind w:right="0" w:firstLine="423"/>
        <w:jc w:val="left"/>
      </w:pPr>
      <w:r>
        <w:rPr>
          <w:rFonts w:ascii="宋体" w:hAnsi="宋体" w:cs="宋体" w:eastAsia="宋体" w:hint="default"/>
        </w:rPr>
        <w:t>2016</w:t>
      </w:r>
      <w:r>
        <w:rPr/>
        <w:t>年度利润分配方案为每</w:t>
      </w:r>
      <w:r>
        <w:rPr>
          <w:rFonts w:ascii="宋体" w:hAnsi="宋体" w:cs="宋体" w:eastAsia="宋体" w:hint="default"/>
        </w:rPr>
        <w:t>10</w:t>
      </w:r>
      <w:r>
        <w:rPr/>
        <w:t>股派发现金</w:t>
      </w:r>
      <w:r>
        <w:rPr>
          <w:rFonts w:ascii="宋体" w:hAnsi="宋体" w:cs="宋体" w:eastAsia="宋体" w:hint="default"/>
        </w:rPr>
        <w:t>0.2</w:t>
      </w:r>
      <w:r>
        <w:rPr/>
        <w:t>元，</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13</w:t>
      </w:r>
      <w:r>
        <w:rPr/>
        <w:t>日公司以</w:t>
      </w:r>
      <w:r>
        <w:rPr>
          <w:rFonts w:ascii="宋体" w:hAnsi="宋体" w:cs="宋体" w:eastAsia="宋体" w:hint="default"/>
        </w:rPr>
        <w:t>632,105,028</w:t>
      </w:r>
      <w:r>
        <w:rPr/>
        <w:t>股为基数每</w:t>
      </w:r>
      <w:r>
        <w:rPr>
          <w:rFonts w:ascii="宋体" w:hAnsi="宋体" w:cs="宋体" w:eastAsia="宋体" w:hint="default"/>
        </w:rPr>
        <w:t>10</w:t>
      </w:r>
      <w:r>
        <w:rPr/>
        <w:t>股 派发现金红利</w:t>
      </w:r>
      <w:r>
        <w:rPr>
          <w:rFonts w:ascii="宋体" w:hAnsi="宋体" w:cs="宋体" w:eastAsia="宋体" w:hint="default"/>
        </w:rPr>
        <w:t>0.2</w:t>
      </w:r>
      <w:r>
        <w:rPr/>
        <w:t>元，现金分红</w:t>
      </w:r>
      <w:r>
        <w:rPr>
          <w:rFonts w:ascii="宋体" w:hAnsi="宋体" w:cs="宋体" w:eastAsia="宋体" w:hint="default"/>
        </w:rPr>
        <w:t>1,264.21</w:t>
      </w:r>
      <w:r>
        <w:rPr/>
        <w:t>万元，实际分配</w:t>
      </w:r>
      <w:r>
        <w:rPr>
          <w:rFonts w:ascii="宋体" w:hAnsi="宋体" w:cs="宋体" w:eastAsia="宋体" w:hint="default"/>
        </w:rPr>
        <w:t>1,254.68</w:t>
      </w:r>
      <w:r>
        <w:rPr/>
        <w:t>万元。</w:t>
      </w:r>
    </w:p>
    <w:p>
      <w:pPr>
        <w:pStyle w:val="BodyText"/>
        <w:spacing w:line="273" w:lineRule="auto"/>
        <w:ind w:right="0" w:firstLine="423"/>
        <w:jc w:val="left"/>
      </w:pPr>
      <w:r>
        <w:rPr>
          <w:rFonts w:ascii="宋体" w:hAnsi="宋体" w:cs="宋体" w:eastAsia="宋体" w:hint="default"/>
        </w:rPr>
        <w:t>2017</w:t>
      </w:r>
      <w:r>
        <w:rPr/>
        <w:t>年度公司资本公积转增股本方案为每</w:t>
      </w:r>
      <w:r>
        <w:rPr>
          <w:rFonts w:ascii="宋体" w:hAnsi="宋体" w:cs="宋体" w:eastAsia="宋体" w:hint="default"/>
        </w:rPr>
        <w:t>10</w:t>
      </w:r>
      <w:r>
        <w:rPr/>
        <w:t>股转增</w:t>
      </w:r>
      <w:r>
        <w:rPr>
          <w:rFonts w:ascii="宋体" w:hAnsi="宋体" w:cs="宋体" w:eastAsia="宋体" w:hint="default"/>
        </w:rPr>
        <w:t>4</w:t>
      </w:r>
      <w:r>
        <w:rPr/>
        <w:t>股，</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4</w:t>
      </w:r>
      <w:r>
        <w:rPr/>
        <w:t>日公司以</w:t>
      </w:r>
      <w:r>
        <w:rPr>
          <w:rFonts w:ascii="宋体" w:hAnsi="宋体" w:cs="宋体" w:eastAsia="宋体" w:hint="default"/>
        </w:rPr>
        <w:t>648,307,048</w:t>
      </w:r>
      <w:r>
        <w:rPr/>
        <w:t>股为基数， 以资本公积每</w:t>
      </w:r>
      <w:r>
        <w:rPr>
          <w:rFonts w:ascii="宋体" w:hAnsi="宋体" w:cs="宋体" w:eastAsia="宋体" w:hint="default"/>
        </w:rPr>
        <w:t>10</w:t>
      </w:r>
      <w:r>
        <w:rPr/>
        <w:t>股转增</w:t>
      </w:r>
      <w:r>
        <w:rPr>
          <w:rFonts w:ascii="宋体" w:hAnsi="宋体" w:cs="宋体" w:eastAsia="宋体" w:hint="default"/>
        </w:rPr>
        <w:t>4</w:t>
      </w:r>
      <w:r>
        <w:rPr/>
        <w:t>股，公司股本变更为</w:t>
      </w:r>
      <w:r>
        <w:rPr>
          <w:rFonts w:ascii="宋体" w:hAnsi="宋体" w:cs="宋体" w:eastAsia="宋体" w:hint="default"/>
        </w:rPr>
        <w:t>907,629,867</w:t>
      </w:r>
      <w:r>
        <w:rPr/>
        <w:t>股。</w:t>
      </w:r>
    </w:p>
    <w:p>
      <w:pPr>
        <w:pStyle w:val="BodyText"/>
        <w:spacing w:line="240" w:lineRule="auto"/>
        <w:ind w:left="577" w:right="0"/>
        <w:jc w:val="left"/>
      </w:pPr>
      <w:r>
        <w:rPr>
          <w:rFonts w:ascii="宋体" w:hAnsi="宋体" w:cs="宋体" w:eastAsia="宋体" w:hint="default"/>
        </w:rPr>
        <w:t>2018</w:t>
      </w:r>
      <w:r>
        <w:rPr/>
        <w:t>年度，公司不进行利润分配，不以资本公积转增股本。</w:t>
      </w:r>
    </w:p>
    <w:p>
      <w:pPr>
        <w:spacing w:before="103"/>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97"/>
        <w:gridCol w:w="1195"/>
        <w:gridCol w:w="1185"/>
        <w:gridCol w:w="1207"/>
        <w:gridCol w:w="1184"/>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33,964,915.63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179,308,287.39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12,546,860.96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80,096,891.75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15.66%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12,546,860.96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15.66%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before="0"/>
        <w:ind w:left="154" w:right="1139" w:firstLine="0"/>
        <w:jc w:val="right"/>
        <w:rPr>
          <w:rFonts w:ascii="宋体" w:hAnsi="宋体" w:cs="宋体" w:eastAsia="宋体" w:hint="default"/>
          <w:sz w:val="18"/>
          <w:szCs w:val="18"/>
        </w:rPr>
      </w:pPr>
      <w:r>
        <w:rPr/>
        <w:pict>
          <v:shape style="position:absolute;margin-left:56.459999pt;margin-top:-108.948257pt;width:479.2pt;height:149.9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631"/>
                    <w:gridCol w:w="2938"/>
                  </w:tblGrid>
                  <w:tr>
                    <w:trPr>
                      <w:trHeight w:val="714" w:hRule="exact"/>
                    </w:trPr>
                    <w:tc>
                      <w:tcPr>
                        <w:tcW w:w="6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0" w:right="69" w:hanging="27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报告期内盈利且母公司可供普通股股东分配利润为正但未提出普通股现金红利分配 预案的原因</w:t>
                        </w:r>
                      </w:p>
                    </w:tc>
                    <w:tc>
                      <w:tcPr>
                        <w:tcW w:w="2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2274" w:hRule="exact"/>
                    </w:trPr>
                    <w:tc>
                      <w:tcPr>
                        <w:tcW w:w="66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根据立信会计师事务所（特殊普通合伙）审计出具的信会师报字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ZG11256 </w:t>
                        </w:r>
                        <w:r>
                          <w:rPr>
                            <w:rFonts w:ascii="宋体" w:hAnsi="宋体" w:cs="宋体" w:eastAsia="宋体" w:hint="default"/>
                            <w:sz w:val="18"/>
                            <w:szCs w:val="18"/>
                          </w:rPr>
                          <w:t>号《审计报告》确认，公司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年度归属于上市公司股东的净利润为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33,964,915.63 </w:t>
                        </w:r>
                        <w:r>
                          <w:rPr>
                            <w:rFonts w:ascii="宋体" w:hAnsi="宋体" w:cs="宋体" w:eastAsia="宋体" w:hint="default"/>
                            <w:sz w:val="18"/>
                            <w:szCs w:val="18"/>
                          </w:rPr>
                          <w:t>元，比上年同期下降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81.06%</w:t>
                        </w:r>
                        <w:r>
                          <w:rPr>
                            <w:rFonts w:ascii="宋体" w:hAnsi="宋体" w:cs="宋体" w:eastAsia="宋体" w:hint="default"/>
                            <w:sz w:val="18"/>
                            <w:szCs w:val="18"/>
                          </w:rPr>
                          <w:t>，母公司净利润为</w:t>
                        </w:r>
                        <w:r>
                          <w:rPr>
                            <w:rFonts w:ascii="Times New Roman" w:hAnsi="Times New Roman" w:cs="Times New Roman" w:eastAsia="Times New Roman" w:hint="default"/>
                            <w:sz w:val="18"/>
                            <w:szCs w:val="18"/>
                          </w:rPr>
                          <w:t>-61,515,609.30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元，盈利情况较上年同 期有明显下降，故考虑拟不分配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年的利润。考虑到公司仍处于成长期，且</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年度计划有重大的资金支出安排故拟不进行现金分红。未分配利润余额结转入下一年</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度，留存资金用于满足公司日常经营和项目投资建设的需要。综上，公司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利润分配预案为：不派发现金红利，不送红股，亦不以资本公积金转增股本。</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2" w:lineRule="auto"/>
                          <w:ind w:left="22" w:right="23"/>
                          <w:jc w:val="left"/>
                          <w:rPr>
                            <w:rFonts w:ascii="宋体" w:hAnsi="宋体" w:cs="宋体" w:eastAsia="宋体" w:hint="default"/>
                            <w:sz w:val="18"/>
                            <w:szCs w:val="18"/>
                          </w:rPr>
                        </w:pPr>
                        <w:r>
                          <w:rPr>
                            <w:rFonts w:ascii="宋体" w:hAnsi="宋体" w:cs="宋体" w:eastAsia="宋体" w:hint="default"/>
                            <w:sz w:val="18"/>
                            <w:szCs w:val="18"/>
                          </w:rPr>
                          <w:t>公司经营压力较大且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年度计划 有资金安排支出。因此，公司未分配 利润将主要用于补充流动资金和日常 </w:t>
                        </w:r>
                        <w:r>
                          <w:rPr>
                            <w:rFonts w:ascii="宋体" w:hAnsi="宋体" w:cs="宋体" w:eastAsia="宋体" w:hint="default"/>
                            <w:spacing w:val="-6"/>
                            <w:sz w:val="18"/>
                            <w:szCs w:val="18"/>
                          </w:rPr>
                          <w:t>经营需要，以确保实现年度经营目标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2"/>
        <w:spacing w:line="240" w:lineRule="auto" w:before="26"/>
        <w:ind w:right="0"/>
        <w:jc w:val="left"/>
        <w:rPr>
          <w:b w:val="0"/>
          <w:bCs w:val="0"/>
        </w:rPr>
      </w:pPr>
      <w:bookmarkStart w:name="二、本报告期利润分配及资本公积金转增股本情况" w:id="67"/>
      <w:bookmarkEnd w:id="67"/>
      <w:r>
        <w:rPr>
          <w:b w:val="0"/>
          <w:bCs w:val="0"/>
        </w:rPr>
      </w: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公司计划年度不派发现金红利，不送红股，不以公积金转增股本。</w:t>
      </w:r>
    </w:p>
    <w:p>
      <w:pPr>
        <w:spacing w:after="0"/>
        <w:jc w:val="left"/>
        <w:rPr>
          <w:rFonts w:ascii="宋体" w:hAnsi="宋体" w:cs="宋体" w:eastAsia="宋体" w:hint="default"/>
          <w:sz w:val="18"/>
          <w:szCs w:val="18"/>
        </w:rPr>
        <w:sectPr>
          <w:pgSz w:w="11910" w:h="16840"/>
          <w:pgMar w:header="747" w:footer="979" w:top="1060" w:bottom="1160" w:left="980" w:right="0"/>
        </w:sectPr>
      </w:pPr>
    </w:p>
    <w:p>
      <w:pPr>
        <w:pStyle w:val="Heading2"/>
        <w:spacing w:line="240" w:lineRule="auto" w:before="30"/>
        <w:ind w:left="140" w:right="0"/>
        <w:jc w:val="left"/>
        <w:rPr>
          <w:b w:val="0"/>
          <w:bCs w:val="0"/>
        </w:rPr>
      </w:pPr>
      <w:r>
        <w:rPr/>
        <w:pict>
          <v:shape style="position:absolute;margin-left:548.726013pt;margin-top:321.279999pt;width:41.45pt;height:72.9pt;mso-position-horizontal-relative:page;mso-position-vertical-relative:page;z-index:-1545976" type="#_x0000_t202" filled="false" stroked="false">
            <v:textbox inset="0,0,0,0">
              <w:txbxContent>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5pt;margin-top:2.255627pt;width:701pt;height:.1pt;mso-position-horizontal-relative:page;mso-position-vertical-relative:paragraph;z-index:-1545952" coordorigin="1410,45" coordsize="14020,2">
            <v:shape style="position:absolute;left:1410;top:45;width:14020;height:2" coordorigin="1410,45" coordsize="14020,0" path="m1410,45l15430,45e" filled="false" stroked="true" strokeweight=".72pt" strokecolor="#000000">
              <v:path arrowok="t"/>
            </v:shape>
            <w10:wrap type="none"/>
          </v:group>
        </w:pict>
      </w:r>
      <w:bookmarkStart w:name="三、承诺事项履行情况" w:id="68"/>
      <w:bookmarkEnd w:id="68"/>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公司实际控制人、股东、关联方、收购人以及公司等承诺相关方在报告期内履行完毕及" w:id="69"/>
      <w:bookmarkEnd w:id="69"/>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4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161" w:hRule="exact"/>
        </w:trPr>
        <w:tc>
          <w:tcPr>
            <w:tcW w:w="1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14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262" w:right="80"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15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0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7"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8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1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15" w:type="dxa"/>
            <w:vMerge/>
            <w:tcBorders>
              <w:left w:val="single" w:sz="4" w:space="0" w:color="000000"/>
              <w:right w:val="single" w:sz="4" w:space="0" w:color="000000"/>
            </w:tcBorders>
            <w:shd w:val="clear" w:color="auto" w:fill="D2D2D2"/>
          </w:tcPr>
          <w:p>
            <w:pPr/>
          </w:p>
        </w:tc>
        <w:tc>
          <w:tcPr>
            <w:tcW w:w="15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6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1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14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c>
          <w:tcPr>
            <w:tcW w:w="15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0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856" w:type="dxa"/>
            <w:tcBorders>
              <w:top w:val="single" w:sz="4" w:space="0" w:color="000000"/>
              <w:left w:val="single" w:sz="13" w:space="0" w:color="D2D2D2"/>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6149"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846" w:type="dxa"/>
            <w:vMerge w:val="restart"/>
            <w:tcBorders>
              <w:top w:val="single" w:sz="4" w:space="0" w:color="000000"/>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中国信息 通信科技 集团有限 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
              <w:jc w:val="both"/>
              <w:rPr>
                <w:rFonts w:ascii="宋体" w:hAnsi="宋体" w:cs="宋体" w:eastAsia="宋体" w:hint="default"/>
                <w:sz w:val="18"/>
                <w:szCs w:val="18"/>
              </w:rPr>
            </w:pPr>
            <w:r>
              <w:rPr>
                <w:rFonts w:ascii="宋体" w:hAnsi="宋体" w:cs="宋体" w:eastAsia="宋体" w:hint="default"/>
                <w:spacing w:val="13"/>
                <w:sz w:val="18"/>
                <w:szCs w:val="18"/>
              </w:rPr>
              <w:t>关于保证</w:t>
            </w:r>
            <w:r>
              <w:rPr>
                <w:rFonts w:ascii="宋体" w:hAnsi="宋体" w:cs="宋体" w:eastAsia="宋体" w:hint="default"/>
                <w:spacing w:val="-72"/>
                <w:sz w:val="18"/>
                <w:szCs w:val="18"/>
              </w:rPr>
              <w:t> </w:t>
            </w:r>
            <w:r>
              <w:rPr>
                <w:rFonts w:ascii="宋体" w:hAnsi="宋体" w:cs="宋体" w:eastAsia="宋体" w:hint="default"/>
                <w:spacing w:val="13"/>
                <w:sz w:val="18"/>
                <w:szCs w:val="18"/>
              </w:rPr>
              <w:t>上市公司</w:t>
            </w:r>
            <w:r>
              <w:rPr>
                <w:rFonts w:ascii="宋体" w:hAnsi="宋体" w:cs="宋体" w:eastAsia="宋体" w:hint="default"/>
                <w:spacing w:val="-72"/>
                <w:sz w:val="18"/>
                <w:szCs w:val="18"/>
              </w:rPr>
              <w:t> </w:t>
            </w:r>
            <w:r>
              <w:rPr>
                <w:rFonts w:ascii="宋体" w:hAnsi="宋体" w:cs="宋体" w:eastAsia="宋体" w:hint="default"/>
                <w:spacing w:val="13"/>
                <w:sz w:val="18"/>
                <w:szCs w:val="18"/>
              </w:rPr>
              <w:t>独立性的</w:t>
            </w:r>
            <w:r>
              <w:rPr>
                <w:rFonts w:ascii="宋体" w:hAnsi="宋体" w:cs="宋体" w:eastAsia="宋体" w:hint="default"/>
                <w:spacing w:val="-72"/>
                <w:sz w:val="18"/>
                <w:szCs w:val="18"/>
              </w:rPr>
              <w:t> </w:t>
            </w:r>
            <w:r>
              <w:rPr>
                <w:rFonts w:ascii="宋体" w:hAnsi="宋体" w:cs="宋体" w:eastAsia="宋体" w:hint="default"/>
                <w:sz w:val="18"/>
                <w:szCs w:val="18"/>
              </w:rPr>
              <w:t>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
              <w:jc w:val="both"/>
              <w:rPr>
                <w:rFonts w:ascii="宋体" w:hAnsi="宋体" w:cs="宋体" w:eastAsia="宋体" w:hint="default"/>
                <w:sz w:val="18"/>
                <w:szCs w:val="18"/>
              </w:rPr>
            </w:pPr>
            <w:r>
              <w:rPr>
                <w:rFonts w:ascii="宋体" w:hAnsi="宋体" w:cs="宋体" w:eastAsia="宋体" w:hint="default"/>
                <w:sz w:val="18"/>
                <w:szCs w:val="18"/>
              </w:rPr>
              <w:t>为保证高鸿股份的独立运作，维护广大投资者特别是中小投资者的合法权益， </w:t>
            </w:r>
            <w:r>
              <w:rPr>
                <w:rFonts w:ascii="宋体" w:hAnsi="宋体" w:cs="宋体" w:eastAsia="宋体" w:hint="default"/>
                <w:spacing w:val="-2"/>
                <w:sz w:val="18"/>
                <w:szCs w:val="18"/>
              </w:rPr>
              <w:t>中国信科出具了《关于保证上市公司独立性的承诺》，承诺内容具体如下：本</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次国有产权无偿划转完成后，在本公司直接或间接持有上市公司控股权期间， </w:t>
            </w:r>
            <w:r>
              <w:rPr>
                <w:rFonts w:ascii="宋体" w:hAnsi="宋体" w:cs="宋体" w:eastAsia="宋体" w:hint="default"/>
                <w:spacing w:val="-1"/>
                <w:sz w:val="18"/>
                <w:szCs w:val="18"/>
              </w:rPr>
              <w:t>本公司自身并通过相关直接持股主体将持续在人员、财务、机构、资产、业务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等方面与上市公司保持相互独立，并严格遵守中国证监会关于上市公司独立性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的相关规定，不利用控股股东地位违反上市公司规范运作程序，干预上市公司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经营决策，损害上市公司和其他股东的合法权益。本公司及本公司控制的其他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企业保证不以任何方式占用上市公司及其子公司的资产。</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26" w:hRule="exact"/>
        </w:trPr>
        <w:tc>
          <w:tcPr>
            <w:tcW w:w="1846" w:type="dxa"/>
            <w:vMerge/>
            <w:tcBorders>
              <w:left w:val="single" w:sz="4" w:space="0" w:color="000000"/>
              <w:bottom w:val="nil" w:sz="6" w:space="0" w:color="auto"/>
              <w:right w:val="single" w:sz="4" w:space="0" w:color="000000"/>
            </w:tcBorders>
            <w:shd w:val="clear" w:color="auto" w:fill="D2D2D2"/>
          </w:tcPr>
          <w:p>
            <w:pPr/>
          </w:p>
        </w:tc>
        <w:tc>
          <w:tcPr>
            <w:tcW w:w="85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9" w:lineRule="auto"/>
              <w:ind w:left="16" w:right="101"/>
              <w:jc w:val="both"/>
              <w:rPr>
                <w:rFonts w:ascii="宋体" w:hAnsi="宋体" w:cs="宋体" w:eastAsia="宋体" w:hint="default"/>
                <w:sz w:val="18"/>
                <w:szCs w:val="18"/>
              </w:rPr>
            </w:pPr>
            <w:r>
              <w:rPr>
                <w:rFonts w:ascii="宋体" w:hAnsi="宋体" w:cs="宋体" w:eastAsia="宋体" w:hint="default"/>
                <w:sz w:val="18"/>
                <w:szCs w:val="18"/>
              </w:rPr>
              <w:t>中国信息 通信科技 集团有限 公司</w:t>
            </w:r>
          </w:p>
        </w:tc>
        <w:tc>
          <w:tcPr>
            <w:tcW w:w="8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2" w:right="2"/>
              <w:jc w:val="both"/>
              <w:rPr>
                <w:rFonts w:ascii="宋体" w:hAnsi="宋体" w:cs="宋体" w:eastAsia="宋体" w:hint="default"/>
                <w:sz w:val="18"/>
                <w:szCs w:val="18"/>
              </w:rPr>
            </w:pPr>
            <w:r>
              <w:rPr>
                <w:rFonts w:ascii="宋体" w:hAnsi="宋体" w:cs="宋体" w:eastAsia="宋体" w:hint="default"/>
                <w:spacing w:val="13"/>
                <w:sz w:val="18"/>
                <w:szCs w:val="18"/>
              </w:rPr>
              <w:t>关于避免</w:t>
            </w:r>
            <w:r>
              <w:rPr>
                <w:rFonts w:ascii="宋体" w:hAnsi="宋体" w:cs="宋体" w:eastAsia="宋体" w:hint="default"/>
                <w:spacing w:val="-72"/>
                <w:sz w:val="18"/>
                <w:szCs w:val="18"/>
              </w:rPr>
              <w:t> </w:t>
            </w:r>
            <w:r>
              <w:rPr>
                <w:rFonts w:ascii="宋体" w:hAnsi="宋体" w:cs="宋体" w:eastAsia="宋体" w:hint="default"/>
                <w:spacing w:val="13"/>
                <w:sz w:val="18"/>
                <w:szCs w:val="18"/>
              </w:rPr>
              <w:t>同业竞争</w:t>
            </w:r>
            <w:r>
              <w:rPr>
                <w:rFonts w:ascii="宋体" w:hAnsi="宋体" w:cs="宋体" w:eastAsia="宋体" w:hint="default"/>
                <w:spacing w:val="-72"/>
                <w:sz w:val="18"/>
                <w:szCs w:val="18"/>
              </w:rPr>
              <w:t> </w:t>
            </w:r>
            <w:r>
              <w:rPr>
                <w:rFonts w:ascii="宋体" w:hAnsi="宋体" w:cs="宋体" w:eastAsia="宋体" w:hint="default"/>
                <w:sz w:val="18"/>
                <w:szCs w:val="18"/>
              </w:rPr>
              <w:t>的承诺</w:t>
            </w:r>
          </w:p>
        </w:tc>
        <w:tc>
          <w:tcPr>
            <w:tcW w:w="6149" w:type="dxa"/>
            <w:vMerge w:val="restart"/>
            <w:tcBorders>
              <w:top w:val="single" w:sz="4" w:space="0" w:color="000000"/>
              <w:left w:val="single" w:sz="4" w:space="0" w:color="000000"/>
              <w:right w:val="single" w:sz="4" w:space="0" w:color="000000"/>
            </w:tcBorders>
          </w:tcPr>
          <w:p>
            <w:pPr>
              <w:pStyle w:val="TableParagraph"/>
              <w:spacing w:line="357" w:lineRule="auto" w:before="11"/>
              <w:ind w:left="22" w:right="-4"/>
              <w:jc w:val="both"/>
              <w:rPr>
                <w:rFonts w:ascii="宋体" w:hAnsi="宋体" w:cs="宋体" w:eastAsia="宋体" w:hint="default"/>
                <w:sz w:val="18"/>
                <w:szCs w:val="18"/>
              </w:rPr>
            </w:pPr>
            <w:r>
              <w:rPr>
                <w:rFonts w:ascii="宋体" w:hAnsi="宋体" w:cs="宋体" w:eastAsia="宋体" w:hint="default"/>
                <w:spacing w:val="-1"/>
                <w:sz w:val="18"/>
                <w:szCs w:val="18"/>
              </w:rPr>
              <w:t>本次权益变动完成后，中国信科成为高鸿股份间接第一大股东。为避免与上市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公司发生同业竞争，中国信科出具了《关于避免与上市公司同业竞争的承诺》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承诺内容具体如下：“</w:t>
            </w:r>
            <w:r>
              <w:rPr>
                <w:rFonts w:ascii="宋体" w:hAnsi="宋体" w:cs="宋体" w:eastAsia="宋体" w:hint="default"/>
                <w:spacing w:val="-4"/>
                <w:sz w:val="18"/>
                <w:szCs w:val="18"/>
              </w:rPr>
              <w:t>1</w:t>
            </w:r>
            <w:r>
              <w:rPr>
                <w:rFonts w:ascii="宋体" w:hAnsi="宋体" w:cs="宋体" w:eastAsia="宋体" w:hint="default"/>
                <w:spacing w:val="-4"/>
                <w:sz w:val="18"/>
                <w:szCs w:val="18"/>
              </w:rPr>
              <w:t>、在本公司直接或间接持有上市公司控股权或作为上市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公司第一大股东期间，本公司及下属公司将不采取任何行为或措施，从事或参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与对上市公司及其子公司主营业务构成或可能构成实质性竞争的业务活动，且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不会侵害上市公司及其子公司的合法权益，包括但不限于未来设立其他子公司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或合营、联营企业从事与上市公司及其子公司现有主营业务构成实质性竞争的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业务，或用其他的方式直接或间接的参与上市公司及其子公司现有主营业务；</w:t>
            </w:r>
          </w:p>
          <w:p>
            <w:pPr>
              <w:pStyle w:val="TableParagraph"/>
              <w:spacing w:line="357" w:lineRule="auto" w:before="65"/>
              <w:ind w:left="22" w:right="21"/>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、如本公司及本公司控制的公司可能在将来与上市公司在主营业务方面构成</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1"/>
                <w:sz w:val="18"/>
                <w:szCs w:val="18"/>
              </w:rPr>
              <w:t>实质性同业竞争或与上市公司发生实质利益冲突，本公司将促使与上市公司构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成同业竞争的业务机会以公平、公允的市场价格，在适当时机全部注入上市公</w:t>
            </w:r>
          </w:p>
        </w:tc>
        <w:tc>
          <w:tcPr>
            <w:tcW w:w="715" w:type="dxa"/>
            <w:vMerge w:val="restart"/>
            <w:tcBorders>
              <w:top w:val="single" w:sz="4" w:space="0" w:color="000000"/>
              <w:left w:val="single" w:sz="4" w:space="0" w:color="000000"/>
              <w:right w:val="single" w:sz="4" w:space="0" w:color="000000"/>
            </w:tcBorders>
          </w:tcPr>
          <w:p>
            <w:pPr>
              <w:pStyle w:val="TableParagraph"/>
              <w:spacing w:line="1458" w:lineRule="exact"/>
              <w:ind w:left="1" w:right="-51"/>
              <w:jc w:val="left"/>
              <w:rPr>
                <w:rFonts w:ascii="宋体" w:hAnsi="宋体" w:cs="宋体" w:eastAsia="宋体" w:hint="default"/>
                <w:sz w:val="20"/>
                <w:szCs w:val="20"/>
              </w:rPr>
            </w:pPr>
            <w:r>
              <w:rPr>
                <w:rFonts w:ascii="宋体" w:hAnsi="宋体" w:cs="宋体" w:eastAsia="宋体" w:hint="default"/>
                <w:position w:val="-28"/>
                <w:sz w:val="20"/>
                <w:szCs w:val="20"/>
              </w:rPr>
              <w:pict>
                <v:group style="width:35.25pt;height:72.9pt;mso-position-horizontal-relative:char;mso-position-vertical-relative:line" coordorigin="0,0" coordsize="705,1458">
                  <v:group style="position:absolute;left:0;top:0;width:705;height:1458" coordorigin="0,0" coordsize="705,1458">
                    <v:shape style="position:absolute;left:0;top:0;width:705;height:1458" coordorigin="0,0" coordsize="705,1458" path="m0,1458l704,1458,704,0,0,0,0,1458xe" filled="true" fillcolor="#ffffff" stroked="false">
                      <v:path arrowok="t"/>
                      <v:fill type="solid"/>
                    </v:shape>
                  </v:group>
                </v:group>
              </w:pict>
            </w:r>
            <w:r>
              <w:rPr>
                <w:rFonts w:ascii="宋体" w:hAnsi="宋体" w:cs="宋体" w:eastAsia="宋体" w:hint="default"/>
                <w:position w:val="-28"/>
                <w:sz w:val="20"/>
                <w:szCs w:val="20"/>
              </w:rPr>
            </w:r>
          </w:p>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4" w:hRule="exact"/>
        </w:trPr>
        <w:tc>
          <w:tcPr>
            <w:tcW w:w="1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856" w:type="dxa"/>
            <w:vMerge/>
            <w:tcBorders>
              <w:left w:val="single" w:sz="9" w:space="0" w:color="D2D2D2"/>
              <w:right w:val="single" w:sz="4" w:space="0" w:color="000000"/>
            </w:tcBorders>
          </w:tcPr>
          <w:p>
            <w:pPr/>
          </w:p>
        </w:tc>
        <w:tc>
          <w:tcPr>
            <w:tcW w:w="829" w:type="dxa"/>
            <w:vMerge/>
            <w:tcBorders>
              <w:left w:val="single" w:sz="4" w:space="0" w:color="000000"/>
              <w:right w:val="single" w:sz="4" w:space="0" w:color="000000"/>
            </w:tcBorders>
          </w:tcPr>
          <w:p>
            <w:pPr/>
          </w:p>
        </w:tc>
        <w:tc>
          <w:tcPr>
            <w:tcW w:w="6149"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2913" w:hRule="exact"/>
        </w:trPr>
        <w:tc>
          <w:tcPr>
            <w:tcW w:w="1846" w:type="dxa"/>
            <w:tcBorders>
              <w:top w:val="nil" w:sz="6" w:space="0" w:color="auto"/>
              <w:left w:val="single" w:sz="4" w:space="0" w:color="000000"/>
              <w:bottom w:val="nil" w:sz="6" w:space="0" w:color="auto"/>
              <w:right w:val="single" w:sz="4" w:space="0" w:color="000000"/>
            </w:tcBorders>
            <w:shd w:val="clear" w:color="auto" w:fill="D2D2D2"/>
          </w:tcPr>
          <w:p>
            <w:pPr/>
          </w:p>
        </w:tc>
        <w:tc>
          <w:tcPr>
            <w:tcW w:w="856" w:type="dxa"/>
            <w:vMerge/>
            <w:tcBorders>
              <w:left w:val="single" w:sz="9" w:space="0" w:color="D2D2D2"/>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6149"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2052" w:type="dxa"/>
            <w:vMerge/>
            <w:tcBorders>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67" w:footer="979" w:top="1060" w:bottom="1160" w:left="1300" w:right="1300"/>
          <w:pgNumType w:start="4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1816" w:hRule="exact"/>
        </w:trPr>
        <w:tc>
          <w:tcPr>
            <w:tcW w:w="1846" w:type="dxa"/>
            <w:vMerge w:val="restart"/>
            <w:tcBorders>
              <w:top w:val="single" w:sz="6" w:space="0" w:color="000000"/>
              <w:left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829" w:type="dxa"/>
            <w:tcBorders>
              <w:top w:val="single" w:sz="15" w:space="0" w:color="000000"/>
              <w:left w:val="single" w:sz="4" w:space="0" w:color="000000"/>
              <w:bottom w:val="single" w:sz="4" w:space="0" w:color="000000"/>
              <w:right w:val="single" w:sz="4" w:space="0" w:color="000000"/>
            </w:tcBorders>
          </w:tcPr>
          <w:p>
            <w:pPr/>
          </w:p>
        </w:tc>
        <w:tc>
          <w:tcPr>
            <w:tcW w:w="6149" w:type="dxa"/>
            <w:tcBorders>
              <w:top w:val="single" w:sz="15"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司及其下属全资或控股子公司；</w:t>
            </w:r>
            <w:r>
              <w:rPr>
                <w:rFonts w:ascii="宋体" w:hAnsi="宋体" w:cs="宋体" w:eastAsia="宋体" w:hint="default"/>
                <w:sz w:val="18"/>
                <w:szCs w:val="18"/>
              </w:rPr>
              <w:t>3</w:t>
            </w:r>
            <w:r>
              <w:rPr>
                <w:rFonts w:ascii="宋体" w:hAnsi="宋体" w:cs="宋体" w:eastAsia="宋体" w:hint="default"/>
                <w:sz w:val="18"/>
                <w:szCs w:val="18"/>
              </w:rPr>
              <w:t>、本公司不会利用从上市公司了解或知悉的</w:t>
            </w:r>
          </w:p>
          <w:p>
            <w:pPr>
              <w:pStyle w:val="TableParagraph"/>
              <w:spacing w:line="357" w:lineRule="auto" w:before="115"/>
              <w:ind w:left="22" w:right="16"/>
              <w:jc w:val="both"/>
              <w:rPr>
                <w:rFonts w:ascii="宋体" w:hAnsi="宋体" w:cs="宋体" w:eastAsia="宋体" w:hint="default"/>
                <w:sz w:val="18"/>
                <w:szCs w:val="18"/>
              </w:rPr>
            </w:pPr>
            <w:r>
              <w:rPr>
                <w:rFonts w:ascii="宋体" w:hAnsi="宋体" w:cs="宋体" w:eastAsia="宋体" w:hint="default"/>
                <w:spacing w:val="4"/>
                <w:sz w:val="18"/>
                <w:szCs w:val="18"/>
              </w:rPr>
              <w:t>信息协助第三方从事或参与与上市公司现有从事业务存在实质性竞争或潜在 </w:t>
            </w:r>
            <w:r>
              <w:rPr>
                <w:rFonts w:ascii="宋体" w:hAnsi="宋体" w:cs="宋体" w:eastAsia="宋体" w:hint="default"/>
                <w:sz w:val="18"/>
                <w:szCs w:val="18"/>
              </w:rPr>
              <w:t>竞争的任何经营活动；</w:t>
            </w:r>
            <w:r>
              <w:rPr>
                <w:rFonts w:ascii="宋体" w:hAnsi="宋体" w:cs="宋体" w:eastAsia="宋体" w:hint="default"/>
                <w:sz w:val="18"/>
                <w:szCs w:val="18"/>
              </w:rPr>
              <w:t>4</w:t>
            </w:r>
            <w:r>
              <w:rPr>
                <w:rFonts w:ascii="宋体" w:hAnsi="宋体" w:cs="宋体" w:eastAsia="宋体" w:hint="default"/>
                <w:sz w:val="18"/>
                <w:szCs w:val="18"/>
              </w:rPr>
              <w:t>、如出现因本公司及本公司控制的其他企业违反上述</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1"/>
                <w:sz w:val="18"/>
                <w:szCs w:val="18"/>
              </w:rPr>
              <w:t>承诺而导致上市公司及其他股东的权益受到损害的情况，本公司将依法承担相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2"/>
                <w:sz w:val="18"/>
                <w:szCs w:val="18"/>
              </w:rPr>
              <w:t>应的赔偿责任。”</w:t>
            </w:r>
          </w:p>
        </w:tc>
        <w:tc>
          <w:tcPr>
            <w:tcW w:w="715" w:type="dxa"/>
            <w:tcBorders>
              <w:top w:val="single" w:sz="15" w:space="0" w:color="000000"/>
              <w:left w:val="single" w:sz="4" w:space="0" w:color="000000"/>
              <w:bottom w:val="single" w:sz="4" w:space="0" w:color="000000"/>
              <w:right w:val="single" w:sz="4" w:space="0" w:color="000000"/>
            </w:tcBorders>
          </w:tcPr>
          <w:p>
            <w:pPr/>
          </w:p>
        </w:tc>
        <w:tc>
          <w:tcPr>
            <w:tcW w:w="1567" w:type="dxa"/>
            <w:tcBorders>
              <w:top w:val="single" w:sz="15" w:space="0" w:color="000000"/>
              <w:left w:val="single" w:sz="4" w:space="0" w:color="000000"/>
              <w:bottom w:val="single" w:sz="4" w:space="0" w:color="000000"/>
              <w:right w:val="single" w:sz="4" w:space="0" w:color="000000"/>
            </w:tcBorders>
          </w:tcPr>
          <w:p>
            <w:pPr/>
          </w:p>
        </w:tc>
        <w:tc>
          <w:tcPr>
            <w:tcW w:w="2052" w:type="dxa"/>
            <w:tcBorders>
              <w:top w:val="single" w:sz="15" w:space="0" w:color="000000"/>
              <w:left w:val="single" w:sz="4" w:space="0" w:color="000000"/>
              <w:bottom w:val="single" w:sz="4" w:space="0" w:color="000000"/>
              <w:right w:val="single" w:sz="4" w:space="0" w:color="000000"/>
            </w:tcBorders>
          </w:tcPr>
          <w:p>
            <w:pPr/>
          </w:p>
        </w:tc>
      </w:tr>
      <w:tr>
        <w:trPr>
          <w:trHeight w:val="4642"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中国信息 通信科技 集团有限 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
              <w:jc w:val="both"/>
              <w:rPr>
                <w:rFonts w:ascii="宋体" w:hAnsi="宋体" w:cs="宋体" w:eastAsia="宋体" w:hint="default"/>
                <w:sz w:val="18"/>
                <w:szCs w:val="18"/>
              </w:rPr>
            </w:pPr>
            <w:r>
              <w:rPr>
                <w:rFonts w:ascii="宋体" w:hAnsi="宋体" w:cs="宋体" w:eastAsia="宋体" w:hint="default"/>
                <w:spacing w:val="13"/>
                <w:sz w:val="18"/>
                <w:szCs w:val="18"/>
              </w:rPr>
              <w:t>关于关联</w:t>
            </w:r>
            <w:r>
              <w:rPr>
                <w:rFonts w:ascii="宋体" w:hAnsi="宋体" w:cs="宋体" w:eastAsia="宋体" w:hint="default"/>
                <w:spacing w:val="-72"/>
                <w:sz w:val="18"/>
                <w:szCs w:val="18"/>
              </w:rPr>
              <w:t> </w:t>
            </w:r>
            <w:r>
              <w:rPr>
                <w:rFonts w:ascii="宋体" w:hAnsi="宋体" w:cs="宋体" w:eastAsia="宋体" w:hint="default"/>
                <w:spacing w:val="13"/>
                <w:sz w:val="18"/>
                <w:szCs w:val="18"/>
              </w:rPr>
              <w:t>交易的承</w:t>
            </w:r>
            <w:r>
              <w:rPr>
                <w:rFonts w:ascii="宋体" w:hAnsi="宋体" w:cs="宋体" w:eastAsia="宋体" w:hint="default"/>
                <w:spacing w:val="-72"/>
                <w:sz w:val="18"/>
                <w:szCs w:val="18"/>
              </w:rPr>
              <w:t> </w:t>
            </w:r>
            <w:r>
              <w:rPr>
                <w:rFonts w:ascii="宋体" w:hAnsi="宋体" w:cs="宋体" w:eastAsia="宋体" w:hint="default"/>
                <w:sz w:val="18"/>
                <w:szCs w:val="18"/>
              </w:rPr>
              <w:t>诺</w:t>
            </w:r>
          </w:p>
        </w:tc>
        <w:tc>
          <w:tcPr>
            <w:tcW w:w="6149" w:type="dxa"/>
            <w:tcBorders>
              <w:top w:val="single" w:sz="4" w:space="0" w:color="000000"/>
              <w:left w:val="single" w:sz="4" w:space="0" w:color="000000"/>
              <w:bottom w:val="single" w:sz="4" w:space="0" w:color="000000"/>
              <w:right w:val="single" w:sz="9" w:space="0" w:color="FFFFFF"/>
            </w:tcBorders>
          </w:tcPr>
          <w:p>
            <w:pPr>
              <w:pStyle w:val="TableParagraph"/>
              <w:spacing w:line="357"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为了规范将来可能发生的关联交易，维护上市公司及其全体股东尤其是中小股 </w:t>
            </w:r>
            <w:r>
              <w:rPr>
                <w:rFonts w:ascii="宋体" w:hAnsi="宋体" w:cs="宋体" w:eastAsia="宋体" w:hint="default"/>
                <w:spacing w:val="4"/>
                <w:sz w:val="18"/>
                <w:szCs w:val="18"/>
              </w:rPr>
              <w:t>东的合法权益，中国信科出具了《关于减少和规范与上市公司关联交易的承</w:t>
            </w:r>
            <w:r>
              <w:rPr>
                <w:rFonts w:ascii="宋体" w:hAnsi="宋体" w:cs="宋体" w:eastAsia="宋体" w:hint="default"/>
                <w:spacing w:val="4"/>
                <w:sz w:val="18"/>
                <w:szCs w:val="18"/>
              </w:rPr>
              <w:t> </w:t>
            </w:r>
            <w:r>
              <w:rPr>
                <w:rFonts w:ascii="宋体" w:hAnsi="宋体" w:cs="宋体" w:eastAsia="宋体" w:hint="default"/>
                <w:spacing w:val="-4"/>
                <w:sz w:val="18"/>
                <w:szCs w:val="18"/>
              </w:rPr>
              <w:t>诺》，承诺内容具体如下：“</w:t>
            </w:r>
            <w:r>
              <w:rPr>
                <w:rFonts w:ascii="宋体" w:hAnsi="宋体" w:cs="宋体" w:eastAsia="宋体" w:hint="default"/>
                <w:spacing w:val="-4"/>
                <w:sz w:val="18"/>
                <w:szCs w:val="18"/>
              </w:rPr>
              <w:t>1</w:t>
            </w:r>
            <w:r>
              <w:rPr>
                <w:rFonts w:ascii="宋体" w:hAnsi="宋体" w:cs="宋体" w:eastAsia="宋体" w:hint="default"/>
                <w:spacing w:val="-4"/>
                <w:sz w:val="18"/>
                <w:szCs w:val="18"/>
              </w:rPr>
              <w:t>、本公司将尽可能地避免与上市公司之间不必要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的关联交易发生；对持续经营所发生的必要的关联交易，本公司将在平等、自</w:t>
            </w:r>
            <w:r>
              <w:rPr>
                <w:rFonts w:ascii="宋体" w:hAnsi="宋体" w:cs="宋体" w:eastAsia="宋体" w:hint="default"/>
                <w:sz w:val="18"/>
                <w:szCs w:val="18"/>
              </w:rPr>
              <w:t> 愿的基础上，按照公平合理和正常的商业交易条件与上市公司进行交易，不会 要求或接受上市公司给予比在任何一项市场公平交易中第三者更优惠的条件， 并善意、严格地履行与上市公司签订的各项关联交易协议；</w:t>
            </w:r>
            <w:r>
              <w:rPr>
                <w:rFonts w:ascii="宋体" w:hAnsi="宋体" w:cs="宋体" w:eastAsia="宋体" w:hint="default"/>
                <w:sz w:val="18"/>
                <w:szCs w:val="18"/>
              </w:rPr>
              <w:t>2</w:t>
            </w:r>
            <w:r>
              <w:rPr>
                <w:rFonts w:ascii="宋体" w:hAnsi="宋体" w:cs="宋体" w:eastAsia="宋体" w:hint="default"/>
                <w:sz w:val="18"/>
                <w:szCs w:val="18"/>
              </w:rPr>
              <w:t>、本公司将根据</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5"/>
                <w:sz w:val="18"/>
                <w:szCs w:val="18"/>
              </w:rPr>
              <w:t>有关法律、法规和规范性文件以及上市公司的公司章程、关联交易制度的规定，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履行关联交易决策程序及信息披露义务；</w:t>
            </w:r>
            <w:r>
              <w:rPr>
                <w:rFonts w:ascii="宋体" w:hAnsi="宋体" w:cs="宋体" w:eastAsia="宋体" w:hint="default"/>
                <w:sz w:val="18"/>
                <w:szCs w:val="18"/>
              </w:rPr>
              <w:t>3</w:t>
            </w:r>
            <w:r>
              <w:rPr>
                <w:rFonts w:ascii="宋体" w:hAnsi="宋体" w:cs="宋体" w:eastAsia="宋体" w:hint="default"/>
                <w:sz w:val="18"/>
                <w:szCs w:val="18"/>
              </w:rPr>
              <w:t>、本公司将确保不通过与上市公司</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之间的关联交易非法转移上市公司的资金、利润，不利用关联交易恶意损害上</w:t>
            </w:r>
            <w:r>
              <w:rPr>
                <w:rFonts w:ascii="宋体" w:hAnsi="宋体" w:cs="宋体" w:eastAsia="宋体" w:hint="default"/>
                <w:sz w:val="18"/>
                <w:szCs w:val="18"/>
              </w:rPr>
              <w:t> 市公司及其股东的合法权益；</w:t>
            </w:r>
            <w:r>
              <w:rPr>
                <w:rFonts w:ascii="宋体" w:hAnsi="宋体" w:cs="宋体" w:eastAsia="宋体" w:hint="default"/>
                <w:sz w:val="18"/>
                <w:szCs w:val="18"/>
              </w:rPr>
              <w:t>4</w:t>
            </w:r>
            <w:r>
              <w:rPr>
                <w:rFonts w:ascii="宋体" w:hAnsi="宋体" w:cs="宋体" w:eastAsia="宋体" w:hint="default"/>
                <w:sz w:val="18"/>
                <w:szCs w:val="18"/>
              </w:rPr>
              <w:t>、本公司有关规范关联交易的承诺，将同样适</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用于本公司关联方；本公司将在合法权限范围内促成本公司关联方履行规范与</w:t>
            </w:r>
            <w:r>
              <w:rPr>
                <w:rFonts w:ascii="宋体" w:hAnsi="宋体" w:cs="宋体" w:eastAsia="宋体" w:hint="default"/>
                <w:sz w:val="18"/>
                <w:szCs w:val="18"/>
              </w:rPr>
              <w:t> </w:t>
            </w:r>
            <w:r>
              <w:rPr>
                <w:rFonts w:ascii="宋体" w:hAnsi="宋体" w:cs="宋体" w:eastAsia="宋体" w:hint="default"/>
                <w:spacing w:val="-5"/>
                <w:sz w:val="18"/>
                <w:szCs w:val="18"/>
              </w:rPr>
              <w:t>上市公司之间可能发生的关联交易的义务。”</w:t>
            </w:r>
          </w:p>
        </w:tc>
        <w:tc>
          <w:tcPr>
            <w:tcW w:w="71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351" w:lineRule="exact"/>
              <w:ind w:left="17"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2.950pt;height:17.6pt;mso-position-horizontal-relative:char;mso-position-vertical-relative:line" coordorigin="0,0" coordsize="659,352">
                  <v:group style="position:absolute;left:0;top:0;width:659;height:352" coordorigin="0,0" coordsize="659,352">
                    <v:shape style="position:absolute;left:0;top:0;width:659;height:352" coordorigin="0,0" coordsize="659,352" path="m0,352l659,352,659,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7"/>
                <w:szCs w:val="17"/>
              </w:rPr>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0" w:hRule="exact"/>
        </w:trPr>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1"/>
              <w:jc w:val="both"/>
              <w:rPr>
                <w:rFonts w:ascii="宋体" w:hAnsi="宋体" w:cs="宋体" w:eastAsia="宋体" w:hint="default"/>
                <w:sz w:val="18"/>
                <w:szCs w:val="18"/>
              </w:rPr>
            </w:pPr>
            <w:r>
              <w:rPr>
                <w:rFonts w:ascii="宋体" w:hAnsi="宋体" w:cs="宋体" w:eastAsia="宋体" w:hint="default"/>
                <w:sz w:val="18"/>
                <w:szCs w:val="18"/>
              </w:rPr>
              <w:t>南京庆亚 贸易有限 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7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both"/>
              <w:rPr>
                <w:rFonts w:ascii="宋体" w:hAnsi="宋体" w:cs="宋体" w:eastAsia="宋体" w:hint="default"/>
                <w:sz w:val="18"/>
                <w:szCs w:val="18"/>
              </w:rPr>
            </w:pPr>
            <w:r>
              <w:rPr>
                <w:rFonts w:ascii="宋体" w:hAnsi="宋体" w:cs="宋体" w:eastAsia="宋体" w:hint="default"/>
                <w:spacing w:val="-1"/>
                <w:sz w:val="18"/>
                <w:szCs w:val="18"/>
              </w:rPr>
              <w:t>关于认购高鸿股份非公开发行股份锁定的承诺：本公司本次认购的上市公司新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增股份的限售期，即不得通过证券市场公开交易或协议方式转让的期限，为股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份发行结束之日即本公司认购的上市公司股份上市之日起</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新增股份之日起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both"/>
              <w:rPr>
                <w:rFonts w:ascii="宋体" w:hAnsi="宋体" w:cs="宋体" w:eastAsia="宋体" w:hint="default"/>
                <w:sz w:val="18"/>
                <w:szCs w:val="18"/>
              </w:rPr>
            </w:pPr>
            <w:r>
              <w:rPr>
                <w:rFonts w:ascii="宋体" w:hAnsi="宋体" w:cs="宋体" w:eastAsia="宋体" w:hint="default"/>
                <w:spacing w:val="-12"/>
                <w:sz w:val="18"/>
                <w:szCs w:val="18"/>
              </w:rPr>
              <w:t>报告期内，履行完毕。</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日股东南京庆 亚贸易有限公司持有的限 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19,280,095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 流通</w:t>
            </w:r>
          </w:p>
        </w:tc>
      </w:tr>
      <w:tr>
        <w:trPr>
          <w:trHeight w:val="1298"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华安基金 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鹏华 资产管理</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7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承诺此次获配的股份从本次新增股份上市首日起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新增股份之日起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个月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0"/>
              <w:jc w:val="both"/>
              <w:rPr>
                <w:rFonts w:ascii="宋体" w:hAnsi="宋体" w:cs="宋体" w:eastAsia="宋体" w:hint="default"/>
                <w:sz w:val="18"/>
                <w:szCs w:val="18"/>
              </w:rPr>
            </w:pPr>
            <w:r>
              <w:rPr>
                <w:rFonts w:ascii="宋体" w:hAnsi="宋体" w:cs="宋体" w:eastAsia="宋体" w:hint="default"/>
                <w:spacing w:val="-12"/>
                <w:sz w:val="18"/>
                <w:szCs w:val="18"/>
              </w:rPr>
              <w:t>报告期内，履行完毕。</w:t>
            </w:r>
            <w:r>
              <w:rPr>
                <w:rFonts w:ascii="Times New Roman" w:hAnsi="Times New Roman" w:cs="Times New Roman" w:eastAsia="Times New Roman" w:hint="default"/>
                <w:spacing w:val="-12"/>
                <w:sz w:val="18"/>
                <w:szCs w:val="18"/>
              </w:rPr>
              <w:t>2018</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日鹏华资产管理 有限公司、华安基金管理 有限公司、韦光宗等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w:t>
            </w:r>
          </w:p>
        </w:tc>
      </w:tr>
    </w:tbl>
    <w:p>
      <w:pPr>
        <w:spacing w:after="0" w:line="307" w:lineRule="auto"/>
        <w:jc w:val="both"/>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554.919983pt;margin-top:289.960022pt;width:35.25pt;height:148.25pt;mso-position-horizontal-relative:page;mso-position-vertical-relative:page;z-index:-1545904" coordorigin="11098,5799" coordsize="705,2965">
            <v:shape style="position:absolute;left:11098;top:5799;width:705;height:2965" coordorigin="11098,5799" coordsize="705,2965" path="m11098,8764l11803,8764,11803,5799,11098,5799,11098,8764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5"/>
      </w:tblGrid>
      <w:tr>
        <w:trPr>
          <w:trHeight w:val="689" w:hRule="exact"/>
        </w:trPr>
        <w:tc>
          <w:tcPr>
            <w:tcW w:w="1846" w:type="dxa"/>
            <w:vMerge w:val="restart"/>
            <w:tcBorders>
              <w:top w:val="single" w:sz="15" w:space="0" w:color="000000"/>
              <w:left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single" w:sz="4" w:space="0" w:color="000000"/>
              <w:right w:val="single" w:sz="4" w:space="0" w:color="000000"/>
            </w:tcBorders>
          </w:tcPr>
          <w:p>
            <w:pPr>
              <w:pStyle w:val="TableParagraph"/>
              <w:spacing w:line="302" w:lineRule="auto" w:before="10"/>
              <w:ind w:left="22" w:right="51"/>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韦光宗</w:t>
            </w:r>
          </w:p>
        </w:tc>
        <w:tc>
          <w:tcPr>
            <w:tcW w:w="829" w:type="dxa"/>
            <w:tcBorders>
              <w:top w:val="single" w:sz="15" w:space="0" w:color="000000"/>
              <w:left w:val="single" w:sz="4" w:space="0" w:color="000000"/>
              <w:bottom w:val="single" w:sz="4" w:space="0" w:color="000000"/>
              <w:right w:val="single" w:sz="4" w:space="0" w:color="000000"/>
            </w:tcBorders>
          </w:tcPr>
          <w:p>
            <w:pPr/>
          </w:p>
        </w:tc>
        <w:tc>
          <w:tcPr>
            <w:tcW w:w="6149" w:type="dxa"/>
            <w:tcBorders>
              <w:top w:val="single" w:sz="15" w:space="0" w:color="000000"/>
              <w:left w:val="single" w:sz="4" w:space="0" w:color="000000"/>
              <w:bottom w:val="single" w:sz="4" w:space="0" w:color="000000"/>
              <w:right w:val="single" w:sz="4" w:space="0" w:color="000000"/>
            </w:tcBorders>
          </w:tcPr>
          <w:p>
            <w:pPr/>
          </w:p>
        </w:tc>
        <w:tc>
          <w:tcPr>
            <w:tcW w:w="715" w:type="dxa"/>
            <w:tcBorders>
              <w:top w:val="single" w:sz="15" w:space="0" w:color="000000"/>
              <w:left w:val="single" w:sz="4" w:space="0" w:color="000000"/>
              <w:bottom w:val="single" w:sz="4" w:space="0" w:color="000000"/>
              <w:right w:val="single" w:sz="4" w:space="0" w:color="000000"/>
            </w:tcBorders>
          </w:tcPr>
          <w:p>
            <w:pPr/>
          </w:p>
        </w:tc>
        <w:tc>
          <w:tcPr>
            <w:tcW w:w="1567" w:type="dxa"/>
            <w:tcBorders>
              <w:top w:val="single" w:sz="15" w:space="0" w:color="000000"/>
              <w:left w:val="single" w:sz="4" w:space="0" w:color="000000"/>
              <w:bottom w:val="single" w:sz="4" w:space="0" w:color="000000"/>
              <w:right w:val="single" w:sz="4" w:space="0" w:color="000000"/>
            </w:tcBorders>
          </w:tcPr>
          <w:p>
            <w:pPr/>
          </w:p>
        </w:tc>
        <w:tc>
          <w:tcPr>
            <w:tcW w:w="205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股东合计持有的限售股份</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13,377,775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股上市流通</w:t>
            </w:r>
          </w:p>
        </w:tc>
      </w:tr>
      <w:tr>
        <w:trPr>
          <w:trHeight w:val="6955"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01"/>
              <w:jc w:val="both"/>
              <w:rPr>
                <w:rFonts w:ascii="宋体" w:hAnsi="宋体" w:cs="宋体" w:eastAsia="宋体" w:hint="default"/>
                <w:sz w:val="18"/>
                <w:szCs w:val="18"/>
              </w:rPr>
            </w:pPr>
            <w:r>
              <w:rPr>
                <w:rFonts w:ascii="宋体" w:hAnsi="宋体" w:cs="宋体" w:eastAsia="宋体" w:hint="default"/>
                <w:sz w:val="18"/>
                <w:szCs w:val="18"/>
              </w:rPr>
              <w:t>南京庆亚 贸易有限 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7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南京庆亚贸易有限公司关于与上市公司避免同业竞争的承诺：</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．本公司没有</w:t>
            </w:r>
            <w:r>
              <w:rPr>
                <w:rFonts w:ascii="宋体" w:hAnsi="宋体" w:cs="宋体" w:eastAsia="宋体" w:hint="default"/>
                <w:sz w:val="18"/>
                <w:szCs w:val="18"/>
              </w:rPr>
              <w:t> 直接或间接通过其直接或间接控制的其他经营主体直接从事与上市公司及高 鸿鼎恒现有业务相同或类似的业务。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．在本公司作为上市公司的股东期间和 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个月内，将不在中国境内外以控股另一公司股份的形式直接或间接 从事任何在商业上对上市公司及高鸿鼎恒构成竞争的业务和活动。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在本公司 作为上市公司的股东期间和之后的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个月内，若上市公司及高鸿鼎恒因新的 </w:t>
            </w:r>
            <w:r>
              <w:rPr>
                <w:rFonts w:ascii="宋体" w:hAnsi="宋体" w:cs="宋体" w:eastAsia="宋体" w:hint="default"/>
                <w:spacing w:val="-1"/>
                <w:sz w:val="18"/>
                <w:szCs w:val="18"/>
              </w:rPr>
              <w:t>商业机会从事新的业务领域，则本公司将不在中国境内外以控股或以参股但拥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有实质控制权的方式从事与上市公司及高鸿鼎恒新业务构成竞争关系的业务 </w:t>
            </w:r>
            <w:r>
              <w:rPr>
                <w:rFonts w:ascii="宋体" w:hAnsi="宋体" w:cs="宋体" w:eastAsia="宋体" w:hint="default"/>
                <w:spacing w:val="-1"/>
                <w:sz w:val="18"/>
                <w:szCs w:val="18"/>
              </w:rPr>
              <w:t>活动。如有充分证据证明上述承诺是不真实的或未被遵守，本公司愿意承担因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违反上述承诺给上市公司造成的全部经济损失。 南京庆亚贸易有限公司关于 规范与上市公司关联交易的承诺：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．本公司将按照公司法等法律法规、上市 </w:t>
            </w:r>
            <w:r>
              <w:rPr>
                <w:rFonts w:ascii="宋体" w:hAnsi="宋体" w:cs="宋体" w:eastAsia="宋体" w:hint="default"/>
                <w:spacing w:val="-1"/>
                <w:sz w:val="18"/>
                <w:szCs w:val="18"/>
              </w:rPr>
              <w:t>公司、高鸿鼎恒公司章程的有关规定行使股东权利；在股东大会对涉及本公司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的关联交易进行表决时，履行回避表决的义务。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．本公司将避免一切非法占 </w:t>
            </w:r>
            <w:r>
              <w:rPr>
                <w:rFonts w:ascii="宋体" w:hAnsi="宋体" w:cs="宋体" w:eastAsia="宋体" w:hint="default"/>
                <w:spacing w:val="-1"/>
                <w:sz w:val="18"/>
                <w:szCs w:val="18"/>
              </w:rPr>
              <w:t>用上市公司、高鸿鼎恒的资金、资产的行为，在任何情况下，不要求上市公司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及高鸿鼎恒向本公司、本公司股东及本公司投资或控制的其他企业提供任何形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．本公司将尽可能地避免和减少与上市公司的关联交易；对无法 </w:t>
            </w:r>
            <w:r>
              <w:rPr>
                <w:rFonts w:ascii="宋体" w:hAnsi="宋体" w:cs="宋体" w:eastAsia="宋体" w:hint="default"/>
                <w:spacing w:val="-4"/>
                <w:sz w:val="18"/>
                <w:szCs w:val="18"/>
              </w:rPr>
              <w:t>避免或者有合理原因而发生的关联交易，将遵循市场公正、公平、公开的原则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6"/>
                <w:sz w:val="18"/>
                <w:szCs w:val="18"/>
              </w:rPr>
              <w:t>并依法签订协议，履行合法程序，按照上市公司公司章程、有关法律法规和《深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圳证券交易所股票上市规则》等有关规定履行信息披露义务和办理有关报批程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序，保证不通过关联交易损害上市公司及其他股东的合法权益。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．本公司对 因其未履行本承诺函所作的承诺而给上市公司及高鸿鼎恒造成的一切直接损 失承担赔偿责任。</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4" w:right="91"/>
              <w:jc w:val="left"/>
              <w:rPr>
                <w:rFonts w:ascii="宋体" w:hAnsi="宋体" w:cs="宋体" w:eastAsia="宋体" w:hint="default"/>
                <w:sz w:val="18"/>
                <w:szCs w:val="18"/>
              </w:rPr>
            </w:pPr>
            <w:r>
              <w:rPr>
                <w:rFonts w:ascii="宋体" w:hAnsi="宋体" w:cs="宋体" w:eastAsia="宋体" w:hint="default"/>
                <w:sz w:val="18"/>
                <w:szCs w:val="18"/>
              </w:rPr>
              <w:t>作为公司股东和之 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0"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电信科学技术研究院关于与上市公司避免同业竞争的承诺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目前本院及下属除 </w:t>
            </w:r>
            <w:r>
              <w:rPr>
                <w:rFonts w:ascii="宋体" w:hAnsi="宋体" w:cs="宋体" w:eastAsia="宋体" w:hint="default"/>
                <w:spacing w:val="-1"/>
                <w:sz w:val="18"/>
                <w:szCs w:val="18"/>
              </w:rPr>
              <w:t>你公司外其他企业与你公司不存在同业竞争关系。同时本院承诺：在本院作为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你公司控股股东或第一大股东期间，本院及下属除你公司以外的其他企业将不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从事与你公司存在同业竞争的具体业务，也不会利用对公司的控股关系做出任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何有损你公司利益的行为。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91"/>
              <w:jc w:val="both"/>
              <w:rPr>
                <w:rFonts w:ascii="宋体" w:hAnsi="宋体" w:cs="宋体" w:eastAsia="宋体" w:hint="default"/>
                <w:sz w:val="18"/>
                <w:szCs w:val="18"/>
              </w:rPr>
            </w:pPr>
            <w:r>
              <w:rPr>
                <w:rFonts w:ascii="宋体" w:hAnsi="宋体" w:cs="宋体" w:eastAsia="宋体" w:hint="default"/>
                <w:sz w:val="18"/>
                <w:szCs w:val="18"/>
              </w:rPr>
              <w:t>电信科学技术研究 院有限公司作为控 股股东期间</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280"/>
        </w:sectPr>
      </w:pPr>
    </w:p>
    <w:p>
      <w:pPr>
        <w:spacing w:line="240" w:lineRule="auto" w:before="4"/>
        <w:rPr>
          <w:rFonts w:ascii="Times New Roman" w:hAnsi="Times New Roman" w:cs="Times New Roman" w:eastAsia="Times New Roman" w:hint="default"/>
          <w:sz w:val="3"/>
          <w:szCs w:val="3"/>
        </w:rPr>
      </w:pPr>
      <w:r>
        <w:rPr/>
        <w:pict>
          <v:shape style="position:absolute;margin-left:548.679993pt;margin-top:251.440002pt;width:41.5pt;height:78pt;mso-position-horizontal-relative:page;mso-position-vertical-relative:page;z-index:-1545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54.919983pt;margin-top:251.440002pt;width:35.25pt;height:78pt;mso-position-horizontal-relative:page;mso-position-vertical-relative:page;z-index:-1545856" coordorigin="11098,5029" coordsize="705,1560">
            <v:shape style="position:absolute;left:11098;top:5029;width:705;height:1560" coordorigin="11098,5029" coordsize="705,1560" path="m11098,6589l11803,6589,11803,5029,11098,5029,11098,6589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377" w:hRule="exact"/>
        </w:trPr>
        <w:tc>
          <w:tcPr>
            <w:tcW w:w="1846" w:type="dxa"/>
            <w:vMerge w:val="restart"/>
            <w:tcBorders>
              <w:top w:val="single" w:sz="15" w:space="0" w:color="000000"/>
              <w:left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8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6149" w:type="dxa"/>
            <w:tcBorders>
              <w:top w:val="single" w:sz="15" w:space="0" w:color="000000"/>
              <w:left w:val="single" w:sz="4" w:space="0" w:color="000000"/>
              <w:bottom w:val="single" w:sz="4" w:space="0" w:color="000000"/>
              <w:right w:val="single" w:sz="4" w:space="0" w:color="000000"/>
            </w:tcBorders>
          </w:tcPr>
          <w:p>
            <w:pPr/>
          </w:p>
        </w:tc>
        <w:tc>
          <w:tcPr>
            <w:tcW w:w="715" w:type="dxa"/>
            <w:tcBorders>
              <w:top w:val="single" w:sz="15" w:space="0" w:color="000000"/>
              <w:left w:val="single" w:sz="4" w:space="0" w:color="000000"/>
              <w:bottom w:val="single" w:sz="4" w:space="0" w:color="000000"/>
              <w:right w:val="single" w:sz="4" w:space="0" w:color="000000"/>
            </w:tcBorders>
          </w:tcPr>
          <w:p>
            <w:pPr/>
          </w:p>
        </w:tc>
        <w:tc>
          <w:tcPr>
            <w:tcW w:w="1567" w:type="dxa"/>
            <w:tcBorders>
              <w:top w:val="single" w:sz="15" w:space="0" w:color="000000"/>
              <w:left w:val="single" w:sz="4" w:space="0" w:color="000000"/>
              <w:bottom w:val="single" w:sz="4" w:space="0" w:color="000000"/>
              <w:right w:val="single" w:sz="4" w:space="0" w:color="000000"/>
            </w:tcBorders>
          </w:tcPr>
          <w:p>
            <w:pPr/>
          </w:p>
        </w:tc>
        <w:tc>
          <w:tcPr>
            <w:tcW w:w="2052" w:type="dxa"/>
            <w:tcBorders>
              <w:top w:val="single" w:sz="15" w:space="0" w:color="000000"/>
              <w:left w:val="single" w:sz="4" w:space="0" w:color="000000"/>
              <w:bottom w:val="single" w:sz="4" w:space="0" w:color="000000"/>
              <w:right w:val="single" w:sz="4" w:space="0" w:color="000000"/>
            </w:tcBorders>
          </w:tcPr>
          <w:p>
            <w:pPr/>
          </w:p>
        </w:tc>
      </w:tr>
      <w:tr>
        <w:trPr>
          <w:trHeight w:val="358"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nil" w:sz="6" w:space="0" w:color="auto"/>
              <w:right w:val="single" w:sz="4" w:space="0" w:color="000000"/>
            </w:tcBorders>
          </w:tcPr>
          <w:p>
            <w:pPr/>
          </w:p>
        </w:tc>
        <w:tc>
          <w:tcPr>
            <w:tcW w:w="829" w:type="dxa"/>
            <w:tcBorders>
              <w:top w:val="single" w:sz="4" w:space="0" w:color="000000"/>
              <w:left w:val="single" w:sz="4" w:space="0" w:color="000000"/>
              <w:bottom w:val="nil" w:sz="6" w:space="0" w:color="auto"/>
              <w:right w:val="single" w:sz="4" w:space="0" w:color="000000"/>
            </w:tcBorders>
          </w:tcPr>
          <w:p>
            <w:pPr/>
          </w:p>
        </w:tc>
        <w:tc>
          <w:tcPr>
            <w:tcW w:w="61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关于暂停股份转让的承诺函如本次交易所提供或披露的信息涉嫌虚假记载、误</w:t>
            </w:r>
          </w:p>
        </w:tc>
        <w:tc>
          <w:tcPr>
            <w:tcW w:w="715" w:type="dxa"/>
            <w:tcBorders>
              <w:top w:val="single" w:sz="4" w:space="0" w:color="000000"/>
              <w:left w:val="single" w:sz="4" w:space="0" w:color="000000"/>
              <w:bottom w:val="nil" w:sz="6" w:space="0" w:color="auto"/>
              <w:right w:val="single" w:sz="4" w:space="0" w:color="000000"/>
            </w:tcBorders>
          </w:tcPr>
          <w:p>
            <w:pPr/>
          </w:p>
        </w:tc>
        <w:tc>
          <w:tcPr>
            <w:tcW w:w="1567" w:type="dxa"/>
            <w:tcBorders>
              <w:top w:val="single" w:sz="4" w:space="0" w:color="000000"/>
              <w:left w:val="single" w:sz="4" w:space="0" w:color="000000"/>
              <w:bottom w:val="nil" w:sz="6" w:space="0" w:color="auto"/>
              <w:right w:val="single" w:sz="4" w:space="0" w:color="000000"/>
            </w:tcBorders>
          </w:tcPr>
          <w:p>
            <w:pPr/>
          </w:p>
        </w:tc>
        <w:tc>
          <w:tcPr>
            <w:tcW w:w="2052" w:type="dxa"/>
            <w:tcBorders>
              <w:top w:val="single" w:sz="4" w:space="0" w:color="000000"/>
              <w:left w:val="single" w:sz="4" w:space="0" w:color="000000"/>
              <w:bottom w:val="nil" w:sz="6" w:space="0" w:color="auto"/>
              <w:right w:val="single" w:sz="4" w:space="0" w:color="000000"/>
            </w:tcBorders>
          </w:tcPr>
          <w:p>
            <w:pPr/>
          </w:p>
        </w:tc>
      </w:tr>
      <w:tr>
        <w:trPr>
          <w:trHeight w:val="281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司；大唐 高鸿数据 网络技术 股份有限 公司</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
              <w:jc w:val="left"/>
              <w:rPr>
                <w:rFonts w:ascii="宋体" w:hAnsi="宋体" w:cs="宋体" w:eastAsia="宋体" w:hint="default"/>
                <w:sz w:val="18"/>
                <w:szCs w:val="18"/>
              </w:rPr>
            </w:pPr>
            <w:r>
              <w:rPr>
                <w:rFonts w:ascii="宋体" w:hAnsi="宋体" w:cs="宋体" w:eastAsia="宋体" w:hint="default"/>
                <w:sz w:val="18"/>
                <w:szCs w:val="18"/>
              </w:rPr>
              <w:t>导性陈述或者重大遗漏，被司法机关立案侦查或者被中国证监会立案调查的， 在形成调查结论以前，本院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本人不转让在高鸿股份拥有权益的股份， 并于收到立案稽查通知的两个交易日内将暂停转让的书面申请和股票账户提 </w:t>
            </w:r>
            <w:r>
              <w:rPr>
                <w:rFonts w:ascii="宋体" w:hAnsi="宋体" w:cs="宋体" w:eastAsia="宋体" w:hint="default"/>
                <w:spacing w:val="-1"/>
                <w:sz w:val="18"/>
                <w:szCs w:val="18"/>
              </w:rPr>
              <w:t>交高鸿股份董事会，由高鸿股份董事会代本公司向证券交易所和登记结算公司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申请锁定；未在两个交易日内提交锁定申请的，授权高鸿股份董事会核实后直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接向证券交易所和登记结算公司报送本公司的身份信息和账户信息并申请锁 </w:t>
            </w:r>
            <w:r>
              <w:rPr>
                <w:rFonts w:ascii="宋体" w:hAnsi="宋体" w:cs="宋体" w:eastAsia="宋体" w:hint="default"/>
                <w:spacing w:val="-1"/>
                <w:sz w:val="18"/>
                <w:szCs w:val="18"/>
              </w:rPr>
              <w:t>定；高鸿股份董事会未向证券交易所和登记结算公司报送本公司的身份信息和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账户信息的，授权证券交易所和登记结算公司直接锁定相关股份。如调查结论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发现存在违法违规情节，本院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本人承诺锁定股份自愿用于相关投资者</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829" w:type="dxa"/>
            <w:tcBorders>
              <w:top w:val="nil" w:sz="6" w:space="0" w:color="auto"/>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赔偿安排。</w:t>
            </w:r>
          </w:p>
        </w:tc>
        <w:tc>
          <w:tcPr>
            <w:tcW w:w="715"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
        </w:tc>
        <w:tc>
          <w:tcPr>
            <w:tcW w:w="205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nil" w:sz="6" w:space="0" w:color="auto"/>
              <w:right w:val="single" w:sz="4" w:space="0" w:color="000000"/>
            </w:tcBorders>
          </w:tcPr>
          <w:p>
            <w:pPr/>
          </w:p>
        </w:tc>
        <w:tc>
          <w:tcPr>
            <w:tcW w:w="829" w:type="dxa"/>
            <w:tcBorders>
              <w:top w:val="single" w:sz="4" w:space="0" w:color="000000"/>
              <w:left w:val="single" w:sz="4" w:space="0" w:color="000000"/>
              <w:bottom w:val="nil" w:sz="6" w:space="0" w:color="auto"/>
              <w:right w:val="single" w:sz="4" w:space="0" w:color="000000"/>
            </w:tcBorders>
          </w:tcPr>
          <w:p>
            <w:pPr/>
          </w:p>
        </w:tc>
        <w:tc>
          <w:tcPr>
            <w:tcW w:w="61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关于本次发行股份购买资产并配套募集资金摊薄即期回报的应对措施承诺：</w:t>
            </w:r>
          </w:p>
        </w:tc>
        <w:tc>
          <w:tcPr>
            <w:tcW w:w="715" w:type="dxa"/>
            <w:tcBorders>
              <w:top w:val="single" w:sz="4" w:space="0" w:color="000000"/>
              <w:left w:val="single" w:sz="4" w:space="0" w:color="000000"/>
              <w:bottom w:val="nil" w:sz="6" w:space="0" w:color="auto"/>
              <w:right w:val="single" w:sz="4" w:space="0" w:color="000000"/>
            </w:tcBorders>
          </w:tcPr>
          <w:p>
            <w:pPr/>
          </w:p>
        </w:tc>
        <w:tc>
          <w:tcPr>
            <w:tcW w:w="1567" w:type="dxa"/>
            <w:tcBorders>
              <w:top w:val="single" w:sz="4" w:space="0" w:color="000000"/>
              <w:left w:val="single" w:sz="4" w:space="0" w:color="000000"/>
              <w:bottom w:val="nil" w:sz="6" w:space="0" w:color="auto"/>
              <w:right w:val="single" w:sz="4" w:space="0" w:color="000000"/>
            </w:tcBorders>
          </w:tcPr>
          <w:p>
            <w:pPr/>
          </w:p>
        </w:tc>
        <w:tc>
          <w:tcPr>
            <w:tcW w:w="205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）本人承诺不无偿或以不公平条件向其他单位或者个人输送利益，也不采</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用其他方式损害公司利益</w:t>
            </w:r>
            <w:r>
              <w:rPr>
                <w:rFonts w:ascii="宋体" w:hAnsi="宋体" w:cs="宋体" w:eastAsia="宋体" w:hint="default"/>
                <w:spacing w:val="-13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39"/>
                <w:sz w:val="18"/>
                <w:szCs w:val="18"/>
              </w:rPr>
              <w:t>）</w:t>
            </w:r>
            <w:r>
              <w:rPr>
                <w:rFonts w:ascii="宋体" w:hAnsi="宋体" w:cs="宋体" w:eastAsia="宋体" w:hint="default"/>
                <w:sz w:val="18"/>
                <w:szCs w:val="18"/>
              </w:rPr>
              <w:t>本人承诺对</w:t>
            </w:r>
            <w:r>
              <w:rPr>
                <w:rFonts w:ascii="宋体" w:hAnsi="宋体" w:cs="宋体" w:eastAsia="宋体" w:hint="default"/>
                <w:spacing w:val="-2"/>
                <w:sz w:val="18"/>
                <w:szCs w:val="18"/>
              </w:rPr>
              <w:t>本</w:t>
            </w:r>
            <w:r>
              <w:rPr>
                <w:rFonts w:ascii="宋体" w:hAnsi="宋体" w:cs="宋体" w:eastAsia="宋体" w:hint="default"/>
                <w:sz w:val="18"/>
                <w:szCs w:val="18"/>
              </w:rPr>
              <w:t>人的职务消费行为进行约束</w:t>
            </w:r>
            <w:r>
              <w:rPr>
                <w:rFonts w:ascii="宋体" w:hAnsi="宋体" w:cs="宋体" w:eastAsia="宋体" w:hint="default"/>
                <w:spacing w:val="-12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本人承诺不动用公司资产从事与其履行职责无关的投资</w:t>
            </w:r>
            <w:r>
              <w:rPr>
                <w:rFonts w:ascii="宋体" w:hAnsi="宋体" w:cs="宋体" w:eastAsia="宋体" w:hint="default"/>
                <w:spacing w:val="-10"/>
                <w:sz w:val="18"/>
                <w:szCs w:val="18"/>
              </w:rPr>
              <w:t>、</w:t>
            </w:r>
            <w:r>
              <w:rPr>
                <w:rFonts w:ascii="宋体" w:hAnsi="宋体" w:cs="宋体" w:eastAsia="宋体" w:hint="default"/>
                <w:sz w:val="18"/>
                <w:szCs w:val="18"/>
              </w:rPr>
              <w:t>消费活动</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9"/>
                <w:sz w:val="18"/>
                <w:szCs w:val="18"/>
              </w:rPr>
              <w:t>）</w:t>
            </w:r>
            <w:r>
              <w:rPr>
                <w:rFonts w:ascii="宋体" w:hAnsi="宋体" w:cs="宋体" w:eastAsia="宋体" w:hint="default"/>
                <w:sz w:val="18"/>
                <w:szCs w:val="18"/>
              </w:rPr>
              <w:t>本人</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大唐高鸿 数据网络 技术股份 有限公司</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承诺由董事会或薪酬与考核委员会制定的相关薪酬制度与公司填补回报措施 </w:t>
            </w:r>
            <w:r>
              <w:rPr>
                <w:rFonts w:ascii="宋体" w:hAnsi="宋体" w:cs="宋体" w:eastAsia="宋体" w:hint="default"/>
                <w:spacing w:val="-4"/>
                <w:sz w:val="18"/>
                <w:szCs w:val="18"/>
              </w:rPr>
              <w:t>的执行情况相挂钩。（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）若公司后续推出公司股权激励政策，本人承诺拟公布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的公司股权激励的行权条件与公司填补回报措施的执行情况相挂钩。（</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）自本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承诺出具日至公司本次资产重组实施完毕前，若中国证监会作出关于填补回报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措施及其承诺的其他新的监管规定的，且上述承诺不能满足中国证监会该等规</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定时，本人承诺届时将按照中国证监会的最新规定出具补充承诺。作为填补回</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报措施相关责任主体之一，若违反上述承诺或拒不履行上述承诺，本人同意按</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照中国证监会和深圳证券交易所等证券监管机构按照其制定或发布的有关规</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829" w:type="dxa"/>
            <w:tcBorders>
              <w:top w:val="nil" w:sz="6" w:space="0" w:color="auto"/>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定、规则，对本人作出相关处罚或采取相关管理措施。</w:t>
            </w:r>
          </w:p>
        </w:tc>
        <w:tc>
          <w:tcPr>
            <w:tcW w:w="715"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
        </w:tc>
        <w:tc>
          <w:tcPr>
            <w:tcW w:w="2052"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南京庆亚 贸易有限 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提供信息和文件真实、准确、完整的承诺：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本公司已向上市公司及为本次交</w:t>
            </w:r>
            <w:r>
              <w:rPr>
                <w:rFonts w:ascii="宋体" w:hAnsi="宋体" w:cs="宋体" w:eastAsia="宋体" w:hint="default"/>
                <w:spacing w:val="-76"/>
                <w:sz w:val="18"/>
                <w:szCs w:val="18"/>
              </w:rPr>
              <w:t> </w:t>
            </w:r>
            <w:r>
              <w:rPr>
                <w:rFonts w:ascii="宋体" w:hAnsi="宋体" w:cs="宋体" w:eastAsia="宋体" w:hint="default"/>
                <w:spacing w:val="-1"/>
                <w:sz w:val="18"/>
                <w:szCs w:val="18"/>
              </w:rPr>
              <w:t>易提供财务顾问、审计、评估、法律等专业服务的中介机构提供了完成本次交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易所必需的相关信息和文件（包括但不限于本公司及标的公司的相关信息和文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件），并保证所提供的信息和文件真实、准确和完整；保证所提供的信息和文</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6"/>
        <w:rPr>
          <w:rFonts w:ascii="Times New Roman" w:hAnsi="Times New Roman" w:cs="Times New Roman" w:eastAsia="Times New Roman" w:hint="default"/>
          <w:sz w:val="4"/>
          <w:szCs w:val="4"/>
        </w:rPr>
      </w:pPr>
      <w:r>
        <w:rPr/>
        <w:pict>
          <v:shape style="position:absolute;margin-left:422.654022pt;margin-top:57.180008pt;width:167.5pt;height:267.3pt;mso-position-horizontal-relative:page;mso-position-vertical-relative:page;z-index:-1545808"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并对所提供信息和文件的真实性、</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5"/>
      </w:tblGrid>
      <w:tr>
        <w:trPr>
          <w:trHeight w:val="5370" w:hRule="exact"/>
        </w:trPr>
        <w:tc>
          <w:tcPr>
            <w:tcW w:w="1846" w:type="dxa"/>
            <w:vMerge w:val="restart"/>
            <w:tcBorders>
              <w:top w:val="single" w:sz="15" w:space="0" w:color="000000"/>
              <w:left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829" w:type="dxa"/>
            <w:tcBorders>
              <w:top w:val="single" w:sz="15" w:space="0" w:color="000000"/>
              <w:left w:val="single" w:sz="4" w:space="0" w:color="000000"/>
              <w:bottom w:val="single" w:sz="4" w:space="0" w:color="000000"/>
              <w:right w:val="single" w:sz="4" w:space="0" w:color="000000"/>
            </w:tcBorders>
          </w:tcPr>
          <w:p>
            <w:pPr/>
          </w:p>
        </w:tc>
        <w:tc>
          <w:tcPr>
            <w:tcW w:w="6149" w:type="dxa"/>
            <w:tcBorders>
              <w:top w:val="single" w:sz="15" w:space="0" w:color="000000"/>
              <w:left w:val="single" w:sz="4" w:space="0" w:color="000000"/>
              <w:bottom w:val="single" w:sz="4" w:space="0" w:color="000000"/>
              <w:right w:val="single" w:sz="4" w:space="0" w:color="000000"/>
            </w:tcBorders>
          </w:tcPr>
          <w:p>
            <w:pPr>
              <w:pStyle w:val="TableParagraph"/>
              <w:spacing w:line="307" w:lineRule="auto" w:before="15"/>
              <w:ind w:left="22" w:right="21"/>
              <w:jc w:val="left"/>
              <w:rPr>
                <w:rFonts w:ascii="宋体" w:hAnsi="宋体" w:cs="宋体" w:eastAsia="宋体" w:hint="default"/>
                <w:sz w:val="18"/>
                <w:szCs w:val="18"/>
              </w:rPr>
            </w:pPr>
            <w:r>
              <w:rPr>
                <w:rFonts w:ascii="宋体" w:hAnsi="宋体" w:cs="宋体" w:eastAsia="宋体" w:hint="default"/>
                <w:spacing w:val="-3"/>
                <w:sz w:val="18"/>
                <w:szCs w:val="18"/>
              </w:rPr>
              <w:t>件不存在虚假记载、误导性陈述或重大遗漏，</w:t>
            </w:r>
            <w:r>
              <w:rPr>
                <w:rFonts w:ascii="宋体" w:hAnsi="宋体" w:cs="宋体" w:eastAsia="宋体" w:hint="default"/>
                <w:sz w:val="18"/>
                <w:szCs w:val="18"/>
              </w:rPr>
              <w:t> 准确性和完整性承担个别和连带的法律责任。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根据本次交易进程，需要本公 司继续提供相关文件及相关信息时，本公司保证继续提供的信息仍然符合真 </w:t>
            </w:r>
            <w:r>
              <w:rPr>
                <w:rFonts w:ascii="宋体" w:hAnsi="宋体" w:cs="宋体" w:eastAsia="宋体" w:hint="default"/>
                <w:spacing w:val="-4"/>
                <w:sz w:val="18"/>
                <w:szCs w:val="18"/>
              </w:rPr>
              <w:t>实、准确、完整、有效的要求。</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本公司承诺并保证：若本公司提供的信息存 </w:t>
            </w:r>
            <w:r>
              <w:rPr>
                <w:rFonts w:ascii="宋体" w:hAnsi="宋体" w:cs="宋体" w:eastAsia="宋体" w:hint="default"/>
                <w:spacing w:val="-1"/>
                <w:sz w:val="18"/>
                <w:szCs w:val="18"/>
              </w:rPr>
              <w:t>在虚假记载、误导性陈述或者重大遗漏，本公司愿意承担个别和连带的法律责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任。合法经营的承诺：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自设立以来，本公司生产经营正常，未受到税务、工 商、海关、环保、产品质量、技术监督和社会保障等方面的行政处罚。</w:t>
            </w:r>
            <w:r>
              <w:rPr>
                <w:rFonts w:ascii="Times New Roman" w:hAnsi="Times New Roman" w:cs="Times New Roman" w:eastAsia="Times New Roman" w:hint="default"/>
                <w:sz w:val="18"/>
                <w:szCs w:val="18"/>
              </w:rPr>
              <w:t>2.</w:t>
            </w:r>
            <w:r>
              <w:rPr>
                <w:rFonts w:ascii="宋体" w:hAnsi="宋体" w:cs="宋体" w:eastAsia="宋体" w:hint="default"/>
                <w:sz w:val="18"/>
                <w:szCs w:val="18"/>
              </w:rPr>
              <w:t>本公 </w:t>
            </w:r>
            <w:r>
              <w:rPr>
                <w:rFonts w:ascii="宋体" w:hAnsi="宋体" w:cs="宋体" w:eastAsia="宋体" w:hint="default"/>
                <w:spacing w:val="-1"/>
                <w:sz w:val="18"/>
                <w:szCs w:val="18"/>
              </w:rPr>
              <w:t>司不存在因环境保护、知识产权、产品质量、劳动安全、人身权等原因产生的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侵权之债，不存在由于担保、诉讼等事项引起的或有负债。</w:t>
            </w:r>
            <w:r>
              <w:rPr>
                <w:rFonts w:ascii="Times New Roman" w:hAnsi="Times New Roman" w:cs="Times New Roman" w:eastAsia="Times New Roman" w:hint="default"/>
                <w:sz w:val="18"/>
                <w:szCs w:val="18"/>
              </w:rPr>
              <w:t>3.</w:t>
            </w:r>
            <w:r>
              <w:rPr>
                <w:rFonts w:ascii="宋体" w:hAnsi="宋体" w:cs="宋体" w:eastAsia="宋体" w:hint="default"/>
                <w:sz w:val="18"/>
                <w:szCs w:val="18"/>
              </w:rPr>
              <w:t>本公司目前未涉 及经济纠纷有关的重大民事诉讼或仲裁。</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本公司及本公司董事、监事、高级 管理人员、本公司的实际控制人及其高级管理人员最近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年内未受到过行政处 </w:t>
            </w:r>
            <w:r>
              <w:rPr>
                <w:rFonts w:ascii="宋体" w:hAnsi="宋体" w:cs="宋体" w:eastAsia="宋体" w:hint="default"/>
                <w:spacing w:val="-3"/>
                <w:sz w:val="18"/>
                <w:szCs w:val="18"/>
              </w:rPr>
              <w:t>罚（不包括证券市场以外的处罚）、刑事处罚或者涉及与经济纠纷有关的重大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民事诉讼或者仲裁。本公司及本公司董事、监事、高级管理人员最近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年内不 </w:t>
            </w:r>
            <w:r>
              <w:rPr>
                <w:rFonts w:ascii="宋体" w:hAnsi="宋体" w:cs="宋体" w:eastAsia="宋体" w:hint="default"/>
                <w:spacing w:val="-1"/>
                <w:sz w:val="18"/>
                <w:szCs w:val="18"/>
              </w:rPr>
              <w:t>存在未按期偿还大额债务，不存在未履行承诺，未曾受过证券交易所公开谴责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等情况。未泄露内幕消息的承诺：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本公司及本公司主要管理人员、股东不存 在泄露本次交易内幕信息的情形。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本公司及本公司主要管理人员、股东不存 在利用本次交易信息进行内幕交易的情形。</w:t>
            </w:r>
          </w:p>
        </w:tc>
        <w:tc>
          <w:tcPr>
            <w:tcW w:w="715" w:type="dxa"/>
            <w:tcBorders>
              <w:top w:val="single" w:sz="15" w:space="0" w:color="000000"/>
              <w:left w:val="single" w:sz="4" w:space="0" w:color="000000"/>
              <w:bottom w:val="single" w:sz="4" w:space="0" w:color="000000"/>
              <w:right w:val="single" w:sz="4" w:space="0" w:color="000000"/>
            </w:tcBorders>
          </w:tcPr>
          <w:p>
            <w:pPr>
              <w:pStyle w:val="TableParagraph"/>
              <w:spacing w:line="5345"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6"/>
                <w:sz w:val="20"/>
                <w:szCs w:val="20"/>
              </w:rPr>
              <w:pict>
                <v:group style="width:35.25pt;height:267.3pt;mso-position-horizontal-relative:char;mso-position-vertical-relative:line" coordorigin="0,0" coordsize="705,5346">
                  <v:group style="position:absolute;left:0;top:0;width:705;height:5346" coordorigin="0,0" coordsize="705,5346">
                    <v:shape style="position:absolute;left:0;top:0;width:705;height:5346" coordorigin="0,0" coordsize="705,5346" path="m0,5346l704,5346,704,0,0,0,0,5346xe" filled="true" fillcolor="#ffffff" stroked="false">
                      <v:path arrowok="t"/>
                      <v:fill type="solid"/>
                    </v:shape>
                  </v:group>
                </v:group>
              </w:pict>
            </w:r>
            <w:r>
              <w:rPr>
                <w:rFonts w:ascii="Times New Roman" w:hAnsi="Times New Roman" w:cs="Times New Roman" w:eastAsia="Times New Roman" w:hint="default"/>
                <w:position w:val="-106"/>
                <w:sz w:val="20"/>
                <w:szCs w:val="20"/>
              </w:rPr>
            </w:r>
          </w:p>
        </w:tc>
        <w:tc>
          <w:tcPr>
            <w:tcW w:w="1567" w:type="dxa"/>
            <w:tcBorders>
              <w:top w:val="single" w:sz="15" w:space="0" w:color="000000"/>
              <w:left w:val="single" w:sz="4" w:space="0" w:color="000000"/>
              <w:bottom w:val="single" w:sz="4" w:space="0" w:color="000000"/>
              <w:right w:val="single" w:sz="4" w:space="0" w:color="000000"/>
            </w:tcBorders>
          </w:tcPr>
          <w:p>
            <w:pPr/>
          </w:p>
        </w:tc>
        <w:tc>
          <w:tcPr>
            <w:tcW w:w="2055" w:type="dxa"/>
            <w:tcBorders>
              <w:top w:val="single" w:sz="15" w:space="0" w:color="000000"/>
              <w:left w:val="single" w:sz="4" w:space="0" w:color="000000"/>
              <w:bottom w:val="single" w:sz="4" w:space="0" w:color="000000"/>
              <w:right w:val="single" w:sz="4" w:space="0" w:color="000000"/>
            </w:tcBorders>
          </w:tcPr>
          <w:p>
            <w:pPr/>
          </w:p>
        </w:tc>
      </w:tr>
      <w:tr>
        <w:trPr>
          <w:trHeight w:val="3210"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01"/>
              <w:jc w:val="both"/>
              <w:rPr>
                <w:rFonts w:ascii="宋体" w:hAnsi="宋体" w:cs="宋体" w:eastAsia="宋体" w:hint="default"/>
                <w:sz w:val="18"/>
                <w:szCs w:val="18"/>
              </w:rPr>
            </w:pPr>
            <w:r>
              <w:rPr>
                <w:rFonts w:ascii="宋体" w:hAnsi="宋体" w:cs="宋体" w:eastAsia="宋体" w:hint="default"/>
                <w:sz w:val="18"/>
                <w:szCs w:val="18"/>
              </w:rPr>
              <w:t>南京庆亚 贸易有限 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4"/>
              <w:jc w:val="left"/>
              <w:rPr>
                <w:rFonts w:ascii="宋体" w:hAnsi="宋体" w:cs="宋体" w:eastAsia="宋体" w:hint="default"/>
                <w:sz w:val="18"/>
                <w:szCs w:val="18"/>
              </w:rPr>
            </w:pPr>
            <w:r>
              <w:rPr>
                <w:rFonts w:ascii="宋体" w:hAnsi="宋体" w:cs="宋体" w:eastAsia="宋体" w:hint="default"/>
                <w:spacing w:val="-3"/>
                <w:sz w:val="18"/>
                <w:szCs w:val="18"/>
              </w:rPr>
              <w:t>关于暂停股份转让的承诺函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如本次交易所提供或披露的信息涉嫌虚假记载、误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导性陈述或者重大遗漏，被司法机关立案侦查或者被中国证监会立案调查的， </w:t>
            </w:r>
            <w:r>
              <w:rPr>
                <w:rFonts w:ascii="宋体" w:hAnsi="宋体" w:cs="宋体" w:eastAsia="宋体" w:hint="default"/>
                <w:spacing w:val="-1"/>
                <w:sz w:val="18"/>
                <w:szCs w:val="18"/>
              </w:rPr>
              <w:t>在形成调查结论以前，本公司不转让在高鸿股份拥有权益的股份，并于收到立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案稽查通知的两个交易日内将暂停转让的书面申请和股票账户提交高鸿股份 董事会，由高鸿股份董事会代本公司向证券交易所和登记结算公司申请锁定； </w:t>
            </w:r>
            <w:r>
              <w:rPr>
                <w:rFonts w:ascii="宋体" w:hAnsi="宋体" w:cs="宋体" w:eastAsia="宋体" w:hint="default"/>
                <w:spacing w:val="-1"/>
                <w:sz w:val="18"/>
                <w:szCs w:val="18"/>
              </w:rPr>
              <w:t>未在两个交易日内提交锁定申请的，授权高鸿股份董事会核实后直接向证券交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易所和登记结算公司报送本公司的身份信息和账户信息并申请锁定；高鸿股份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董事会未向证券交易所和登记结算公司报送本公司的身份信息和账户信息的， </w:t>
            </w:r>
            <w:r>
              <w:rPr>
                <w:rFonts w:ascii="宋体" w:hAnsi="宋体" w:cs="宋体" w:eastAsia="宋体" w:hint="default"/>
                <w:spacing w:val="-1"/>
                <w:sz w:val="18"/>
                <w:szCs w:val="18"/>
              </w:rPr>
              <w:t>授权证券交易所和登记结算公司直接锁定相关股份。如调查结论发现存在违法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违规情节，本公司承诺锁定股份自愿用于相关投资者赔偿安排。</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986"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101"/>
              <w:jc w:val="both"/>
              <w:rPr>
                <w:rFonts w:ascii="宋体" w:hAnsi="宋体" w:cs="宋体" w:eastAsia="宋体" w:hint="default"/>
                <w:sz w:val="18"/>
                <w:szCs w:val="18"/>
              </w:rPr>
            </w:pPr>
            <w:r>
              <w:rPr>
                <w:rFonts w:ascii="宋体" w:hAnsi="宋体" w:cs="宋体" w:eastAsia="宋体" w:hint="default"/>
                <w:sz w:val="18"/>
                <w:szCs w:val="18"/>
              </w:rPr>
              <w:t>大唐高鸿 数据网络 技术股份</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52"/>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6"/>
              <w:ind w:left="22" w:right="22"/>
              <w:jc w:val="both"/>
              <w:rPr>
                <w:rFonts w:ascii="宋体" w:hAnsi="宋体" w:cs="宋体" w:eastAsia="宋体" w:hint="default"/>
                <w:sz w:val="18"/>
                <w:szCs w:val="18"/>
              </w:rPr>
            </w:pPr>
            <w:r>
              <w:rPr>
                <w:rFonts w:ascii="宋体" w:hAnsi="宋体" w:cs="宋体" w:eastAsia="宋体" w:hint="default"/>
                <w:sz w:val="18"/>
                <w:szCs w:val="18"/>
              </w:rPr>
              <w:t>提供信息和文件真实、准确、完整的承诺：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本公司已向交易对方、标的公司 </w:t>
            </w:r>
            <w:r>
              <w:rPr>
                <w:rFonts w:ascii="宋体" w:hAnsi="宋体" w:cs="宋体" w:eastAsia="宋体" w:hint="default"/>
                <w:spacing w:val="-1"/>
                <w:sz w:val="18"/>
                <w:szCs w:val="18"/>
              </w:rPr>
              <w:t>及为本次交易提供财务顾问、审计、评估、法律等专业服务的中介机构提供了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完成本次交易所必需的相关信息和文件（包括但不限于本公司及标的公司的相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20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503.71701pt;margin-top:267.040009pt;width:86.45pt;height:101.4pt;mso-position-horizontal-relative:page;mso-position-vertical-relative:page;z-index:-15457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财务负责人、</w:t>
                  </w:r>
                </w:p>
              </w:txbxContent>
            </v:textbox>
            <w10:wrap type="none"/>
          </v:shape>
        </w:pict>
      </w:r>
      <w:r>
        <w:rPr/>
        <w:pict>
          <v:group style="position:absolute;margin-left:556.059998pt;margin-top:225.5pt;width:32.950pt;height:15.6pt;mso-position-horizontal-relative:page;mso-position-vertical-relative:page;z-index:-1545760" coordorigin="11121,4510" coordsize="659,312">
            <v:shape style="position:absolute;left:11121;top:4510;width:659;height:312" coordorigin="11121,4510" coordsize="659,312" path="m11121,4822l11780,4822,11780,4510,11121,4510,11121,4822xe" filled="true" fillcolor="#ffffff" stroked="false">
              <v:path arrowok="t"/>
              <v:fill type="solid"/>
            </v:shape>
            <w10:wrap type="none"/>
          </v:group>
        </w:pict>
      </w:r>
      <w:r>
        <w:rPr/>
        <w:pict>
          <v:group style="position:absolute;margin-left:554.919983pt;margin-top:267.040009pt;width:35.25pt;height:101.4pt;mso-position-horizontal-relative:page;mso-position-vertical-relative:page;z-index:-1545736" coordorigin="11098,5341" coordsize="705,2028">
            <v:shape style="position:absolute;left:11098;top:5341;width:705;height:2028" coordorigin="11098,5341" coordsize="705,2028" path="m11098,7369l11803,7369,11803,5341,11098,5341,11098,7369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332" w:hRule="exact"/>
        </w:trPr>
        <w:tc>
          <w:tcPr>
            <w:tcW w:w="1846" w:type="dxa"/>
            <w:vMerge w:val="restart"/>
            <w:tcBorders>
              <w:top w:val="single" w:sz="15" w:space="0" w:color="000000"/>
              <w:left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29" w:type="dxa"/>
            <w:vMerge w:val="restart"/>
            <w:tcBorders>
              <w:top w:val="single" w:sz="15" w:space="0" w:color="000000"/>
              <w:left w:val="single" w:sz="4" w:space="0" w:color="000000"/>
              <w:right w:val="single" w:sz="4" w:space="0" w:color="000000"/>
            </w:tcBorders>
          </w:tcPr>
          <w:p>
            <w:pPr/>
          </w:p>
        </w:tc>
        <w:tc>
          <w:tcPr>
            <w:tcW w:w="614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关信息和文件</w:t>
            </w:r>
            <w:r>
              <w:rPr>
                <w:rFonts w:ascii="宋体" w:hAnsi="宋体" w:cs="宋体" w:eastAsia="宋体" w:hint="default"/>
                <w:spacing w:val="-90"/>
                <w:sz w:val="18"/>
                <w:szCs w:val="18"/>
              </w:rPr>
              <w:t>）</w:t>
            </w:r>
            <w:r>
              <w:rPr>
                <w:rFonts w:ascii="宋体" w:hAnsi="宋体" w:cs="宋体" w:eastAsia="宋体" w:hint="default"/>
                <w:sz w:val="18"/>
                <w:szCs w:val="18"/>
              </w:rPr>
              <w:t>，并保证所提供的信息和文件真实、准确和完整；保证所提供</w:t>
            </w:r>
          </w:p>
        </w:tc>
        <w:tc>
          <w:tcPr>
            <w:tcW w:w="71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vMerge w:val="restart"/>
            <w:tcBorders>
              <w:top w:val="single" w:sz="15" w:space="0" w:color="000000"/>
              <w:left w:val="single" w:sz="4" w:space="0" w:color="000000"/>
              <w:right w:val="single" w:sz="4" w:space="0" w:color="000000"/>
            </w:tcBorders>
          </w:tcPr>
          <w:p>
            <w:pPr/>
          </w:p>
        </w:tc>
        <w:tc>
          <w:tcPr>
            <w:tcW w:w="2052" w:type="dxa"/>
            <w:vMerge w:val="restart"/>
            <w:tcBorders>
              <w:top w:val="single" w:sz="15" w:space="0" w:color="000000"/>
              <w:left w:val="single" w:sz="4" w:space="0" w:color="000000"/>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的信息和文件不存在虚假记载、误导性陈述或重大遗漏，并对所提供信息和文</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件的真实性、准确性和完整性承担个别和连带的法律责任。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根据本次交易进</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程，需要本公司继续提供相关文件及相关信息时，本公司保证继续提供的信息</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仍然符合真实、准确、完整、有效的要求。</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本公司承诺并保证：若本公司提</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供的信息存在虚假记载、误导性陈述或者重大遗漏，本公司愿意承担个别和连</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带的法律责任。未泄露内幕信息的承诺：</w:t>
            </w:r>
            <w:r>
              <w:rPr>
                <w:rFonts w:ascii="Times New Roman" w:hAnsi="Times New Roman" w:cs="Times New Roman" w:eastAsia="Times New Roman" w:hint="default"/>
                <w:spacing w:val="-3"/>
                <w:sz w:val="18"/>
                <w:szCs w:val="18"/>
              </w:rPr>
              <w:t>1.</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本公司及本公司主要管理人员、股</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东不存在泄露本次交易内幕信息的情形。</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本公司及本公司主要管理人员、股</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5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东不存在利用本次交易信息进行内幕交易的情形。</w:t>
            </w:r>
          </w:p>
        </w:tc>
        <w:tc>
          <w:tcPr>
            <w:tcW w:w="715" w:type="dxa"/>
            <w:tcBorders>
              <w:top w:val="nil" w:sz="6" w:space="0" w:color="auto"/>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2052" w:type="dxa"/>
            <w:vMerge/>
            <w:tcBorders>
              <w:left w:val="single" w:sz="4" w:space="0" w:color="000000"/>
              <w:bottom w:val="single" w:sz="4" w:space="0" w:color="000000"/>
              <w:right w:val="single" w:sz="4" w:space="0" w:color="000000"/>
            </w:tcBorders>
          </w:tcPr>
          <w:p>
            <w:pPr/>
          </w:p>
        </w:tc>
      </w:tr>
      <w:tr>
        <w:trPr>
          <w:trHeight w:val="1338"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大唐高鸿 数据网络 技术股份 有限公司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2"/>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left"/>
              <w:rPr>
                <w:rFonts w:ascii="宋体" w:hAnsi="宋体" w:cs="宋体" w:eastAsia="宋体" w:hint="default"/>
                <w:sz w:val="18"/>
                <w:szCs w:val="18"/>
              </w:rPr>
            </w:pPr>
            <w:r>
              <w:rPr>
                <w:rFonts w:ascii="宋体" w:hAnsi="宋体" w:cs="宋体" w:eastAsia="宋体" w:hint="default"/>
                <w:sz w:val="18"/>
                <w:szCs w:val="18"/>
              </w:rPr>
              <w:t>关于重组预案内容真实、准确、完整的承诺函：本公司董事会及全体董事保证 </w:t>
            </w:r>
            <w:r>
              <w:rPr>
                <w:rFonts w:ascii="宋体" w:hAnsi="宋体" w:cs="宋体" w:eastAsia="宋体" w:hint="default"/>
                <w:spacing w:val="-5"/>
                <w:sz w:val="18"/>
                <w:szCs w:val="18"/>
              </w:rPr>
              <w:t>本预案内容不存在虚假记载、误导性陈述或者重大遗漏，并对其内容的真实性、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准确性和完整性承担个别及连带责任。</w:t>
            </w:r>
          </w:p>
        </w:tc>
        <w:tc>
          <w:tcPr>
            <w:tcW w:w="71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62"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nil" w:sz="6" w:space="0" w:color="auto"/>
              <w:right w:val="single" w:sz="4" w:space="0" w:color="000000"/>
            </w:tcBorders>
          </w:tcPr>
          <w:p>
            <w:pPr/>
          </w:p>
        </w:tc>
        <w:tc>
          <w:tcPr>
            <w:tcW w:w="829" w:type="dxa"/>
            <w:tcBorders>
              <w:top w:val="single" w:sz="4" w:space="0" w:color="000000"/>
              <w:left w:val="single" w:sz="4" w:space="0" w:color="000000"/>
              <w:bottom w:val="nil" w:sz="6" w:space="0" w:color="auto"/>
              <w:right w:val="single" w:sz="4" w:space="0" w:color="000000"/>
            </w:tcBorders>
          </w:tcPr>
          <w:p>
            <w:pPr/>
          </w:p>
        </w:tc>
        <w:tc>
          <w:tcPr>
            <w:tcW w:w="61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关于保持上市公司独立性的承诺：一、保证上市公司资产独立完整承诺人资</w:t>
            </w:r>
          </w:p>
        </w:tc>
        <w:tc>
          <w:tcPr>
            <w:tcW w:w="715" w:type="dxa"/>
            <w:tcBorders>
              <w:top w:val="single" w:sz="4" w:space="0" w:color="000000"/>
              <w:left w:val="single" w:sz="4" w:space="0" w:color="000000"/>
              <w:bottom w:val="nil" w:sz="6" w:space="0" w:color="auto"/>
              <w:right w:val="single" w:sz="4" w:space="0" w:color="000000"/>
            </w:tcBorders>
          </w:tcPr>
          <w:p>
            <w:pPr/>
          </w:p>
        </w:tc>
        <w:tc>
          <w:tcPr>
            <w:tcW w:w="1567" w:type="dxa"/>
            <w:tcBorders>
              <w:top w:val="single" w:sz="4" w:space="0" w:color="000000"/>
              <w:left w:val="single" w:sz="4" w:space="0" w:color="000000"/>
              <w:bottom w:val="nil" w:sz="6" w:space="0" w:color="auto"/>
              <w:right w:val="single" w:sz="4" w:space="0" w:color="000000"/>
            </w:tcBorders>
          </w:tcPr>
          <w:p>
            <w:pPr/>
          </w:p>
        </w:tc>
        <w:tc>
          <w:tcPr>
            <w:tcW w:w="2052"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产与上市公司资产将严格分开，完全独立经营。承诺人不发生占用上市公司资</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金、资产等不规范情形。二、保证上市公司人员独立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、保证上市公司建立并</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拥有独立完整的劳动、人事及工资管理体系，总经理、副总经理、</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董事会秘书等高级管理人员均专职在上市公司任职并领取薪酬；</w:t>
            </w:r>
            <w:r>
              <w:rPr>
                <w:rFonts w:ascii="Times New Roman" w:hAnsi="Times New Roman" w:cs="Times New Roman" w:eastAsia="Times New Roman" w:hint="default"/>
                <w:sz w:val="18"/>
                <w:szCs w:val="18"/>
              </w:rPr>
              <w:t>2</w:t>
            </w:r>
            <w:r>
              <w:rPr>
                <w:rFonts w:ascii="宋体" w:hAnsi="宋体" w:cs="宋体" w:eastAsia="宋体" w:hint="default"/>
                <w:sz w:val="18"/>
                <w:szCs w:val="18"/>
              </w:rPr>
              <w:t>、向上市公</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司推荐董事、监事、总经理等高级管理人员人选均通过合法程序进行，不干预</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2" w:right="101"/>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1"/>
              <w:jc w:val="both"/>
              <w:rPr>
                <w:rFonts w:ascii="宋体" w:hAnsi="宋体" w:cs="宋体" w:eastAsia="宋体" w:hint="default"/>
                <w:sz w:val="18"/>
                <w:szCs w:val="18"/>
              </w:rPr>
            </w:pPr>
            <w:r>
              <w:rPr>
                <w:rFonts w:ascii="宋体" w:hAnsi="宋体" w:cs="宋体" w:eastAsia="宋体" w:hint="default"/>
                <w:spacing w:val="-1"/>
                <w:sz w:val="18"/>
                <w:szCs w:val="18"/>
              </w:rPr>
              <w:t>上市公司董事会和股东大会行使职权作出人事任免决定。三、保证上市公司财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务独立保证上市公司拥有独立的财务会计部门，建立独立的财务核算体系和财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务管理制度，独立在银行开户，不与股东或股东控制的其他企业共用一个银行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账户，依法独立纳税，保证上市公司能够独立做出财务决策，不干预上市公司</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9" w:lineRule="auto"/>
              <w:ind w:left="24" w:right="91"/>
              <w:jc w:val="both"/>
              <w:rPr>
                <w:rFonts w:ascii="宋体" w:hAnsi="宋体" w:cs="宋体" w:eastAsia="宋体" w:hint="default"/>
                <w:sz w:val="18"/>
                <w:szCs w:val="18"/>
              </w:rPr>
            </w:pPr>
            <w:r>
              <w:rPr>
                <w:rFonts w:ascii="宋体" w:hAnsi="宋体" w:cs="宋体" w:eastAsia="宋体" w:hint="default"/>
                <w:sz w:val="18"/>
                <w:szCs w:val="18"/>
              </w:rPr>
              <w:t>电信科学技术研究 院有限公司作为控 股股东期间</w:t>
            </w:r>
          </w:p>
        </w:tc>
        <w:tc>
          <w:tcPr>
            <w:tcW w:w="20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1"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的资金使用。四、保证上市公司机构独立保证上市公司依法建立和完善法人治</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理结构，保证上市公司拥有独立、完整的组织机构。股东大会、董事会、独立</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董事、监事会、总经理等依照法律、法规和公司章程独立行使职权。五、保证</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上市公司业务独立保证上市公司拥有独立开展经营活动的资产、人员、资质和</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能力，上市公司具有面向市场自主经营的能力。承诺人不会对上市公司的正常</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829" w:type="dxa"/>
            <w:tcBorders>
              <w:top w:val="nil" w:sz="6" w:space="0" w:color="auto"/>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经营活动进行干预。</w:t>
            </w:r>
          </w:p>
        </w:tc>
        <w:tc>
          <w:tcPr>
            <w:tcW w:w="715"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
        </w:tc>
        <w:tc>
          <w:tcPr>
            <w:tcW w:w="205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5"/>
        <w:rPr>
          <w:rFonts w:ascii="Times New Roman" w:hAnsi="Times New Roman" w:cs="Times New Roman" w:eastAsia="Times New Roman" w:hint="default"/>
          <w:sz w:val="2"/>
          <w:szCs w:val="2"/>
        </w:rPr>
      </w:pPr>
      <w:r>
        <w:rPr/>
        <w:pict>
          <v:shape style="position:absolute;margin-left:467.679993pt;margin-top:401.140015pt;width:122.5pt;height:132.65pt;mso-position-horizontal-relative:page;mso-position-vertical-relative:page;z-index:-1545712" type="#_x0000_t202" filled="false" stroked="false">
            <v:textbox inset="0,0,0,0">
              <w:txbxContent>
                <w:p>
                  <w:pPr>
                    <w:spacing w:before="127"/>
                    <w:ind w:left="0" w:right="0" w:firstLine="0"/>
                    <w:jc w:val="left"/>
                    <w:rPr>
                      <w:rFonts w:ascii="宋体" w:hAnsi="宋体" w:cs="宋体" w:eastAsia="宋体" w:hint="default"/>
                      <w:sz w:val="18"/>
                      <w:szCs w:val="18"/>
                    </w:rPr>
                  </w:pPr>
                  <w:r>
                    <w:rPr>
                      <w:rFonts w:ascii="宋体" w:hAnsi="宋体" w:cs="宋体" w:eastAsia="宋体" w:hint="default"/>
                      <w:sz w:val="18"/>
                      <w:szCs w:val="18"/>
                    </w:rPr>
                    <w:t>本公司及本公司董事、</w:t>
                  </w:r>
                </w:p>
              </w:txbxContent>
            </v:textbox>
            <w10:wrap type="none"/>
          </v:shape>
        </w:pict>
      </w:r>
      <w:r>
        <w:rPr/>
        <w:pict>
          <v:group style="position:absolute;margin-left:554.919983pt;margin-top:217.700012pt;width:35.25pt;height:150.3pt;mso-position-horizontal-relative:page;mso-position-vertical-relative:page;z-index:-1545688" coordorigin="11098,4354" coordsize="705,3006">
            <v:group style="position:absolute;left:11098;top:4354;width:705;height:2653" coordorigin="11098,4354" coordsize="705,2653">
              <v:shape style="position:absolute;left:11098;top:4354;width:705;height:2653" coordorigin="11098,4354" coordsize="705,2653" path="m11098,7006l11803,7006,11803,4354,11098,4354,11098,7006xe" filled="true" fillcolor="#ffffff" stroked="false">
                <v:path arrowok="t"/>
                <v:fill type="solid"/>
              </v:shape>
            </v:group>
            <v:group style="position:absolute;left:11121;top:7006;width:659;height:353" coordorigin="11121,7006" coordsize="659,353">
              <v:shape style="position:absolute;left:11121;top:7006;width:659;height:353" coordorigin="11121,7006" coordsize="659,353" path="m11121,7359l11780,7359,11780,7006,11121,7006,11121,7359xe" filled="true" fillcolor="#ffffff" stroked="false">
                <v:path arrowok="t"/>
                <v:fill type="solid"/>
              </v:shape>
            </v:group>
            <w10:wrap type="none"/>
          </v:group>
        </w:pict>
      </w:r>
      <w:r>
        <w:rPr/>
        <w:pict>
          <v:group style="position:absolute;margin-left:554.919983pt;margin-top:401.140015pt;width:35.25pt;height:132.65pt;mso-position-horizontal-relative:page;mso-position-vertical-relative:page;z-index:-1545664" coordorigin="11098,8023" coordsize="705,2653">
            <v:shape style="position:absolute;left:11098;top:8023;width:705;height:2653" coordorigin="11098,8023" coordsize="705,2653" path="m11098,10675l11803,10675,11803,8023,11098,8023,11098,10675xe" filled="true" fillcolor="#ffffff" stroked="false">
              <v:path arrowok="t"/>
              <v:fill type="solid"/>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377" w:hRule="exact"/>
        </w:trPr>
        <w:tc>
          <w:tcPr>
            <w:tcW w:w="1846" w:type="dxa"/>
            <w:vMerge w:val="restart"/>
            <w:tcBorders>
              <w:top w:val="single" w:sz="15" w:space="0" w:color="000000"/>
              <w:left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nil" w:sz="6" w:space="0" w:color="auto"/>
              <w:right w:val="single" w:sz="4" w:space="0" w:color="000000"/>
            </w:tcBorders>
          </w:tcPr>
          <w:p>
            <w:pPr/>
          </w:p>
        </w:tc>
        <w:tc>
          <w:tcPr>
            <w:tcW w:w="829" w:type="dxa"/>
            <w:tcBorders>
              <w:top w:val="single" w:sz="15" w:space="0" w:color="000000"/>
              <w:left w:val="single" w:sz="4" w:space="0" w:color="000000"/>
              <w:bottom w:val="nil" w:sz="6" w:space="0" w:color="auto"/>
              <w:right w:val="single" w:sz="4" w:space="0" w:color="000000"/>
            </w:tcBorders>
          </w:tcPr>
          <w:p>
            <w:pPr/>
          </w:p>
        </w:tc>
        <w:tc>
          <w:tcPr>
            <w:tcW w:w="614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关于暂停股份转让的承诺函</w:t>
            </w:r>
            <w:r>
              <w:rPr>
                <w:rFonts w:ascii="Times New Roman" w:hAnsi="Times New Roman" w:cs="Times New Roman" w:eastAsia="Times New Roman" w:hint="default"/>
                <w:sz w:val="18"/>
                <w:szCs w:val="18"/>
              </w:rPr>
              <w:t>:</w:t>
            </w:r>
            <w:r>
              <w:rPr>
                <w:rFonts w:ascii="宋体" w:hAnsi="宋体" w:cs="宋体" w:eastAsia="宋体" w:hint="default"/>
                <w:sz w:val="18"/>
                <w:szCs w:val="18"/>
              </w:rPr>
              <w:t>如本次交易所提供或披露的信息涉嫌虚假记载</w:t>
            </w:r>
            <w:r>
              <w:rPr>
                <w:rFonts w:ascii="宋体" w:hAnsi="宋体" w:cs="宋体" w:eastAsia="宋体" w:hint="default"/>
                <w:spacing w:val="-77"/>
                <w:sz w:val="18"/>
                <w:szCs w:val="18"/>
              </w:rPr>
              <w:t>、</w:t>
            </w:r>
            <w:r>
              <w:rPr>
                <w:rFonts w:ascii="宋体" w:hAnsi="宋体" w:cs="宋体" w:eastAsia="宋体" w:hint="default"/>
                <w:sz w:val="18"/>
                <w:szCs w:val="18"/>
              </w:rPr>
              <w:t>误</w:t>
            </w:r>
          </w:p>
        </w:tc>
        <w:tc>
          <w:tcPr>
            <w:tcW w:w="715" w:type="dxa"/>
            <w:tcBorders>
              <w:top w:val="single" w:sz="15" w:space="0" w:color="000000"/>
              <w:left w:val="single" w:sz="4" w:space="0" w:color="000000"/>
              <w:bottom w:val="nil" w:sz="6" w:space="0" w:color="auto"/>
              <w:right w:val="single" w:sz="4" w:space="0" w:color="000000"/>
            </w:tcBorders>
          </w:tcPr>
          <w:p>
            <w:pPr/>
          </w:p>
        </w:tc>
        <w:tc>
          <w:tcPr>
            <w:tcW w:w="1567" w:type="dxa"/>
            <w:tcBorders>
              <w:top w:val="single" w:sz="15" w:space="0" w:color="000000"/>
              <w:left w:val="single" w:sz="4" w:space="0" w:color="000000"/>
              <w:bottom w:val="nil" w:sz="6" w:space="0" w:color="auto"/>
              <w:right w:val="single" w:sz="4" w:space="0" w:color="000000"/>
            </w:tcBorders>
          </w:tcPr>
          <w:p>
            <w:pPr/>
          </w:p>
        </w:tc>
        <w:tc>
          <w:tcPr>
            <w:tcW w:w="2052" w:type="dxa"/>
            <w:tcBorders>
              <w:top w:val="single" w:sz="15" w:space="0" w:color="000000"/>
              <w:left w:val="single" w:sz="4" w:space="0" w:color="000000"/>
              <w:bottom w:val="nil" w:sz="6" w:space="0" w:color="auto"/>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4"/>
              <w:jc w:val="left"/>
              <w:rPr>
                <w:rFonts w:ascii="宋体" w:hAnsi="宋体" w:cs="宋体" w:eastAsia="宋体" w:hint="default"/>
                <w:sz w:val="18"/>
                <w:szCs w:val="18"/>
              </w:rPr>
            </w:pPr>
            <w:r>
              <w:rPr>
                <w:rFonts w:ascii="宋体" w:hAnsi="宋体" w:cs="宋体" w:eastAsia="宋体" w:hint="default"/>
                <w:sz w:val="18"/>
                <w:szCs w:val="18"/>
              </w:rPr>
              <w:t>导性陈述或者重大遗漏，被司法机关立案侦查或者被中国证监会立案调查的，</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在形成调查结论以前，本院不转让在高鸿股份拥有权益的股份，并于收到立案</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101"/>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稽查通知的两个交易日内将暂停转让的书面申请和股票账户提交高鸿股份董 </w:t>
            </w:r>
            <w:r>
              <w:rPr>
                <w:rFonts w:ascii="宋体" w:hAnsi="宋体" w:cs="宋体" w:eastAsia="宋体" w:hint="default"/>
                <w:spacing w:val="-1"/>
                <w:sz w:val="18"/>
                <w:szCs w:val="18"/>
              </w:rPr>
              <w:t>事会，由高鸿股份董事会代本院向证券交易所和登记结算公司申请锁定；未在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两个交易日内提交锁定申请的，授权高鸿股份董事会核实后直接向证券交易所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和登记结算公司报送本院的身份信息和账户信息并申请锁定；高鸿股份董事会</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9" w:lineRule="auto"/>
              <w:ind w:left="24" w:right="91"/>
              <w:jc w:val="both"/>
              <w:rPr>
                <w:rFonts w:ascii="宋体" w:hAnsi="宋体" w:cs="宋体" w:eastAsia="宋体" w:hint="default"/>
                <w:sz w:val="18"/>
                <w:szCs w:val="18"/>
              </w:rPr>
            </w:pPr>
            <w:r>
              <w:rPr>
                <w:rFonts w:ascii="宋体" w:hAnsi="宋体" w:cs="宋体" w:eastAsia="宋体" w:hint="default"/>
                <w:sz w:val="18"/>
                <w:szCs w:val="18"/>
              </w:rPr>
              <w:t>电信科学技术研究 院有限公司作为控 股股东期间</w:t>
            </w:r>
          </w:p>
        </w:tc>
        <w:tc>
          <w:tcPr>
            <w:tcW w:w="20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1"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1"/>
                <w:sz w:val="18"/>
                <w:szCs w:val="18"/>
              </w:rPr>
              <w:t>未向证券交易所和登记结算公司报送本院的身份信息和账户信息的，授权证券</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交易所和登记结算公司直接锁定相关股份。如调查结论发现存在违法违规情</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829" w:type="dxa"/>
            <w:tcBorders>
              <w:top w:val="nil" w:sz="6" w:space="0" w:color="auto"/>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节，本院承诺锁定股份自愿用于相关投资者赔偿安排。</w:t>
            </w:r>
          </w:p>
        </w:tc>
        <w:tc>
          <w:tcPr>
            <w:tcW w:w="715"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
        </w:tc>
        <w:tc>
          <w:tcPr>
            <w:tcW w:w="2052"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nil" w:sz="6" w:space="0" w:color="auto"/>
              <w:right w:val="single" w:sz="4" w:space="0" w:color="000000"/>
            </w:tcBorders>
          </w:tcPr>
          <w:p>
            <w:pPr/>
          </w:p>
        </w:tc>
        <w:tc>
          <w:tcPr>
            <w:tcW w:w="829" w:type="dxa"/>
            <w:tcBorders>
              <w:top w:val="single" w:sz="4" w:space="0" w:color="000000"/>
              <w:left w:val="single" w:sz="4" w:space="0" w:color="000000"/>
              <w:bottom w:val="nil" w:sz="6" w:space="0" w:color="auto"/>
              <w:right w:val="single" w:sz="4" w:space="0" w:color="000000"/>
            </w:tcBorders>
          </w:tcPr>
          <w:p>
            <w:pPr/>
          </w:p>
        </w:tc>
        <w:tc>
          <w:tcPr>
            <w:tcW w:w="61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pacing w:val="-1"/>
                <w:sz w:val="18"/>
                <w:szCs w:val="18"/>
              </w:rPr>
              <w:t>提供信息和文件真实、准确、完整的承诺</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本公司已向上市公司及为本次交易</w:t>
            </w:r>
          </w:p>
        </w:tc>
        <w:tc>
          <w:tcPr>
            <w:tcW w:w="715" w:type="dxa"/>
            <w:tcBorders>
              <w:top w:val="single" w:sz="4" w:space="0" w:color="000000"/>
              <w:left w:val="single" w:sz="4" w:space="0" w:color="000000"/>
              <w:bottom w:val="nil" w:sz="6" w:space="0" w:color="auto"/>
              <w:right w:val="single" w:sz="4" w:space="0" w:color="000000"/>
            </w:tcBorders>
          </w:tcPr>
          <w:p>
            <w:pPr/>
          </w:p>
        </w:tc>
        <w:tc>
          <w:tcPr>
            <w:tcW w:w="1567" w:type="dxa"/>
            <w:tcBorders>
              <w:top w:val="single" w:sz="4" w:space="0" w:color="000000"/>
              <w:left w:val="single" w:sz="4" w:space="0" w:color="000000"/>
              <w:bottom w:val="nil" w:sz="6" w:space="0" w:color="auto"/>
              <w:right w:val="single" w:sz="4" w:space="0" w:color="000000"/>
            </w:tcBorders>
          </w:tcPr>
          <w:p>
            <w:pPr/>
          </w:p>
        </w:tc>
        <w:tc>
          <w:tcPr>
            <w:tcW w:w="2052"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1"/>
                <w:sz w:val="18"/>
                <w:szCs w:val="18"/>
              </w:rPr>
              <w:t>提供财务顾问、审计、评估、法律等专业服务的中介机构提供了完成本次交易</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所必需的相关信息和文件，并保证所提供的信息和文件真实、准确和完整；保</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证所提供的信息和文件不存在虚假记载、误导性陈述或重大遗漏，并对所提供</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信息和文件的真实性、准确性和完整性承担个别和连带的法律责任。</w:t>
            </w:r>
            <w:r>
              <w:rPr>
                <w:rFonts w:ascii="Times New Roman" w:hAnsi="Times New Roman" w:cs="Times New Roman" w:eastAsia="Times New Roman" w:hint="default"/>
                <w:sz w:val="18"/>
                <w:szCs w:val="18"/>
              </w:rPr>
              <w:t>2.</w:t>
            </w:r>
            <w:r>
              <w:rPr>
                <w:rFonts w:ascii="宋体" w:hAnsi="宋体" w:cs="宋体" w:eastAsia="宋体" w:hint="default"/>
                <w:sz w:val="18"/>
                <w:szCs w:val="18"/>
              </w:rPr>
              <w:t>根据本</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1"/>
                <w:sz w:val="18"/>
                <w:szCs w:val="18"/>
              </w:rPr>
              <w:t>次交易进程，需要本公司继续提供相关文件及相关信息时，本公司保证继续提</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3"/>
                <w:sz w:val="18"/>
                <w:szCs w:val="18"/>
              </w:rPr>
              <w:t>供的信息仍然符合真实、准确、完整、有效的要求。</w:t>
            </w:r>
            <w:r>
              <w:rPr>
                <w:rFonts w:ascii="Times New Roman" w:hAnsi="Times New Roman" w:cs="Times New Roman" w:eastAsia="Times New Roman" w:hint="default"/>
                <w:spacing w:val="-3"/>
                <w:sz w:val="18"/>
                <w:szCs w:val="18"/>
              </w:rPr>
              <w:t>3.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本公司承诺并保证：若</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1"/>
                <w:sz w:val="18"/>
                <w:szCs w:val="18"/>
              </w:rPr>
              <w:t>本公司提供的信息存在虚假记载、误导性陈述或者重大遗漏，本公司愿意承担</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125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江苏鼎恒 信息技术 有限公司</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52"/>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nil" w:sz="6" w:space="0" w:color="auto"/>
              <w:left w:val="single" w:sz="4" w:space="0" w:color="000000"/>
              <w:bottom w:val="nil" w:sz="6" w:space="0" w:color="auto"/>
              <w:right w:val="single" w:sz="13" w:space="0" w:color="FFFFFF"/>
            </w:tcBorders>
          </w:tcPr>
          <w:p>
            <w:pPr>
              <w:pStyle w:val="TableParagraph"/>
              <w:spacing w:line="307" w:lineRule="auto" w:before="20"/>
              <w:ind w:left="22" w:right="1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个别和连带的法律责任。合法经营的承诺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自设立以来，本公司生产经营正常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未受到税务、工商、海关、环保、产品质量、技术监督和社会保障等方面的行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政处罚。</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本公司不存在因环境保护、知识产权、产品质量、劳动安全、人身 权等原因产生的侵权之债，不存在由于担保、诉讼等事项引起的或有负债。</w:t>
            </w:r>
            <w:r>
              <w:rPr>
                <w:rFonts w:ascii="Times New Roman" w:hAnsi="Times New Roman" w:cs="Times New Roman" w:eastAsia="Times New Roman" w:hint="default"/>
                <w:sz w:val="18"/>
                <w:szCs w:val="18"/>
              </w:rPr>
              <w:t>3.</w:t>
            </w:r>
          </w:p>
        </w:tc>
        <w:tc>
          <w:tcPr>
            <w:tcW w:w="715" w:type="dxa"/>
            <w:tcBorders>
              <w:top w:val="nil" w:sz="6" w:space="0" w:color="auto"/>
              <w:left w:val="single" w:sz="13" w:space="0" w:color="FFFFFF"/>
              <w:bottom w:val="nil" w:sz="6" w:space="0" w:color="auto"/>
              <w:right w:val="single" w:sz="4" w:space="0" w:color="000000"/>
            </w:tcBorders>
          </w:tcPr>
          <w:p>
            <w:pPr>
              <w:pStyle w:val="TableParagraph"/>
              <w:spacing w:line="196" w:lineRule="exact" w:before="20"/>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本公司未涉及经济纠纷有关的重大民事诉讼事或仲裁。</w:t>
            </w:r>
            <w:r>
              <w:rPr>
                <w:rFonts w:ascii="Times New Roman" w:hAnsi="Times New Roman" w:cs="Times New Roman" w:eastAsia="Times New Roman" w:hint="default"/>
                <w:spacing w:val="-3"/>
                <w:sz w:val="18"/>
                <w:szCs w:val="18"/>
              </w:rPr>
              <w:t>4.</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监事、高级管理人员、本公司的实际控制人及其高级管理人员最近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年内未受</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到过行政处罚（不包括证券市场以外的处罚</w:t>
            </w:r>
            <w:r>
              <w:rPr>
                <w:rFonts w:ascii="宋体" w:hAnsi="宋体" w:cs="宋体" w:eastAsia="宋体" w:hint="default"/>
                <w:spacing w:val="-90"/>
                <w:sz w:val="18"/>
                <w:szCs w:val="18"/>
              </w:rPr>
              <w:t>）</w:t>
            </w:r>
            <w:r>
              <w:rPr>
                <w:rFonts w:ascii="宋体" w:hAnsi="宋体" w:cs="宋体" w:eastAsia="宋体" w:hint="default"/>
                <w:sz w:val="18"/>
                <w:szCs w:val="18"/>
              </w:rPr>
              <w:t>、刑事处罚或者涉及与经济纠纷</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1"/>
                <w:sz w:val="18"/>
                <w:szCs w:val="18"/>
              </w:rPr>
              <w:t>有关的重大民事诉讼或者仲裁。本公司及本公司董事、监事、高级管理人员最</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年内不存在未按期偿还大额债务，不存在未履行承诺，未曾受过证券交易</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9"/>
              <w:jc w:val="left"/>
              <w:rPr>
                <w:rFonts w:ascii="宋体" w:hAnsi="宋体" w:cs="宋体" w:eastAsia="宋体" w:hint="default"/>
                <w:sz w:val="18"/>
                <w:szCs w:val="18"/>
              </w:rPr>
            </w:pPr>
            <w:r>
              <w:rPr>
                <w:rFonts w:ascii="宋体" w:hAnsi="宋体" w:cs="宋体" w:eastAsia="宋体" w:hint="default"/>
                <w:sz w:val="18"/>
                <w:szCs w:val="18"/>
              </w:rPr>
              <w:t>所公开谴责等情况。未泄露内幕信息的承诺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本公司及本公司主要管理人员、</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股东不存在泄露本次交易内幕信息的情形。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本公司及本公司主要管理人员、</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829" w:type="dxa"/>
            <w:tcBorders>
              <w:top w:val="nil" w:sz="6" w:space="0" w:color="auto"/>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股东不存在利用本次交易信息进行内幕交易的情形。</w:t>
            </w:r>
          </w:p>
        </w:tc>
        <w:tc>
          <w:tcPr>
            <w:tcW w:w="715"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
        </w:tc>
        <w:tc>
          <w:tcPr>
            <w:tcW w:w="205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220" w:left="1300" w:right="1300"/>
        </w:sectPr>
      </w:pPr>
    </w:p>
    <w:p>
      <w:pPr>
        <w:spacing w:line="240" w:lineRule="auto" w:before="4"/>
        <w:rPr>
          <w:rFonts w:ascii="Times New Roman" w:hAnsi="Times New Roman" w:cs="Times New Roman" w:eastAsia="Times New Roman" w:hint="default"/>
          <w:sz w:val="3"/>
          <w:szCs w:val="3"/>
        </w:rPr>
      </w:pPr>
      <w:r>
        <w:rPr/>
        <w:pict>
          <v:group style="position:absolute;margin-left:668.979980pt;margin-top:393.25pt;width:101pt;height:20.8pt;mso-position-horizontal-relative:page;mso-position-vertical-relative:page;z-index:-1545640" coordorigin="13380,7865" coordsize="2020,416">
            <v:group style="position:absolute;left:13391;top:7876;width:2;height:393" coordorigin="13391,7876" coordsize="2,393">
              <v:shape style="position:absolute;left:13391;top:7876;width:2;height:393" coordorigin="13391,7876" coordsize="0,393" path="m13391,7876l13391,8269e" filled="false" stroked="true" strokeweight="1.140pt" strokecolor="#ffffff">
                <v:path arrowok="t"/>
              </v:shape>
            </v:group>
            <v:group style="position:absolute;left:13402;top:7876;width:1998;height:393" coordorigin="13402,7876" coordsize="1998,393">
              <v:shape style="position:absolute;left:13402;top:7876;width:1998;height:393" coordorigin="13402,7876" coordsize="1998,393" path="m13402,8269l15400,8269,15400,7876,13402,7876,13402,8269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377" w:hRule="exact"/>
        </w:trPr>
        <w:tc>
          <w:tcPr>
            <w:tcW w:w="1846" w:type="dxa"/>
            <w:vMerge w:val="restart"/>
            <w:tcBorders>
              <w:top w:val="single" w:sz="15" w:space="0" w:color="000000"/>
              <w:left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nil" w:sz="6" w:space="0" w:color="auto"/>
              <w:right w:val="single" w:sz="4" w:space="0" w:color="000000"/>
            </w:tcBorders>
          </w:tcPr>
          <w:p>
            <w:pPr/>
          </w:p>
        </w:tc>
        <w:tc>
          <w:tcPr>
            <w:tcW w:w="829" w:type="dxa"/>
            <w:tcBorders>
              <w:top w:val="single" w:sz="15" w:space="0" w:color="000000"/>
              <w:left w:val="single" w:sz="4" w:space="0" w:color="000000"/>
              <w:bottom w:val="nil" w:sz="6" w:space="0" w:color="auto"/>
              <w:right w:val="single" w:sz="4" w:space="0" w:color="000000"/>
            </w:tcBorders>
          </w:tcPr>
          <w:p>
            <w:pPr/>
          </w:p>
        </w:tc>
        <w:tc>
          <w:tcPr>
            <w:tcW w:w="614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承诺期内，标的公司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年税后净利润分别不低于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6,100</w:t>
            </w:r>
          </w:p>
        </w:tc>
        <w:tc>
          <w:tcPr>
            <w:tcW w:w="715" w:type="dxa"/>
            <w:tcBorders>
              <w:top w:val="single" w:sz="15" w:space="0" w:color="000000"/>
              <w:left w:val="single" w:sz="4" w:space="0" w:color="000000"/>
              <w:bottom w:val="nil" w:sz="6" w:space="0" w:color="auto"/>
              <w:right w:val="single" w:sz="4" w:space="0" w:color="000000"/>
            </w:tcBorders>
          </w:tcPr>
          <w:p>
            <w:pPr/>
          </w:p>
        </w:tc>
        <w:tc>
          <w:tcPr>
            <w:tcW w:w="1567" w:type="dxa"/>
            <w:tcBorders>
              <w:top w:val="single" w:sz="15" w:space="0" w:color="000000"/>
              <w:left w:val="single" w:sz="4" w:space="0" w:color="000000"/>
              <w:bottom w:val="nil" w:sz="6" w:space="0" w:color="auto"/>
              <w:right w:val="single" w:sz="4" w:space="0" w:color="000000"/>
            </w:tcBorders>
          </w:tcPr>
          <w:p>
            <w:pPr/>
          </w:p>
        </w:tc>
        <w:tc>
          <w:tcPr>
            <w:tcW w:w="2052" w:type="dxa"/>
            <w:tcBorders>
              <w:top w:val="single" w:sz="15" w:space="0" w:color="000000"/>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7,100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8,100</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万元。如业绩指标在保证期限内未能达到，南京庆亚</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应采取股份补偿的方式进行业绩补偿，应补偿的当期股份数量按以下公式计算</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南京庆亚 贸易有限 公司</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2" w:right="7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307" w:lineRule="auto" w:before="10"/>
              <w:ind w:left="22" w:right="21"/>
              <w:jc w:val="both"/>
              <w:rPr>
                <w:rFonts w:ascii="宋体" w:hAnsi="宋体" w:cs="宋体" w:eastAsia="宋体" w:hint="default"/>
                <w:sz w:val="18"/>
                <w:szCs w:val="18"/>
              </w:rPr>
            </w:pPr>
            <w:r>
              <w:rPr>
                <w:rFonts w:ascii="宋体" w:hAnsi="宋体" w:cs="宋体" w:eastAsia="宋体" w:hint="default"/>
                <w:spacing w:val="-3"/>
                <w:sz w:val="18"/>
                <w:szCs w:val="18"/>
              </w:rPr>
              <w:t>确定（累计补偿的上限为本次交易中南京庆亚获得的高鸿股份股份总量）：当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期应补偿股份数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（截至承诺期每期期末累积承诺净利润－截至承诺期每期期 末累积实际净利润）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承诺期承诺净利润总和</w:t>
            </w: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标的资产的交易价格</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本次发行 </w:t>
            </w:r>
            <w:r>
              <w:rPr>
                <w:rFonts w:ascii="宋体" w:hAnsi="宋体" w:cs="宋体" w:eastAsia="宋体" w:hint="default"/>
                <w:spacing w:val="-1"/>
                <w:sz w:val="18"/>
                <w:szCs w:val="18"/>
              </w:rPr>
              <w:t>价格－已补偿股份数。自协议签署之日起至补偿实施日，如股份补偿义务人持</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履行完毕。无需补偿。</w:t>
            </w: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有的高鸿股份股份数量因发生分红、送股、资本公积金转增股本等事项导致调</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整变化，则股份补偿义务人累计补偿的上限将根据实际情况随之进行调整。在</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2052"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829" w:type="dxa"/>
            <w:tcBorders>
              <w:top w:val="nil" w:sz="6" w:space="0" w:color="auto"/>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各年计算的应补偿股份数小于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取值，即已经补偿的股份不冲回。</w:t>
            </w:r>
          </w:p>
        </w:tc>
        <w:tc>
          <w:tcPr>
            <w:tcW w:w="715"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
        </w:tc>
        <w:tc>
          <w:tcPr>
            <w:tcW w:w="2052"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pacing w:val="-1"/>
                <w:sz w:val="18"/>
                <w:szCs w:val="18"/>
              </w:rPr>
              <w:t>为保持上市公司在本次交易及上市公司未来人员、财产、资产、业务和机构等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方面的独立性，公司的控股股东电信科学技术研究院承诺保持上市公司人员独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立、财务独立、机构独立、资产独立完整、业务独立。</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91"/>
              <w:jc w:val="both"/>
              <w:rPr>
                <w:rFonts w:ascii="宋体" w:hAnsi="宋体" w:cs="宋体" w:eastAsia="宋体" w:hint="default"/>
                <w:sz w:val="18"/>
                <w:szCs w:val="18"/>
              </w:rPr>
            </w:pPr>
            <w:r>
              <w:rPr>
                <w:rFonts w:ascii="宋体" w:hAnsi="宋体" w:cs="宋体" w:eastAsia="宋体" w:hint="default"/>
                <w:sz w:val="18"/>
                <w:szCs w:val="18"/>
              </w:rPr>
              <w:t>电信科学技术研究 院有限公司作为控 股股东期间</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68"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北京银汉</w:t>
            </w:r>
          </w:p>
        </w:tc>
        <w:tc>
          <w:tcPr>
            <w:tcW w:w="829" w:type="dxa"/>
            <w:tcBorders>
              <w:top w:val="single" w:sz="4" w:space="0" w:color="000000"/>
              <w:left w:val="single" w:sz="4" w:space="0" w:color="000000"/>
              <w:bottom w:val="nil" w:sz="6" w:space="0" w:color="auto"/>
              <w:right w:val="single" w:sz="4" w:space="0" w:color="000000"/>
            </w:tcBorders>
          </w:tcPr>
          <w:p>
            <w:pPr/>
          </w:p>
        </w:tc>
        <w:tc>
          <w:tcPr>
            <w:tcW w:w="61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1"/>
                <w:sz w:val="18"/>
                <w:szCs w:val="18"/>
              </w:rPr>
              <w:t>一、同业竞争（一）交易对方大唐创投、海南基金、银汉投资出具了关于与上</w:t>
            </w:r>
          </w:p>
        </w:tc>
        <w:tc>
          <w:tcPr>
            <w:tcW w:w="715" w:type="dxa"/>
            <w:tcBorders>
              <w:top w:val="single" w:sz="4" w:space="0" w:color="000000"/>
              <w:left w:val="single" w:sz="4" w:space="0" w:color="000000"/>
              <w:bottom w:val="nil" w:sz="6" w:space="0" w:color="auto"/>
              <w:right w:val="single" w:sz="4" w:space="0" w:color="000000"/>
            </w:tcBorders>
          </w:tcPr>
          <w:p>
            <w:pPr/>
          </w:p>
        </w:tc>
        <w:tc>
          <w:tcPr>
            <w:tcW w:w="1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电信科学技术研究</w:t>
            </w:r>
          </w:p>
        </w:tc>
        <w:tc>
          <w:tcPr>
            <w:tcW w:w="2052"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创业投资</w:t>
            </w: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市公司避免同业竞争的承诺，内容如下：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本基金没有直接或间接通</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院有限公司作为公</w:t>
            </w: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过其直接或间接控制的其他经营主体直接从事与上市公司及高阳捷迅现有业</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司控股股东期间；</w:t>
            </w:r>
          </w:p>
        </w:tc>
        <w:tc>
          <w:tcPr>
            <w:tcW w:w="205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大唐高新</w:t>
            </w: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务相同或类似的业务。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本基金作为上市公司的股东期间和之后的</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大唐创投、海南基</w:t>
            </w:r>
          </w:p>
        </w:tc>
        <w:tc>
          <w:tcPr>
            <w:tcW w:w="2052" w:type="dxa"/>
            <w:tcBorders>
              <w:top w:val="nil" w:sz="6" w:space="0" w:color="auto"/>
              <w:left w:val="single" w:sz="4" w:space="0" w:color="000000"/>
              <w:bottom w:val="nil" w:sz="6" w:space="0" w:color="auto"/>
              <w:right w:val="single" w:sz="4" w:space="0" w:color="000000"/>
            </w:tcBorders>
          </w:tcPr>
          <w:p>
            <w:pPr/>
          </w:p>
        </w:tc>
      </w:tr>
      <w:tr>
        <w:trPr>
          <w:trHeight w:val="2184"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312" w:lineRule="auto" w:before="15"/>
              <w:ind w:left="22" w:right="50"/>
              <w:jc w:val="both"/>
              <w:rPr>
                <w:rFonts w:ascii="宋体" w:hAnsi="宋体" w:cs="宋体" w:eastAsia="宋体" w:hint="default"/>
                <w:sz w:val="18"/>
                <w:szCs w:val="18"/>
              </w:rPr>
            </w:pPr>
            <w:r>
              <w:rPr>
                <w:rFonts w:ascii="宋体" w:hAnsi="宋体" w:cs="宋体" w:eastAsia="宋体" w:hint="default"/>
                <w:sz w:val="18"/>
                <w:szCs w:val="18"/>
              </w:rPr>
              <w:t>创业投资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电信科学 技术研究 院有限公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海南信 息产业创</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2" w:right="7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307" w:lineRule="auto" w:before="15"/>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本基金将不在中国境内外以控股另一公司股份的形式直接 或间接从事任何在商业上对上市公司及高阳捷迅构成竞争的业务和活动。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在 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本基金作为上市公司的股东期间和之后的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个月内，若上市公司及高 </w:t>
            </w:r>
            <w:r>
              <w:rPr>
                <w:rFonts w:ascii="宋体" w:hAnsi="宋体" w:cs="宋体" w:eastAsia="宋体" w:hint="default"/>
                <w:spacing w:val="-3"/>
                <w:sz w:val="18"/>
                <w:szCs w:val="18"/>
              </w:rPr>
              <w:t>阳捷迅因新的商业机会从事新的业务领域，则本公司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本基金将不在中国境内外</w:t>
            </w:r>
            <w:r>
              <w:rPr>
                <w:rFonts w:ascii="宋体" w:hAnsi="宋体" w:cs="宋体" w:eastAsia="宋体" w:hint="default"/>
                <w:spacing w:val="-62"/>
                <w:sz w:val="18"/>
                <w:szCs w:val="18"/>
              </w:rPr>
              <w:t> </w:t>
            </w:r>
            <w:r>
              <w:rPr>
                <w:rFonts w:ascii="宋体" w:hAnsi="宋体" w:cs="宋体" w:eastAsia="宋体" w:hint="default"/>
                <w:sz w:val="18"/>
                <w:szCs w:val="18"/>
              </w:rPr>
              <w:t>以控股或以参股但拥有实质控制权的方式从事与上市公司及高阳捷迅新业务 </w:t>
            </w:r>
            <w:r>
              <w:rPr>
                <w:rFonts w:ascii="宋体" w:hAnsi="宋体" w:cs="宋体" w:eastAsia="宋体" w:hint="default"/>
                <w:spacing w:val="-3"/>
                <w:sz w:val="18"/>
                <w:szCs w:val="18"/>
              </w:rPr>
              <w:t>构成竞争关系的业务活动。（二）交易对方曾东卫、叶军、李昌锋出具了关于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与上市公司避免同业竞争的承诺，内容如下：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．高阳捷迅目前主要从事业务</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4" w:right="-33"/>
              <w:jc w:val="left"/>
              <w:rPr>
                <w:rFonts w:ascii="宋体" w:hAnsi="宋体" w:cs="宋体" w:eastAsia="宋体" w:hint="default"/>
                <w:sz w:val="18"/>
                <w:szCs w:val="18"/>
              </w:rPr>
            </w:pPr>
            <w:r>
              <w:rPr>
                <w:rFonts w:ascii="宋体" w:hAnsi="宋体" w:cs="宋体" w:eastAsia="宋体" w:hint="default"/>
                <w:sz w:val="18"/>
                <w:szCs w:val="18"/>
              </w:rPr>
              <w:t>金、银汉投资作为 上市公司的股东期 间和之后的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个月 </w:t>
            </w:r>
            <w:r>
              <w:rPr>
                <w:rFonts w:ascii="宋体" w:hAnsi="宋体" w:cs="宋体" w:eastAsia="宋体" w:hint="default"/>
                <w:spacing w:val="-7"/>
                <w:sz w:val="18"/>
                <w:szCs w:val="18"/>
              </w:rPr>
              <w:t>内；曾东卫、叶军、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李昌锋作为上市公</w:t>
            </w:r>
            <w:r>
              <w:rPr>
                <w:rFonts w:ascii="宋体" w:hAnsi="宋体" w:cs="宋体" w:eastAsia="宋体" w:hint="default"/>
                <w:sz w:val="18"/>
                <w:szCs w:val="18"/>
              </w:rPr>
              <w:t> 司的股东期间和之 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个月内，以</w:t>
            </w:r>
          </w:p>
        </w:tc>
        <w:tc>
          <w:tcPr>
            <w:tcW w:w="20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业投资基</w:t>
            </w: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1"/>
                <w:sz w:val="18"/>
                <w:szCs w:val="18"/>
              </w:rPr>
              <w:t>为互联网支付、互联网话费充值、互联网充值卡兑换、互联网游戏充值、支付</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4" w:right="0"/>
              <w:jc w:val="left"/>
              <w:rPr>
                <w:rFonts w:ascii="宋体" w:hAnsi="宋体" w:cs="宋体" w:eastAsia="宋体" w:hint="default"/>
                <w:sz w:val="18"/>
                <w:szCs w:val="18"/>
              </w:rPr>
            </w:pPr>
            <w:r>
              <w:rPr>
                <w:rFonts w:ascii="宋体" w:hAnsi="宋体" w:cs="宋体" w:eastAsia="宋体" w:hint="default"/>
                <w:sz w:val="18"/>
                <w:szCs w:val="18"/>
              </w:rPr>
              <w:t>及其本人在高阳捷</w:t>
            </w:r>
          </w:p>
        </w:tc>
        <w:tc>
          <w:tcPr>
            <w:tcW w:w="205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金（有限</w:t>
            </w: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本人在作为上市公司股东期间将不直接或间接通过其直接或间接</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迅任职期间及从高</w:t>
            </w:r>
          </w:p>
        </w:tc>
        <w:tc>
          <w:tcPr>
            <w:tcW w:w="2052"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李</w:t>
            </w:r>
          </w:p>
        </w:tc>
        <w:tc>
          <w:tcPr>
            <w:tcW w:w="829" w:type="dxa"/>
            <w:tcBorders>
              <w:top w:val="nil" w:sz="6" w:space="0" w:color="auto"/>
              <w:left w:val="single" w:sz="4" w:space="0" w:color="000000"/>
              <w:bottom w:val="nil" w:sz="6" w:space="0" w:color="auto"/>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4"/>
              <w:jc w:val="left"/>
              <w:rPr>
                <w:rFonts w:ascii="宋体" w:hAnsi="宋体" w:cs="宋体" w:eastAsia="宋体" w:hint="default"/>
                <w:sz w:val="18"/>
                <w:szCs w:val="18"/>
              </w:rPr>
            </w:pPr>
            <w:r>
              <w:rPr>
                <w:rFonts w:ascii="宋体" w:hAnsi="宋体" w:cs="宋体" w:eastAsia="宋体" w:hint="default"/>
                <w:sz w:val="18"/>
                <w:szCs w:val="18"/>
              </w:rPr>
              <w:t>控制的其他经营主体或以自然人名义直接从事与高阳捷迅现有业务相同业务，</w:t>
            </w:r>
          </w:p>
        </w:tc>
        <w:tc>
          <w:tcPr>
            <w:tcW w:w="715"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24" w:right="0"/>
              <w:jc w:val="left"/>
              <w:rPr>
                <w:rFonts w:ascii="宋体" w:hAnsi="宋体" w:cs="宋体" w:eastAsia="宋体" w:hint="default"/>
                <w:sz w:val="18"/>
                <w:szCs w:val="18"/>
              </w:rPr>
            </w:pPr>
            <w:r>
              <w:rPr>
                <w:rFonts w:ascii="宋体" w:hAnsi="宋体" w:cs="宋体" w:eastAsia="宋体" w:hint="default"/>
                <w:sz w:val="18"/>
                <w:szCs w:val="18"/>
              </w:rPr>
              <w:t>阳捷迅离职后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w:t>
            </w:r>
          </w:p>
        </w:tc>
        <w:tc>
          <w:tcPr>
            <w:tcW w:w="2052" w:type="dxa"/>
            <w:tcBorders>
              <w:top w:val="nil" w:sz="6" w:space="0" w:color="auto"/>
              <w:left w:val="single" w:sz="4" w:space="0" w:color="000000"/>
              <w:bottom w:val="nil" w:sz="6" w:space="0" w:color="auto"/>
              <w:right w:val="single" w:sz="4" w:space="0" w:color="000000"/>
            </w:tcBorders>
          </w:tcPr>
          <w:p>
            <w:pPr/>
          </w:p>
        </w:tc>
      </w:tr>
      <w:tr>
        <w:trPr>
          <w:trHeight w:val="341"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昌锋</w:t>
            </w:r>
            <w:r>
              <w:rPr>
                <w:rFonts w:ascii="Times New Roman" w:hAnsi="Times New Roman" w:cs="Times New Roman" w:eastAsia="Times New Roman" w:hint="default"/>
                <w:sz w:val="18"/>
                <w:szCs w:val="18"/>
              </w:rPr>
              <w:t>;</w:t>
            </w:r>
            <w:r>
              <w:rPr>
                <w:rFonts w:ascii="宋体" w:hAnsi="宋体" w:cs="宋体" w:eastAsia="宋体" w:hint="default"/>
                <w:sz w:val="18"/>
                <w:szCs w:val="18"/>
              </w:rPr>
              <w:t>李伟</w:t>
            </w:r>
          </w:p>
        </w:tc>
        <w:tc>
          <w:tcPr>
            <w:tcW w:w="829" w:type="dxa"/>
            <w:tcBorders>
              <w:top w:val="nil" w:sz="6" w:space="0" w:color="auto"/>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也不在与高阳捷迅存在相同业务的任何经营实体中任职或担任任何形式的顾</w:t>
            </w:r>
          </w:p>
        </w:tc>
        <w:tc>
          <w:tcPr>
            <w:tcW w:w="715"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Style w:val="TableParagraph"/>
              <w:spacing w:line="232" w:lineRule="exact"/>
              <w:ind w:left="24" w:right="0"/>
              <w:jc w:val="left"/>
              <w:rPr>
                <w:rFonts w:ascii="宋体" w:hAnsi="宋体" w:cs="宋体" w:eastAsia="宋体" w:hint="default"/>
                <w:sz w:val="18"/>
                <w:szCs w:val="18"/>
              </w:rPr>
            </w:pPr>
            <w:r>
              <w:rPr>
                <w:rFonts w:ascii="宋体" w:hAnsi="宋体" w:cs="宋体" w:eastAsia="宋体" w:hint="default"/>
                <w:sz w:val="18"/>
                <w:szCs w:val="18"/>
              </w:rPr>
              <w:t>月内</w:t>
            </w:r>
          </w:p>
        </w:tc>
        <w:tc>
          <w:tcPr>
            <w:tcW w:w="2052"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9386" w:hRule="exact"/>
        </w:trPr>
        <w:tc>
          <w:tcPr>
            <w:tcW w:w="184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斌</w:t>
            </w:r>
            <w:r>
              <w:rPr>
                <w:rFonts w:ascii="Times New Roman" w:hAnsi="Times New Roman" w:cs="Times New Roman" w:eastAsia="Times New Roman" w:hint="default"/>
                <w:sz w:val="18"/>
                <w:szCs w:val="18"/>
              </w:rPr>
              <w:t>;</w:t>
            </w:r>
            <w:r>
              <w:rPr>
                <w:rFonts w:ascii="宋体" w:hAnsi="宋体" w:cs="宋体" w:eastAsia="宋体" w:hint="default"/>
                <w:sz w:val="18"/>
                <w:szCs w:val="18"/>
              </w:rPr>
              <w:t>王世 成</w:t>
            </w:r>
            <w:r>
              <w:rPr>
                <w:rFonts w:ascii="Times New Roman" w:hAnsi="Times New Roman" w:cs="Times New Roman" w:eastAsia="Times New Roman" w:hint="default"/>
                <w:sz w:val="18"/>
                <w:szCs w:val="18"/>
              </w:rPr>
              <w:t>;</w:t>
            </w:r>
            <w:r>
              <w:rPr>
                <w:rFonts w:ascii="宋体" w:hAnsi="宋体" w:cs="宋体" w:eastAsia="宋体" w:hint="default"/>
                <w:sz w:val="18"/>
                <w:szCs w:val="18"/>
              </w:rPr>
              <w:t>叶军</w:t>
            </w:r>
            <w:r>
              <w:rPr>
                <w:rFonts w:ascii="Times New Roman" w:hAnsi="Times New Roman" w:cs="Times New Roman" w:eastAsia="Times New Roman" w:hint="default"/>
                <w:sz w:val="18"/>
                <w:szCs w:val="18"/>
              </w:rPr>
              <w:t>; </w:t>
            </w:r>
            <w:r>
              <w:rPr>
                <w:rFonts w:ascii="宋体" w:hAnsi="宋体" w:cs="宋体" w:eastAsia="宋体" w:hint="default"/>
                <w:sz w:val="18"/>
                <w:szCs w:val="18"/>
              </w:rPr>
              <w:t>曾东卫</w:t>
            </w:r>
            <w:r>
              <w:rPr>
                <w:rFonts w:ascii="Times New Roman" w:hAnsi="Times New Roman" w:cs="Times New Roman" w:eastAsia="Times New Roman" w:hint="default"/>
                <w:sz w:val="18"/>
                <w:szCs w:val="18"/>
              </w:rPr>
              <w:t>;</w:t>
            </w:r>
            <w:r>
              <w:rPr>
                <w:rFonts w:ascii="宋体" w:hAnsi="宋体" w:cs="宋体" w:eastAsia="宋体" w:hint="default"/>
                <w:sz w:val="18"/>
                <w:szCs w:val="18"/>
              </w:rPr>
              <w:t>张 岩</w:t>
            </w:r>
          </w:p>
        </w:tc>
        <w:tc>
          <w:tcPr>
            <w:tcW w:w="829" w:type="dxa"/>
            <w:tcBorders>
              <w:top w:val="single" w:sz="15" w:space="0" w:color="000000"/>
              <w:left w:val="single" w:sz="4" w:space="0" w:color="000000"/>
              <w:bottom w:val="single" w:sz="4" w:space="0" w:color="000000"/>
              <w:right w:val="single" w:sz="4" w:space="0" w:color="000000"/>
            </w:tcBorders>
          </w:tcPr>
          <w:p>
            <w:pPr/>
          </w:p>
        </w:tc>
        <w:tc>
          <w:tcPr>
            <w:tcW w:w="614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问。</w:t>
            </w:r>
            <w:r>
              <w:rPr>
                <w:rFonts w:ascii="Times New Roman" w:hAnsi="Times New Roman" w:cs="Times New Roman" w:eastAsia="Times New Roman" w:hint="default"/>
                <w:sz w:val="18"/>
                <w:szCs w:val="18"/>
              </w:rPr>
              <w:t>3</w:t>
            </w:r>
            <w:r>
              <w:rPr>
                <w:rFonts w:ascii="宋体" w:hAnsi="宋体" w:cs="宋体" w:eastAsia="宋体" w:hint="default"/>
                <w:sz w:val="18"/>
                <w:szCs w:val="18"/>
              </w:rPr>
              <w:t>．在本人作为上市公司的股东期间和之后的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个月内，以及本人在高阳</w:t>
            </w:r>
          </w:p>
          <w:p>
            <w:pPr>
              <w:pStyle w:val="TableParagraph"/>
              <w:spacing w:line="314" w:lineRule="auto" w:before="63"/>
              <w:ind w:left="22" w:right="-4"/>
              <w:jc w:val="left"/>
              <w:rPr>
                <w:rFonts w:ascii="宋体" w:hAnsi="宋体" w:cs="宋体" w:eastAsia="宋体" w:hint="default"/>
                <w:sz w:val="18"/>
                <w:szCs w:val="18"/>
              </w:rPr>
            </w:pPr>
            <w:r>
              <w:rPr>
                <w:rFonts w:ascii="宋体" w:hAnsi="宋体" w:cs="宋体" w:eastAsia="宋体" w:hint="default"/>
                <w:sz w:val="18"/>
                <w:szCs w:val="18"/>
              </w:rPr>
              <w:t>捷迅任职期间及从高阳捷迅离职后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个月内，本人将不在中国境内外直接或 </w:t>
            </w:r>
            <w:r>
              <w:rPr>
                <w:rFonts w:ascii="宋体" w:hAnsi="宋体" w:cs="宋体" w:eastAsia="宋体" w:hint="default"/>
                <w:spacing w:val="-1"/>
                <w:sz w:val="18"/>
                <w:szCs w:val="18"/>
              </w:rPr>
              <w:t>间接从事任何在商业上对上市公司及高阳捷迅构成竞争的业务和活动，且不谋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求拥有与上市公司及高阳捷迅存在竞争关系的任何经济实体的权益；本人从第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三方获得的商业机会如与上市公司或高阳捷迅构成竞争或存在构成竞争的可 </w:t>
            </w:r>
            <w:r>
              <w:rPr>
                <w:rFonts w:ascii="宋体" w:hAnsi="宋体" w:cs="宋体" w:eastAsia="宋体" w:hint="default"/>
                <w:spacing w:val="-1"/>
                <w:sz w:val="18"/>
                <w:szCs w:val="18"/>
              </w:rPr>
              <w:t>能，则本人将立即通知上市公司并将该商业机会让予上市公司，若该等业务机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会尚不具备转让给上市公司的条件，或因其他原因导致上市公司暂无法取得上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述业务机会，上市公司有权选择以书面确认的方式要求本人放弃该等业务机 会，或采取法律、法规及中国证券监督管理委员会许可的其他方式加以解决； 本人将不在同上市公司或高阳捷迅存在相同或者类似业务的任何经营实体中 </w:t>
            </w:r>
            <w:r>
              <w:rPr>
                <w:rFonts w:ascii="宋体" w:hAnsi="宋体" w:cs="宋体" w:eastAsia="宋体" w:hint="default"/>
                <w:spacing w:val="-1"/>
                <w:sz w:val="18"/>
                <w:szCs w:val="18"/>
              </w:rPr>
              <w:t>任职或者担任任何形式的顾问；不以上市公司或高阳捷迅以外的名义为上市公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司或高阳捷迅客户提供与上市公司及高阳捷迅主营业务相同或类似的相关服 </w:t>
            </w:r>
            <w:r>
              <w:rPr>
                <w:rFonts w:ascii="宋体" w:hAnsi="宋体" w:cs="宋体" w:eastAsia="宋体" w:hint="default"/>
                <w:spacing w:val="-3"/>
                <w:sz w:val="18"/>
                <w:szCs w:val="18"/>
              </w:rPr>
              <w:t>务和咨询。（三）上市公司控股股东研究院出具了关于与上市公司避免同业竞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争的承诺，内容如下：目前本院及下属除你公司外其他企业与你公司不存在同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业竞争关系。同时本院承诺：在本院作为你公司控股股东或第一大股东期间， 本院及下属除你公司以外的其他企业将不从事与你公司存在同业竞争的具体 </w:t>
            </w:r>
            <w:r>
              <w:rPr>
                <w:rFonts w:ascii="宋体" w:hAnsi="宋体" w:cs="宋体" w:eastAsia="宋体" w:hint="default"/>
                <w:spacing w:val="-1"/>
                <w:sz w:val="18"/>
                <w:szCs w:val="18"/>
              </w:rPr>
              <w:t>业务，也不会利用对公司的控股关系做出任何有损你公司利益的行为。二、关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联交易（一）交易对方大唐创投、海南基金、银汉投资出具了关于规范与上市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公司关联交易的承诺，内容如下：</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本基金将按照公司法等法律</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1"/>
                <w:sz w:val="18"/>
                <w:szCs w:val="18"/>
              </w:rPr>
              <w:t>法规、上市公司、高阳捷迅公司章程的有关规定行使股东权利；在股东大会对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涉及本公司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本基金的关联交易进行表决时，履行回避表决的义务。</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w:t>
            </w:r>
            <w:r>
              <w:rPr>
                <w:rFonts w:ascii="宋体" w:hAnsi="宋体" w:cs="宋体" w:eastAsia="宋体" w:hint="default"/>
                <w:spacing w:val="-67"/>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本基金将避免一切非法占用上市公司、高阳捷迅的资金、资产的行 为，在任何情况下，不要求上市公司及高阳捷迅向本公司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本基金、本公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本基金股东及本公司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本基金投资或控制的其他法人提供任何形 </w:t>
            </w:r>
            <w:r>
              <w:rPr>
                <w:rFonts w:ascii="宋体" w:hAnsi="宋体" w:cs="宋体" w:eastAsia="宋体" w:hint="default"/>
                <w:spacing w:val="-2"/>
                <w:sz w:val="18"/>
                <w:szCs w:val="18"/>
              </w:rPr>
              <w:t>式的担保。</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本基金将尽可能地避免和减少与上市公司的关联交</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易；对无法避免或者有合理原因而发生的关联交易，将遵循市场公正、公平、 </w:t>
            </w:r>
            <w:r>
              <w:rPr>
                <w:rFonts w:ascii="宋体" w:hAnsi="宋体" w:cs="宋体" w:eastAsia="宋体" w:hint="default"/>
                <w:spacing w:val="-1"/>
                <w:sz w:val="18"/>
                <w:szCs w:val="18"/>
              </w:rPr>
              <w:t>公开的原则，并依法签订协议，履行合法程序，按照上市公司公司章程、有关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法律法规和《深圳证券交易所股票上市规则》等有关规定履行信息披露义务和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办理有关报批程序，保证不通过关联交易损害上市公司及其他股东的合法权 </w:t>
            </w:r>
            <w:r>
              <w:rPr>
                <w:rFonts w:ascii="宋体" w:hAnsi="宋体" w:cs="宋体" w:eastAsia="宋体" w:hint="default"/>
                <w:spacing w:val="-2"/>
                <w:sz w:val="18"/>
                <w:szCs w:val="18"/>
              </w:rPr>
              <w:t>益。</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本基金对因其未履行本承诺函所作的承诺而给上市公司及</w:t>
            </w:r>
          </w:p>
        </w:tc>
        <w:tc>
          <w:tcPr>
            <w:tcW w:w="715" w:type="dxa"/>
            <w:tcBorders>
              <w:top w:val="single" w:sz="15" w:space="0" w:color="000000"/>
              <w:left w:val="single" w:sz="4" w:space="0" w:color="000000"/>
              <w:bottom w:val="single" w:sz="4" w:space="0" w:color="000000"/>
              <w:right w:val="single" w:sz="4" w:space="0" w:color="000000"/>
            </w:tcBorders>
          </w:tcPr>
          <w:p>
            <w:pPr/>
          </w:p>
        </w:tc>
        <w:tc>
          <w:tcPr>
            <w:tcW w:w="1567" w:type="dxa"/>
            <w:tcBorders>
              <w:top w:val="single" w:sz="15" w:space="0" w:color="000000"/>
              <w:left w:val="single" w:sz="4" w:space="0" w:color="000000"/>
              <w:bottom w:val="single" w:sz="4" w:space="0" w:color="000000"/>
              <w:right w:val="single" w:sz="4" w:space="0" w:color="000000"/>
            </w:tcBorders>
          </w:tcPr>
          <w:p>
            <w:pPr/>
          </w:p>
        </w:tc>
        <w:tc>
          <w:tcPr>
            <w:tcW w:w="2052" w:type="dxa"/>
            <w:tcBorders>
              <w:top w:val="single" w:sz="15"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521.663025pt;margin-top:57.180008pt;width:68.5pt;height:392.1pt;mso-position-horizontal-relative:page;mso-position-vertical-relative:page;z-index:-1545568"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李伟斌、</w:t>
                  </w:r>
                </w:p>
              </w:txbxContent>
            </v:textbox>
            <w10:wrap type="none"/>
          </v:shape>
        </w:pict>
      </w:r>
      <w:r>
        <w:rPr/>
        <w:pict>
          <v:shape style="position:absolute;margin-left:548.679993pt;margin-top:515.160034pt;width:41.5pt;height:14.6pt;mso-position-horizontal-relative:page;mso-position-vertical-relative:page;z-index:-1545544" type="#_x0000_t202" filled="false" stroked="false">
            <v:textbox inset="0,0,0,0">
              <w:txbxContent>
                <w:p>
                  <w:pPr>
                    <w:spacing w:line="22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332" w:hRule="exact"/>
        </w:trPr>
        <w:tc>
          <w:tcPr>
            <w:tcW w:w="1846" w:type="dxa"/>
            <w:vMerge w:val="restart"/>
            <w:tcBorders>
              <w:top w:val="single" w:sz="15" w:space="0" w:color="000000"/>
              <w:left w:val="single" w:sz="4" w:space="0" w:color="000000"/>
              <w:right w:val="single" w:sz="4" w:space="0" w:color="000000"/>
            </w:tcBorders>
            <w:shd w:val="clear" w:color="auto" w:fill="D2D2D2"/>
          </w:tcPr>
          <w:p>
            <w:pPr/>
          </w:p>
        </w:tc>
        <w:tc>
          <w:tcPr>
            <w:tcW w:w="856" w:type="dxa"/>
            <w:vMerge w:val="restart"/>
            <w:tcBorders>
              <w:top w:val="single" w:sz="15" w:space="0" w:color="000000"/>
              <w:left w:val="single" w:sz="4" w:space="0" w:color="000000"/>
              <w:right w:val="single" w:sz="4" w:space="0" w:color="000000"/>
            </w:tcBorders>
          </w:tcPr>
          <w:p>
            <w:pPr/>
          </w:p>
        </w:tc>
        <w:tc>
          <w:tcPr>
            <w:tcW w:w="829" w:type="dxa"/>
            <w:vMerge w:val="restart"/>
            <w:tcBorders>
              <w:top w:val="single" w:sz="15" w:space="0" w:color="000000"/>
              <w:left w:val="single" w:sz="4" w:space="0" w:color="000000"/>
              <w:right w:val="single" w:sz="4" w:space="0" w:color="000000"/>
            </w:tcBorders>
          </w:tcPr>
          <w:p>
            <w:pPr/>
          </w:p>
        </w:tc>
        <w:tc>
          <w:tcPr>
            <w:tcW w:w="6149"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高阳捷迅造成的一切直接损失承担赔偿责任</w:t>
            </w:r>
            <w:r>
              <w:rPr>
                <w:rFonts w:ascii="宋体" w:hAnsi="宋体" w:cs="宋体" w:eastAsia="宋体" w:hint="default"/>
                <w:spacing w:val="-100"/>
                <w:sz w:val="18"/>
                <w:szCs w:val="18"/>
              </w:rPr>
              <w:t>。</w:t>
            </w:r>
            <w:r>
              <w:rPr>
                <w:rFonts w:ascii="宋体" w:hAnsi="宋体" w:cs="宋体" w:eastAsia="宋体" w:hint="default"/>
                <w:sz w:val="18"/>
                <w:szCs w:val="18"/>
              </w:rPr>
              <w:t>（二</w:t>
            </w:r>
            <w:r>
              <w:rPr>
                <w:rFonts w:ascii="宋体" w:hAnsi="宋体" w:cs="宋体" w:eastAsia="宋体" w:hint="default"/>
                <w:spacing w:val="-9"/>
                <w:sz w:val="18"/>
                <w:szCs w:val="18"/>
              </w:rPr>
              <w:t>）</w:t>
            </w:r>
            <w:r>
              <w:rPr>
                <w:rFonts w:ascii="宋体" w:hAnsi="宋体" w:cs="宋体" w:eastAsia="宋体" w:hint="default"/>
                <w:sz w:val="18"/>
                <w:szCs w:val="18"/>
              </w:rPr>
              <w:t>交易对方曾东卫、</w:t>
            </w:r>
          </w:p>
        </w:tc>
        <w:tc>
          <w:tcPr>
            <w:tcW w:w="715" w:type="dxa"/>
            <w:vMerge w:val="restart"/>
            <w:tcBorders>
              <w:top w:val="single" w:sz="15" w:space="0" w:color="000000"/>
              <w:left w:val="single" w:sz="4" w:space="0" w:color="000000"/>
              <w:right w:val="single" w:sz="4" w:space="0" w:color="000000"/>
            </w:tcBorders>
          </w:tcPr>
          <w:p>
            <w:pPr>
              <w:pStyle w:val="TableParagraph"/>
              <w:spacing w:line="7842"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6"/>
                <w:sz w:val="20"/>
                <w:szCs w:val="20"/>
              </w:rPr>
              <w:pict>
                <v:group style="width:35.25pt;height:392.1pt;mso-position-horizontal-relative:char;mso-position-vertical-relative:line" coordorigin="0,0" coordsize="705,7842">
                  <v:group style="position:absolute;left:0;top:0;width:705;height:7842" coordorigin="0,0" coordsize="705,7842">
                    <v:shape style="position:absolute;left:0;top:0;width:705;height:7842" coordorigin="0,0" coordsize="705,7842" path="m0,7842l704,7842,704,0,0,0,0,7842xe" filled="true" fillcolor="#ffffff" stroked="false">
                      <v:path arrowok="t"/>
                      <v:fill type="solid"/>
                    </v:shape>
                  </v:group>
                </v:group>
              </w:pict>
            </w:r>
            <w:r>
              <w:rPr>
                <w:rFonts w:ascii="Times New Roman" w:hAnsi="Times New Roman" w:cs="Times New Roman" w:eastAsia="Times New Roman" w:hint="default"/>
                <w:position w:val="-156"/>
                <w:sz w:val="20"/>
                <w:szCs w:val="20"/>
              </w:rPr>
            </w:r>
          </w:p>
        </w:tc>
        <w:tc>
          <w:tcPr>
            <w:tcW w:w="1567" w:type="dxa"/>
            <w:vMerge w:val="restart"/>
            <w:tcBorders>
              <w:top w:val="single" w:sz="15" w:space="0" w:color="000000"/>
              <w:left w:val="single" w:sz="4" w:space="0" w:color="000000"/>
              <w:right w:val="single" w:sz="4" w:space="0" w:color="000000"/>
            </w:tcBorders>
          </w:tcPr>
          <w:p>
            <w:pPr/>
          </w:p>
        </w:tc>
        <w:tc>
          <w:tcPr>
            <w:tcW w:w="2052" w:type="dxa"/>
            <w:vMerge w:val="restart"/>
            <w:tcBorders>
              <w:top w:val="single" w:sz="15" w:space="0" w:color="000000"/>
              <w:left w:val="single" w:sz="4" w:space="0" w:color="000000"/>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叶军、张岩、李昌锋、王世成出具了关于规范与上市公司关联交易的承诺，内</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．本人将按照公司法等法律法规、上市公司、高阳捷迅公司章程的</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有关规定行使股东权利；在股东大会对涉及本人的关联交易进行表决时，履行</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．本人将避免一切非法占用上市公司、高阳捷迅的资金、</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资产的行为，在任何情况下，不要求上市公司及高阳捷迅向本人及本人投资或</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控制的其他法人提供任何形式的担保。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．本人将尽可能地避免和减少与上市</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公司的关联交易；对无法避免或者有合理原因而发生的关联交易，将遵循市场</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公正、公平、公开的原则，并依法签订协议，履行合法程序，按照上市公司公</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司章程、有关法律法规和《深圳证券交易所股票上市规则》等有关规定履行信</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息披露义务和办理有关报批程序，保证不通过关联交易损害上市公司及其他股</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东的合法权益。</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．本人对因其未履行本承诺函所作的承诺而给上市公司及高</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阳捷迅造成的一切直接损失承担赔偿责任</w:t>
            </w:r>
            <w:r>
              <w:rPr>
                <w:rFonts w:ascii="宋体" w:hAnsi="宋体" w:cs="宋体" w:eastAsia="宋体" w:hint="default"/>
                <w:spacing w:val="-90"/>
                <w:sz w:val="18"/>
                <w:szCs w:val="18"/>
              </w:rPr>
              <w:t>。</w:t>
            </w:r>
            <w:r>
              <w:rPr>
                <w:rFonts w:ascii="宋体" w:hAnsi="宋体" w:cs="宋体" w:eastAsia="宋体" w:hint="default"/>
                <w:sz w:val="18"/>
                <w:szCs w:val="18"/>
              </w:rPr>
              <w:t>（三）上市公司控股股东研究院出</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具了关于规范与上市公司关联交易的承诺，内容如下：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．本院将按照公司法</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等法律法规、上市公司、高阳捷迅公司章程的有关规定行使股东权利；在股东</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大会对涉及本院的关联交易进行表决时，履行回避表决的义务。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．本院将避</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免一切非法占用上市公司、高阳捷迅的资金、资产的行为，在任何情况下，不</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要求上市公司及高阳捷迅向本院、本院股东及本院投资或控制的其他法人提供</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任何形式的担保。</w:t>
            </w:r>
            <w:r>
              <w:rPr>
                <w:rFonts w:ascii="Times New Roman" w:hAnsi="Times New Roman" w:cs="Times New Roman" w:eastAsia="Times New Roman" w:hint="default"/>
                <w:sz w:val="18"/>
                <w:szCs w:val="18"/>
              </w:rPr>
              <w:t>3</w:t>
            </w:r>
            <w:r>
              <w:rPr>
                <w:rFonts w:ascii="宋体" w:hAnsi="宋体" w:cs="宋体" w:eastAsia="宋体" w:hint="default"/>
                <w:sz w:val="18"/>
                <w:szCs w:val="18"/>
              </w:rPr>
              <w:t>．本院将尽可能地避免和减少与上市公司的关联交易；对</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无法避免或者有合理原因而发生的关联交易，将遵循市场公正、公平、公开的</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原则，并依法签订协议，履行合法程序，按照上市公司公司章程、有关法律法</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2"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
                <w:sz w:val="18"/>
                <w:szCs w:val="18"/>
              </w:rPr>
              <w:t>规和《深圳证券交易所股票上市规则》等有关规定履行信息披露义务和办理有</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1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关报批程序，保证不通过关联交易损害上市公司及其他股东的合法权益。</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w:t>
            </w:r>
            <w:r>
              <w:rPr>
                <w:rFonts w:ascii="宋体" w:hAnsi="宋体" w:cs="宋体" w:eastAsia="宋体" w:hint="default"/>
                <w:sz w:val="18"/>
                <w:szCs w:val="18"/>
              </w:rPr>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08"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right w:val="single" w:sz="4" w:space="0" w:color="000000"/>
            </w:tcBorders>
          </w:tcPr>
          <w:p>
            <w:pPr/>
          </w:p>
        </w:tc>
        <w:tc>
          <w:tcPr>
            <w:tcW w:w="829" w:type="dxa"/>
            <w:vMerge/>
            <w:tcBorders>
              <w:left w:val="single" w:sz="4" w:space="0" w:color="000000"/>
              <w:right w:val="single" w:sz="4" w:space="0" w:color="000000"/>
            </w:tcBorders>
          </w:tcPr>
          <w:p>
            <w:pP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院对因其未履行本承诺函所作的承诺而给上市公司及高阳捷迅造成的一切直</w:t>
            </w:r>
          </w:p>
        </w:tc>
        <w:tc>
          <w:tcPr>
            <w:tcW w:w="715" w:type="dxa"/>
            <w:vMerge/>
            <w:tcBorders>
              <w:left w:val="single" w:sz="4" w:space="0" w:color="000000"/>
              <w:right w:val="single" w:sz="4" w:space="0" w:color="000000"/>
            </w:tcBorders>
          </w:tcPr>
          <w:p>
            <w:pPr/>
          </w:p>
        </w:tc>
        <w:tc>
          <w:tcPr>
            <w:tcW w:w="1567" w:type="dxa"/>
            <w:vMerge/>
            <w:tcBorders>
              <w:left w:val="single" w:sz="4" w:space="0" w:color="000000"/>
              <w:right w:val="single" w:sz="4" w:space="0" w:color="000000"/>
            </w:tcBorders>
          </w:tcPr>
          <w:p>
            <w:pPr/>
          </w:p>
        </w:tc>
        <w:tc>
          <w:tcPr>
            <w:tcW w:w="2052" w:type="dxa"/>
            <w:vMerge/>
            <w:tcBorders>
              <w:left w:val="single" w:sz="4" w:space="0" w:color="000000"/>
              <w:right w:val="single" w:sz="4" w:space="0" w:color="000000"/>
            </w:tcBorders>
          </w:tcPr>
          <w:p>
            <w:pPr/>
          </w:p>
        </w:tc>
      </w:tr>
      <w:tr>
        <w:trPr>
          <w:trHeight w:val="357" w:hRule="exact"/>
        </w:trPr>
        <w:tc>
          <w:tcPr>
            <w:tcW w:w="1846" w:type="dxa"/>
            <w:vMerge/>
            <w:tcBorders>
              <w:left w:val="single" w:sz="4" w:space="0" w:color="000000"/>
              <w:right w:val="single" w:sz="4" w:space="0" w:color="000000"/>
            </w:tcBorders>
            <w:shd w:val="clear" w:color="auto" w:fill="D2D2D2"/>
          </w:tcPr>
          <w:p>
            <w:pPr/>
          </w:p>
        </w:tc>
        <w:tc>
          <w:tcPr>
            <w:tcW w:w="856" w:type="dxa"/>
            <w:vMerge/>
            <w:tcBorders>
              <w:left w:val="single" w:sz="4" w:space="0" w:color="000000"/>
              <w:bottom w:val="single" w:sz="4" w:space="0" w:color="000000"/>
              <w:right w:val="single" w:sz="4" w:space="0" w:color="000000"/>
            </w:tcBorders>
          </w:tcPr>
          <w:p>
            <w:pPr/>
          </w:p>
        </w:tc>
        <w:tc>
          <w:tcPr>
            <w:tcW w:w="829" w:type="dxa"/>
            <w:vMerge/>
            <w:tcBorders>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接损失承担赔偿责任。</w:t>
            </w:r>
          </w:p>
        </w:tc>
        <w:tc>
          <w:tcPr>
            <w:tcW w:w="715" w:type="dxa"/>
            <w:vMerge/>
            <w:tcBorders>
              <w:left w:val="single" w:sz="4" w:space="0" w:color="000000"/>
              <w:bottom w:val="single" w:sz="4" w:space="0" w:color="000000"/>
              <w:right w:val="single" w:sz="4" w:space="0" w:color="000000"/>
            </w:tcBorders>
          </w:tcPr>
          <w:p>
            <w:pPr/>
          </w:p>
        </w:tc>
        <w:tc>
          <w:tcPr>
            <w:tcW w:w="1567" w:type="dxa"/>
            <w:vMerge/>
            <w:tcBorders>
              <w:left w:val="single" w:sz="4" w:space="0" w:color="000000"/>
              <w:bottom w:val="single" w:sz="4" w:space="0" w:color="000000"/>
              <w:right w:val="single" w:sz="4" w:space="0" w:color="000000"/>
            </w:tcBorders>
          </w:tcPr>
          <w:p>
            <w:pPr/>
          </w:p>
        </w:tc>
        <w:tc>
          <w:tcPr>
            <w:tcW w:w="2052" w:type="dxa"/>
            <w:vMerge/>
            <w:tcBorders>
              <w:left w:val="single" w:sz="4" w:space="0" w:color="000000"/>
              <w:bottom w:val="single" w:sz="4" w:space="0" w:color="000000"/>
              <w:right w:val="single" w:sz="4" w:space="0" w:color="000000"/>
            </w:tcBorders>
          </w:tcPr>
          <w:p>
            <w:pPr/>
          </w:p>
        </w:tc>
      </w:tr>
      <w:tr>
        <w:trPr>
          <w:trHeight w:val="348"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nil" w:sz="6" w:space="0" w:color="auto"/>
              <w:right w:val="single" w:sz="4" w:space="0" w:color="000000"/>
            </w:tcBorders>
          </w:tcPr>
          <w:p>
            <w:pPr/>
          </w:p>
        </w:tc>
        <w:tc>
          <w:tcPr>
            <w:tcW w:w="829" w:type="dxa"/>
            <w:tcBorders>
              <w:top w:val="single" w:sz="4" w:space="0" w:color="000000"/>
              <w:left w:val="single" w:sz="4" w:space="0" w:color="000000"/>
              <w:bottom w:val="nil" w:sz="6" w:space="0" w:color="auto"/>
              <w:right w:val="single" w:sz="4" w:space="0" w:color="000000"/>
            </w:tcBorders>
          </w:tcPr>
          <w:p>
            <w:pPr/>
          </w:p>
        </w:tc>
        <w:tc>
          <w:tcPr>
            <w:tcW w:w="61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
                <w:sz w:val="18"/>
                <w:szCs w:val="18"/>
              </w:rPr>
              <w:t>曾东卫、叶军、李昌锋承诺，对本次取得的非公开发行股份可通过证券市场出</w:t>
            </w:r>
          </w:p>
        </w:tc>
        <w:tc>
          <w:tcPr>
            <w:tcW w:w="715" w:type="dxa"/>
            <w:tcBorders>
              <w:top w:val="single" w:sz="4" w:space="0" w:color="000000"/>
              <w:left w:val="single" w:sz="4" w:space="0" w:color="000000"/>
              <w:bottom w:val="nil" w:sz="6" w:space="0" w:color="auto"/>
              <w:right w:val="single" w:sz="4" w:space="0" w:color="000000"/>
            </w:tcBorders>
          </w:tcPr>
          <w:p>
            <w:pPr/>
          </w:p>
        </w:tc>
        <w:tc>
          <w:tcPr>
            <w:tcW w:w="1567" w:type="dxa"/>
            <w:tcBorders>
              <w:top w:val="single" w:sz="4" w:space="0" w:color="000000"/>
              <w:left w:val="single" w:sz="4" w:space="0" w:color="000000"/>
              <w:bottom w:val="nil" w:sz="6" w:space="0" w:color="auto"/>
              <w:right w:val="single" w:sz="4" w:space="0" w:color="000000"/>
            </w:tcBorders>
          </w:tcPr>
          <w:p>
            <w:pPr/>
          </w:p>
        </w:tc>
        <w:tc>
          <w:tcPr>
            <w:tcW w:w="20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李昌锋、叶军承诺报告期</w:t>
            </w:r>
          </w:p>
        </w:tc>
      </w:tr>
      <w:tr>
        <w:trPr>
          <w:trHeight w:val="950" w:hRule="exact"/>
        </w:trPr>
        <w:tc>
          <w:tcPr>
            <w:tcW w:w="1846" w:type="dxa"/>
            <w:vMerge/>
            <w:tcBorders>
              <w:left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309" w:lineRule="auto"/>
              <w:ind w:left="22" w:right="50"/>
              <w:jc w:val="both"/>
              <w:rPr>
                <w:rFonts w:ascii="宋体" w:hAnsi="宋体" w:cs="宋体" w:eastAsia="宋体" w:hint="default"/>
                <w:sz w:val="18"/>
                <w:szCs w:val="18"/>
              </w:rPr>
            </w:pPr>
            <w:r>
              <w:rPr>
                <w:rFonts w:ascii="宋体" w:hAnsi="宋体" w:cs="宋体" w:eastAsia="宋体" w:hint="default"/>
                <w:sz w:val="18"/>
                <w:szCs w:val="18"/>
              </w:rPr>
              <w:t>李昌锋、 叶军</w:t>
            </w:r>
            <w:r>
              <w:rPr>
                <w:rFonts w:ascii="Times New Roman" w:hAnsi="Times New Roman" w:cs="Times New Roman" w:eastAsia="Times New Roman" w:hint="default"/>
                <w:sz w:val="18"/>
                <w:szCs w:val="18"/>
              </w:rPr>
              <w:t>;</w:t>
            </w:r>
            <w:r>
              <w:rPr>
                <w:rFonts w:ascii="宋体" w:hAnsi="宋体" w:cs="宋体" w:eastAsia="宋体" w:hint="default"/>
                <w:sz w:val="18"/>
                <w:szCs w:val="18"/>
              </w:rPr>
              <w:t>曾东 卫</w:t>
            </w:r>
          </w:p>
        </w:tc>
        <w:tc>
          <w:tcPr>
            <w:tcW w:w="829" w:type="dxa"/>
            <w:tcBorders>
              <w:top w:val="nil" w:sz="6" w:space="0" w:color="auto"/>
              <w:left w:val="single" w:sz="4" w:space="0" w:color="000000"/>
              <w:bottom w:val="nil" w:sz="6" w:space="0" w:color="auto"/>
              <w:right w:val="single" w:sz="4" w:space="0" w:color="000000"/>
            </w:tcBorders>
          </w:tcPr>
          <w:p>
            <w:pPr>
              <w:pStyle w:val="TableParagraph"/>
              <w:spacing w:line="319" w:lineRule="auto" w:before="156"/>
              <w:ind w:left="22" w:right="7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6149" w:type="dxa"/>
            <w:tcBorders>
              <w:top w:val="nil" w:sz="6" w:space="0" w:color="auto"/>
              <w:left w:val="single" w:sz="4" w:space="0" w:color="000000"/>
              <w:bottom w:val="nil" w:sz="6" w:space="0" w:color="auto"/>
              <w:right w:val="single" w:sz="4" w:space="0" w:color="000000"/>
            </w:tcBorders>
          </w:tcPr>
          <w:p>
            <w:pPr>
              <w:pStyle w:val="TableParagraph"/>
              <w:spacing w:line="309"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售或通过协议方式转让的起始时间以本次认购的上市公司股份上市之日起三 </w:t>
            </w:r>
            <w:r>
              <w:rPr>
                <w:rFonts w:ascii="宋体" w:hAnsi="宋体" w:cs="宋体" w:eastAsia="宋体" w:hint="default"/>
                <w:spacing w:val="-1"/>
                <w:sz w:val="18"/>
                <w:szCs w:val="18"/>
              </w:rPr>
              <w:t>十六（</w:t>
            </w:r>
            <w:r>
              <w:rPr>
                <w:rFonts w:ascii="Times New Roman" w:hAnsi="Times New Roman" w:cs="Times New Roman" w:eastAsia="Times New Roman" w:hint="default"/>
                <w:spacing w:val="-1"/>
                <w:sz w:val="18"/>
                <w:szCs w:val="18"/>
              </w:rPr>
              <w:t>36</w:t>
            </w:r>
            <w:r>
              <w:rPr>
                <w:rFonts w:ascii="宋体" w:hAnsi="宋体" w:cs="宋体" w:eastAsia="宋体" w:hint="default"/>
                <w:spacing w:val="-1"/>
                <w:sz w:val="18"/>
                <w:szCs w:val="18"/>
              </w:rPr>
              <w:t>）个月的届满之日为准。前款限售期满后，曾东卫、李昌锋、叶军自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愿按照如下标准对所持高鸿股份股权进行锁定：曾东卫承诺：限售期届满日起</w:t>
            </w:r>
          </w:p>
        </w:tc>
        <w:tc>
          <w:tcPr>
            <w:tcW w:w="715"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52"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39"/>
              <w:jc w:val="both"/>
              <w:rPr>
                <w:rFonts w:ascii="宋体" w:hAnsi="宋体" w:cs="宋体" w:eastAsia="宋体" w:hint="default"/>
                <w:sz w:val="18"/>
                <w:szCs w:val="18"/>
              </w:rPr>
            </w:pPr>
            <w:r>
              <w:rPr>
                <w:rFonts w:ascii="宋体" w:hAnsi="宋体" w:cs="宋体" w:eastAsia="宋体" w:hint="default"/>
                <w:sz w:val="18"/>
                <w:szCs w:val="18"/>
              </w:rPr>
              <w:t>内，履行完毕。曾东卫承 诺未到期，仍在履行中。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日曾东</w:t>
            </w:r>
          </w:p>
        </w:tc>
      </w:tr>
      <w:tr>
        <w:trPr>
          <w:trHeight w:val="313"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829" w:type="dxa"/>
            <w:tcBorders>
              <w:top w:val="nil" w:sz="6" w:space="0" w:color="auto"/>
              <w:left w:val="single" w:sz="4" w:space="0" w:color="000000"/>
              <w:bottom w:val="single" w:sz="4" w:space="0" w:color="000000"/>
              <w:right w:val="single" w:sz="4" w:space="0" w:color="000000"/>
            </w:tcBorders>
          </w:tcPr>
          <w:p>
            <w:pPr/>
          </w:p>
        </w:tc>
        <w:tc>
          <w:tcPr>
            <w:tcW w:w="61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十二（</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）个月内，曾东卫累计转让的股份不超过其本次认购股份总额的</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60%</w:t>
            </w:r>
          </w:p>
        </w:tc>
        <w:tc>
          <w:tcPr>
            <w:tcW w:w="715" w:type="dxa"/>
            <w:tcBorders>
              <w:top w:val="nil" w:sz="6" w:space="0" w:color="auto"/>
              <w:left w:val="single" w:sz="4" w:space="0" w:color="000000"/>
              <w:bottom w:val="single" w:sz="4" w:space="0" w:color="000000"/>
              <w:right w:val="single" w:sz="4" w:space="0" w:color="000000"/>
            </w:tcBorders>
          </w:tcPr>
          <w:p>
            <w:pPr>
              <w:pStyle w:val="TableParagraph"/>
              <w:spacing w:line="291"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35.25pt;height:14.6pt;mso-position-horizontal-relative:char;mso-position-vertical-relative:line" coordorigin="0,0" coordsize="705,292">
                  <v:group style="position:absolute;left:0;top:0;width:705;height:292" coordorigin="0,0" coordsize="705,292">
                    <v:shape style="position:absolute;left:0;top:0;width:705;height:292" coordorigin="0,0" coordsize="705,292" path="m0,292l704,292,70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567" w:type="dxa"/>
            <w:tcBorders>
              <w:top w:val="nil" w:sz="6" w:space="0" w:color="auto"/>
              <w:left w:val="single" w:sz="4" w:space="0" w:color="000000"/>
              <w:bottom w:val="single" w:sz="4" w:space="0" w:color="000000"/>
              <w:right w:val="single" w:sz="4" w:space="0" w:color="000000"/>
            </w:tcBorders>
          </w:tcPr>
          <w:p>
            <w:pPr/>
          </w:p>
        </w:tc>
        <w:tc>
          <w:tcPr>
            <w:tcW w:w="20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5"/>
              <w:jc w:val="center"/>
              <w:rPr>
                <w:rFonts w:ascii="宋体" w:hAnsi="宋体" w:cs="宋体" w:eastAsia="宋体" w:hint="default"/>
                <w:sz w:val="18"/>
                <w:szCs w:val="18"/>
              </w:rPr>
            </w:pPr>
            <w:r>
              <w:rPr>
                <w:rFonts w:ascii="宋体" w:hAnsi="宋体" w:cs="宋体" w:eastAsia="宋体" w:hint="default"/>
                <w:sz w:val="18"/>
                <w:szCs w:val="18"/>
              </w:rPr>
              <w:t>卫、李昌锋、叶军等三名</w:t>
            </w:r>
          </w:p>
        </w:tc>
      </w:tr>
    </w:tbl>
    <w:p>
      <w:pPr>
        <w:spacing w:after="0" w:line="240" w:lineRule="auto"/>
        <w:jc w:val="center"/>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1313" w:hRule="exact"/>
        </w:trPr>
        <w:tc>
          <w:tcPr>
            <w:tcW w:w="184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single" w:sz="4" w:space="0" w:color="000000"/>
              <w:right w:val="single" w:sz="4" w:space="0" w:color="000000"/>
            </w:tcBorders>
          </w:tcPr>
          <w:p>
            <w:pPr/>
          </w:p>
        </w:tc>
        <w:tc>
          <w:tcPr>
            <w:tcW w:w="829" w:type="dxa"/>
            <w:tcBorders>
              <w:top w:val="single" w:sz="15" w:space="0" w:color="000000"/>
              <w:left w:val="single" w:sz="4" w:space="0" w:color="000000"/>
              <w:bottom w:val="single" w:sz="4" w:space="0" w:color="000000"/>
              <w:right w:val="single" w:sz="4" w:space="0" w:color="000000"/>
            </w:tcBorders>
          </w:tcPr>
          <w:p>
            <w:pPr/>
          </w:p>
        </w:tc>
        <w:tc>
          <w:tcPr>
            <w:tcW w:w="6149" w:type="dxa"/>
            <w:tcBorders>
              <w:top w:val="single" w:sz="15" w:space="0" w:color="000000"/>
              <w:left w:val="single" w:sz="4" w:space="0" w:color="000000"/>
              <w:bottom w:val="single" w:sz="4" w:space="0" w:color="000000"/>
              <w:right w:val="single" w:sz="4" w:space="0" w:color="000000"/>
            </w:tcBorders>
          </w:tcPr>
          <w:p>
            <w:pPr>
              <w:pStyle w:val="TableParagraph"/>
              <w:spacing w:line="300" w:lineRule="auto" w:before="10"/>
              <w:ind w:left="22" w:right="-19"/>
              <w:jc w:val="both"/>
              <w:rPr>
                <w:rFonts w:ascii="宋体" w:hAnsi="宋体" w:cs="宋体" w:eastAsia="宋体" w:hint="default"/>
                <w:sz w:val="18"/>
                <w:szCs w:val="18"/>
              </w:rPr>
            </w:pPr>
            <w:r>
              <w:rPr>
                <w:rFonts w:ascii="宋体" w:hAnsi="宋体" w:cs="宋体" w:eastAsia="宋体" w:hint="default"/>
                <w:spacing w:val="-3"/>
                <w:sz w:val="18"/>
                <w:szCs w:val="18"/>
              </w:rPr>
              <w:t>限售期届满日起二十四（</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）个月内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曾东卫累计转让的股份不超过其本次认购</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股份总额的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；李昌锋承诺：限售期届满日起十二（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）个月内，李昌锋累 计转让的股份不超过其本次认购股份总额的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；叶军承诺：限售期届满日起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十二（</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）个月内，叶军累计转让的股份不超过其本次认购股份总额的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w:t>
            </w:r>
          </w:p>
        </w:tc>
        <w:tc>
          <w:tcPr>
            <w:tcW w:w="715" w:type="dxa"/>
            <w:tcBorders>
              <w:top w:val="single" w:sz="15" w:space="0" w:color="000000"/>
              <w:left w:val="single" w:sz="4" w:space="0" w:color="000000"/>
              <w:bottom w:val="single" w:sz="4" w:space="0" w:color="000000"/>
              <w:right w:val="single" w:sz="4" w:space="0" w:color="000000"/>
            </w:tcBorders>
          </w:tcPr>
          <w:p>
            <w:pPr/>
          </w:p>
        </w:tc>
        <w:tc>
          <w:tcPr>
            <w:tcW w:w="1567" w:type="dxa"/>
            <w:tcBorders>
              <w:top w:val="single" w:sz="15" w:space="0" w:color="000000"/>
              <w:left w:val="single" w:sz="4" w:space="0" w:color="000000"/>
              <w:bottom w:val="single" w:sz="4" w:space="0" w:color="000000"/>
              <w:right w:val="single" w:sz="4" w:space="0" w:color="000000"/>
            </w:tcBorders>
          </w:tcPr>
          <w:p>
            <w:pPr/>
          </w:p>
        </w:tc>
        <w:tc>
          <w:tcPr>
            <w:tcW w:w="205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股东合计持有的限售股份</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7,576,829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股上市流通。</w:t>
            </w:r>
          </w:p>
        </w:tc>
      </w:tr>
      <w:tr>
        <w:trPr>
          <w:trHeight w:val="1962" w:hRule="exact"/>
        </w:trPr>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91"/>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
              <w:jc w:val="left"/>
              <w:rPr>
                <w:rFonts w:ascii="宋体" w:hAnsi="宋体" w:cs="宋体" w:eastAsia="宋体" w:hint="default"/>
                <w:sz w:val="18"/>
                <w:szCs w:val="18"/>
              </w:rPr>
            </w:pPr>
            <w:r>
              <w:rPr>
                <w:rFonts w:ascii="宋体" w:hAnsi="宋体" w:cs="宋体" w:eastAsia="宋体" w:hint="default"/>
                <w:sz w:val="18"/>
                <w:szCs w:val="18"/>
              </w:rPr>
              <w:t>目前电信科研院及下属除发行人外的其他企业与发行人不存在同业竞争关系。 </w:t>
            </w:r>
            <w:r>
              <w:rPr>
                <w:rFonts w:ascii="宋体" w:hAnsi="宋体" w:cs="宋体" w:eastAsia="宋体" w:hint="default"/>
                <w:spacing w:val="-1"/>
                <w:sz w:val="18"/>
                <w:szCs w:val="18"/>
              </w:rPr>
              <w:t>在本院作为发行人控股股东或第一大股东期间，本院及下属除发行人以外的其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他企业将不会直接或间接参与经营任何与发行人及其控股子公司有竞争的业 </w:t>
            </w:r>
            <w:r>
              <w:rPr>
                <w:rFonts w:ascii="宋体" w:hAnsi="宋体" w:cs="宋体" w:eastAsia="宋体" w:hint="default"/>
                <w:spacing w:val="-1"/>
                <w:sz w:val="18"/>
                <w:szCs w:val="18"/>
              </w:rPr>
              <w:t>务，也不会利用对发行人的控股关系做出任何有损发行人及其控股子公司利益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的行为。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1"/>
              <w:jc w:val="both"/>
              <w:rPr>
                <w:rFonts w:ascii="宋体" w:hAnsi="宋体" w:cs="宋体" w:eastAsia="宋体" w:hint="default"/>
                <w:sz w:val="18"/>
                <w:szCs w:val="18"/>
              </w:rPr>
            </w:pPr>
            <w:r>
              <w:rPr>
                <w:rFonts w:ascii="宋体" w:hAnsi="宋体" w:cs="宋体" w:eastAsia="宋体" w:hint="default"/>
                <w:sz w:val="18"/>
                <w:szCs w:val="18"/>
              </w:rPr>
              <w:t>电信科学技术研究 院有限公司作为公 司控股股东期间</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2"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华安基金 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鹏华 资产管理 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韦光宗</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鹏华资产管理有限公司、韦光宗、华安基金管理有限公司出具承诺函：承诺截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至《承诺函》出具日，与公司之间不存在关联交易和同业竞争。获得公司本次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发行股票后亦不会促使其从事的业务与公司的业务发生同业竞争，并遵循公司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及证券监管部门有关关联交易的规定，尽量减少和规范与公司之间的关联交 易。</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2"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1"/>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目前电信院及下属除发行人外的其他企业与发行人不存在同业竞争关系。在本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院作为发行人控股股东或第一大股东期间，本院及下属除发行人以外的其他企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业将不会直接或间接参与经营任何与发行人及其控股子公司有竞争的业务，也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不会利用对发行人的控股关系做出任何有损发行人及其控股子公司利益的行 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91"/>
              <w:jc w:val="both"/>
              <w:rPr>
                <w:rFonts w:ascii="宋体" w:hAnsi="宋体" w:cs="宋体" w:eastAsia="宋体" w:hint="default"/>
                <w:sz w:val="18"/>
                <w:szCs w:val="18"/>
              </w:rPr>
            </w:pPr>
            <w:r>
              <w:rPr>
                <w:rFonts w:ascii="宋体" w:hAnsi="宋体" w:cs="宋体" w:eastAsia="宋体" w:hint="default"/>
                <w:sz w:val="18"/>
                <w:szCs w:val="18"/>
              </w:rPr>
              <w:t>电信科学简述研究 院有限公司作为控 股股东期间</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6"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6149"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205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0"/>
              <w:ind w:left="22" w:right="191"/>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大唐高鸿 数据网络 技术股份 有限公司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4"/>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使用闲置募集资金用于暂时补充流动资金期间公司不进行证券投资等高风险 </w:t>
            </w:r>
            <w:r>
              <w:rPr>
                <w:rFonts w:ascii="宋体" w:hAnsi="宋体" w:cs="宋体" w:eastAsia="宋体" w:hint="default"/>
                <w:spacing w:val="-1"/>
                <w:sz w:val="18"/>
                <w:szCs w:val="18"/>
              </w:rPr>
              <w:t>投资；使用闲置募集资金用于暂时补充流动资金期间公司不为他人提供财务资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助。</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日至</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9"/>
              <w:jc w:val="left"/>
              <w:rPr>
                <w:rFonts w:ascii="宋体" w:hAnsi="宋体" w:cs="宋体" w:eastAsia="宋体" w:hint="default"/>
                <w:sz w:val="18"/>
                <w:szCs w:val="18"/>
              </w:rPr>
            </w:pPr>
            <w:r>
              <w:rPr>
                <w:rFonts w:ascii="宋体" w:hAnsi="宋体" w:cs="宋体" w:eastAsia="宋体" w:hint="default"/>
                <w:sz w:val="18"/>
                <w:szCs w:val="18"/>
              </w:rPr>
              <w:t>报告期内正常履行，本公 告日履行完毕</w:t>
            </w:r>
          </w:p>
        </w:tc>
      </w:tr>
      <w:tr>
        <w:trPr>
          <w:trHeight w:val="402"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股份增持</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根据本公告前一交易日（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日）公司股票二级市场的表现，拟按以</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付景林</w:t>
            </w:r>
            <w:r>
              <w:rPr>
                <w:rFonts w:ascii="Times New Roman" w:hAnsi="Times New Roman" w:cs="Times New Roman" w:eastAsia="Times New Roman" w:hint="default"/>
                <w:sz w:val="18"/>
                <w:szCs w:val="18"/>
              </w:rPr>
              <w:t>;</w:t>
            </w:r>
            <w:r>
              <w:rPr>
                <w:rFonts w:ascii="宋体" w:hAnsi="宋体" w:cs="宋体" w:eastAsia="宋体" w:hint="default"/>
                <w:sz w:val="18"/>
                <w:szCs w:val="18"/>
              </w:rPr>
              <w:t>刘雪峰</w:t>
            </w:r>
            <w:r>
              <w:rPr>
                <w:rFonts w:ascii="Times New Roman" w:hAnsi="Times New Roman" w:cs="Times New Roman" w:eastAsia="Times New Roman" w:hint="default"/>
                <w:sz w:val="18"/>
                <w:szCs w:val="18"/>
              </w:rPr>
              <w:t>;</w:t>
            </w:r>
            <w:r>
              <w:rPr>
                <w:rFonts w:ascii="宋体" w:hAnsi="宋体" w:cs="宋体" w:eastAsia="宋体" w:hint="default"/>
                <w:sz w:val="18"/>
                <w:szCs w:val="18"/>
              </w:rPr>
              <w:t>王</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846"/>
        <w:gridCol w:w="856"/>
        <w:gridCol w:w="829"/>
        <w:gridCol w:w="6149"/>
        <w:gridCol w:w="715"/>
        <w:gridCol w:w="1567"/>
        <w:gridCol w:w="2052"/>
      </w:tblGrid>
      <w:tr>
        <w:trPr>
          <w:trHeight w:val="2873" w:hRule="exact"/>
        </w:trPr>
        <w:tc>
          <w:tcPr>
            <w:tcW w:w="1846" w:type="dxa"/>
            <w:vMerge w:val="restart"/>
            <w:tcBorders>
              <w:top w:val="single" w:sz="15" w:space="0" w:color="000000"/>
              <w:left w:val="single" w:sz="4" w:space="0" w:color="000000"/>
              <w:right w:val="single" w:sz="4" w:space="0" w:color="000000"/>
            </w:tcBorders>
            <w:shd w:val="clear" w:color="auto" w:fill="D2D2D2"/>
          </w:tcPr>
          <w:p>
            <w:pPr/>
          </w:p>
        </w:tc>
        <w:tc>
          <w:tcPr>
            <w:tcW w:w="85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101"/>
              <w:jc w:val="both"/>
              <w:rPr>
                <w:rFonts w:ascii="宋体" w:hAnsi="宋体" w:cs="宋体" w:eastAsia="宋体" w:hint="default"/>
                <w:sz w:val="18"/>
                <w:szCs w:val="18"/>
              </w:rPr>
            </w:pPr>
            <w:r>
              <w:rPr>
                <w:rFonts w:ascii="宋体" w:hAnsi="宋体" w:cs="宋体" w:eastAsia="宋体" w:hint="default"/>
                <w:sz w:val="18"/>
                <w:szCs w:val="18"/>
              </w:rPr>
              <w:t>刘雪峰； 张新中； 赵德胜； 王芊</w:t>
            </w:r>
          </w:p>
        </w:tc>
        <w:tc>
          <w:tcPr>
            <w:tcW w:w="8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6149"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下方案进行增持：最近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个月减持股份的公司董事、高级管理人员拟联合通过 </w:t>
            </w:r>
            <w:r>
              <w:rPr>
                <w:rFonts w:ascii="宋体" w:hAnsi="宋体" w:cs="宋体" w:eastAsia="宋体" w:hint="default"/>
                <w:spacing w:val="-1"/>
                <w:sz w:val="18"/>
                <w:szCs w:val="18"/>
              </w:rPr>
              <w:t>证券公司、基金管理公司定向资产管理方式定向增持本公司的股份，出资额不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低于最近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个月于二级市场上减持金额即不低于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219 </w:t>
            </w:r>
            <w:r>
              <w:rPr>
                <w:rFonts w:ascii="宋体" w:hAnsi="宋体" w:cs="宋体" w:eastAsia="宋体" w:hint="default"/>
                <w:spacing w:val="-3"/>
                <w:sz w:val="18"/>
                <w:szCs w:val="18"/>
              </w:rPr>
              <w:t>万元；当定向资产管理计</w:t>
            </w:r>
          </w:p>
          <w:p>
            <w:pPr>
              <w:pStyle w:val="TableParagraph"/>
              <w:spacing w:line="240" w:lineRule="auto" w:before="5"/>
              <w:ind w:left="22" w:right="0"/>
              <w:jc w:val="both"/>
              <w:rPr>
                <w:rFonts w:ascii="宋体" w:hAnsi="宋体" w:cs="宋体" w:eastAsia="宋体" w:hint="default"/>
                <w:sz w:val="18"/>
                <w:szCs w:val="18"/>
              </w:rPr>
            </w:pPr>
            <w:r>
              <w:rPr>
                <w:rFonts w:ascii="宋体" w:hAnsi="宋体" w:cs="宋体" w:eastAsia="宋体" w:hint="default"/>
                <w:sz w:val="18"/>
                <w:szCs w:val="18"/>
              </w:rPr>
              <w:t>划成立后公司股价不高于本公告前一交易</w:t>
            </w:r>
            <w:r>
              <w:rPr>
                <w:rFonts w:ascii="宋体" w:hAnsi="宋体" w:cs="宋体" w:eastAsia="宋体" w:hint="default"/>
                <w:spacing w:val="-85"/>
                <w:sz w:val="18"/>
                <w:szCs w:val="18"/>
              </w:rPr>
              <w:t>日</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5"/>
                <w:sz w:val="18"/>
                <w:szCs w:val="18"/>
              </w:rPr>
              <w:t>）</w:t>
            </w:r>
            <w:r>
              <w:rPr>
                <w:rFonts w:ascii="宋体" w:hAnsi="宋体" w:cs="宋体" w:eastAsia="宋体" w:hint="default"/>
                <w:sz w:val="18"/>
                <w:szCs w:val="18"/>
              </w:rPr>
              <w:t>最低</w:t>
            </w:r>
            <w:r>
              <w:rPr>
                <w:rFonts w:ascii="宋体" w:hAnsi="宋体" w:cs="宋体" w:eastAsia="宋体" w:hint="default"/>
                <w:spacing w:val="1"/>
                <w:sz w:val="18"/>
                <w:szCs w:val="18"/>
              </w:rPr>
              <w:t>成</w:t>
            </w:r>
            <w:r>
              <w:rPr>
                <w:rFonts w:ascii="宋体" w:hAnsi="宋体" w:cs="宋体" w:eastAsia="宋体" w:hint="default"/>
                <w:sz w:val="18"/>
                <w:szCs w:val="18"/>
              </w:rPr>
              <w:t>交</w:t>
            </w:r>
            <w:r>
              <w:rPr>
                <w:rFonts w:ascii="宋体" w:hAnsi="宋体" w:cs="宋体" w:eastAsia="宋体" w:hint="default"/>
                <w:spacing w:val="-85"/>
                <w:sz w:val="18"/>
                <w:szCs w:val="18"/>
              </w:rPr>
              <w:t>价</w:t>
            </w:r>
            <w:r>
              <w:rPr>
                <w:rFonts w:ascii="宋体" w:hAnsi="宋体" w:cs="宋体" w:eastAsia="宋体" w:hint="default"/>
                <w:sz w:val="18"/>
                <w:szCs w:val="18"/>
              </w:rPr>
              <w:t>（即</w:t>
            </w:r>
          </w:p>
          <w:p>
            <w:pPr>
              <w:pStyle w:val="TableParagraph"/>
              <w:spacing w:line="309"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8.24</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股）时，定向资产管理计划管理方将全部定向资产管理计划资产购买公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司股票用于维护股价；当定向资产管理计划成立后公司股价高于本公告前一交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易日（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日）最低成交价（即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股）时，由定向资产管理计 </w:t>
            </w:r>
            <w:r>
              <w:rPr>
                <w:rFonts w:ascii="宋体" w:hAnsi="宋体" w:cs="宋体" w:eastAsia="宋体" w:hint="default"/>
                <w:spacing w:val="-1"/>
                <w:sz w:val="18"/>
                <w:szCs w:val="18"/>
              </w:rPr>
              <w:t>划管理方根据市场情况确定购买金额和数量。定向资产管理计划所持有的全部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个月内不减持。</w:t>
            </w:r>
          </w:p>
        </w:tc>
        <w:tc>
          <w:tcPr>
            <w:tcW w:w="71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15" w:space="0" w:color="000000"/>
              <w:left w:val="single" w:sz="4" w:space="0" w:color="000000"/>
              <w:bottom w:val="single" w:sz="4" w:space="0" w:color="000000"/>
              <w:right w:val="single" w:sz="4" w:space="0" w:color="000000"/>
            </w:tcBorders>
          </w:tcPr>
          <w:p>
            <w:pPr>
              <w:pStyle w:val="TableParagraph"/>
              <w:spacing w:line="309" w:lineRule="auto" w:before="10"/>
              <w:ind w:left="24" w:right="91"/>
              <w:jc w:val="left"/>
              <w:rPr>
                <w:rFonts w:ascii="宋体" w:hAnsi="宋体" w:cs="宋体" w:eastAsia="宋体" w:hint="default"/>
                <w:sz w:val="18"/>
                <w:szCs w:val="18"/>
              </w:rPr>
            </w:pPr>
            <w:r>
              <w:rPr>
                <w:rFonts w:ascii="宋体" w:hAnsi="宋体" w:cs="宋体" w:eastAsia="宋体" w:hint="default"/>
                <w:sz w:val="18"/>
                <w:szCs w:val="18"/>
              </w:rPr>
              <w:t>芊</w:t>
            </w:r>
            <w:r>
              <w:rPr>
                <w:rFonts w:ascii="Times New Roman" w:hAnsi="Times New Roman" w:cs="Times New Roman" w:eastAsia="Times New Roman" w:hint="default"/>
                <w:sz w:val="18"/>
                <w:szCs w:val="18"/>
              </w:rPr>
              <w:t>;</w:t>
            </w:r>
            <w:r>
              <w:rPr>
                <w:rFonts w:ascii="宋体" w:hAnsi="宋体" w:cs="宋体" w:eastAsia="宋体" w:hint="default"/>
                <w:sz w:val="18"/>
                <w:szCs w:val="18"/>
              </w:rPr>
              <w:t>张新中</w:t>
            </w:r>
            <w:r>
              <w:rPr>
                <w:rFonts w:ascii="Times New Roman" w:hAnsi="Times New Roman" w:cs="Times New Roman" w:eastAsia="Times New Roman" w:hint="default"/>
                <w:sz w:val="18"/>
                <w:szCs w:val="18"/>
              </w:rPr>
              <w:t>;</w:t>
            </w:r>
            <w:r>
              <w:rPr>
                <w:rFonts w:ascii="宋体" w:hAnsi="宋体" w:cs="宋体" w:eastAsia="宋体" w:hint="default"/>
                <w:sz w:val="18"/>
                <w:szCs w:val="18"/>
              </w:rPr>
              <w:t>赵德胜 担任公司高级管理 人员期间</w:t>
            </w:r>
          </w:p>
        </w:tc>
        <w:tc>
          <w:tcPr>
            <w:tcW w:w="2052" w:type="dxa"/>
            <w:tcBorders>
              <w:top w:val="single" w:sz="15" w:space="0" w:color="000000"/>
              <w:left w:val="single" w:sz="4" w:space="0" w:color="000000"/>
              <w:bottom w:val="single" w:sz="4" w:space="0" w:color="000000"/>
              <w:right w:val="single" w:sz="4" w:space="0" w:color="000000"/>
            </w:tcBorders>
          </w:tcPr>
          <w:p>
            <w:pPr/>
          </w:p>
        </w:tc>
      </w:tr>
      <w:tr>
        <w:trPr>
          <w:trHeight w:val="3994" w:hRule="exact"/>
        </w:trPr>
        <w:tc>
          <w:tcPr>
            <w:tcW w:w="1846" w:type="dxa"/>
            <w:vMerge/>
            <w:tcBorders>
              <w:left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付景林； 王芊；</w:t>
            </w:r>
            <w:r>
              <w:rPr>
                <w:rFonts w:ascii="宋体" w:hAnsi="宋体" w:cs="宋体" w:eastAsia="宋体" w:hint="default"/>
                <w:spacing w:val="-11"/>
                <w:sz w:val="18"/>
                <w:szCs w:val="18"/>
              </w:rPr>
              <w:t> </w:t>
            </w:r>
            <w:r>
              <w:rPr>
                <w:rFonts w:ascii="宋体" w:hAnsi="宋体" w:cs="宋体" w:eastAsia="宋体" w:hint="default"/>
                <w:sz w:val="18"/>
                <w:szCs w:val="18"/>
              </w:rPr>
              <w:t>赵</w:t>
            </w:r>
            <w:r>
              <w:rPr>
                <w:rFonts w:ascii="宋体" w:hAnsi="宋体" w:cs="宋体" w:eastAsia="宋体" w:hint="default"/>
                <w:sz w:val="18"/>
                <w:szCs w:val="18"/>
              </w:rPr>
              <w:t> 德胜；刘 雪峰；侯 玉成；张 新中；丁 明锋</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2" w:right="74"/>
              <w:jc w:val="both"/>
              <w:rPr>
                <w:rFonts w:ascii="宋体" w:hAnsi="宋体" w:cs="宋体" w:eastAsia="宋体" w:hint="default"/>
                <w:sz w:val="18"/>
                <w:szCs w:val="18"/>
              </w:rPr>
            </w:pPr>
            <w:r>
              <w:rPr>
                <w:rFonts w:ascii="宋体" w:hAnsi="宋体" w:cs="宋体" w:eastAsia="宋体" w:hint="default"/>
                <w:sz w:val="18"/>
                <w:szCs w:val="18"/>
              </w:rPr>
              <w:t>股份增持 承诺及锁 定承诺</w:t>
            </w:r>
          </w:p>
        </w:tc>
        <w:tc>
          <w:tcPr>
            <w:tcW w:w="614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付景林先生承诺：自本承诺函签署日起不超过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个交易日内，本人若持续担</w:t>
            </w:r>
          </w:p>
          <w:p>
            <w:pPr>
              <w:pStyle w:val="TableParagraph"/>
              <w:spacing w:line="309" w:lineRule="auto" w:before="61"/>
              <w:ind w:left="22" w:right="11"/>
              <w:jc w:val="left"/>
              <w:rPr>
                <w:rFonts w:ascii="宋体" w:hAnsi="宋体" w:cs="宋体" w:eastAsia="宋体" w:hint="default"/>
                <w:sz w:val="18"/>
                <w:szCs w:val="18"/>
              </w:rPr>
            </w:pPr>
            <w:r>
              <w:rPr>
                <w:rFonts w:ascii="宋体" w:hAnsi="宋体" w:cs="宋体" w:eastAsia="宋体" w:hint="default"/>
                <w:sz w:val="18"/>
                <w:szCs w:val="18"/>
              </w:rPr>
              <w:t>任公司高级管理人员，将增持公司股份金额不少于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万元；王芊先生、赵德 </w:t>
            </w:r>
            <w:r>
              <w:rPr>
                <w:rFonts w:ascii="宋体" w:hAnsi="宋体" w:cs="宋体" w:eastAsia="宋体" w:hint="default"/>
                <w:spacing w:val="-1"/>
                <w:sz w:val="18"/>
                <w:szCs w:val="18"/>
              </w:rPr>
              <w:t>胜先生、刘雪峰先生、张新中先生、丁明锋先生承诺：自本承诺函签署日起不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个交易日内，本人若持续担任公司高级管理人员，将增持公司股份金</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额不少于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万元；侯玉成先生承诺：自本承诺函签署日起不超过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个交易日</w:t>
            </w:r>
          </w:p>
          <w:p>
            <w:pPr>
              <w:pStyle w:val="TableParagraph"/>
              <w:spacing w:line="340" w:lineRule="auto" w:before="64"/>
              <w:ind w:left="22" w:right="-46"/>
              <w:jc w:val="left"/>
              <w:rPr>
                <w:rFonts w:ascii="宋体" w:hAnsi="宋体" w:cs="宋体" w:eastAsia="宋体" w:hint="default"/>
                <w:sz w:val="18"/>
                <w:szCs w:val="18"/>
              </w:rPr>
            </w:pPr>
            <w:r>
              <w:rPr>
                <w:rFonts w:ascii="宋体" w:hAnsi="宋体" w:cs="宋体" w:eastAsia="宋体" w:hint="default"/>
                <w:sz w:val="18"/>
                <w:szCs w:val="18"/>
              </w:rPr>
              <w:t>内，本人若持续担任公司高级管理人员，将增持公司股份金额不少于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pacing w:val="-11"/>
                <w:sz w:val="18"/>
                <w:szCs w:val="18"/>
              </w:rPr>
              <w:t>万元。</w:t>
            </w:r>
            <w:r>
              <w:rPr>
                <w:rFonts w:ascii="宋体" w:hAnsi="宋体" w:cs="宋体" w:eastAsia="宋体" w:hint="default"/>
                <w:spacing w:val="-33"/>
                <w:sz w:val="18"/>
                <w:szCs w:val="18"/>
              </w:rPr>
              <w:t> </w:t>
            </w:r>
            <w:r>
              <w:rPr>
                <w:rFonts w:ascii="宋体" w:hAnsi="宋体" w:cs="宋体" w:eastAsia="宋体" w:hint="default"/>
                <w:sz w:val="18"/>
                <w:szCs w:val="18"/>
              </w:rPr>
              <w:t>上述人员对针对本次增持股份锁定承诺如下：</w:t>
            </w:r>
          </w:p>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本次增持完成后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个月期间内：</w:t>
            </w:r>
          </w:p>
          <w:p>
            <w:pPr>
              <w:pStyle w:val="TableParagraph"/>
              <w:spacing w:line="302" w:lineRule="auto" w:before="101"/>
              <w:ind w:left="22" w:right="7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）本人若持续在公司任高级管理人员，任职期间不减持公司股份（因限制 </w:t>
            </w:r>
            <w:r>
              <w:rPr>
                <w:rFonts w:ascii="宋体" w:hAnsi="宋体" w:cs="宋体" w:eastAsia="宋体" w:hint="default"/>
                <w:spacing w:val="-10"/>
                <w:sz w:val="18"/>
                <w:szCs w:val="18"/>
              </w:rPr>
              <w:t>性股票回购除外）；</w:t>
            </w:r>
          </w:p>
          <w:p>
            <w:pPr>
              <w:pStyle w:val="TableParagraph"/>
              <w:spacing w:line="302" w:lineRule="auto" w:before="69"/>
              <w:ind w:left="22" w:right="7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）本人若不再在公司任高级管理人员，不担任高级管理人员后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w:t>
            </w:r>
            <w:r>
              <w:rPr>
                <w:rFonts w:ascii="宋体" w:hAnsi="宋体" w:cs="宋体" w:eastAsia="宋体" w:hint="default"/>
                <w:spacing w:val="-5"/>
                <w:sz w:val="18"/>
                <w:szCs w:val="18"/>
              </w:rPr>
              <w:t>减持公司股份（因限制性股票回购除外）。</w:t>
            </w:r>
          </w:p>
        </w:tc>
        <w:tc>
          <w:tcPr>
            <w:tcW w:w="71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9"/>
                <w:szCs w:val="29"/>
              </w:rPr>
            </w:pPr>
          </w:p>
          <w:p>
            <w:pPr>
              <w:pStyle w:val="TableParagraph"/>
              <w:spacing w:line="351" w:lineRule="exact"/>
              <w:ind w:left="12"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32.950pt;height:17.6pt;mso-position-horizontal-relative:char;mso-position-vertical-relative:line" coordorigin="0,0" coordsize="659,352">
                  <v:group style="position:absolute;left:0;top:0;width:659;height:352" coordorigin="0,0" coordsize="659,352">
                    <v:shape style="position:absolute;left:0;top:0;width:659;height:352" coordorigin="0,0" coordsize="659,352" path="m0,352l659,352,659,0,0,0,0,352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pacing w:val="8"/>
                <w:sz w:val="18"/>
                <w:szCs w:val="18"/>
              </w:rPr>
              <w:t>增持承诺期限：自</w:t>
            </w:r>
          </w:p>
          <w:p>
            <w:pPr>
              <w:pStyle w:val="TableParagraph"/>
              <w:spacing w:line="240" w:lineRule="auto" w:before="75"/>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312"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起不超过</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个交易 </w:t>
            </w:r>
            <w:r>
              <w:rPr>
                <w:rFonts w:ascii="宋体" w:hAnsi="宋体" w:cs="宋体" w:eastAsia="宋体" w:hint="default"/>
                <w:spacing w:val="8"/>
                <w:sz w:val="18"/>
                <w:szCs w:val="18"/>
              </w:rPr>
              <w:t>日；股份锁定承诺</w:t>
            </w:r>
            <w:r>
              <w:rPr>
                <w:rFonts w:ascii="宋体" w:hAnsi="宋体" w:cs="宋体" w:eastAsia="宋体" w:hint="default"/>
                <w:sz w:val="18"/>
                <w:szCs w:val="18"/>
              </w:rPr>
              <w:t> </w:t>
            </w:r>
            <w:r>
              <w:rPr>
                <w:rFonts w:ascii="宋体" w:hAnsi="宋体" w:cs="宋体" w:eastAsia="宋体" w:hint="default"/>
                <w:spacing w:val="-4"/>
                <w:sz w:val="18"/>
                <w:szCs w:val="18"/>
              </w:rPr>
              <w:t>期限：自增持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8"/>
                <w:sz w:val="18"/>
                <w:szCs w:val="18"/>
              </w:rPr>
              <w:t>月内，担任高级管</w:t>
            </w:r>
            <w:r>
              <w:rPr>
                <w:rFonts w:ascii="宋体" w:hAnsi="宋体" w:cs="宋体" w:eastAsia="宋体" w:hint="default"/>
                <w:sz w:val="18"/>
                <w:szCs w:val="18"/>
              </w:rPr>
              <w:t> </w:t>
            </w:r>
            <w:r>
              <w:rPr>
                <w:rFonts w:ascii="宋体" w:hAnsi="宋体" w:cs="宋体" w:eastAsia="宋体" w:hint="default"/>
                <w:spacing w:val="8"/>
                <w:sz w:val="18"/>
                <w:szCs w:val="18"/>
              </w:rPr>
              <w:t>理人员期间，不再</w:t>
            </w:r>
            <w:r>
              <w:rPr>
                <w:rFonts w:ascii="宋体" w:hAnsi="宋体" w:cs="宋体" w:eastAsia="宋体" w:hint="default"/>
                <w:sz w:val="18"/>
                <w:szCs w:val="18"/>
              </w:rPr>
              <w:t> </w:t>
            </w:r>
            <w:r>
              <w:rPr>
                <w:rFonts w:ascii="宋体" w:hAnsi="宋体" w:cs="宋体" w:eastAsia="宋体" w:hint="default"/>
                <w:spacing w:val="8"/>
                <w:sz w:val="18"/>
                <w:szCs w:val="18"/>
              </w:rPr>
              <w:t>担任高级管理人员</w:t>
            </w:r>
            <w:r>
              <w:rPr>
                <w:rFonts w:ascii="宋体" w:hAnsi="宋体" w:cs="宋体" w:eastAsia="宋体" w:hint="default"/>
                <w:sz w:val="18"/>
                <w:szCs w:val="18"/>
              </w:rPr>
              <w:t>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60" w:lineRule="auto"/>
              <w:ind w:left="22" w:right="219"/>
              <w:jc w:val="left"/>
              <w:rPr>
                <w:rFonts w:ascii="宋体" w:hAnsi="宋体" w:cs="宋体" w:eastAsia="宋体" w:hint="default"/>
                <w:sz w:val="18"/>
                <w:szCs w:val="18"/>
              </w:rPr>
            </w:pPr>
            <w:r>
              <w:rPr>
                <w:rFonts w:ascii="宋体" w:hAnsi="宋体" w:cs="宋体" w:eastAsia="宋体" w:hint="default"/>
                <w:sz w:val="18"/>
                <w:szCs w:val="18"/>
              </w:rPr>
              <w:t>报告期内增持履行完毕 股份锁定正常履行中</w:t>
            </w:r>
          </w:p>
        </w:tc>
      </w:tr>
      <w:tr>
        <w:trPr>
          <w:trHeight w:val="1338"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1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如果电信科学技术研究院计划未来通过证券交易系统出售所持公司解除限售 流通股，并于第一笔减持起六个月内减持数量达到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及以上的，电信科学技 术研究院将于第一次减持前两个交易日内通过上市公司对外披露出售提示性 公告。</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4" w:right="91"/>
              <w:jc w:val="both"/>
              <w:rPr>
                <w:rFonts w:ascii="宋体" w:hAnsi="宋体" w:cs="宋体" w:eastAsia="宋体" w:hint="default"/>
                <w:sz w:val="18"/>
                <w:szCs w:val="18"/>
              </w:rPr>
            </w:pPr>
            <w:r>
              <w:rPr>
                <w:rFonts w:ascii="宋体" w:hAnsi="宋体" w:cs="宋体" w:eastAsia="宋体" w:hint="default"/>
                <w:sz w:val="18"/>
                <w:szCs w:val="18"/>
              </w:rPr>
              <w:t>电信科学技术研究 院有限公司作为控 股股东期间</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1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1"/>
                <w:sz w:val="18"/>
                <w:szCs w:val="18"/>
              </w:rPr>
              <w:t>毕的，应当详细说明未</w:t>
            </w:r>
          </w:p>
        </w:tc>
        <w:tc>
          <w:tcPr>
            <w:tcW w:w="1216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p>
      <w:pPr>
        <w:spacing w:line="718"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701.7pt;height:35.9pt;mso-position-horizontal-relative:char;mso-position-vertical-relative:line" coordorigin="0,0" coordsize="14034,718">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style="position:absolute;left:26;top:38;width:2;height:666" coordorigin="26,38" coordsize="2,666">
              <v:shape style="position:absolute;left:26;top:38;width:2;height:666" coordorigin="26,38" coordsize="0,666" path="m26,38l26,704e" filled="false" stroked="true" strokeweight="1.140pt" strokecolor="#d2d2d2">
                <v:path arrowok="t"/>
              </v:shape>
            </v:group>
            <v:group style="position:absolute;left:1839;top:38;width:2;height:666" coordorigin="1839,38" coordsize="2,666">
              <v:shape style="position:absolute;left:1839;top:38;width:2;height:666" coordorigin="1839,38" coordsize="0,666" path="m1839,38l1839,704e" filled="false" stroked="true" strokeweight="1.140pt" strokecolor="#d2d2d2">
                <v:path arrowok="t"/>
              </v:shape>
            </v:group>
            <v:group style="position:absolute;left:37;top:38;width:1791;height:312" coordorigin="37,38" coordsize="1791,312">
              <v:shape style="position:absolute;left:37;top:38;width:1791;height:312" coordorigin="37,38" coordsize="1791,312" path="m37,350l1828,350,1828,38,37,38,37,350xe" filled="true" fillcolor="#d2d2d2" stroked="false">
                <v:path arrowok="t"/>
                <v:fill type="solid"/>
              </v:shape>
            </v:group>
            <v:group style="position:absolute;left:37;top:350;width:1791;height:354" coordorigin="37,350" coordsize="1791,354">
              <v:shape style="position:absolute;left:37;top:350;width:1791;height:354" coordorigin="37,350" coordsize="1791,354" path="m37,704l1828,704,1828,350,37,350,37,704xe" filled="true" fillcolor="#d2d2d2" stroked="false">
                <v:path arrowok="t"/>
                <v:fill type="solid"/>
              </v:shape>
            </v:group>
            <v:group style="position:absolute;left:14;top:34;width:1837;height:2" coordorigin="14,34" coordsize="1837,2">
              <v:shape style="position:absolute;left:14;top:34;width:1837;height:2" coordorigin="14,34" coordsize="1837,0" path="m14,34l1851,34e" filled="false" stroked="true" strokeweight=".48pt" strokecolor="#000000">
                <v:path arrowok="t"/>
              </v:shape>
            </v:group>
            <v:group style="position:absolute;left:1860;top:34;width:12160;height:2" coordorigin="1860,34" coordsize="12160,2">
              <v:shape style="position:absolute;left:1860;top:34;width:12160;height:2" coordorigin="1860,34" coordsize="12160,0" path="m1860,34l14020,34e" filled="false" stroked="true" strokeweight=".48pt" strokecolor="#000000">
                <v:path arrowok="t"/>
              </v:shape>
            </v:group>
            <v:group style="position:absolute;left:10;top:29;width:2;height:685" coordorigin="10,29" coordsize="2,685">
              <v:shape style="position:absolute;left:10;top:29;width:2;height:685" coordorigin="10,29" coordsize="0,685" path="m10,29l10,713e" filled="false" stroked="true" strokeweight=".48pt" strokecolor="#000000">
                <v:path arrowok="t"/>
              </v:shape>
            </v:group>
            <v:group style="position:absolute;left:14;top:708;width:1837;height:2" coordorigin="14,708" coordsize="1837,2">
              <v:shape style="position:absolute;left:14;top:708;width:1837;height:2" coordorigin="14,708" coordsize="1837,0" path="m14,708l1851,708e" filled="false" stroked="true" strokeweight=".48pt" strokecolor="#000000">
                <v:path arrowok="t"/>
              </v:shape>
            </v:group>
            <v:group style="position:absolute;left:1856;top:29;width:2;height:685" coordorigin="1856,29" coordsize="2,685">
              <v:shape style="position:absolute;left:1856;top:29;width:2;height:685" coordorigin="1856,29" coordsize="0,685" path="m1856,29l1856,713e" filled="false" stroked="true" strokeweight=".48001pt" strokecolor="#000000">
                <v:path arrowok="t"/>
              </v:shape>
            </v:group>
            <v:group style="position:absolute;left:1860;top:708;width:12160;height:2" coordorigin="1860,708" coordsize="12160,2">
              <v:shape style="position:absolute;left:1860;top:708;width:12160;height:2" coordorigin="1860,708" coordsize="12160,0" path="m1860,708l14020,708e" filled="false" stroked="true" strokeweight=".48pt" strokecolor="#000000">
                <v:path arrowok="t"/>
              </v:shape>
            </v:group>
            <v:group style="position:absolute;left:14024;top:29;width:2;height:685" coordorigin="14024,29" coordsize="2,685">
              <v:shape style="position:absolute;left:14024;top:29;width:2;height:685" coordorigin="14024,29" coordsize="0,685" path="m14024,29l14024,713e" filled="false" stroked="true" strokeweight=".47998pt" strokecolor="#000000">
                <v:path arrowok="t"/>
              </v:shape>
              <v:shape style="position:absolute;left:10;top:19;width:1846;height:690" type="#_x0000_t202" filled="false" stroked="false">
                <v:textbox inset="0,0,0,0">
                  <w:txbxContent>
                    <w:p>
                      <w:pPr>
                        <w:spacing w:line="319" w:lineRule="auto" w:before="29"/>
                        <w:ind w:left="27" w:right="196" w:firstLine="0"/>
                        <w:jc w:val="left"/>
                        <w:rPr>
                          <w:rFonts w:ascii="宋体" w:hAnsi="宋体" w:cs="宋体" w:eastAsia="宋体" w:hint="default"/>
                          <w:sz w:val="18"/>
                          <w:szCs w:val="18"/>
                        </w:rPr>
                      </w:pPr>
                      <w:r>
                        <w:rPr>
                          <w:rFonts w:ascii="宋体" w:hAnsi="宋体" w:cs="宋体" w:eastAsia="宋体" w:hint="default"/>
                          <w:sz w:val="18"/>
                          <w:szCs w:val="18"/>
                        </w:rPr>
                        <w:t>完成履行的具体原因 及下一步的工作计划</w:t>
                      </w:r>
                    </w:p>
                  </w:txbxContent>
                </v:textbox>
                <w10:wrap type="none"/>
              </v:shape>
            </v:group>
          </v:group>
        </w:pict>
      </w:r>
      <w:r>
        <w:rPr>
          <w:rFonts w:ascii="Times New Roman" w:hAnsi="Times New Roman" w:cs="Times New Roman" w:eastAsia="Times New Roman" w:hint="default"/>
          <w:position w:val="-13"/>
          <w:sz w:val="20"/>
          <w:szCs w:val="20"/>
        </w:rPr>
      </w:r>
    </w:p>
    <w:p>
      <w:pPr>
        <w:spacing w:after="0" w:line="718" w:lineRule="exact"/>
        <w:rPr>
          <w:rFonts w:ascii="Times New Roman" w:hAnsi="Times New Roman" w:cs="Times New Roman" w:eastAsia="Times New Roman" w:hint="default"/>
          <w:sz w:val="20"/>
          <w:szCs w:val="20"/>
        </w:rPr>
        <w:sectPr>
          <w:pgSz w:w="16840" w:h="11910" w:orient="landscape"/>
          <w:pgMar w:header="867" w:footer="979" w:top="1060" w:bottom="1160" w:left="1300" w:right="1300"/>
        </w:sectPr>
      </w:pPr>
    </w:p>
    <w:p>
      <w:pPr>
        <w:spacing w:line="240" w:lineRule="auto" w:before="7"/>
        <w:rPr>
          <w:rFonts w:ascii="Times New Roman" w:hAnsi="Times New Roman" w:cs="Times New Roman" w:eastAsia="Times New Roman" w:hint="default"/>
          <w:sz w:val="23"/>
          <w:szCs w:val="23"/>
        </w:rPr>
      </w:pPr>
    </w:p>
    <w:p>
      <w:pPr>
        <w:pStyle w:val="Heading4"/>
        <w:spacing w:line="259" w:lineRule="auto" w:before="35"/>
        <w:ind w:right="0"/>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1293"/>
        <w:gridCol w:w="830"/>
        <w:gridCol w:w="716"/>
        <w:gridCol w:w="1007"/>
        <w:gridCol w:w="1150"/>
        <w:gridCol w:w="1291"/>
        <w:gridCol w:w="1437"/>
        <w:gridCol w:w="1970"/>
      </w:tblGrid>
      <w:tr>
        <w:trPr>
          <w:trHeight w:val="714" w:hRule="exact"/>
        </w:trPr>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0" w:right="100"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9" w:right="49"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 w:right="83"/>
              <w:jc w:val="left"/>
              <w:rPr>
                <w:rFonts w:ascii="宋体" w:hAnsi="宋体" w:cs="宋体" w:eastAsia="宋体" w:hint="default"/>
                <w:sz w:val="18"/>
                <w:szCs w:val="18"/>
              </w:rPr>
            </w:pPr>
            <w:r>
              <w:rPr>
                <w:rFonts w:ascii="宋体" w:hAnsi="宋体" w:cs="宋体" w:eastAsia="宋体" w:hint="default"/>
                <w:sz w:val="18"/>
                <w:szCs w:val="18"/>
              </w:rPr>
              <w:t>预测终 止时间</w:t>
            </w:r>
          </w:p>
        </w:tc>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 w:right="46"/>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原预测披露日期</w:t>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963" w:hRule="exact"/>
        </w:trPr>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高鸿鼎恒</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8,100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7,101.16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市场竞争激烈， 毛利未达预期， 主要是联想厂 家销售策略调 </w:t>
            </w:r>
            <w:r>
              <w:rPr>
                <w:rFonts w:ascii="宋体" w:hAnsi="宋体" w:cs="宋体" w:eastAsia="宋体" w:hint="default"/>
                <w:spacing w:val="-4"/>
                <w:sz w:val="18"/>
                <w:szCs w:val="18"/>
              </w:rPr>
              <w:t>整，导致产品销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售未达预期。</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www.szse.cn;2016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314" w:lineRule="auto" w:before="61"/>
              <w:ind w:left="23" w:right="4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日《发行股份购买 资产并募集配套资金之 发行股份购买资产实施 情况暨新增股份上市公 告书》</w:t>
            </w:r>
          </w:p>
        </w:tc>
      </w:tr>
    </w:tbl>
    <w:p>
      <w:pPr>
        <w:spacing w:line="316" w:lineRule="auto" w:before="51"/>
        <w:ind w:left="154" w:right="1132" w:firstLine="424"/>
        <w:jc w:val="both"/>
        <w:rPr>
          <w:rFonts w:ascii="宋体" w:hAnsi="宋体" w:cs="宋体" w:eastAsia="宋体" w:hint="default"/>
          <w:sz w:val="18"/>
          <w:szCs w:val="18"/>
        </w:rPr>
      </w:pPr>
      <w:r>
        <w:rPr>
          <w:rFonts w:ascii="宋体" w:hAnsi="宋体" w:cs="宋体" w:eastAsia="宋体" w:hint="default"/>
          <w:sz w:val="18"/>
          <w:szCs w:val="18"/>
        </w:rPr>
        <w:t>根据公司签署的《大唐高鸿数据网络技术股份有限公司向特定对象发行股份购买资产盈利预测补偿协议》及补充协议 关于业绩承诺及补偿约定：净利润指标为：承诺期内，高鸿鼎恒</w:t>
      </w:r>
      <w:r>
        <w:rPr>
          <w:rFonts w:ascii="宋体" w:hAnsi="宋体" w:cs="宋体" w:eastAsia="宋体" w:hint="default"/>
          <w:spacing w:val="-16"/>
          <w:sz w:val="18"/>
          <w:szCs w:val="18"/>
        </w:rPr>
        <w:t> </w:t>
      </w:r>
      <w:r>
        <w:rPr>
          <w:rFonts w:ascii="宋体" w:hAnsi="宋体" w:cs="宋体" w:eastAsia="宋体" w:hint="default"/>
          <w:sz w:val="18"/>
          <w:szCs w:val="18"/>
        </w:rPr>
        <w:t>2016</w:t>
      </w:r>
      <w:r>
        <w:rPr>
          <w:rFonts w:ascii="宋体" w:hAnsi="宋体" w:cs="宋体" w:eastAsia="宋体" w:hint="default"/>
          <w:spacing w:val="-16"/>
          <w:sz w:val="18"/>
          <w:szCs w:val="18"/>
        </w:rPr>
        <w:t> </w:t>
      </w:r>
      <w:r>
        <w:rPr>
          <w:rFonts w:ascii="宋体" w:hAnsi="宋体" w:cs="宋体" w:eastAsia="宋体" w:hint="default"/>
          <w:sz w:val="18"/>
          <w:szCs w:val="18"/>
        </w:rPr>
        <w:t>年、</w:t>
      </w:r>
      <w:r>
        <w:rPr>
          <w:rFonts w:ascii="宋体" w:hAnsi="宋体" w:cs="宋体" w:eastAsia="宋体" w:hint="default"/>
          <w:sz w:val="18"/>
          <w:szCs w:val="18"/>
        </w:rPr>
        <w:t>2017</w:t>
      </w:r>
      <w:r>
        <w:rPr>
          <w:rFonts w:ascii="宋体" w:hAnsi="宋体" w:cs="宋体" w:eastAsia="宋体" w:hint="default"/>
          <w:spacing w:val="-17"/>
          <w:sz w:val="18"/>
          <w:szCs w:val="18"/>
        </w:rPr>
        <w:t> </w:t>
      </w:r>
      <w:r>
        <w:rPr>
          <w:rFonts w:ascii="宋体" w:hAnsi="宋体" w:cs="宋体" w:eastAsia="宋体" w:hint="default"/>
          <w:sz w:val="18"/>
          <w:szCs w:val="18"/>
        </w:rPr>
        <w:t>年、</w:t>
      </w:r>
      <w:r>
        <w:rPr>
          <w:rFonts w:ascii="宋体" w:hAnsi="宋体" w:cs="宋体" w:eastAsia="宋体" w:hint="default"/>
          <w:sz w:val="18"/>
          <w:szCs w:val="18"/>
        </w:rPr>
        <w:t>2018</w:t>
      </w:r>
      <w:r>
        <w:rPr>
          <w:rFonts w:ascii="宋体" w:hAnsi="宋体" w:cs="宋体" w:eastAsia="宋体" w:hint="default"/>
          <w:spacing w:val="-17"/>
          <w:sz w:val="18"/>
          <w:szCs w:val="18"/>
        </w:rPr>
        <w:t> </w:t>
      </w:r>
      <w:r>
        <w:rPr>
          <w:rFonts w:ascii="宋体" w:hAnsi="宋体" w:cs="宋体" w:eastAsia="宋体" w:hint="default"/>
          <w:sz w:val="18"/>
          <w:szCs w:val="18"/>
        </w:rPr>
        <w:t>年税后净利润分别不低于</w:t>
      </w:r>
      <w:r>
        <w:rPr>
          <w:rFonts w:ascii="宋体" w:hAnsi="宋体" w:cs="宋体" w:eastAsia="宋体" w:hint="default"/>
          <w:spacing w:val="-17"/>
          <w:sz w:val="18"/>
          <w:szCs w:val="18"/>
        </w:rPr>
        <w:t> </w:t>
      </w:r>
      <w:r>
        <w:rPr>
          <w:rFonts w:ascii="宋体" w:hAnsi="宋体" w:cs="宋体" w:eastAsia="宋体" w:hint="default"/>
          <w:sz w:val="18"/>
          <w:szCs w:val="18"/>
        </w:rPr>
        <w:t>6,100 </w:t>
      </w:r>
      <w:r>
        <w:rPr>
          <w:rFonts w:ascii="宋体" w:hAnsi="宋体" w:cs="宋体" w:eastAsia="宋体" w:hint="default"/>
          <w:sz w:val="18"/>
          <w:szCs w:val="18"/>
        </w:rPr>
        <w:t>万元、</w:t>
      </w:r>
      <w:r>
        <w:rPr>
          <w:rFonts w:ascii="宋体" w:hAnsi="宋体" w:cs="宋体" w:eastAsia="宋体" w:hint="default"/>
          <w:sz w:val="18"/>
          <w:szCs w:val="18"/>
        </w:rPr>
        <w:t>7,100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8,100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319" w:lineRule="auto" w:before="57"/>
        <w:ind w:left="154" w:right="1132" w:firstLine="424"/>
        <w:jc w:val="both"/>
        <w:rPr>
          <w:rFonts w:ascii="宋体" w:hAnsi="宋体" w:cs="宋体" w:eastAsia="宋体" w:hint="default"/>
          <w:sz w:val="18"/>
          <w:szCs w:val="18"/>
        </w:rPr>
      </w:pPr>
      <w:r>
        <w:rPr>
          <w:rFonts w:ascii="宋体" w:hAnsi="宋体" w:cs="宋体" w:eastAsia="宋体" w:hint="default"/>
          <w:spacing w:val="-2"/>
          <w:sz w:val="18"/>
          <w:szCs w:val="18"/>
        </w:rPr>
        <w:t>当期应补偿股份数</w:t>
      </w:r>
      <w:r>
        <w:rPr>
          <w:rFonts w:ascii="宋体" w:hAnsi="宋体" w:cs="宋体" w:eastAsia="宋体" w:hint="default"/>
          <w:spacing w:val="-2"/>
          <w:sz w:val="18"/>
          <w:szCs w:val="18"/>
        </w:rPr>
        <w:t>=</w:t>
      </w:r>
      <w:r>
        <w:rPr>
          <w:rFonts w:ascii="宋体" w:hAnsi="宋体" w:cs="宋体" w:eastAsia="宋体" w:hint="default"/>
          <w:spacing w:val="-2"/>
          <w:sz w:val="18"/>
          <w:szCs w:val="18"/>
        </w:rPr>
        <w:t>（截至承诺期每期期末累积承诺净利润－截至承诺期每期期末累积实际净利润）÷承诺期承诺净利</w:t>
      </w:r>
      <w:r>
        <w:rPr>
          <w:rFonts w:ascii="宋体" w:hAnsi="宋体" w:cs="宋体" w:eastAsia="宋体" w:hint="default"/>
          <w:sz w:val="18"/>
          <w:szCs w:val="18"/>
        </w:rPr>
        <w:t> 润总和×标的资产的交易价格÷本次发行价格－已补偿股份数。</w:t>
      </w:r>
    </w:p>
    <w:p>
      <w:pPr>
        <w:spacing w:line="319" w:lineRule="auto" w:before="56"/>
        <w:ind w:left="154" w:right="1132" w:firstLine="424"/>
        <w:jc w:val="both"/>
        <w:rPr>
          <w:rFonts w:ascii="宋体" w:hAnsi="宋体" w:cs="宋体" w:eastAsia="宋体" w:hint="default"/>
          <w:sz w:val="18"/>
          <w:szCs w:val="18"/>
        </w:rPr>
      </w:pPr>
      <w:r>
        <w:rPr>
          <w:rFonts w:ascii="宋体" w:hAnsi="宋体" w:cs="宋体" w:eastAsia="宋体" w:hint="default"/>
          <w:spacing w:val="-4"/>
          <w:sz w:val="18"/>
          <w:szCs w:val="18"/>
        </w:rPr>
        <w:t>高鸿鼎恒历年税后净利润实现情况：</w:t>
      </w:r>
      <w:r>
        <w:rPr>
          <w:rFonts w:ascii="宋体" w:hAnsi="宋体" w:cs="宋体" w:eastAsia="宋体" w:hint="default"/>
          <w:spacing w:val="-4"/>
          <w:sz w:val="18"/>
          <w:szCs w:val="18"/>
        </w:rPr>
        <w:t>2016</w:t>
      </w:r>
      <w:r>
        <w:rPr>
          <w:rFonts w:ascii="宋体" w:hAnsi="宋体" w:cs="宋体" w:eastAsia="宋体" w:hint="default"/>
          <w:spacing w:val="-36"/>
          <w:sz w:val="18"/>
          <w:szCs w:val="18"/>
        </w:rPr>
        <w:t> </w:t>
      </w:r>
      <w:r>
        <w:rPr>
          <w:rFonts w:ascii="宋体" w:hAnsi="宋体" w:cs="宋体" w:eastAsia="宋体" w:hint="default"/>
          <w:spacing w:val="-6"/>
          <w:sz w:val="18"/>
          <w:szCs w:val="18"/>
        </w:rPr>
        <w:t>年实现：</w:t>
      </w:r>
      <w:r>
        <w:rPr>
          <w:rFonts w:ascii="宋体" w:hAnsi="宋体" w:cs="宋体" w:eastAsia="宋体" w:hint="default"/>
          <w:spacing w:val="-6"/>
          <w:sz w:val="18"/>
          <w:szCs w:val="18"/>
        </w:rPr>
        <w:t>7,297.67</w:t>
      </w:r>
      <w:r>
        <w:rPr>
          <w:rFonts w:ascii="宋体" w:hAnsi="宋体" w:cs="宋体" w:eastAsia="宋体" w:hint="default"/>
          <w:spacing w:val="-38"/>
          <w:sz w:val="18"/>
          <w:szCs w:val="18"/>
        </w:rPr>
        <w:t> </w:t>
      </w:r>
      <w:r>
        <w:rPr>
          <w:rFonts w:ascii="宋体" w:hAnsi="宋体" w:cs="宋体" w:eastAsia="宋体" w:hint="default"/>
          <w:spacing w:val="-9"/>
          <w:sz w:val="18"/>
          <w:szCs w:val="18"/>
        </w:rPr>
        <w:t>万元，</w:t>
      </w:r>
      <w:r>
        <w:rPr>
          <w:rFonts w:ascii="宋体" w:hAnsi="宋体" w:cs="宋体" w:eastAsia="宋体" w:hint="default"/>
          <w:spacing w:val="-9"/>
          <w:sz w:val="18"/>
          <w:szCs w:val="18"/>
        </w:rPr>
        <w:t>2017</w:t>
      </w:r>
      <w:r>
        <w:rPr>
          <w:rFonts w:ascii="宋体" w:hAnsi="宋体" w:cs="宋体" w:eastAsia="宋体" w:hint="default"/>
          <w:spacing w:val="-36"/>
          <w:sz w:val="18"/>
          <w:szCs w:val="18"/>
        </w:rPr>
        <w:t> </w:t>
      </w:r>
      <w:r>
        <w:rPr>
          <w:rFonts w:ascii="宋体" w:hAnsi="宋体" w:cs="宋体" w:eastAsia="宋体" w:hint="default"/>
          <w:spacing w:val="-6"/>
          <w:sz w:val="18"/>
          <w:szCs w:val="18"/>
        </w:rPr>
        <w:t>年实现：</w:t>
      </w:r>
      <w:r>
        <w:rPr>
          <w:rFonts w:ascii="宋体" w:hAnsi="宋体" w:cs="宋体" w:eastAsia="宋体" w:hint="default"/>
          <w:spacing w:val="-6"/>
          <w:sz w:val="18"/>
          <w:szCs w:val="18"/>
        </w:rPr>
        <w:t>7,171.67</w:t>
      </w:r>
      <w:r>
        <w:rPr>
          <w:rFonts w:ascii="宋体" w:hAnsi="宋体" w:cs="宋体" w:eastAsia="宋体" w:hint="default"/>
          <w:spacing w:val="-38"/>
          <w:sz w:val="18"/>
          <w:szCs w:val="18"/>
        </w:rPr>
        <w:t> </w:t>
      </w:r>
      <w:r>
        <w:rPr>
          <w:rFonts w:ascii="宋体" w:hAnsi="宋体" w:cs="宋体" w:eastAsia="宋体" w:hint="default"/>
          <w:spacing w:val="-9"/>
          <w:sz w:val="18"/>
          <w:szCs w:val="18"/>
        </w:rPr>
        <w:t>万元，</w:t>
      </w:r>
      <w:r>
        <w:rPr>
          <w:rFonts w:ascii="宋体" w:hAnsi="宋体" w:cs="宋体" w:eastAsia="宋体" w:hint="default"/>
          <w:spacing w:val="-9"/>
          <w:sz w:val="18"/>
          <w:szCs w:val="18"/>
        </w:rPr>
        <w:t>2018</w:t>
      </w:r>
      <w:r>
        <w:rPr>
          <w:rFonts w:ascii="宋体" w:hAnsi="宋体" w:cs="宋体" w:eastAsia="宋体" w:hint="default"/>
          <w:spacing w:val="-36"/>
          <w:sz w:val="18"/>
          <w:szCs w:val="18"/>
        </w:rPr>
        <w:t> </w:t>
      </w:r>
      <w:r>
        <w:rPr>
          <w:rFonts w:ascii="宋体" w:hAnsi="宋体" w:cs="宋体" w:eastAsia="宋体" w:hint="default"/>
          <w:spacing w:val="-6"/>
          <w:sz w:val="18"/>
          <w:szCs w:val="18"/>
        </w:rPr>
        <w:t>年实现：</w:t>
      </w:r>
      <w:r>
        <w:rPr>
          <w:rFonts w:ascii="宋体" w:hAnsi="宋体" w:cs="宋体" w:eastAsia="宋体" w:hint="default"/>
          <w:spacing w:val="-6"/>
          <w:sz w:val="18"/>
          <w:szCs w:val="18"/>
        </w:rPr>
        <w:t>7,101.16</w:t>
      </w:r>
      <w:r>
        <w:rPr>
          <w:rFonts w:ascii="宋体" w:hAnsi="宋体" w:cs="宋体" w:eastAsia="宋体" w:hint="default"/>
          <w:sz w:val="18"/>
          <w:szCs w:val="18"/>
        </w:rPr>
        <w:t> </w:t>
      </w:r>
      <w:r>
        <w:rPr>
          <w:rFonts w:ascii="宋体" w:hAnsi="宋体" w:cs="宋体" w:eastAsia="宋体" w:hint="default"/>
          <w:sz w:val="18"/>
          <w:szCs w:val="18"/>
        </w:rPr>
        <w:t>万元。</w:t>
      </w:r>
    </w:p>
    <w:p>
      <w:pPr>
        <w:spacing w:before="55"/>
        <w:ind w:left="578" w:right="0" w:firstLine="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24"/>
          <w:sz w:val="18"/>
          <w:szCs w:val="18"/>
        </w:rPr>
        <w:t> </w:t>
      </w:r>
      <w:r>
        <w:rPr>
          <w:rFonts w:ascii="宋体" w:hAnsi="宋体" w:cs="宋体" w:eastAsia="宋体" w:hint="default"/>
          <w:sz w:val="18"/>
          <w:szCs w:val="18"/>
        </w:rPr>
        <w:t>据</w:t>
      </w:r>
      <w:r>
        <w:rPr>
          <w:rFonts w:ascii="宋体" w:hAnsi="宋体" w:cs="宋体" w:eastAsia="宋体" w:hint="default"/>
          <w:spacing w:val="24"/>
          <w:sz w:val="18"/>
          <w:szCs w:val="18"/>
        </w:rPr>
        <w:t> </w:t>
      </w:r>
      <w:r>
        <w:rPr>
          <w:rFonts w:ascii="宋体" w:hAnsi="宋体" w:cs="宋体" w:eastAsia="宋体" w:hint="default"/>
          <w:sz w:val="18"/>
          <w:szCs w:val="18"/>
        </w:rPr>
        <w:t>补</w:t>
      </w:r>
      <w:r>
        <w:rPr>
          <w:rFonts w:ascii="宋体" w:hAnsi="宋体" w:cs="宋体" w:eastAsia="宋体" w:hint="default"/>
          <w:spacing w:val="24"/>
          <w:sz w:val="18"/>
          <w:szCs w:val="18"/>
        </w:rPr>
        <w:t> </w:t>
      </w:r>
      <w:r>
        <w:rPr>
          <w:rFonts w:ascii="宋体" w:hAnsi="宋体" w:cs="宋体" w:eastAsia="宋体" w:hint="default"/>
          <w:sz w:val="18"/>
          <w:szCs w:val="18"/>
        </w:rPr>
        <w:t>偿</w:t>
      </w:r>
      <w:r>
        <w:rPr>
          <w:rFonts w:ascii="宋体" w:hAnsi="宋体" w:cs="宋体" w:eastAsia="宋体" w:hint="default"/>
          <w:spacing w:val="24"/>
          <w:sz w:val="18"/>
          <w:szCs w:val="18"/>
        </w:rPr>
        <w:t> </w:t>
      </w:r>
      <w:r>
        <w:rPr>
          <w:rFonts w:ascii="宋体" w:hAnsi="宋体" w:cs="宋体" w:eastAsia="宋体" w:hint="default"/>
          <w:sz w:val="18"/>
          <w:szCs w:val="18"/>
        </w:rPr>
        <w:t>计</w:t>
      </w:r>
      <w:r>
        <w:rPr>
          <w:rFonts w:ascii="宋体" w:hAnsi="宋体" w:cs="宋体" w:eastAsia="宋体" w:hint="default"/>
          <w:spacing w:val="24"/>
          <w:sz w:val="18"/>
          <w:szCs w:val="18"/>
        </w:rPr>
        <w:t> </w:t>
      </w:r>
      <w:r>
        <w:rPr>
          <w:rFonts w:ascii="宋体" w:hAnsi="宋体" w:cs="宋体" w:eastAsia="宋体" w:hint="default"/>
          <w:sz w:val="18"/>
          <w:szCs w:val="18"/>
        </w:rPr>
        <w:t>算</w:t>
      </w:r>
      <w:r>
        <w:rPr>
          <w:rFonts w:ascii="宋体" w:hAnsi="宋体" w:cs="宋体" w:eastAsia="宋体" w:hint="default"/>
          <w:spacing w:val="24"/>
          <w:sz w:val="18"/>
          <w:szCs w:val="18"/>
        </w:rPr>
        <w:t> </w:t>
      </w:r>
      <w:r>
        <w:rPr>
          <w:rFonts w:ascii="宋体" w:hAnsi="宋体" w:cs="宋体" w:eastAsia="宋体" w:hint="default"/>
          <w:sz w:val="18"/>
          <w:szCs w:val="18"/>
        </w:rPr>
        <w:t>公</w:t>
      </w:r>
      <w:r>
        <w:rPr>
          <w:rFonts w:ascii="宋体" w:hAnsi="宋体" w:cs="宋体" w:eastAsia="宋体" w:hint="default"/>
          <w:spacing w:val="24"/>
          <w:sz w:val="18"/>
          <w:szCs w:val="18"/>
        </w:rPr>
        <w:t> </w:t>
      </w:r>
      <w:r>
        <w:rPr>
          <w:rFonts w:ascii="宋体" w:hAnsi="宋体" w:cs="宋体" w:eastAsia="宋体" w:hint="default"/>
          <w:sz w:val="18"/>
          <w:szCs w:val="18"/>
        </w:rPr>
        <w:t>式</w:t>
      </w:r>
      <w:r>
        <w:rPr>
          <w:rFonts w:ascii="宋体" w:hAnsi="宋体" w:cs="宋体" w:eastAsia="宋体"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当</w:t>
      </w:r>
      <w:r>
        <w:rPr>
          <w:rFonts w:ascii="宋体" w:hAnsi="宋体" w:cs="宋体" w:eastAsia="宋体" w:hint="default"/>
          <w:spacing w:val="24"/>
          <w:sz w:val="18"/>
          <w:szCs w:val="18"/>
        </w:rPr>
        <w:t> </w:t>
      </w:r>
      <w:r>
        <w:rPr>
          <w:rFonts w:ascii="宋体" w:hAnsi="宋体" w:cs="宋体" w:eastAsia="宋体" w:hint="default"/>
          <w:sz w:val="18"/>
          <w:szCs w:val="18"/>
        </w:rPr>
        <w:t>期</w:t>
      </w:r>
      <w:r>
        <w:rPr>
          <w:rFonts w:ascii="宋体" w:hAnsi="宋体" w:cs="宋体" w:eastAsia="宋体" w:hint="default"/>
          <w:spacing w:val="24"/>
          <w:sz w:val="18"/>
          <w:szCs w:val="18"/>
        </w:rPr>
        <w:t> </w:t>
      </w:r>
      <w:r>
        <w:rPr>
          <w:rFonts w:ascii="宋体" w:hAnsi="宋体" w:cs="宋体" w:eastAsia="宋体" w:hint="default"/>
          <w:sz w:val="18"/>
          <w:szCs w:val="18"/>
        </w:rPr>
        <w:t>补</w:t>
      </w:r>
      <w:r>
        <w:rPr>
          <w:rFonts w:ascii="宋体" w:hAnsi="宋体" w:cs="宋体" w:eastAsia="宋体" w:hint="default"/>
          <w:spacing w:val="24"/>
          <w:sz w:val="18"/>
          <w:szCs w:val="18"/>
        </w:rPr>
        <w:t> </w:t>
      </w:r>
      <w:r>
        <w:rPr>
          <w:rFonts w:ascii="宋体" w:hAnsi="宋体" w:cs="宋体" w:eastAsia="宋体" w:hint="default"/>
          <w:sz w:val="18"/>
          <w:szCs w:val="18"/>
        </w:rPr>
        <w:t>偿</w:t>
      </w:r>
      <w:r>
        <w:rPr>
          <w:rFonts w:ascii="宋体" w:hAnsi="宋体" w:cs="宋体" w:eastAsia="宋体" w:hint="default"/>
          <w:spacing w:val="24"/>
          <w:sz w:val="18"/>
          <w:szCs w:val="18"/>
        </w:rPr>
        <w:t> </w:t>
      </w:r>
      <w:r>
        <w:rPr>
          <w:rFonts w:ascii="宋体" w:hAnsi="宋体" w:cs="宋体" w:eastAsia="宋体" w:hint="default"/>
          <w:sz w:val="18"/>
          <w:szCs w:val="18"/>
        </w:rPr>
        <w:t>股</w:t>
      </w:r>
      <w:r>
        <w:rPr>
          <w:rFonts w:ascii="宋体" w:hAnsi="宋体" w:cs="宋体" w:eastAsia="宋体" w:hint="default"/>
          <w:spacing w:val="24"/>
          <w:sz w:val="18"/>
          <w:szCs w:val="18"/>
        </w:rPr>
        <w:t> </w:t>
      </w:r>
      <w:r>
        <w:rPr>
          <w:rFonts w:ascii="宋体" w:hAnsi="宋体" w:cs="宋体" w:eastAsia="宋体" w:hint="default"/>
          <w:sz w:val="18"/>
          <w:szCs w:val="18"/>
        </w:rPr>
        <w:t>份</w:t>
      </w:r>
      <w:r>
        <w:rPr>
          <w:rFonts w:ascii="宋体" w:hAnsi="宋体" w:cs="宋体" w:eastAsia="宋体" w:hint="default"/>
          <w:spacing w:val="24"/>
          <w:sz w:val="18"/>
          <w:szCs w:val="18"/>
        </w:rPr>
        <w:t> </w:t>
      </w:r>
      <w:r>
        <w:rPr>
          <w:rFonts w:ascii="宋体" w:hAnsi="宋体" w:cs="宋体" w:eastAsia="宋体" w:hint="default"/>
          <w:sz w:val="18"/>
          <w:szCs w:val="18"/>
        </w:rPr>
        <w:t>数</w:t>
      </w:r>
      <w:r>
        <w:rPr>
          <w:rFonts w:ascii="宋体" w:hAnsi="宋体" w:cs="宋体" w:eastAsia="宋体" w:hint="default"/>
          <w:spacing w:val="24"/>
          <w:sz w:val="18"/>
          <w:szCs w:val="18"/>
        </w:rPr>
        <w:t> </w:t>
      </w:r>
      <w:r>
        <w:rPr>
          <w:rFonts w:ascii="宋体" w:hAnsi="宋体" w:cs="宋体" w:eastAsia="宋体" w:hint="default"/>
          <w:sz w:val="18"/>
          <w:szCs w:val="18"/>
        </w:rPr>
        <w:t>量</w:t>
      </w:r>
      <w:r>
        <w:rPr>
          <w:rFonts w:ascii="宋体" w:hAnsi="宋体" w:cs="宋体" w:eastAsia="宋体"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6100+7100+8100-7297.67-7171.67-7101.16</w:t>
      </w:r>
      <w:r>
        <w:rPr>
          <w:rFonts w:ascii="宋体" w:hAnsi="宋体" w:cs="宋体" w:eastAsia="宋体" w:hint="default"/>
          <w:spacing w:val="25"/>
          <w:sz w:val="18"/>
          <w:szCs w:val="18"/>
        </w:rPr>
        <w:t> </w:t>
      </w:r>
      <w:r>
        <w:rPr>
          <w:rFonts w:ascii="宋体" w:hAnsi="宋体" w:cs="宋体" w:eastAsia="宋体" w:hint="default"/>
          <w:sz w:val="18"/>
          <w:szCs w:val="18"/>
        </w:rPr>
        <w:t>）</w:t>
      </w:r>
    </w:p>
    <w:p>
      <w:pPr>
        <w:spacing w:before="77"/>
        <w:ind w:left="154" w:right="0" w:firstLine="0"/>
        <w:jc w:val="left"/>
        <w:rPr>
          <w:rFonts w:ascii="宋体" w:hAnsi="宋体" w:cs="宋体" w:eastAsia="宋体" w:hint="default"/>
          <w:sz w:val="18"/>
          <w:szCs w:val="18"/>
        </w:rPr>
      </w:pPr>
      <w:r>
        <w:rPr>
          <w:rFonts w:ascii="宋体" w:hAnsi="宋体" w:cs="宋体" w:eastAsia="宋体" w:hint="default"/>
          <w:sz w:val="18"/>
          <w:szCs w:val="18"/>
        </w:rPr>
        <w:t>/(6100+7100+8100)*31,949.873/11.60-0=-34.98</w:t>
      </w:r>
      <w:r>
        <w:rPr>
          <w:rFonts w:ascii="宋体" w:hAnsi="宋体" w:cs="宋体" w:eastAsia="宋体" w:hint="default"/>
          <w:spacing w:val="-46"/>
          <w:sz w:val="18"/>
          <w:szCs w:val="18"/>
        </w:rPr>
        <w:t> </w:t>
      </w:r>
      <w:r>
        <w:rPr>
          <w:rFonts w:ascii="宋体" w:hAnsi="宋体" w:cs="宋体" w:eastAsia="宋体" w:hint="default"/>
          <w:sz w:val="18"/>
          <w:szCs w:val="18"/>
        </w:rPr>
        <w:t>万股。</w:t>
      </w:r>
    </w:p>
    <w:p>
      <w:pPr>
        <w:spacing w:line="319" w:lineRule="auto" w:before="115"/>
        <w:ind w:left="154" w:right="1135" w:firstLine="424"/>
        <w:jc w:val="both"/>
        <w:rPr>
          <w:rFonts w:ascii="宋体" w:hAnsi="宋体" w:cs="宋体" w:eastAsia="宋体" w:hint="default"/>
          <w:sz w:val="18"/>
          <w:szCs w:val="18"/>
        </w:rPr>
      </w:pPr>
      <w:r>
        <w:rPr>
          <w:rFonts w:ascii="宋体" w:hAnsi="宋体" w:cs="宋体" w:eastAsia="宋体" w:hint="default"/>
          <w:sz w:val="18"/>
          <w:szCs w:val="18"/>
        </w:rPr>
        <w:t>本报告期业绩预测承诺未达到业绩承诺约定，但根据上述补偿协议关于业绩承诺及补偿约定，经测算本报告期补偿数 量为负，不需要补偿。</w:t>
      </w:r>
    </w:p>
    <w:p>
      <w:pPr>
        <w:spacing w:before="58"/>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line="348" w:lineRule="auto" w:before="116"/>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业绩承诺的完成情况及其对商誉减值测试的影响 不适用</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4"/>
        <w:spacing w:line="240" w:lineRule="auto" w:before="77"/>
        <w:ind w:right="0"/>
        <w:jc w:val="left"/>
        <w:rPr>
          <w:b w:val="0"/>
          <w:bCs w:val="0"/>
        </w:rPr>
      </w:pPr>
      <w:r>
        <w:rPr>
          <w:rFonts w:ascii="Times New Roman" w:hAnsi="Times New Roman" w:cs="Times New Roman" w:eastAsia="Times New Roman" w:hint="default"/>
        </w:rPr>
        <w:t>1</w:t>
      </w:r>
      <w:r>
        <w:rPr/>
        <w:t>、重要会计政策变更</w:t>
      </w:r>
      <w:r>
        <w:rPr>
          <w:b w:val="0"/>
          <w:bCs w:val="0"/>
        </w:rPr>
      </w:r>
    </w:p>
    <w:p>
      <w:pPr>
        <w:spacing w:before="30"/>
        <w:ind w:left="623" w:right="0" w:firstLine="0"/>
        <w:jc w:val="left"/>
        <w:rPr>
          <w:rFonts w:ascii="宋体" w:hAnsi="宋体" w:cs="宋体" w:eastAsia="宋体" w:hint="default"/>
          <w:sz w:val="20"/>
          <w:szCs w:val="20"/>
        </w:rPr>
      </w:pPr>
      <w:r>
        <w:rPr>
          <w:rFonts w:ascii="宋体" w:hAnsi="宋体" w:cs="宋体" w:eastAsia="宋体" w:hint="default"/>
          <w:w w:val="100"/>
          <w:sz w:val="20"/>
          <w:szCs w:val="20"/>
        </w:rPr>
        <w:t>财</w:t>
      </w:r>
      <w:r>
        <w:rPr>
          <w:rFonts w:ascii="宋体" w:hAnsi="宋体" w:cs="宋体" w:eastAsia="宋体" w:hint="default"/>
          <w:spacing w:val="-2"/>
          <w:w w:val="100"/>
          <w:sz w:val="20"/>
          <w:szCs w:val="20"/>
        </w:rPr>
        <w:t>政部</w:t>
      </w:r>
      <w:r>
        <w:rPr>
          <w:rFonts w:ascii="宋体" w:hAnsi="宋体" w:cs="宋体" w:eastAsia="宋体" w:hint="default"/>
          <w:w w:val="100"/>
          <w:sz w:val="20"/>
          <w:szCs w:val="20"/>
        </w:rPr>
        <w:t>于</w:t>
      </w:r>
      <w:r>
        <w:rPr>
          <w:rFonts w:ascii="宋体" w:hAnsi="宋体" w:cs="宋体" w:eastAsia="宋体" w:hint="default"/>
          <w:w w:val="100"/>
          <w:sz w:val="20"/>
          <w:szCs w:val="20"/>
        </w:rPr>
        <w:t>2018</w:t>
      </w:r>
      <w:r>
        <w:rPr>
          <w:rFonts w:ascii="宋体" w:hAnsi="宋体" w:cs="宋体" w:eastAsia="宋体" w:hint="default"/>
          <w:spacing w:val="-2"/>
          <w:w w:val="100"/>
          <w:sz w:val="20"/>
          <w:szCs w:val="20"/>
        </w:rPr>
        <w:t>年</w:t>
      </w:r>
      <w:r>
        <w:rPr>
          <w:rFonts w:ascii="宋体" w:hAnsi="宋体" w:cs="宋体" w:eastAsia="宋体" w:hint="default"/>
          <w:w w:val="100"/>
          <w:sz w:val="20"/>
          <w:szCs w:val="20"/>
        </w:rPr>
        <w:t>6</w:t>
      </w:r>
      <w:r>
        <w:rPr>
          <w:rFonts w:ascii="宋体" w:hAnsi="宋体" w:cs="宋体" w:eastAsia="宋体" w:hint="default"/>
          <w:spacing w:val="-2"/>
          <w:w w:val="100"/>
          <w:sz w:val="20"/>
          <w:szCs w:val="20"/>
        </w:rPr>
        <w:t>月</w:t>
      </w:r>
      <w:r>
        <w:rPr>
          <w:rFonts w:ascii="宋体" w:hAnsi="宋体" w:cs="宋体" w:eastAsia="宋体" w:hint="default"/>
          <w:spacing w:val="-1"/>
          <w:w w:val="100"/>
          <w:sz w:val="20"/>
          <w:szCs w:val="20"/>
        </w:rPr>
        <w:t>1</w:t>
      </w:r>
      <w:r>
        <w:rPr>
          <w:rFonts w:ascii="宋体" w:hAnsi="宋体" w:cs="宋体" w:eastAsia="宋体" w:hint="default"/>
          <w:w w:val="100"/>
          <w:sz w:val="20"/>
          <w:szCs w:val="20"/>
        </w:rPr>
        <w:t>5</w:t>
      </w:r>
      <w:r>
        <w:rPr>
          <w:rFonts w:ascii="宋体" w:hAnsi="宋体" w:cs="宋体" w:eastAsia="宋体" w:hint="default"/>
          <w:w w:val="100"/>
          <w:sz w:val="20"/>
          <w:szCs w:val="20"/>
        </w:rPr>
        <w:t>日</w:t>
      </w:r>
      <w:r>
        <w:rPr>
          <w:rFonts w:ascii="宋体" w:hAnsi="宋体" w:cs="宋体" w:eastAsia="宋体" w:hint="default"/>
          <w:spacing w:val="-2"/>
          <w:w w:val="100"/>
          <w:sz w:val="20"/>
          <w:szCs w:val="20"/>
        </w:rPr>
        <w:t>发</w:t>
      </w:r>
      <w:r>
        <w:rPr>
          <w:rFonts w:ascii="宋体" w:hAnsi="宋体" w:cs="宋体" w:eastAsia="宋体" w:hint="default"/>
          <w:w w:val="100"/>
          <w:sz w:val="20"/>
          <w:szCs w:val="20"/>
        </w:rPr>
        <w:t>布</w:t>
      </w:r>
      <w:r>
        <w:rPr>
          <w:rFonts w:ascii="宋体" w:hAnsi="宋体" w:cs="宋体" w:eastAsia="宋体" w:hint="default"/>
          <w:spacing w:val="-83"/>
          <w:w w:val="100"/>
          <w:sz w:val="20"/>
          <w:szCs w:val="20"/>
        </w:rPr>
        <w:t>了</w:t>
      </w:r>
      <w:r>
        <w:rPr>
          <w:rFonts w:ascii="宋体" w:hAnsi="宋体" w:cs="宋体" w:eastAsia="宋体" w:hint="default"/>
          <w:spacing w:val="-2"/>
          <w:w w:val="100"/>
          <w:sz w:val="20"/>
          <w:szCs w:val="20"/>
        </w:rPr>
        <w:t>《财</w:t>
      </w:r>
      <w:r>
        <w:rPr>
          <w:rFonts w:ascii="宋体" w:hAnsi="宋体" w:cs="宋体" w:eastAsia="宋体" w:hint="default"/>
          <w:w w:val="100"/>
          <w:sz w:val="20"/>
          <w:szCs w:val="20"/>
        </w:rPr>
        <w:t>政部关</w:t>
      </w:r>
      <w:r>
        <w:rPr>
          <w:rFonts w:ascii="宋体" w:hAnsi="宋体" w:cs="宋体" w:eastAsia="宋体" w:hint="default"/>
          <w:spacing w:val="-2"/>
          <w:w w:val="100"/>
          <w:sz w:val="20"/>
          <w:szCs w:val="20"/>
        </w:rPr>
        <w:t>于</w:t>
      </w:r>
      <w:r>
        <w:rPr>
          <w:rFonts w:ascii="宋体" w:hAnsi="宋体" w:cs="宋体" w:eastAsia="宋体" w:hint="default"/>
          <w:w w:val="100"/>
          <w:sz w:val="20"/>
          <w:szCs w:val="20"/>
        </w:rPr>
        <w:t>修</w:t>
      </w:r>
      <w:r>
        <w:rPr>
          <w:rFonts w:ascii="宋体" w:hAnsi="宋体" w:cs="宋体" w:eastAsia="宋体" w:hint="default"/>
          <w:spacing w:val="-2"/>
          <w:w w:val="100"/>
          <w:sz w:val="20"/>
          <w:szCs w:val="20"/>
        </w:rPr>
        <w:t>订</w:t>
      </w:r>
      <w:r>
        <w:rPr>
          <w:rFonts w:ascii="宋体" w:hAnsi="宋体" w:cs="宋体" w:eastAsia="宋体" w:hint="default"/>
          <w:w w:val="100"/>
          <w:sz w:val="20"/>
          <w:szCs w:val="20"/>
        </w:rPr>
        <w:t>印发</w:t>
      </w:r>
      <w:r>
        <w:rPr>
          <w:rFonts w:ascii="宋体" w:hAnsi="宋体" w:cs="宋体" w:eastAsia="宋体" w:hint="default"/>
          <w:w w:val="100"/>
          <w:sz w:val="20"/>
          <w:szCs w:val="20"/>
        </w:rPr>
        <w:t>2</w:t>
      </w:r>
      <w:r>
        <w:rPr>
          <w:rFonts w:ascii="宋体" w:hAnsi="宋体" w:cs="宋体" w:eastAsia="宋体" w:hint="default"/>
          <w:spacing w:val="-2"/>
          <w:w w:val="100"/>
          <w:sz w:val="20"/>
          <w:szCs w:val="20"/>
        </w:rPr>
        <w:t>0</w:t>
      </w:r>
      <w:r>
        <w:rPr>
          <w:rFonts w:ascii="宋体" w:hAnsi="宋体" w:cs="宋体" w:eastAsia="宋体" w:hint="default"/>
          <w:w w:val="100"/>
          <w:sz w:val="20"/>
          <w:szCs w:val="20"/>
        </w:rPr>
        <w:t>18</w:t>
      </w:r>
      <w:r>
        <w:rPr>
          <w:rFonts w:ascii="宋体" w:hAnsi="宋体" w:cs="宋体" w:eastAsia="宋体" w:hint="default"/>
          <w:w w:val="100"/>
          <w:sz w:val="20"/>
          <w:szCs w:val="20"/>
        </w:rPr>
        <w:t>年</w:t>
      </w:r>
      <w:r>
        <w:rPr>
          <w:rFonts w:ascii="宋体" w:hAnsi="宋体" w:cs="宋体" w:eastAsia="宋体" w:hint="default"/>
          <w:spacing w:val="-2"/>
          <w:w w:val="100"/>
          <w:sz w:val="20"/>
          <w:szCs w:val="20"/>
        </w:rPr>
        <w:t>度</w:t>
      </w:r>
      <w:r>
        <w:rPr>
          <w:rFonts w:ascii="宋体" w:hAnsi="宋体" w:cs="宋体" w:eastAsia="宋体" w:hint="default"/>
          <w:w w:val="100"/>
          <w:sz w:val="20"/>
          <w:szCs w:val="20"/>
        </w:rPr>
        <w:t>一般企</w:t>
      </w:r>
      <w:r>
        <w:rPr>
          <w:rFonts w:ascii="宋体" w:hAnsi="宋体" w:cs="宋体" w:eastAsia="宋体" w:hint="default"/>
          <w:spacing w:val="-2"/>
          <w:w w:val="100"/>
          <w:sz w:val="20"/>
          <w:szCs w:val="20"/>
        </w:rPr>
        <w:t>业</w:t>
      </w:r>
      <w:r>
        <w:rPr>
          <w:rFonts w:ascii="宋体" w:hAnsi="宋体" w:cs="宋体" w:eastAsia="宋体" w:hint="default"/>
          <w:w w:val="100"/>
          <w:sz w:val="20"/>
          <w:szCs w:val="20"/>
        </w:rPr>
        <w:t>财</w:t>
      </w:r>
      <w:r>
        <w:rPr>
          <w:rFonts w:ascii="宋体" w:hAnsi="宋体" w:cs="宋体" w:eastAsia="宋体" w:hint="default"/>
          <w:spacing w:val="-2"/>
          <w:w w:val="100"/>
          <w:sz w:val="20"/>
          <w:szCs w:val="20"/>
        </w:rPr>
        <w:t>务</w:t>
      </w:r>
      <w:r>
        <w:rPr>
          <w:rFonts w:ascii="宋体" w:hAnsi="宋体" w:cs="宋体" w:eastAsia="宋体" w:hint="default"/>
          <w:w w:val="100"/>
          <w:sz w:val="20"/>
          <w:szCs w:val="20"/>
        </w:rPr>
        <w:t>报表格</w:t>
      </w:r>
      <w:r>
        <w:rPr>
          <w:rFonts w:ascii="宋体" w:hAnsi="宋体" w:cs="宋体" w:eastAsia="宋体" w:hint="default"/>
          <w:spacing w:val="-2"/>
          <w:w w:val="100"/>
          <w:sz w:val="20"/>
          <w:szCs w:val="20"/>
        </w:rPr>
        <w:t>式</w:t>
      </w:r>
      <w:r>
        <w:rPr>
          <w:rFonts w:ascii="宋体" w:hAnsi="宋体" w:cs="宋体" w:eastAsia="宋体" w:hint="default"/>
          <w:w w:val="100"/>
          <w:sz w:val="20"/>
          <w:szCs w:val="20"/>
        </w:rPr>
        <w:t>的</w:t>
      </w:r>
      <w:r>
        <w:rPr>
          <w:rFonts w:ascii="宋体" w:hAnsi="宋体" w:cs="宋体" w:eastAsia="宋体" w:hint="default"/>
          <w:spacing w:val="-2"/>
          <w:w w:val="100"/>
          <w:sz w:val="20"/>
          <w:szCs w:val="20"/>
        </w:rPr>
        <w:t>通</w:t>
      </w:r>
      <w:r>
        <w:rPr>
          <w:rFonts w:ascii="宋体" w:hAnsi="宋体" w:cs="宋体" w:eastAsia="宋体" w:hint="default"/>
          <w:w w:val="100"/>
          <w:sz w:val="20"/>
          <w:szCs w:val="20"/>
        </w:rPr>
        <w:t>知</w:t>
      </w:r>
      <w:r>
        <w:rPr>
          <w:rFonts w:ascii="宋体" w:hAnsi="宋体" w:cs="宋体" w:eastAsia="宋体" w:hint="default"/>
          <w:spacing w:val="-166"/>
          <w:w w:val="100"/>
          <w:sz w:val="20"/>
          <w:szCs w:val="20"/>
        </w:rPr>
        <w:t>》</w:t>
      </w:r>
      <w:r>
        <w:rPr>
          <w:rFonts w:ascii="宋体" w:hAnsi="宋体" w:cs="宋体" w:eastAsia="宋体" w:hint="default"/>
          <w:w w:val="100"/>
          <w:sz w:val="20"/>
          <w:szCs w:val="20"/>
        </w:rPr>
        <w:t>（财</w:t>
      </w:r>
      <w:r>
        <w:rPr>
          <w:rFonts w:ascii="宋体" w:hAnsi="宋体" w:cs="宋体" w:eastAsia="宋体" w:hint="default"/>
          <w:spacing w:val="-84"/>
          <w:w w:val="100"/>
          <w:sz w:val="20"/>
          <w:szCs w:val="20"/>
        </w:rPr>
        <w:t>会</w:t>
      </w:r>
      <w:r>
        <w:rPr>
          <w:rFonts w:ascii="宋体" w:hAnsi="宋体" w:cs="宋体" w:eastAsia="宋体" w:hint="default"/>
          <w:w w:val="100"/>
          <w:sz w:val="20"/>
          <w:szCs w:val="20"/>
        </w:rPr>
        <w:t>（</w:t>
      </w:r>
      <w:r>
        <w:rPr>
          <w:rFonts w:ascii="宋体" w:hAnsi="宋体" w:cs="宋体" w:eastAsia="宋体" w:hint="default"/>
          <w:w w:val="100"/>
          <w:sz w:val="20"/>
          <w:szCs w:val="20"/>
        </w:rPr>
        <w:t>2</w:t>
      </w:r>
      <w:r>
        <w:rPr>
          <w:rFonts w:ascii="宋体" w:hAnsi="宋体" w:cs="宋体" w:eastAsia="宋体" w:hint="default"/>
          <w:spacing w:val="-2"/>
          <w:w w:val="100"/>
          <w:sz w:val="20"/>
          <w:szCs w:val="20"/>
        </w:rPr>
        <w:t>0</w:t>
      </w:r>
      <w:r>
        <w:rPr>
          <w:rFonts w:ascii="宋体" w:hAnsi="宋体" w:cs="宋体" w:eastAsia="宋体" w:hint="default"/>
          <w:w w:val="100"/>
          <w:sz w:val="20"/>
          <w:szCs w:val="20"/>
        </w:rPr>
        <w:t>18</w:t>
      </w:r>
      <w:r>
        <w:rPr>
          <w:rFonts w:ascii="宋体" w:hAnsi="宋体" w:cs="宋体" w:eastAsia="宋体" w:hint="default"/>
          <w:w w:val="100"/>
          <w:sz w:val="20"/>
          <w:szCs w:val="20"/>
        </w:rPr>
        <w:t>）</w:t>
      </w:r>
    </w:p>
    <w:p>
      <w:pPr>
        <w:spacing w:after="0"/>
        <w:jc w:val="left"/>
        <w:rPr>
          <w:rFonts w:ascii="宋体" w:hAnsi="宋体" w:cs="宋体" w:eastAsia="宋体" w:hint="default"/>
          <w:sz w:val="20"/>
          <w:szCs w:val="20"/>
        </w:rPr>
        <w:sectPr>
          <w:headerReference w:type="default" r:id="rId18"/>
          <w:footerReference w:type="default" r:id="rId19"/>
          <w:pgSz w:w="11910" w:h="16840"/>
          <w:pgMar w:header="877" w:footer="979" w:top="1100" w:bottom="1160" w:left="980" w:right="0"/>
          <w:pgNumType w:start="53"/>
        </w:sectPr>
      </w:pPr>
    </w:p>
    <w:p>
      <w:pPr>
        <w:spacing w:line="240" w:lineRule="auto" w:before="1"/>
        <w:rPr>
          <w:rFonts w:ascii="宋体" w:hAnsi="宋体" w:cs="宋体" w:eastAsia="宋体" w:hint="default"/>
          <w:sz w:val="21"/>
          <w:szCs w:val="21"/>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sz w:val="20"/>
          <w:szCs w:val="20"/>
        </w:rPr>
        <w:t>15</w:t>
      </w:r>
      <w:r>
        <w:rPr>
          <w:rFonts w:ascii="宋体" w:hAnsi="宋体" w:cs="宋体" w:eastAsia="宋体" w:hint="default"/>
          <w:sz w:val="20"/>
          <w:szCs w:val="20"/>
        </w:rPr>
        <w:t>号），对一般企业财务报表格式进行了修订。</w:t>
      </w:r>
      <w:r>
        <w:rPr>
          <w:rFonts w:ascii="宋体" w:hAnsi="宋体" w:cs="宋体" w:eastAsia="宋体" w:hint="default"/>
          <w:spacing w:val="-8"/>
          <w:sz w:val="20"/>
          <w:szCs w:val="20"/>
        </w:rPr>
        <w:t> </w:t>
      </w:r>
      <w:r>
        <w:rPr>
          <w:rFonts w:ascii="宋体" w:hAnsi="宋体" w:cs="宋体" w:eastAsia="宋体" w:hint="default"/>
          <w:sz w:val="20"/>
          <w:szCs w:val="20"/>
        </w:rPr>
        <w:t>本公司执行上述规定的主要影响如下：</w:t>
      </w:r>
    </w:p>
    <w:p>
      <w:pPr>
        <w:spacing w:line="240" w:lineRule="auto" w:before="4"/>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3554"/>
        <w:gridCol w:w="851"/>
        <w:gridCol w:w="5254"/>
      </w:tblGrid>
      <w:tr>
        <w:trPr>
          <w:trHeight w:val="342" w:hRule="exact"/>
        </w:trPr>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571" w:right="0"/>
              <w:jc w:val="left"/>
              <w:rPr>
                <w:rFonts w:ascii="宋体" w:hAnsi="宋体" w:cs="宋体" w:eastAsia="宋体" w:hint="default"/>
                <w:sz w:val="20"/>
                <w:szCs w:val="20"/>
              </w:rPr>
            </w:pPr>
            <w:r>
              <w:rPr>
                <w:rFonts w:ascii="宋体" w:hAnsi="宋体" w:cs="宋体" w:eastAsia="宋体" w:hint="default"/>
                <w:sz w:val="20"/>
                <w:szCs w:val="20"/>
              </w:rPr>
              <w:t>会计政策变更的内容和原因</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0" w:right="0"/>
              <w:jc w:val="left"/>
              <w:rPr>
                <w:rFonts w:ascii="宋体" w:hAnsi="宋体" w:cs="宋体" w:eastAsia="宋体" w:hint="default"/>
                <w:sz w:val="20"/>
                <w:szCs w:val="20"/>
              </w:rPr>
            </w:pPr>
            <w:r>
              <w:rPr>
                <w:rFonts w:ascii="宋体" w:hAnsi="宋体" w:cs="宋体" w:eastAsia="宋体" w:hint="default"/>
                <w:sz w:val="20"/>
                <w:szCs w:val="20"/>
              </w:rPr>
              <w:t>审批程序</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321" w:right="0"/>
              <w:jc w:val="left"/>
              <w:rPr>
                <w:rFonts w:ascii="宋体" w:hAnsi="宋体" w:cs="宋体" w:eastAsia="宋体" w:hint="default"/>
                <w:sz w:val="20"/>
                <w:szCs w:val="20"/>
              </w:rPr>
            </w:pPr>
            <w:r>
              <w:rPr>
                <w:rFonts w:ascii="宋体" w:hAnsi="宋体" w:cs="宋体" w:eastAsia="宋体" w:hint="default"/>
                <w:sz w:val="20"/>
                <w:szCs w:val="20"/>
              </w:rPr>
              <w:t>受影响的报表项目名称和金额</w:t>
            </w:r>
          </w:p>
        </w:tc>
      </w:tr>
      <w:tr>
        <w:trPr>
          <w:trHeight w:val="4398" w:hRule="exact"/>
        </w:trPr>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
              <w:jc w:val="left"/>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1</w:t>
            </w:r>
            <w:r>
              <w:rPr>
                <w:rFonts w:ascii="宋体" w:hAnsi="宋体" w:cs="宋体" w:eastAsia="宋体" w:hint="default"/>
                <w:sz w:val="20"/>
                <w:szCs w:val="20"/>
              </w:rPr>
              <w:t>）资产负债表中“应收票据”和“应</w:t>
            </w:r>
            <w:r>
              <w:rPr>
                <w:rFonts w:ascii="宋体" w:hAnsi="宋体" w:cs="宋体" w:eastAsia="宋体" w:hint="default"/>
                <w:w w:val="100"/>
                <w:sz w:val="20"/>
                <w:szCs w:val="20"/>
              </w:rPr>
              <w:t> </w:t>
            </w:r>
            <w:r>
              <w:rPr>
                <w:rFonts w:ascii="宋体" w:hAnsi="宋体" w:cs="宋体" w:eastAsia="宋体" w:hint="default"/>
                <w:sz w:val="20"/>
                <w:szCs w:val="20"/>
              </w:rPr>
              <w:t>收账款”合并列示为“应收票据及应收</w:t>
            </w:r>
            <w:r>
              <w:rPr>
                <w:rFonts w:ascii="宋体" w:hAnsi="宋体" w:cs="宋体" w:eastAsia="宋体" w:hint="default"/>
                <w:w w:val="100"/>
                <w:sz w:val="20"/>
                <w:szCs w:val="20"/>
              </w:rPr>
              <w:t> </w:t>
            </w:r>
            <w:r>
              <w:rPr>
                <w:rFonts w:ascii="宋体" w:hAnsi="宋体" w:cs="宋体" w:eastAsia="宋体" w:hint="default"/>
                <w:spacing w:val="-5"/>
                <w:sz w:val="20"/>
                <w:szCs w:val="20"/>
              </w:rPr>
              <w:t>账款”；“应付票据”和“应付账款”合</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5"/>
                <w:sz w:val="20"/>
                <w:szCs w:val="20"/>
              </w:rPr>
              <w:t>并列示为“应付票据及应付账款”；“应</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收利息”和“应收股利”并入“其他应</w:t>
            </w:r>
            <w:r>
              <w:rPr>
                <w:rFonts w:ascii="宋体" w:hAnsi="宋体" w:cs="宋体" w:eastAsia="宋体" w:hint="default"/>
                <w:w w:val="100"/>
                <w:sz w:val="20"/>
                <w:szCs w:val="20"/>
              </w:rPr>
              <w:t> </w:t>
            </w:r>
            <w:r>
              <w:rPr>
                <w:rFonts w:ascii="宋体" w:hAnsi="宋体" w:cs="宋体" w:eastAsia="宋体" w:hint="default"/>
                <w:sz w:val="20"/>
                <w:szCs w:val="20"/>
              </w:rPr>
              <w:t>收款”列示；“应付利息”和“应付股</w:t>
            </w:r>
            <w:r>
              <w:rPr>
                <w:rFonts w:ascii="宋体" w:hAnsi="宋体" w:cs="宋体" w:eastAsia="宋体" w:hint="default"/>
                <w:w w:val="100"/>
                <w:sz w:val="20"/>
                <w:szCs w:val="20"/>
              </w:rPr>
              <w:t> </w:t>
            </w:r>
            <w:r>
              <w:rPr>
                <w:rFonts w:ascii="宋体" w:hAnsi="宋体" w:cs="宋体" w:eastAsia="宋体" w:hint="default"/>
                <w:spacing w:val="-5"/>
                <w:sz w:val="20"/>
                <w:szCs w:val="20"/>
              </w:rPr>
              <w:t>利”并入“其他应付款”列示；“固定资</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5"/>
                <w:sz w:val="20"/>
                <w:szCs w:val="20"/>
              </w:rPr>
              <w:t>产清理”并入“固定资产”列示；“工程</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5"/>
                <w:sz w:val="20"/>
                <w:szCs w:val="20"/>
              </w:rPr>
              <w:t>物资”并入“在建工程”列示；“专项应</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pacing w:val="-5"/>
                <w:sz w:val="20"/>
                <w:szCs w:val="20"/>
              </w:rPr>
              <w:t>付款”并入“长期应付款”列示。比较数</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据相应调整。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5" w:right="33"/>
              <w:jc w:val="both"/>
              <w:rPr>
                <w:rFonts w:ascii="宋体" w:hAnsi="宋体" w:cs="宋体" w:eastAsia="宋体" w:hint="default"/>
                <w:sz w:val="20"/>
                <w:szCs w:val="20"/>
              </w:rPr>
            </w:pPr>
            <w:r>
              <w:rPr>
                <w:rFonts w:ascii="宋体" w:hAnsi="宋体" w:cs="宋体" w:eastAsia="宋体" w:hint="default"/>
                <w:sz w:val="20"/>
                <w:szCs w:val="20"/>
              </w:rPr>
              <w:t>第八届董</w:t>
            </w:r>
            <w:r>
              <w:rPr>
                <w:rFonts w:ascii="宋体" w:hAnsi="宋体" w:cs="宋体" w:eastAsia="宋体" w:hint="default"/>
                <w:w w:val="100"/>
                <w:sz w:val="20"/>
                <w:szCs w:val="20"/>
              </w:rPr>
              <w:t> </w:t>
            </w:r>
            <w:r>
              <w:rPr>
                <w:rFonts w:ascii="宋体" w:hAnsi="宋体" w:cs="宋体" w:eastAsia="宋体" w:hint="default"/>
                <w:sz w:val="20"/>
                <w:szCs w:val="20"/>
              </w:rPr>
              <w:t>事会第二</w:t>
            </w:r>
            <w:r>
              <w:rPr>
                <w:rFonts w:ascii="宋体" w:hAnsi="宋体" w:cs="宋体" w:eastAsia="宋体" w:hint="default"/>
                <w:w w:val="100"/>
                <w:sz w:val="20"/>
                <w:szCs w:val="20"/>
              </w:rPr>
              <w:t> </w:t>
            </w:r>
            <w:r>
              <w:rPr>
                <w:rFonts w:ascii="宋体" w:hAnsi="宋体" w:cs="宋体" w:eastAsia="宋体" w:hint="default"/>
                <w:sz w:val="20"/>
                <w:szCs w:val="20"/>
              </w:rPr>
              <w:t>十二次会</w:t>
            </w:r>
            <w:r>
              <w:rPr>
                <w:rFonts w:ascii="宋体" w:hAnsi="宋体" w:cs="宋体" w:eastAsia="宋体" w:hint="default"/>
                <w:w w:val="100"/>
                <w:sz w:val="20"/>
                <w:szCs w:val="20"/>
              </w:rPr>
              <w:t> </w:t>
            </w:r>
            <w:r>
              <w:rPr>
                <w:rFonts w:ascii="宋体" w:hAnsi="宋体" w:cs="宋体" w:eastAsia="宋体" w:hint="default"/>
                <w:sz w:val="20"/>
                <w:szCs w:val="20"/>
              </w:rPr>
              <w:t>议</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6"/>
              <w:jc w:val="left"/>
              <w:rPr>
                <w:rFonts w:ascii="宋体" w:hAnsi="宋体" w:cs="宋体" w:eastAsia="宋体" w:hint="default"/>
                <w:sz w:val="20"/>
                <w:szCs w:val="20"/>
              </w:rPr>
            </w:pPr>
            <w:r>
              <w:rPr>
                <w:rFonts w:ascii="宋体" w:hAnsi="宋体" w:cs="宋体" w:eastAsia="宋体" w:hint="default"/>
                <w:spacing w:val="-1"/>
                <w:sz w:val="20"/>
                <w:szCs w:val="20"/>
              </w:rPr>
              <w:t>“应收票据”和“应收账款”合并列示为“应收票据及应收</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账款”，本期金额</w:t>
            </w:r>
            <w:r>
              <w:rPr>
                <w:rFonts w:ascii="宋体" w:hAnsi="宋体" w:cs="宋体" w:eastAsia="宋体" w:hint="default"/>
                <w:sz w:val="20"/>
                <w:szCs w:val="20"/>
              </w:rPr>
              <w:t>1,783,906,854.35</w:t>
            </w:r>
            <w:r>
              <w:rPr>
                <w:rFonts w:ascii="宋体" w:hAnsi="宋体" w:cs="宋体" w:eastAsia="宋体" w:hint="default"/>
                <w:sz w:val="20"/>
                <w:szCs w:val="20"/>
              </w:rPr>
              <w:t>元，上期金额</w:t>
            </w:r>
            <w:r>
              <w:rPr>
                <w:rFonts w:ascii="宋体" w:hAnsi="宋体" w:cs="宋体" w:eastAsia="宋体" w:hint="default"/>
                <w:w w:val="100"/>
                <w:sz w:val="20"/>
                <w:szCs w:val="20"/>
              </w:rPr>
              <w:t> </w:t>
            </w:r>
            <w:r>
              <w:rPr>
                <w:rFonts w:ascii="宋体" w:hAnsi="宋体" w:cs="宋体" w:eastAsia="宋体" w:hint="default"/>
                <w:sz w:val="20"/>
                <w:szCs w:val="20"/>
              </w:rPr>
              <w:t>1,002,484,168.19</w:t>
            </w:r>
            <w:r>
              <w:rPr>
                <w:rFonts w:ascii="宋体" w:hAnsi="宋体" w:cs="宋体" w:eastAsia="宋体" w:hint="default"/>
                <w:sz w:val="20"/>
                <w:szCs w:val="20"/>
              </w:rPr>
              <w:t>元；</w:t>
            </w:r>
          </w:p>
          <w:p>
            <w:pPr>
              <w:pStyle w:val="TableParagraph"/>
              <w:spacing w:line="285" w:lineRule="auto" w:before="12"/>
              <w:ind w:left="4" w:right="36"/>
              <w:jc w:val="left"/>
              <w:rPr>
                <w:rFonts w:ascii="宋体" w:hAnsi="宋体" w:cs="宋体" w:eastAsia="宋体" w:hint="default"/>
                <w:sz w:val="20"/>
                <w:szCs w:val="20"/>
              </w:rPr>
            </w:pPr>
            <w:r>
              <w:rPr>
                <w:rFonts w:ascii="宋体" w:hAnsi="宋体" w:cs="宋体" w:eastAsia="宋体" w:hint="default"/>
                <w:spacing w:val="-1"/>
                <w:sz w:val="20"/>
                <w:szCs w:val="20"/>
              </w:rPr>
              <w:t>“应付票据”和“应付账款”合并列示为“应付票据及应付</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z w:val="20"/>
                <w:szCs w:val="20"/>
              </w:rPr>
              <w:t>账款”，本期金额</w:t>
            </w:r>
            <w:r>
              <w:rPr>
                <w:rFonts w:ascii="宋体" w:hAnsi="宋体" w:cs="宋体" w:eastAsia="宋体" w:hint="default"/>
                <w:sz w:val="20"/>
                <w:szCs w:val="20"/>
              </w:rPr>
              <w:t>1,199,382,744.03</w:t>
            </w:r>
            <w:r>
              <w:rPr>
                <w:rFonts w:ascii="宋体" w:hAnsi="宋体" w:cs="宋体" w:eastAsia="宋体" w:hint="default"/>
                <w:sz w:val="20"/>
                <w:szCs w:val="20"/>
              </w:rPr>
              <w:t>元，上期金额</w:t>
            </w:r>
            <w:r>
              <w:rPr>
                <w:rFonts w:ascii="宋体" w:hAnsi="宋体" w:cs="宋体" w:eastAsia="宋体" w:hint="default"/>
                <w:w w:val="100"/>
                <w:sz w:val="20"/>
                <w:szCs w:val="20"/>
              </w:rPr>
              <w:t> </w:t>
            </w:r>
            <w:r>
              <w:rPr>
                <w:rFonts w:ascii="宋体" w:hAnsi="宋体" w:cs="宋体" w:eastAsia="宋体" w:hint="default"/>
                <w:sz w:val="20"/>
                <w:szCs w:val="20"/>
              </w:rPr>
              <w:t>1,129,798,014.44</w:t>
            </w:r>
            <w:r>
              <w:rPr>
                <w:rFonts w:ascii="宋体" w:hAnsi="宋体" w:cs="宋体" w:eastAsia="宋体" w:hint="default"/>
                <w:sz w:val="20"/>
                <w:szCs w:val="20"/>
              </w:rPr>
              <w:t>元；</w:t>
            </w:r>
          </w:p>
          <w:p>
            <w:pPr>
              <w:pStyle w:val="TableParagraph"/>
              <w:spacing w:line="285" w:lineRule="auto" w:before="12"/>
              <w:ind w:left="4" w:right="36"/>
              <w:jc w:val="left"/>
              <w:rPr>
                <w:rFonts w:ascii="宋体" w:hAnsi="宋体" w:cs="宋体" w:eastAsia="宋体" w:hint="default"/>
                <w:sz w:val="20"/>
                <w:szCs w:val="20"/>
              </w:rPr>
            </w:pPr>
            <w:r>
              <w:rPr>
                <w:rFonts w:ascii="宋体" w:hAnsi="宋体" w:cs="宋体" w:eastAsia="宋体" w:hint="default"/>
                <w:spacing w:val="-1"/>
                <w:sz w:val="20"/>
                <w:szCs w:val="20"/>
              </w:rPr>
              <w:t>调增“其他应收款”本期金额</w:t>
            </w:r>
            <w:r>
              <w:rPr>
                <w:rFonts w:ascii="宋体" w:hAnsi="宋体" w:cs="宋体" w:eastAsia="宋体" w:hint="default"/>
                <w:spacing w:val="-1"/>
                <w:sz w:val="20"/>
                <w:szCs w:val="20"/>
              </w:rPr>
              <w:t>820,016.36</w:t>
            </w:r>
            <w:r>
              <w:rPr>
                <w:rFonts w:ascii="宋体" w:hAnsi="宋体" w:cs="宋体" w:eastAsia="宋体" w:hint="default"/>
                <w:spacing w:val="-1"/>
                <w:sz w:val="20"/>
                <w:szCs w:val="20"/>
              </w:rPr>
              <w:t>元，上期金额</w:t>
            </w:r>
            <w:r>
              <w:rPr>
                <w:rFonts w:ascii="宋体" w:hAnsi="宋体" w:cs="宋体" w:eastAsia="宋体" w:hint="default"/>
                <w:spacing w:val="-1"/>
                <w:sz w:val="20"/>
                <w:szCs w:val="20"/>
              </w:rPr>
              <w:t>0.00</w:t>
            </w:r>
            <w:r>
              <w:rPr>
                <w:rFonts w:ascii="宋体" w:hAnsi="宋体" w:cs="宋体" w:eastAsia="宋体" w:hint="default"/>
                <w:spacing w:val="-73"/>
                <w:sz w:val="20"/>
                <w:szCs w:val="20"/>
              </w:rPr>
              <w:t> </w:t>
            </w:r>
            <w:r>
              <w:rPr>
                <w:rFonts w:ascii="宋体" w:hAnsi="宋体" w:cs="宋体" w:eastAsia="宋体" w:hint="default"/>
                <w:sz w:val="20"/>
                <w:szCs w:val="20"/>
              </w:rPr>
              <w:t>元；</w:t>
            </w:r>
            <w:r>
              <w:rPr>
                <w:rFonts w:ascii="宋体" w:hAnsi="宋体" w:cs="宋体" w:eastAsia="宋体" w:hint="default"/>
                <w:w w:val="100"/>
                <w:sz w:val="20"/>
                <w:szCs w:val="20"/>
              </w:rPr>
              <w:t> </w:t>
            </w:r>
            <w:r>
              <w:rPr>
                <w:rFonts w:ascii="宋体" w:hAnsi="宋体" w:cs="宋体" w:eastAsia="宋体" w:hint="default"/>
                <w:sz w:val="20"/>
                <w:szCs w:val="20"/>
              </w:rPr>
              <w:t>调增“其他应付款”本期金额</w:t>
            </w:r>
            <w:r>
              <w:rPr>
                <w:rFonts w:ascii="宋体" w:hAnsi="宋体" w:cs="宋体" w:eastAsia="宋体" w:hint="default"/>
                <w:sz w:val="20"/>
                <w:szCs w:val="20"/>
              </w:rPr>
              <w:t>20,033,885.07</w:t>
            </w:r>
            <w:r>
              <w:rPr>
                <w:rFonts w:ascii="宋体" w:hAnsi="宋体" w:cs="宋体" w:eastAsia="宋体" w:hint="default"/>
                <w:sz w:val="20"/>
                <w:szCs w:val="20"/>
              </w:rPr>
              <w:t>元，上期金额</w:t>
            </w:r>
            <w:r>
              <w:rPr>
                <w:rFonts w:ascii="宋体" w:hAnsi="宋体" w:cs="宋体" w:eastAsia="宋体" w:hint="default"/>
                <w:w w:val="100"/>
                <w:sz w:val="20"/>
                <w:szCs w:val="20"/>
              </w:rPr>
              <w:t> </w:t>
            </w:r>
            <w:r>
              <w:rPr>
                <w:rFonts w:ascii="宋体" w:hAnsi="宋体" w:cs="宋体" w:eastAsia="宋体" w:hint="default"/>
                <w:sz w:val="20"/>
                <w:szCs w:val="20"/>
              </w:rPr>
              <w:t>20,033,885.07</w:t>
            </w:r>
            <w:r>
              <w:rPr>
                <w:rFonts w:ascii="宋体" w:hAnsi="宋体" w:cs="宋体" w:eastAsia="宋体" w:hint="default"/>
                <w:sz w:val="20"/>
                <w:szCs w:val="20"/>
              </w:rPr>
              <w:t>元；</w:t>
            </w:r>
          </w:p>
          <w:p>
            <w:pPr>
              <w:pStyle w:val="TableParagraph"/>
              <w:spacing w:line="285" w:lineRule="auto" w:before="12"/>
              <w:ind w:left="4" w:right="136"/>
              <w:jc w:val="left"/>
              <w:rPr>
                <w:rFonts w:ascii="宋体" w:hAnsi="宋体" w:cs="宋体" w:eastAsia="宋体" w:hint="default"/>
                <w:sz w:val="20"/>
                <w:szCs w:val="20"/>
              </w:rPr>
            </w:pPr>
            <w:r>
              <w:rPr>
                <w:rFonts w:ascii="宋体" w:hAnsi="宋体" w:cs="宋体" w:eastAsia="宋体" w:hint="default"/>
                <w:sz w:val="20"/>
                <w:szCs w:val="20"/>
              </w:rPr>
              <w:t>调增“固定资产”本期金额</w:t>
            </w:r>
            <w:r>
              <w:rPr>
                <w:rFonts w:ascii="宋体" w:hAnsi="宋体" w:cs="宋体" w:eastAsia="宋体" w:hint="default"/>
                <w:sz w:val="20"/>
                <w:szCs w:val="20"/>
              </w:rPr>
              <w:t>0.00</w:t>
            </w:r>
            <w:r>
              <w:rPr>
                <w:rFonts w:ascii="宋体" w:hAnsi="宋体" w:cs="宋体" w:eastAsia="宋体" w:hint="default"/>
                <w:sz w:val="20"/>
                <w:szCs w:val="20"/>
              </w:rPr>
              <w:t>元，上期金额</w:t>
            </w:r>
            <w:r>
              <w:rPr>
                <w:rFonts w:ascii="宋体" w:hAnsi="宋体" w:cs="宋体" w:eastAsia="宋体" w:hint="default"/>
                <w:sz w:val="20"/>
                <w:szCs w:val="20"/>
              </w:rPr>
              <w:t>0.00</w:t>
            </w:r>
            <w:r>
              <w:rPr>
                <w:rFonts w:ascii="宋体" w:hAnsi="宋体" w:cs="宋体" w:eastAsia="宋体" w:hint="default"/>
                <w:sz w:val="20"/>
                <w:szCs w:val="20"/>
              </w:rPr>
              <w:t>元；</w:t>
            </w:r>
            <w:r>
              <w:rPr>
                <w:rFonts w:ascii="宋体" w:hAnsi="宋体" w:cs="宋体" w:eastAsia="宋体" w:hint="default"/>
                <w:w w:val="100"/>
                <w:sz w:val="20"/>
                <w:szCs w:val="20"/>
              </w:rPr>
              <w:t> </w:t>
            </w:r>
            <w:r>
              <w:rPr>
                <w:rFonts w:ascii="宋体" w:hAnsi="宋体" w:cs="宋体" w:eastAsia="宋体" w:hint="default"/>
                <w:sz w:val="20"/>
                <w:szCs w:val="20"/>
              </w:rPr>
              <w:t>调增“在建工程”本期金额</w:t>
            </w:r>
            <w:r>
              <w:rPr>
                <w:rFonts w:ascii="宋体" w:hAnsi="宋体" w:cs="宋体" w:eastAsia="宋体" w:hint="default"/>
                <w:sz w:val="20"/>
                <w:szCs w:val="20"/>
              </w:rPr>
              <w:t>0.00</w:t>
            </w:r>
            <w:r>
              <w:rPr>
                <w:rFonts w:ascii="宋体" w:hAnsi="宋体" w:cs="宋体" w:eastAsia="宋体" w:hint="default"/>
                <w:sz w:val="20"/>
                <w:szCs w:val="20"/>
              </w:rPr>
              <w:t>元，上期金额</w:t>
            </w:r>
            <w:r>
              <w:rPr>
                <w:rFonts w:ascii="宋体" w:hAnsi="宋体" w:cs="宋体" w:eastAsia="宋体" w:hint="default"/>
                <w:sz w:val="20"/>
                <w:szCs w:val="20"/>
              </w:rPr>
              <w:t>0.00</w:t>
            </w:r>
            <w:r>
              <w:rPr>
                <w:rFonts w:ascii="宋体" w:hAnsi="宋体" w:cs="宋体" w:eastAsia="宋体" w:hint="default"/>
                <w:sz w:val="20"/>
                <w:szCs w:val="20"/>
              </w:rPr>
              <w:t>元；</w:t>
            </w:r>
            <w:r>
              <w:rPr>
                <w:rFonts w:ascii="宋体" w:hAnsi="宋体" w:cs="宋体" w:eastAsia="宋体" w:hint="default"/>
                <w:w w:val="100"/>
                <w:sz w:val="20"/>
                <w:szCs w:val="20"/>
              </w:rPr>
              <w:t> </w:t>
            </w:r>
            <w:r>
              <w:rPr>
                <w:rFonts w:ascii="宋体" w:hAnsi="宋体" w:cs="宋体" w:eastAsia="宋体" w:hint="default"/>
                <w:spacing w:val="-1"/>
                <w:sz w:val="20"/>
                <w:szCs w:val="20"/>
              </w:rPr>
              <w:t>调增“长期应付款”本期金额</w:t>
            </w:r>
            <w:r>
              <w:rPr>
                <w:rFonts w:ascii="宋体" w:hAnsi="宋体" w:cs="宋体" w:eastAsia="宋体" w:hint="default"/>
                <w:spacing w:val="-1"/>
                <w:sz w:val="20"/>
                <w:szCs w:val="20"/>
              </w:rPr>
              <w:t>44,071,700.00</w:t>
            </w:r>
            <w:r>
              <w:rPr>
                <w:rFonts w:ascii="宋体" w:hAnsi="宋体" w:cs="宋体" w:eastAsia="宋体" w:hint="default"/>
                <w:spacing w:val="-1"/>
                <w:sz w:val="20"/>
                <w:szCs w:val="20"/>
              </w:rPr>
              <w:t>元，上期金额</w:t>
            </w:r>
            <w:r>
              <w:rPr>
                <w:rFonts w:ascii="宋体" w:hAnsi="宋体" w:cs="宋体" w:eastAsia="宋体" w:hint="default"/>
                <w:spacing w:val="-74"/>
                <w:sz w:val="20"/>
                <w:szCs w:val="20"/>
              </w:rPr>
              <w:t> </w:t>
            </w:r>
            <w:r>
              <w:rPr>
                <w:rFonts w:ascii="宋体" w:hAnsi="宋体" w:cs="宋体" w:eastAsia="宋体" w:hint="default"/>
                <w:spacing w:val="-74"/>
                <w:sz w:val="20"/>
                <w:szCs w:val="20"/>
              </w:rPr>
            </w:r>
            <w:r>
              <w:rPr>
                <w:rFonts w:ascii="宋体" w:hAnsi="宋体" w:cs="宋体" w:eastAsia="宋体" w:hint="default"/>
                <w:sz w:val="20"/>
                <w:szCs w:val="20"/>
              </w:rPr>
              <w:t>43,321,700.00</w:t>
            </w:r>
            <w:r>
              <w:rPr>
                <w:rFonts w:ascii="宋体" w:hAnsi="宋体" w:cs="宋体" w:eastAsia="宋体" w:hint="default"/>
                <w:sz w:val="20"/>
                <w:szCs w:val="20"/>
              </w:rPr>
              <w:t>元。</w:t>
            </w:r>
          </w:p>
        </w:tc>
      </w:tr>
      <w:tr>
        <w:trPr>
          <w:trHeight w:val="1590" w:hRule="exact"/>
        </w:trPr>
        <w:tc>
          <w:tcPr>
            <w:tcW w:w="355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6"/>
              <w:jc w:val="left"/>
              <w:rPr>
                <w:rFonts w:ascii="宋体" w:hAnsi="宋体" w:cs="宋体" w:eastAsia="宋体" w:hint="default"/>
                <w:sz w:val="20"/>
                <w:szCs w:val="20"/>
              </w:rPr>
            </w:pPr>
            <w:r>
              <w:rPr>
                <w:rFonts w:ascii="宋体" w:hAnsi="宋体" w:cs="宋体" w:eastAsia="宋体" w:hint="default"/>
                <w:spacing w:val="-9"/>
                <w:w w:val="100"/>
                <w:sz w:val="20"/>
                <w:szCs w:val="20"/>
              </w:rPr>
              <w:t>（</w:t>
            </w:r>
            <w:r>
              <w:rPr>
                <w:rFonts w:ascii="宋体" w:hAnsi="宋体" w:cs="宋体" w:eastAsia="宋体" w:hint="default"/>
                <w:spacing w:val="-9"/>
                <w:w w:val="100"/>
                <w:sz w:val="20"/>
                <w:szCs w:val="20"/>
              </w:rPr>
              <w:t>2</w:t>
            </w:r>
            <w:r>
              <w:rPr>
                <w:rFonts w:ascii="宋体" w:hAnsi="宋体" w:cs="宋体" w:eastAsia="宋体" w:hint="default"/>
                <w:spacing w:val="-9"/>
                <w:w w:val="100"/>
                <w:sz w:val="20"/>
                <w:szCs w:val="20"/>
              </w:rPr>
              <w:t>）在利润表中新增“研发费用”项目，</w:t>
            </w:r>
            <w:r>
              <w:rPr>
                <w:rFonts w:ascii="宋体" w:hAnsi="宋体" w:cs="宋体" w:eastAsia="宋体" w:hint="default"/>
                <w:spacing w:val="-88"/>
                <w:w w:val="100"/>
                <w:sz w:val="20"/>
                <w:szCs w:val="20"/>
              </w:rPr>
              <w:t> </w:t>
            </w:r>
            <w:r>
              <w:rPr>
                <w:rFonts w:ascii="宋体" w:hAnsi="宋体" w:cs="宋体" w:eastAsia="宋体" w:hint="default"/>
                <w:spacing w:val="-88"/>
                <w:w w:val="100"/>
                <w:sz w:val="20"/>
                <w:szCs w:val="20"/>
              </w:rPr>
            </w:r>
            <w:r>
              <w:rPr>
                <w:rFonts w:ascii="宋体" w:hAnsi="宋体" w:cs="宋体" w:eastAsia="宋体" w:hint="default"/>
                <w:sz w:val="20"/>
                <w:szCs w:val="20"/>
              </w:rPr>
              <w:t>将原“管理费用”中的研发费用重分类</w:t>
            </w:r>
            <w:r>
              <w:rPr>
                <w:rFonts w:ascii="宋体" w:hAnsi="宋体" w:cs="宋体" w:eastAsia="宋体" w:hint="default"/>
                <w:w w:val="100"/>
                <w:sz w:val="20"/>
                <w:szCs w:val="20"/>
              </w:rPr>
              <w:t> </w:t>
            </w:r>
            <w:r>
              <w:rPr>
                <w:rFonts w:ascii="宋体" w:hAnsi="宋体" w:cs="宋体" w:eastAsia="宋体" w:hint="default"/>
                <w:spacing w:val="-5"/>
                <w:sz w:val="20"/>
                <w:szCs w:val="20"/>
              </w:rPr>
              <w:t>至“研发费用”单独列示；在利润表中财</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务费用项下新增“其中：利息费用”和</w:t>
            </w:r>
            <w:r>
              <w:rPr>
                <w:rFonts w:ascii="宋体" w:hAnsi="宋体" w:cs="宋体" w:eastAsia="宋体" w:hint="default"/>
                <w:w w:val="100"/>
                <w:sz w:val="20"/>
                <w:szCs w:val="20"/>
              </w:rPr>
              <w:t> </w:t>
            </w:r>
            <w:r>
              <w:rPr>
                <w:rFonts w:ascii="宋体" w:hAnsi="宋体" w:cs="宋体" w:eastAsia="宋体" w:hint="default"/>
                <w:sz w:val="20"/>
                <w:szCs w:val="20"/>
              </w:rPr>
              <w:t>“利息收入”项目。比较数据相应调整</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5" w:right="33"/>
              <w:jc w:val="both"/>
              <w:rPr>
                <w:rFonts w:ascii="宋体" w:hAnsi="宋体" w:cs="宋体" w:eastAsia="宋体" w:hint="default"/>
                <w:sz w:val="20"/>
                <w:szCs w:val="20"/>
              </w:rPr>
            </w:pPr>
            <w:r>
              <w:rPr>
                <w:rFonts w:ascii="宋体" w:hAnsi="宋体" w:cs="宋体" w:eastAsia="宋体" w:hint="default"/>
                <w:sz w:val="20"/>
                <w:szCs w:val="20"/>
              </w:rPr>
              <w:t>第八届董</w:t>
            </w:r>
            <w:r>
              <w:rPr>
                <w:rFonts w:ascii="宋体" w:hAnsi="宋体" w:cs="宋体" w:eastAsia="宋体" w:hint="default"/>
                <w:w w:val="100"/>
                <w:sz w:val="20"/>
                <w:szCs w:val="20"/>
              </w:rPr>
              <w:t> </w:t>
            </w:r>
            <w:r>
              <w:rPr>
                <w:rFonts w:ascii="宋体" w:hAnsi="宋体" w:cs="宋体" w:eastAsia="宋体" w:hint="default"/>
                <w:sz w:val="20"/>
                <w:szCs w:val="20"/>
              </w:rPr>
              <w:t>事会第二</w:t>
            </w:r>
            <w:r>
              <w:rPr>
                <w:rFonts w:ascii="宋体" w:hAnsi="宋体" w:cs="宋体" w:eastAsia="宋体" w:hint="default"/>
                <w:w w:val="100"/>
                <w:sz w:val="20"/>
                <w:szCs w:val="20"/>
              </w:rPr>
              <w:t> </w:t>
            </w:r>
            <w:r>
              <w:rPr>
                <w:rFonts w:ascii="宋体" w:hAnsi="宋体" w:cs="宋体" w:eastAsia="宋体" w:hint="default"/>
                <w:sz w:val="20"/>
                <w:szCs w:val="20"/>
              </w:rPr>
              <w:t>十二次会</w:t>
            </w:r>
            <w:r>
              <w:rPr>
                <w:rFonts w:ascii="宋体" w:hAnsi="宋体" w:cs="宋体" w:eastAsia="宋体" w:hint="default"/>
                <w:w w:val="100"/>
                <w:sz w:val="20"/>
                <w:szCs w:val="20"/>
              </w:rPr>
              <w:t> </w:t>
            </w:r>
            <w:r>
              <w:rPr>
                <w:rFonts w:ascii="宋体" w:hAnsi="宋体" w:cs="宋体" w:eastAsia="宋体" w:hint="default"/>
                <w:sz w:val="20"/>
                <w:szCs w:val="20"/>
              </w:rPr>
              <w:t>议</w:t>
            </w:r>
          </w:p>
          <w:p>
            <w:pPr>
              <w:pStyle w:val="TableParagraph"/>
              <w:spacing w:line="240" w:lineRule="auto" w:before="12"/>
              <w:ind w:left="-148" w:right="0"/>
              <w:jc w:val="left"/>
              <w:rPr>
                <w:rFonts w:ascii="宋体" w:hAnsi="宋体" w:cs="宋体" w:eastAsia="宋体" w:hint="default"/>
                <w:sz w:val="20"/>
                <w:szCs w:val="20"/>
              </w:rPr>
            </w:pPr>
            <w:r>
              <w:rPr>
                <w:rFonts w:ascii="宋体" w:hAnsi="宋体" w:cs="宋体" w:eastAsia="宋体" w:hint="default"/>
                <w:w w:val="100"/>
                <w:sz w:val="20"/>
                <w:szCs w:val="20"/>
              </w:rPr>
              <w:t>。</w:t>
            </w:r>
          </w:p>
        </w:tc>
        <w:tc>
          <w:tcPr>
            <w:tcW w:w="525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36"/>
              <w:jc w:val="left"/>
              <w:rPr>
                <w:rFonts w:ascii="宋体" w:hAnsi="宋体" w:cs="宋体" w:eastAsia="宋体" w:hint="default"/>
                <w:sz w:val="20"/>
                <w:szCs w:val="20"/>
              </w:rPr>
            </w:pPr>
            <w:r>
              <w:rPr>
                <w:rFonts w:ascii="宋体" w:hAnsi="宋体" w:cs="宋体" w:eastAsia="宋体" w:hint="default"/>
                <w:spacing w:val="-1"/>
                <w:sz w:val="20"/>
                <w:szCs w:val="20"/>
              </w:rPr>
              <w:t>调减“管理费用”本期金额</w:t>
            </w:r>
            <w:r>
              <w:rPr>
                <w:rFonts w:ascii="宋体" w:hAnsi="宋体" w:cs="宋体" w:eastAsia="宋体" w:hint="default"/>
                <w:spacing w:val="-1"/>
                <w:sz w:val="20"/>
                <w:szCs w:val="20"/>
              </w:rPr>
              <w:t>23,710,226.79</w:t>
            </w:r>
            <w:r>
              <w:rPr>
                <w:rFonts w:ascii="宋体" w:hAnsi="宋体" w:cs="宋体" w:eastAsia="宋体" w:hint="default"/>
                <w:spacing w:val="-1"/>
                <w:sz w:val="20"/>
                <w:szCs w:val="20"/>
              </w:rPr>
              <w:t>元，上期金额</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z w:val="20"/>
                <w:szCs w:val="20"/>
              </w:rPr>
              <w:t>71,983,983.88</w:t>
            </w:r>
            <w:r>
              <w:rPr>
                <w:rFonts w:ascii="宋体" w:hAnsi="宋体" w:cs="宋体" w:eastAsia="宋体" w:hint="default"/>
                <w:sz w:val="20"/>
                <w:szCs w:val="20"/>
              </w:rPr>
              <w:t>元，重分类至“研发费用”。</w:t>
            </w:r>
          </w:p>
        </w:tc>
      </w:tr>
    </w:tbl>
    <w:p>
      <w:pPr>
        <w:spacing w:line="240" w:lineRule="auto" w:before="1"/>
        <w:rPr>
          <w:rFonts w:ascii="宋体" w:hAnsi="宋体" w:cs="宋体" w:eastAsia="宋体" w:hint="default"/>
          <w:sz w:val="20"/>
          <w:szCs w:val="20"/>
        </w:rPr>
      </w:pPr>
    </w:p>
    <w:p>
      <w:pPr>
        <w:spacing w:line="256" w:lineRule="auto" w:before="35"/>
        <w:ind w:left="574" w:right="655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b/>
          <w:bCs/>
          <w:w w:val="99"/>
          <w:sz w:val="21"/>
          <w:szCs w:val="21"/>
        </w:rPr>
        <w:t> </w:t>
      </w:r>
      <w:r>
        <w:rPr>
          <w:rFonts w:ascii="宋体" w:hAnsi="宋体" w:cs="宋体" w:eastAsia="宋体" w:hint="default"/>
          <w:sz w:val="21"/>
          <w:szCs w:val="21"/>
        </w:rPr>
        <w:t>本报告期公司主要会计估计未发生变更。</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right="0"/>
        <w:jc w:val="left"/>
      </w:pPr>
      <w:r>
        <w:rPr>
          <w:rFonts w:ascii="Times New Roman" w:hAnsi="Times New Roman" w:cs="Times New Roman" w:eastAsia="Times New Roman" w:hint="default"/>
        </w:rPr>
        <w:t>1</w:t>
      </w:r>
      <w:r>
        <w:rPr/>
        <w:t>、处置子公司</w:t>
      </w:r>
    </w:p>
    <w:p>
      <w:pPr>
        <w:pStyle w:val="BodyText"/>
        <w:spacing w:line="273" w:lineRule="auto" w:before="21"/>
        <w:ind w:right="1130" w:firstLine="423"/>
        <w:jc w:val="both"/>
      </w:pPr>
      <w:r>
        <w:rPr/>
        <w:t>本期子公司大唐高鸿通信技术有限公司处置其子公司深圳大唐高鸿信息技术有限公司</w:t>
      </w:r>
      <w:r>
        <w:rPr>
          <w:rFonts w:ascii="宋体" w:hAnsi="宋体" w:cs="宋体" w:eastAsia="宋体" w:hint="default"/>
        </w:rPr>
        <w:t>80%</w:t>
      </w:r>
      <w:r>
        <w:rPr/>
        <w:t>股权，本期 不纳入合并范围。</w:t>
      </w:r>
    </w:p>
    <w:p>
      <w:pPr>
        <w:pStyle w:val="BodyText"/>
        <w:spacing w:line="240" w:lineRule="auto"/>
        <w:ind w:right="0"/>
        <w:jc w:val="left"/>
      </w:pPr>
      <w:r>
        <w:rPr>
          <w:rFonts w:ascii="Times New Roman" w:hAnsi="Times New Roman" w:cs="Times New Roman" w:eastAsia="Times New Roman" w:hint="default"/>
        </w:rPr>
        <w:t>2</w:t>
      </w:r>
      <w:r>
        <w:rPr/>
        <w:t>、其他原因的合并范围变动</w:t>
      </w:r>
    </w:p>
    <w:p>
      <w:pPr>
        <w:spacing w:line="240" w:lineRule="auto" w:before="6"/>
        <w:rPr>
          <w:rFonts w:ascii="宋体" w:hAnsi="宋体" w:cs="宋体" w:eastAsia="宋体" w:hint="default"/>
          <w:sz w:val="25"/>
          <w:szCs w:val="25"/>
        </w:rPr>
      </w:pPr>
    </w:p>
    <w:p>
      <w:pPr>
        <w:pStyle w:val="BodyText"/>
        <w:spacing w:line="273" w:lineRule="auto" w:before="0"/>
        <w:ind w:right="1132" w:firstLine="423"/>
        <w:jc w:val="both"/>
      </w:pPr>
      <w:r>
        <w:rPr>
          <w:spacing w:val="-1"/>
        </w:rPr>
        <w:t>本期减少合并范围</w:t>
      </w:r>
      <w:r>
        <w:rPr>
          <w:rFonts w:ascii="宋体" w:hAnsi="宋体" w:cs="宋体" w:eastAsia="宋体" w:hint="default"/>
          <w:spacing w:val="-1"/>
        </w:rPr>
        <w:t>3</w:t>
      </w:r>
      <w:r>
        <w:rPr>
          <w:spacing w:val="-1"/>
        </w:rPr>
        <w:t>家，本公司子公司大唐融合通信股份有限公司</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31</w:t>
      </w:r>
      <w:r>
        <w:rPr>
          <w:spacing w:val="-1"/>
        </w:rPr>
        <w:t>日将持有大唐融合（盘</w:t>
      </w:r>
      <w:r>
        <w:rPr/>
        <w:t> </w:t>
      </w:r>
      <w:r>
        <w:rPr>
          <w:spacing w:val="-1"/>
        </w:rPr>
        <w:t>锦）科技有限公司</w:t>
      </w:r>
      <w:r>
        <w:rPr>
          <w:rFonts w:ascii="宋体" w:hAnsi="宋体" w:cs="宋体" w:eastAsia="宋体" w:hint="default"/>
          <w:spacing w:val="-1"/>
        </w:rPr>
        <w:t>80%</w:t>
      </w:r>
      <w:r>
        <w:rPr>
          <w:spacing w:val="-1"/>
        </w:rPr>
        <w:t>股权、大唐融合（贵阳）科技有限公司</w:t>
      </w:r>
      <w:r>
        <w:rPr>
          <w:rFonts w:ascii="宋体" w:hAnsi="宋体" w:cs="宋体" w:eastAsia="宋体" w:hint="default"/>
          <w:spacing w:val="-1"/>
        </w:rPr>
        <w:t>80%</w:t>
      </w:r>
      <w:r>
        <w:rPr>
          <w:spacing w:val="-1"/>
        </w:rPr>
        <w:t>股权转让给其子公司大唐融合信息服务有</w:t>
      </w:r>
      <w:r>
        <w:rPr>
          <w:spacing w:val="-85"/>
        </w:rPr>
        <w:t> </w:t>
      </w:r>
      <w:r>
        <w:rPr>
          <w:spacing w:val="-85"/>
        </w:rPr>
      </w:r>
      <w:r>
        <w:rPr/>
        <w:t>限公司。</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日，大唐融合信息服务有限公司增资扩股，以每股</w:t>
      </w:r>
      <w:r>
        <w:rPr>
          <w:rFonts w:ascii="宋体" w:hAnsi="宋体" w:cs="宋体" w:eastAsia="宋体" w:hint="default"/>
        </w:rPr>
        <w:t>1.2</w:t>
      </w:r>
      <w:r>
        <w:rPr/>
        <w:t>元引入新股东，公司及子公</w:t>
      </w:r>
      <w:r>
        <w:rPr>
          <w:spacing w:val="-32"/>
        </w:rPr>
        <w:t> </w:t>
      </w:r>
      <w:r>
        <w:rPr>
          <w:spacing w:val="-32"/>
        </w:rPr>
      </w:r>
      <w:r>
        <w:rPr/>
        <w:t>司大唐融合合计对其持股比例由</w:t>
      </w:r>
      <w:r>
        <w:rPr>
          <w:rFonts w:ascii="宋体" w:hAnsi="宋体" w:cs="宋体" w:eastAsia="宋体" w:hint="default"/>
        </w:rPr>
        <w:t>100%</w:t>
      </w:r>
      <w:r>
        <w:rPr/>
        <w:t>下降到</w:t>
      </w:r>
      <w:r>
        <w:rPr>
          <w:rFonts w:ascii="宋体" w:hAnsi="宋体" w:cs="宋体" w:eastAsia="宋体" w:hint="default"/>
        </w:rPr>
        <w:t>35%</w:t>
      </w:r>
      <w:r>
        <w:rPr/>
        <w:t>，大唐融合信息服务有限公司董事会进行改组，公司对其</w:t>
      </w:r>
      <w:r>
        <w:rPr>
          <w:spacing w:val="-30"/>
        </w:rPr>
        <w:t> </w:t>
      </w:r>
      <w:r>
        <w:rPr>
          <w:spacing w:val="-30"/>
        </w:rPr>
      </w:r>
      <w:r>
        <w:rPr>
          <w:spacing w:val="-1"/>
        </w:rPr>
        <w:t>丧失控制权，大唐融合信息服务有限公司、大唐融合（盘锦）科技有限公司、大唐融合（贵阳）科技有限</w:t>
      </w:r>
      <w:r>
        <w:rPr>
          <w:spacing w:val="-85"/>
        </w:rPr>
        <w:t> </w:t>
      </w:r>
      <w:r>
        <w:rPr>
          <w:spacing w:val="-85"/>
        </w:rPr>
      </w:r>
      <w:r>
        <w:rPr/>
        <w:t>公司不再纳入合并范围。</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陈勇波、王晓燕</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陈勇波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年、王晓燕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30" w:firstLine="423"/>
        <w:jc w:val="both"/>
      </w:pPr>
      <w:r>
        <w:rPr>
          <w:spacing w:val="-1"/>
        </w:rPr>
        <w:t>本报告期内，公司第八届第十九次董事会及</w:t>
      </w:r>
      <w:r>
        <w:rPr>
          <w:rFonts w:ascii="宋体" w:hAnsi="宋体" w:cs="宋体" w:eastAsia="宋体" w:hint="default"/>
          <w:spacing w:val="-1"/>
        </w:rPr>
        <w:t>2018</w:t>
      </w:r>
      <w:r>
        <w:rPr>
          <w:spacing w:val="-1"/>
        </w:rPr>
        <w:t>年第六次临时股东大会审议通过续聘立信会计师事务</w:t>
      </w:r>
      <w:r>
        <w:rPr/>
        <w:t> 所（特殊普通合伙）为公司</w:t>
      </w:r>
      <w:r>
        <w:rPr>
          <w:rFonts w:ascii="宋体" w:hAnsi="宋体" w:cs="宋体" w:eastAsia="宋体" w:hint="default"/>
        </w:rPr>
        <w:t>2018</w:t>
      </w:r>
      <w:r>
        <w:rPr/>
        <w:t>年度财务审计机构、内控审计机构，年度财务审计费用为</w:t>
      </w:r>
      <w:r>
        <w:rPr>
          <w:rFonts w:ascii="宋体" w:hAnsi="宋体" w:cs="宋体" w:eastAsia="宋体" w:hint="default"/>
        </w:rPr>
        <w:t>80</w:t>
      </w:r>
      <w:r>
        <w:rPr/>
        <w:t>万</w:t>
      </w:r>
      <w:r>
        <w:rPr>
          <w:rFonts w:ascii="宋体" w:hAnsi="宋体" w:cs="宋体" w:eastAsia="宋体" w:hint="default"/>
        </w:rPr>
        <w:t>/</w:t>
      </w:r>
      <w:r>
        <w:rPr/>
        <w:t>年，内控</w:t>
      </w:r>
      <w:r>
        <w:rPr>
          <w:spacing w:val="-28"/>
        </w:rPr>
        <w:t> </w:t>
      </w:r>
      <w:r>
        <w:rPr>
          <w:spacing w:val="-28"/>
        </w:rPr>
      </w:r>
      <w:r>
        <w:rPr/>
        <w:t>审计费用为</w:t>
      </w:r>
      <w:r>
        <w:rPr>
          <w:rFonts w:ascii="宋体" w:hAnsi="宋体" w:cs="宋体" w:eastAsia="宋体" w:hint="default"/>
        </w:rPr>
        <w:t>40</w:t>
      </w:r>
      <w:r>
        <w:rPr/>
        <w:t>万元</w:t>
      </w:r>
      <w:r>
        <w:rPr>
          <w:rFonts w:ascii="宋体" w:hAnsi="宋体" w:cs="宋体" w:eastAsia="宋体" w:hint="default"/>
        </w:rPr>
        <w:t>/</w:t>
      </w:r>
      <w:r>
        <w:rPr/>
        <w:t>年。</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008" w:firstLine="420"/>
        <w:jc w:val="left"/>
      </w:pP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9</w:t>
      </w:r>
      <w:r>
        <w:rPr/>
        <w:t>日，经公司第七届董事会第二十九次会议、第七届第十三次监事会审议通过《大唐高鸿数 据网络技术股份有限公司限制性股票激励计划（草案）及其摘要》，拟向被激励对象以</w:t>
      </w:r>
      <w:r>
        <w:rPr>
          <w:rFonts w:ascii="宋体" w:hAnsi="宋体" w:cs="宋体" w:eastAsia="宋体" w:hint="default"/>
        </w:rPr>
        <w:t>5.27</w:t>
      </w:r>
      <w:r>
        <w:rPr/>
        <w:t>元</w:t>
      </w:r>
      <w:r>
        <w:rPr>
          <w:rFonts w:ascii="宋体" w:hAnsi="宋体" w:cs="宋体" w:eastAsia="宋体" w:hint="default"/>
        </w:rPr>
        <w:t>/</w:t>
      </w:r>
      <w:r>
        <w:rPr/>
        <w:t>股发行股</w:t>
      </w:r>
      <w:r>
        <w:rPr>
          <w:spacing w:val="-26"/>
        </w:rPr>
        <w:t> </w:t>
      </w:r>
      <w:r>
        <w:rPr>
          <w:spacing w:val="-26"/>
        </w:rPr>
      </w:r>
      <w:r>
        <w:rPr/>
        <w:t>份，授予限制性股票共计</w:t>
      </w:r>
      <w:r>
        <w:rPr>
          <w:rFonts w:ascii="宋体" w:hAnsi="宋体" w:cs="宋体" w:eastAsia="宋体" w:hint="default"/>
        </w:rPr>
        <w:t>725</w:t>
      </w:r>
      <w:r>
        <w:rPr/>
        <w:t>万股，被激励对象为公司的董事、高管及核心骨干，共计</w:t>
      </w:r>
      <w:r>
        <w:rPr>
          <w:rFonts w:ascii="宋体" w:hAnsi="宋体" w:cs="宋体" w:eastAsia="宋体" w:hint="default"/>
        </w:rPr>
        <w:t>144</w:t>
      </w:r>
      <w:r>
        <w:rPr/>
        <w:t>人。</w:t>
      </w:r>
      <w:r>
        <w:rPr>
          <w:rFonts w:ascii="宋体" w:hAnsi="宋体" w:cs="宋体" w:eastAsia="宋体" w:hint="default"/>
        </w:rPr>
        <w:t>2014</w:t>
      </w:r>
      <w:r>
        <w:rPr/>
        <w:t>年</w:t>
      </w:r>
      <w:r>
        <w:rPr>
          <w:rFonts w:ascii="宋体" w:hAnsi="宋体" w:cs="宋体" w:eastAsia="宋体" w:hint="default"/>
        </w:rPr>
        <w:t>7</w:t>
      </w:r>
      <w:r>
        <w:rPr/>
        <w:t>月</w:t>
      </w:r>
      <w:r>
        <w:rPr>
          <w:spacing w:val="-27"/>
        </w:rPr>
        <w:t> </w:t>
      </w:r>
      <w:r>
        <w:rPr>
          <w:rFonts w:ascii="宋体" w:hAnsi="宋体" w:cs="宋体" w:eastAsia="宋体" w:hint="default"/>
        </w:rPr>
        <w:t>28</w:t>
      </w:r>
      <w:r>
        <w:rPr/>
        <w:t>日，公司收到国务院国有资产监督管理委员会办公厅以国资厅分配</w:t>
      </w:r>
      <w:r>
        <w:rPr>
          <w:rFonts w:ascii="宋体" w:hAnsi="宋体" w:cs="宋体" w:eastAsia="宋体" w:hint="default"/>
        </w:rPr>
        <w:t>[2014]400</w:t>
      </w:r>
      <w:r>
        <w:rPr/>
        <w:t>号《关于大唐高鸿数据网</w:t>
      </w:r>
      <w:r>
        <w:rPr>
          <w:spacing w:val="-30"/>
        </w:rPr>
        <w:t> </w:t>
      </w:r>
      <w:r>
        <w:rPr>
          <w:spacing w:val="-30"/>
        </w:rPr>
      </w:r>
      <w:r>
        <w:rPr/>
        <w:t>络技术股份有限公司股权激励计划备案有关意见的复函》，对高鸿股份本次激励计划予以备案。</w:t>
      </w:r>
      <w:r>
        <w:rPr>
          <w:rFonts w:ascii="宋体" w:hAnsi="宋体" w:cs="宋体" w:eastAsia="宋体" w:hint="default"/>
        </w:rPr>
        <w:t>2014</w:t>
      </w:r>
      <w:r>
        <w:rPr/>
        <w:t>年</w:t>
      </w:r>
      <w:r>
        <w:rPr>
          <w:rFonts w:ascii="宋体" w:hAnsi="宋体" w:cs="宋体" w:eastAsia="宋体" w:hint="default"/>
        </w:rPr>
        <w:t>8</w:t>
      </w:r>
      <w:r>
        <w:rPr>
          <w:rFonts w:ascii="宋体" w:hAnsi="宋体" w:cs="宋体" w:eastAsia="宋体" w:hint="default"/>
          <w:spacing w:val="-24"/>
        </w:rPr>
        <w:t> </w:t>
      </w:r>
      <w:r>
        <w:rPr/>
        <w:t>月</w:t>
      </w:r>
      <w:r>
        <w:rPr>
          <w:rFonts w:ascii="宋体" w:hAnsi="宋体" w:cs="宋体" w:eastAsia="宋体" w:hint="default"/>
        </w:rPr>
        <w:t>7</w:t>
      </w:r>
      <w:r>
        <w:rPr/>
        <w:t>日，根据国资委批复意见，修改草案及摘要内容，并公司第七届董事会第三十二次会议、第七届第十</w:t>
      </w:r>
      <w:r>
        <w:rPr>
          <w:spacing w:val="-35"/>
        </w:rPr>
        <w:t> </w:t>
      </w:r>
      <w:r>
        <w:rPr>
          <w:spacing w:val="-35"/>
        </w:rPr>
      </w:r>
      <w:r>
        <w:rPr>
          <w:spacing w:val="-7"/>
        </w:rPr>
        <w:t>五次监事会审议通过《大唐高鸿数据网络技术股份有限公司限制性股票激励计划（草案修订稿）及其摘要》。</w:t>
      </w:r>
      <w:r>
        <w:rPr/>
        <w:t> </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10</w:t>
      </w:r>
      <w:r>
        <w:rPr/>
        <w:t>日，公司收到中国证券监督管理委员会《关于核准大唐高鸿数据网络技术股份有限公司向电</w:t>
      </w:r>
      <w:r>
        <w:rPr>
          <w:spacing w:val="-36"/>
        </w:rPr>
        <w:t> </w:t>
      </w:r>
      <w:r>
        <w:rPr>
          <w:spacing w:val="-36"/>
        </w:rPr>
      </w:r>
      <w:r>
        <w:rPr/>
        <w:t>信科学技术研究院等发行股份购买资产的批复》（证监许可</w:t>
      </w:r>
      <w:r>
        <w:rPr>
          <w:rFonts w:ascii="宋体" w:hAnsi="宋体" w:cs="宋体" w:eastAsia="宋体" w:hint="default"/>
        </w:rPr>
        <w:t>[2014]917</w:t>
      </w:r>
      <w:r>
        <w:rPr/>
        <w:t>号）。</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20</w:t>
      </w:r>
      <w:r>
        <w:rPr/>
        <w:t>日，中国证券监 督管理委员会对公司报送的股权激励计划（草案修订稿）及修订部分确认无异议并进行了备案。</w:t>
      </w:r>
      <w:r>
        <w:rPr>
          <w:rFonts w:ascii="宋体" w:hAnsi="宋体" w:cs="宋体" w:eastAsia="宋体" w:hint="default"/>
        </w:rPr>
        <w:t>2014</w:t>
      </w:r>
      <w:r>
        <w:rPr/>
        <w:t>年</w:t>
      </w:r>
      <w:r>
        <w:rPr>
          <w:rFonts w:ascii="宋体" w:hAnsi="宋体" w:cs="宋体" w:eastAsia="宋体" w:hint="default"/>
        </w:rPr>
        <w:t>10</w:t>
      </w:r>
      <w:r>
        <w:rPr>
          <w:rFonts w:ascii="宋体" w:hAnsi="宋体" w:cs="宋体" w:eastAsia="宋体" w:hint="default"/>
          <w:spacing w:val="-1"/>
        </w:rPr>
        <w:t> </w:t>
      </w:r>
      <w:r>
        <w:rPr/>
        <w:t>月</w:t>
      </w:r>
      <w:r>
        <w:rPr>
          <w:rFonts w:ascii="宋体" w:hAnsi="宋体" w:cs="宋体" w:eastAsia="宋体" w:hint="default"/>
        </w:rPr>
        <w:t>23</w:t>
      </w:r>
      <w:r>
        <w:rPr/>
        <w:t>日，本次股权激励相关事项经公司</w:t>
      </w:r>
      <w:r>
        <w:rPr>
          <w:rFonts w:ascii="宋体" w:hAnsi="宋体" w:cs="宋体" w:eastAsia="宋体" w:hint="default"/>
        </w:rPr>
        <w:t>2014</w:t>
      </w:r>
      <w:r>
        <w:rPr/>
        <w:t>年第五次临时股东大会审议通过。</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14</w:t>
      </w:r>
      <w:r>
        <w:rPr/>
        <w:t>日，公司第七 届董事会第三十六次会议、第七届第十九次监事会审议通过了《关于调整公司限制性股票授予对象及授予 数量的议案》、《关于公司向激励对象授予限制性股票的议案》，以</w:t>
      </w:r>
      <w:r>
        <w:rPr>
          <w:rFonts w:ascii="宋体" w:hAnsi="宋体" w:cs="宋体" w:eastAsia="宋体" w:hint="default"/>
        </w:rPr>
        <w:t>5.27</w:t>
      </w:r>
      <w:r>
        <w:rPr/>
        <w:t>元</w:t>
      </w:r>
      <w:r>
        <w:rPr>
          <w:rFonts w:ascii="宋体" w:hAnsi="宋体" w:cs="宋体" w:eastAsia="宋体" w:hint="default"/>
        </w:rPr>
        <w:t>/</w:t>
      </w:r>
      <w:r>
        <w:rPr/>
        <w:t>股的价格向</w:t>
      </w:r>
      <w:r>
        <w:rPr>
          <w:rFonts w:ascii="宋体" w:hAnsi="宋体" w:cs="宋体" w:eastAsia="宋体" w:hint="default"/>
        </w:rPr>
        <w:t>144</w:t>
      </w:r>
      <w:r>
        <w:rPr/>
        <w:t>名激励对象授 予共计</w:t>
      </w:r>
      <w:r>
        <w:rPr>
          <w:rFonts w:ascii="宋体" w:hAnsi="宋体" w:cs="宋体" w:eastAsia="宋体" w:hint="default"/>
        </w:rPr>
        <w:t>725</w:t>
      </w:r>
      <w:r>
        <w:rPr/>
        <w:t>万股</w:t>
      </w:r>
      <w:r>
        <w:rPr>
          <w:rFonts w:ascii="宋体" w:hAnsi="宋体" w:cs="宋体" w:eastAsia="宋体" w:hint="default"/>
        </w:rPr>
        <w:t>A</w:t>
      </w:r>
      <w:r>
        <w:rPr/>
        <w:t>股限制性股票，确定授予日为</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14</w:t>
      </w:r>
      <w:r>
        <w:rPr/>
        <w:t>日。</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27</w:t>
      </w:r>
      <w:r>
        <w:rPr/>
        <w:t>日，授予限制性股票</w:t>
      </w:r>
      <w:r>
        <w:rPr>
          <w:rFonts w:ascii="宋体" w:hAnsi="宋体" w:cs="宋体" w:eastAsia="宋体" w:hint="default"/>
        </w:rPr>
        <w:t>725</w:t>
      </w:r>
      <w:r>
        <w:rPr/>
        <w:t>万</w:t>
      </w:r>
      <w:r>
        <w:rPr>
          <w:spacing w:val="-33"/>
        </w:rPr>
        <w:t> </w:t>
      </w:r>
      <w:r>
        <w:rPr/>
        <w:t>股上市。</w:t>
      </w:r>
    </w:p>
    <w:p>
      <w:pPr>
        <w:pStyle w:val="BodyText"/>
        <w:spacing w:line="273" w:lineRule="auto"/>
        <w:ind w:right="1128" w:firstLine="420"/>
        <w:jc w:val="both"/>
      </w:pPr>
      <w:r>
        <w:rPr>
          <w:spacing w:val="-1"/>
        </w:rPr>
        <w:t>自授予日（</w:t>
      </w:r>
      <w:r>
        <w:rPr>
          <w:rFonts w:ascii="宋体" w:hAnsi="宋体" w:cs="宋体" w:eastAsia="宋体" w:hint="default"/>
          <w:spacing w:val="-1"/>
        </w:rPr>
        <w:t>2014</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14</w:t>
      </w:r>
      <w:r>
        <w:rPr>
          <w:spacing w:val="-1"/>
        </w:rPr>
        <w:t>日）起</w:t>
      </w:r>
      <w:r>
        <w:rPr>
          <w:rFonts w:ascii="宋体" w:hAnsi="宋体" w:cs="宋体" w:eastAsia="宋体" w:hint="default"/>
          <w:spacing w:val="-1"/>
        </w:rPr>
        <w:t>24</w:t>
      </w:r>
      <w:r>
        <w:rPr>
          <w:spacing w:val="-1"/>
        </w:rPr>
        <w:t>个月后的首个交易日起至本授予日起</w:t>
      </w:r>
      <w:r>
        <w:rPr>
          <w:rFonts w:ascii="宋体" w:hAnsi="宋体" w:cs="宋体" w:eastAsia="宋体" w:hint="default"/>
          <w:spacing w:val="-1"/>
        </w:rPr>
        <w:t>36</w:t>
      </w:r>
      <w:r>
        <w:rPr>
          <w:spacing w:val="-1"/>
        </w:rPr>
        <w:t>个月内的最后一个交易日当</w:t>
      </w:r>
      <w:r>
        <w:rPr/>
        <w:t> 日止为第一次解锁期，可解锁所获限制性股票总量的</w:t>
      </w:r>
      <w:r>
        <w:rPr>
          <w:rFonts w:ascii="宋体" w:hAnsi="宋体" w:cs="宋体" w:eastAsia="宋体" w:hint="default"/>
        </w:rPr>
        <w:t>33%</w:t>
      </w:r>
      <w:r>
        <w:rPr/>
        <w:t>。截止</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14</w:t>
      </w:r>
      <w:r>
        <w:rPr/>
        <w:t>日，公司授予激励对象的限</w:t>
      </w:r>
      <w:r>
        <w:rPr>
          <w:spacing w:val="-31"/>
        </w:rPr>
        <w:t> </w:t>
      </w:r>
      <w:r>
        <w:rPr>
          <w:spacing w:val="-31"/>
        </w:rPr>
      </w:r>
      <w:r>
        <w:rPr>
          <w:spacing w:val="-1"/>
        </w:rPr>
        <w:t>制性股票第一个锁定期已经届满。</w:t>
      </w:r>
      <w:r>
        <w:rPr>
          <w:rFonts w:ascii="宋体" w:hAnsi="宋体" w:cs="宋体" w:eastAsia="宋体" w:hint="default"/>
          <w:spacing w:val="-1"/>
        </w:rPr>
        <w:t>2015</w:t>
      </w:r>
      <w:r>
        <w:rPr>
          <w:spacing w:val="-1"/>
        </w:rPr>
        <w:t>年度利润总额为</w:t>
      </w:r>
      <w:r>
        <w:rPr>
          <w:rFonts w:ascii="宋体" w:hAnsi="宋体" w:cs="宋体" w:eastAsia="宋体" w:hint="default"/>
          <w:spacing w:val="-1"/>
        </w:rPr>
        <w:t>16,151</w:t>
      </w:r>
      <w:r>
        <w:rPr>
          <w:spacing w:val="-1"/>
        </w:rPr>
        <w:t>万元，调整</w:t>
      </w:r>
      <w:r>
        <w:rPr>
          <w:rFonts w:ascii="宋体" w:hAnsi="宋体" w:cs="宋体" w:eastAsia="宋体" w:hint="default"/>
          <w:spacing w:val="-1"/>
        </w:rPr>
        <w:t>EOE</w:t>
      </w:r>
      <w:r>
        <w:rPr>
          <w:spacing w:val="-1"/>
        </w:rPr>
        <w:t>（（</w:t>
      </w:r>
      <w:r>
        <w:rPr>
          <w:rFonts w:ascii="宋体" w:hAnsi="宋体" w:cs="宋体" w:eastAsia="宋体" w:hint="default"/>
          <w:spacing w:val="-1"/>
        </w:rPr>
        <w:t>EBITDA+</w:t>
      </w:r>
      <w:r>
        <w:rPr>
          <w:spacing w:val="-1"/>
        </w:rPr>
        <w:t>研发费用（管理</w:t>
      </w:r>
      <w:r>
        <w:rPr>
          <w:spacing w:val="-76"/>
        </w:rPr>
        <w:t> </w:t>
      </w:r>
      <w:r>
        <w:rPr>
          <w:spacing w:val="-76"/>
        </w:rPr>
      </w:r>
      <w:r>
        <w:rPr/>
        <w:t>费用列支部分））</w:t>
      </w:r>
      <w:r>
        <w:rPr>
          <w:rFonts w:ascii="宋体" w:hAnsi="宋体" w:cs="宋体" w:eastAsia="宋体" w:hint="default"/>
        </w:rPr>
        <w:t>/</w:t>
      </w:r>
      <w:r>
        <w:rPr/>
        <w:t>净资产）为</w:t>
      </w:r>
      <w:r>
        <w:rPr>
          <w:rFonts w:ascii="宋体" w:hAnsi="宋体" w:cs="宋体" w:eastAsia="宋体" w:hint="default"/>
        </w:rPr>
        <w:t>13.43%,</w:t>
      </w:r>
      <w:r>
        <w:rPr/>
        <w:t>企业信息化及信息服务收入合计</w:t>
      </w:r>
      <w:r>
        <w:rPr>
          <w:rFonts w:ascii="宋体" w:hAnsi="宋体" w:cs="宋体" w:eastAsia="宋体" w:hint="default"/>
        </w:rPr>
        <w:t>247,741</w:t>
      </w:r>
      <w:r>
        <w:rPr/>
        <w:t>万元；</w:t>
      </w:r>
      <w:r>
        <w:rPr>
          <w:rFonts w:ascii="宋体" w:hAnsi="宋体" w:cs="宋体" w:eastAsia="宋体" w:hint="default"/>
        </w:rPr>
        <w:t>2013</w:t>
      </w:r>
      <w:r>
        <w:rPr/>
        <w:t>年度利润总额</w:t>
      </w:r>
      <w:r>
        <w:rPr>
          <w:spacing w:val="-29"/>
        </w:rPr>
        <w:t> </w:t>
      </w:r>
      <w:r>
        <w:rPr>
          <w:spacing w:val="-29"/>
        </w:rPr>
      </w:r>
      <w:r>
        <w:rPr/>
        <w:t>为</w:t>
      </w:r>
      <w:r>
        <w:rPr>
          <w:rFonts w:ascii="宋体" w:hAnsi="宋体" w:cs="宋体" w:eastAsia="宋体" w:hint="default"/>
        </w:rPr>
        <w:t>10,652</w:t>
      </w:r>
      <w:r>
        <w:rPr/>
        <w:t>万元，调整</w:t>
      </w:r>
      <w:r>
        <w:rPr>
          <w:rFonts w:ascii="宋体" w:hAnsi="宋体" w:cs="宋体" w:eastAsia="宋体" w:hint="default"/>
        </w:rPr>
        <w:t>EOE</w:t>
      </w:r>
      <w:r>
        <w:rPr/>
        <w:t>（（</w:t>
      </w:r>
      <w:r>
        <w:rPr>
          <w:rFonts w:ascii="宋体" w:hAnsi="宋体" w:cs="宋体" w:eastAsia="宋体" w:hint="default"/>
        </w:rPr>
        <w:t>EBITDA+</w:t>
      </w:r>
      <w:r>
        <w:rPr/>
        <w:t>研发费用（管理费用列支部分））</w:t>
      </w:r>
      <w:r>
        <w:rPr>
          <w:rFonts w:ascii="宋体" w:hAnsi="宋体" w:cs="宋体" w:eastAsia="宋体" w:hint="default"/>
        </w:rPr>
        <w:t>/</w:t>
      </w:r>
      <w:r>
        <w:rPr/>
        <w:t>净资产）为</w:t>
      </w:r>
      <w:r>
        <w:rPr>
          <w:rFonts w:ascii="宋体" w:hAnsi="宋体" w:cs="宋体" w:eastAsia="宋体" w:hint="default"/>
        </w:rPr>
        <w:t>10.38%</w:t>
      </w:r>
      <w:r>
        <w:rPr/>
        <w:t>，企业信息化</w:t>
      </w:r>
      <w:r>
        <w:rPr>
          <w:spacing w:val="-33"/>
        </w:rPr>
        <w:t> </w:t>
      </w:r>
      <w:r>
        <w:rPr>
          <w:spacing w:val="-33"/>
        </w:rPr>
      </w:r>
      <w:r>
        <w:rPr/>
        <w:t>及信息服务收入合计</w:t>
      </w:r>
      <w:r>
        <w:rPr>
          <w:rFonts w:ascii="宋体" w:hAnsi="宋体" w:cs="宋体" w:eastAsia="宋体" w:hint="default"/>
        </w:rPr>
        <w:t>116,373</w:t>
      </w:r>
      <w:r>
        <w:rPr/>
        <w:t>万元，满足在禁售期内利润总额、调整</w:t>
      </w:r>
      <w:r>
        <w:rPr>
          <w:rFonts w:ascii="宋体" w:hAnsi="宋体" w:cs="宋体" w:eastAsia="宋体" w:hint="default"/>
        </w:rPr>
        <w:t>EOE</w:t>
      </w:r>
      <w:r>
        <w:rPr/>
        <w:t>（（</w:t>
      </w:r>
      <w:r>
        <w:rPr>
          <w:rFonts w:ascii="宋体" w:hAnsi="宋体" w:cs="宋体" w:eastAsia="宋体" w:hint="default"/>
        </w:rPr>
        <w:t>EBITDA+</w:t>
      </w:r>
      <w:r>
        <w:rPr/>
        <w:t>研发费用（管理费用</w:t>
      </w:r>
      <w:r>
        <w:rPr>
          <w:spacing w:val="-30"/>
        </w:rPr>
        <w:t> </w:t>
      </w:r>
      <w:r>
        <w:rPr>
          <w:spacing w:val="-30"/>
        </w:rPr>
      </w:r>
      <w:r>
        <w:rPr/>
        <w:t>列支部分））</w:t>
      </w:r>
      <w:r>
        <w:rPr>
          <w:rFonts w:ascii="宋体" w:hAnsi="宋体" w:cs="宋体" w:eastAsia="宋体" w:hint="default"/>
        </w:rPr>
        <w:t>/</w:t>
      </w:r>
      <w:r>
        <w:rPr/>
        <w:t>净资产）、企业信息化及信息服务收入合计均不低于</w:t>
      </w:r>
      <w:r>
        <w:rPr>
          <w:rFonts w:ascii="宋体" w:hAnsi="宋体" w:cs="宋体" w:eastAsia="宋体" w:hint="default"/>
        </w:rPr>
        <w:t>2013</w:t>
      </w:r>
      <w:r>
        <w:rPr/>
        <w:t>年度水平的解锁条件。</w:t>
      </w:r>
      <w:r>
        <w:rPr>
          <w:rFonts w:ascii="宋体" w:hAnsi="宋体" w:cs="宋体" w:eastAsia="宋体" w:hint="default"/>
        </w:rPr>
        <w:t>2014</w:t>
      </w:r>
      <w:r>
        <w:rPr/>
        <w:t>年归</w:t>
      </w:r>
      <w:r>
        <w:rPr>
          <w:spacing w:val="-25"/>
        </w:rPr>
        <w:t> </w:t>
      </w:r>
      <w:r>
        <w:rPr>
          <w:spacing w:val="-1"/>
        </w:rPr>
        <w:t>属于股东的净利润为</w:t>
      </w:r>
      <w:r>
        <w:rPr>
          <w:rFonts w:ascii="宋体" w:hAnsi="宋体" w:cs="宋体" w:eastAsia="宋体" w:hint="default"/>
          <w:spacing w:val="-1"/>
        </w:rPr>
        <w:t>5,641</w:t>
      </w:r>
      <w:r>
        <w:rPr>
          <w:spacing w:val="-1"/>
        </w:rPr>
        <w:t>万元，</w:t>
      </w:r>
      <w:r>
        <w:rPr>
          <w:rFonts w:ascii="宋体" w:hAnsi="宋体" w:cs="宋体" w:eastAsia="宋体" w:hint="default"/>
          <w:spacing w:val="-1"/>
        </w:rPr>
        <w:t>2015</w:t>
      </w:r>
      <w:r>
        <w:rPr>
          <w:spacing w:val="-1"/>
        </w:rPr>
        <w:t>年度归属于股东的净利润为</w:t>
      </w:r>
      <w:r>
        <w:rPr>
          <w:rFonts w:ascii="宋体" w:hAnsi="宋体" w:cs="宋体" w:eastAsia="宋体" w:hint="default"/>
          <w:spacing w:val="-1"/>
        </w:rPr>
        <w:t>8,539</w:t>
      </w:r>
      <w:r>
        <w:rPr>
          <w:spacing w:val="-1"/>
        </w:rPr>
        <w:t>万元，授予日前最近三个会计年度</w:t>
      </w:r>
      <w:r>
        <w:rPr>
          <w:spacing w:val="-78"/>
        </w:rPr>
        <w:t> </w:t>
      </w:r>
      <w:r>
        <w:rPr>
          <w:spacing w:val="-78"/>
        </w:rPr>
      </w:r>
      <w:r>
        <w:rPr>
          <w:spacing w:val="-1"/>
        </w:rPr>
        <w:t>的平均水平为</w:t>
      </w:r>
      <w:r>
        <w:rPr>
          <w:rFonts w:ascii="宋体" w:hAnsi="宋体" w:cs="宋体" w:eastAsia="宋体" w:hint="default"/>
          <w:spacing w:val="-1"/>
        </w:rPr>
        <w:t>3,355</w:t>
      </w:r>
      <w:r>
        <w:rPr>
          <w:spacing w:val="-1"/>
        </w:rPr>
        <w:t>万元。</w:t>
      </w:r>
      <w:r>
        <w:rPr>
          <w:rFonts w:ascii="宋体" w:hAnsi="宋体" w:cs="宋体" w:eastAsia="宋体" w:hint="default"/>
          <w:spacing w:val="-1"/>
        </w:rPr>
        <w:t>2014</w:t>
      </w:r>
      <w:r>
        <w:rPr>
          <w:spacing w:val="-1"/>
        </w:rPr>
        <w:t>年归属于公司股东的扣除非经常性损益的净利润为</w:t>
      </w:r>
      <w:r>
        <w:rPr>
          <w:rFonts w:ascii="宋体" w:hAnsi="宋体" w:cs="宋体" w:eastAsia="宋体" w:hint="default"/>
          <w:spacing w:val="-1"/>
        </w:rPr>
        <w:t>3,871</w:t>
      </w:r>
      <w:r>
        <w:rPr>
          <w:spacing w:val="-1"/>
        </w:rPr>
        <w:t>万元，</w:t>
      </w:r>
      <w:r>
        <w:rPr>
          <w:rFonts w:ascii="宋体" w:hAnsi="宋体" w:cs="宋体" w:eastAsia="宋体" w:hint="default"/>
          <w:spacing w:val="-1"/>
        </w:rPr>
        <w:t>2015</w:t>
      </w:r>
      <w:r>
        <w:rPr>
          <w:spacing w:val="-1"/>
        </w:rPr>
        <w:t>年归属</w:t>
      </w:r>
      <w:r>
        <w:rPr>
          <w:spacing w:val="-75"/>
        </w:rPr>
        <w:t> </w:t>
      </w:r>
      <w:r>
        <w:rPr>
          <w:spacing w:val="-75"/>
        </w:rPr>
      </w:r>
      <w:r>
        <w:rPr>
          <w:spacing w:val="-1"/>
        </w:rPr>
        <w:t>于公司股东的扣除非经常性损益的净利润为</w:t>
      </w:r>
      <w:r>
        <w:rPr>
          <w:rFonts w:ascii="宋体" w:hAnsi="宋体" w:cs="宋体" w:eastAsia="宋体" w:hint="default"/>
          <w:spacing w:val="-1"/>
        </w:rPr>
        <w:t>6,525</w:t>
      </w:r>
      <w:r>
        <w:rPr>
          <w:spacing w:val="-1"/>
        </w:rPr>
        <w:t>万元，授予日前最近三个会计年度的平均水平为</w:t>
      </w:r>
      <w:r>
        <w:rPr>
          <w:rFonts w:ascii="宋体" w:hAnsi="宋体" w:cs="宋体" w:eastAsia="宋体" w:hint="default"/>
          <w:spacing w:val="-1"/>
        </w:rPr>
        <w:t>1,550</w:t>
      </w:r>
      <w:r>
        <w:rPr>
          <w:spacing w:val="-1"/>
        </w:rPr>
        <w:t>万</w:t>
      </w:r>
      <w:r>
        <w:rPr>
          <w:spacing w:val="-78"/>
        </w:rPr>
        <w:t> </w:t>
      </w:r>
      <w:r>
        <w:rPr>
          <w:spacing w:val="-1"/>
        </w:rPr>
        <w:t>元。满足在禁售期内各年度归属于公司股东的净利润及归属于公司股东的扣除非经常性损益的净利润均不</w:t>
      </w:r>
      <w:r>
        <w:rPr>
          <w:spacing w:val="-81"/>
        </w:rPr>
        <w:t> </w:t>
      </w:r>
      <w:r>
        <w:rPr>
          <w:spacing w:val="-81"/>
        </w:rPr>
      </w:r>
      <w:r>
        <w:rPr/>
        <w:t>得低于授予日前最近三个会计年度的平均水平且不得为负的解锁条件。</w:t>
      </w:r>
    </w:p>
    <w:p>
      <w:pPr>
        <w:pStyle w:val="BodyText"/>
        <w:spacing w:line="273" w:lineRule="auto"/>
        <w:ind w:right="1130" w:firstLine="420"/>
        <w:jc w:val="both"/>
      </w:pPr>
      <w:r>
        <w:rPr>
          <w:spacing w:val="-1"/>
        </w:rPr>
        <w:t>公司第七届第六十六次董事会审议，公司限制性股票激励计划的第一个解锁期解锁条件已经成就，且</w:t>
      </w:r>
      <w:r>
        <w:rPr/>
        <w:t> </w:t>
      </w:r>
      <w:r>
        <w:rPr>
          <w:spacing w:val="-1"/>
        </w:rPr>
        <w:t>本次实施的股权激励计划与已披露的股权激励计划无差异，通过《关于公司限制性股票激励计划第一个解</w:t>
      </w:r>
      <w:r>
        <w:rPr>
          <w:spacing w:val="-81"/>
        </w:rPr>
        <w:t> </w:t>
      </w:r>
      <w:r>
        <w:rPr>
          <w:spacing w:val="-81"/>
        </w:rPr>
      </w:r>
      <w:r>
        <w:rPr>
          <w:spacing w:val="-1"/>
        </w:rPr>
        <w:t>锁期解锁的议案》。本次解锁的限制性股票激励对象为</w:t>
      </w:r>
      <w:r>
        <w:rPr>
          <w:rFonts w:ascii="宋体" w:hAnsi="宋体" w:cs="宋体" w:eastAsia="宋体" w:hint="default"/>
          <w:spacing w:val="-1"/>
        </w:rPr>
        <w:t>136</w:t>
      </w:r>
      <w:r>
        <w:rPr>
          <w:spacing w:val="-1"/>
        </w:rPr>
        <w:t>名，解锁的限制性股票数量为</w:t>
      </w:r>
      <w:r>
        <w:rPr>
          <w:rFonts w:ascii="宋体" w:hAnsi="宋体" w:cs="宋体" w:eastAsia="宋体" w:hint="default"/>
          <w:spacing w:val="-1"/>
        </w:rPr>
        <w:t>2,308,020</w:t>
      </w:r>
      <w:r>
        <w:rPr>
          <w:spacing w:val="-1"/>
        </w:rPr>
        <w:t>股，解</w:t>
      </w:r>
      <w:r>
        <w:rPr>
          <w:spacing w:val="-78"/>
        </w:rPr>
        <w:t> </w:t>
      </w:r>
      <w:r>
        <w:rPr>
          <w:spacing w:val="-78"/>
        </w:rPr>
      </w:r>
      <w:r>
        <w:rPr>
          <w:spacing w:val="-1"/>
        </w:rPr>
        <w:t>除限售的股份已于</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21</w:t>
      </w:r>
      <w:r>
        <w:rPr>
          <w:spacing w:val="-1"/>
        </w:rPr>
        <w:t>日在深圳证券交易所上市流通。具体内容详见公司于</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18</w:t>
      </w:r>
      <w:r>
        <w:rPr>
          <w:spacing w:val="-1"/>
        </w:rPr>
        <w:t>日刊登</w:t>
      </w:r>
      <w:r>
        <w:rPr>
          <w:spacing w:val="-80"/>
        </w:rPr>
        <w:t> </w:t>
      </w:r>
      <w:r>
        <w:rPr/>
        <w:t>在《证券时报》和巨潮资讯网（</w:t>
      </w:r>
      <w:hyperlink r:id="rId13">
        <w:r>
          <w:rPr>
            <w:rFonts w:ascii="宋体" w:hAnsi="宋体" w:cs="宋体" w:eastAsia="宋体" w:hint="default"/>
          </w:rPr>
          <w:t>www.cninfo.com.cn</w:t>
        </w:r>
      </w:hyperlink>
      <w:r>
        <w:rPr/>
        <w:t>）的《关于限制股票激励计划第一个解锁期解锁的限</w:t>
      </w:r>
      <w:r>
        <w:rPr>
          <w:spacing w:val="-34"/>
        </w:rPr>
        <w:t> </w:t>
      </w:r>
      <w:r>
        <w:rPr>
          <w:spacing w:val="-34"/>
        </w:rPr>
      </w:r>
      <w:r>
        <w:rPr/>
        <w:t>制性股票上市流通的提示性公告》。</w:t>
      </w:r>
    </w:p>
    <w:p>
      <w:pPr>
        <w:pStyle w:val="BodyText"/>
        <w:spacing w:line="273" w:lineRule="auto"/>
        <w:ind w:right="1127" w:firstLine="420"/>
        <w:jc w:val="both"/>
      </w:pPr>
      <w:r>
        <w:rPr>
          <w:spacing w:val="8"/>
        </w:rPr>
        <w:t>公司第七届第六十八次审议通过《关于回购注销部分限制性股票的议案》。</w:t>
      </w:r>
      <w:r>
        <w:rPr>
          <w:rFonts w:ascii="宋体" w:hAnsi="宋体" w:cs="宋体" w:eastAsia="宋体" w:hint="default"/>
          <w:spacing w:val="8"/>
        </w:rPr>
        <w:t>2016</w:t>
      </w:r>
      <w:r>
        <w:rPr>
          <w:spacing w:val="8"/>
        </w:rPr>
        <w:t>年度利润总额为</w:t>
      </w:r>
      <w:r>
        <w:rPr/>
        <w:t> </w:t>
      </w:r>
      <w:r>
        <w:rPr>
          <w:rFonts w:ascii="宋体" w:hAnsi="宋体" w:cs="宋体" w:eastAsia="宋体" w:hint="default"/>
          <w:spacing w:val="-1"/>
        </w:rPr>
        <w:t>169,784,455.96</w:t>
      </w:r>
      <w:r>
        <w:rPr>
          <w:spacing w:val="-1"/>
        </w:rPr>
        <w:t>元，较</w:t>
      </w:r>
      <w:r>
        <w:rPr>
          <w:rFonts w:ascii="宋体" w:hAnsi="宋体" w:cs="宋体" w:eastAsia="宋体" w:hint="default"/>
          <w:spacing w:val="-1"/>
        </w:rPr>
        <w:t>2013</w:t>
      </w:r>
      <w:r>
        <w:rPr>
          <w:spacing w:val="-1"/>
        </w:rPr>
        <w:t>年度复合增长率为</w:t>
      </w:r>
      <w:r>
        <w:rPr>
          <w:rFonts w:ascii="宋体" w:hAnsi="宋体" w:cs="宋体" w:eastAsia="宋体" w:hint="default"/>
          <w:spacing w:val="-1"/>
        </w:rPr>
        <w:t>16.81%</w:t>
      </w:r>
      <w:r>
        <w:rPr>
          <w:spacing w:val="-1"/>
        </w:rPr>
        <w:t>；</w:t>
      </w:r>
      <w:r>
        <w:rPr>
          <w:rFonts w:ascii="宋体" w:hAnsi="宋体" w:cs="宋体" w:eastAsia="宋体" w:hint="default"/>
          <w:spacing w:val="-1"/>
        </w:rPr>
        <w:t>2016</w:t>
      </w:r>
      <w:r>
        <w:rPr>
          <w:spacing w:val="-1"/>
        </w:rPr>
        <w:t>年度调整</w:t>
      </w:r>
      <w:r>
        <w:rPr>
          <w:rFonts w:ascii="宋体" w:hAnsi="宋体" w:cs="宋体" w:eastAsia="宋体" w:hint="default"/>
          <w:spacing w:val="-1"/>
        </w:rPr>
        <w:t>EOE</w:t>
      </w:r>
      <w:r>
        <w:rPr>
          <w:spacing w:val="-1"/>
        </w:rPr>
        <w:t>（（</w:t>
      </w:r>
      <w:r>
        <w:rPr>
          <w:rFonts w:ascii="宋体" w:hAnsi="宋体" w:cs="宋体" w:eastAsia="宋体" w:hint="default"/>
          <w:spacing w:val="-1"/>
        </w:rPr>
        <w:t>EBITDA+</w:t>
      </w:r>
      <w:r>
        <w:rPr>
          <w:spacing w:val="-1"/>
        </w:rPr>
        <w:t>研发费用（管理费用</w:t>
      </w:r>
      <w:r>
        <w:rPr>
          <w:spacing w:val="-68"/>
        </w:rPr>
        <w:t> </w:t>
      </w:r>
      <w:r>
        <w:rPr>
          <w:spacing w:val="-68"/>
        </w:rPr>
      </w:r>
      <w:r>
        <w:rPr/>
        <w:t>列支部分））</w:t>
      </w:r>
      <w:r>
        <w:rPr>
          <w:rFonts w:ascii="宋体" w:hAnsi="宋体" w:cs="宋体" w:eastAsia="宋体" w:hint="default"/>
        </w:rPr>
        <w:t>/</w:t>
      </w:r>
      <w:r>
        <w:rPr/>
        <w:t>净资产）为</w:t>
      </w:r>
      <w:r>
        <w:rPr>
          <w:rFonts w:ascii="宋体" w:hAnsi="宋体" w:cs="宋体" w:eastAsia="宋体" w:hint="default"/>
        </w:rPr>
        <w:t>12.49%</w:t>
      </w:r>
      <w:r>
        <w:rPr/>
        <w:t>；</w:t>
      </w:r>
      <w:r>
        <w:rPr>
          <w:rFonts w:ascii="宋体" w:hAnsi="宋体" w:cs="宋体" w:eastAsia="宋体" w:hint="default"/>
        </w:rPr>
        <w:t>2016</w:t>
      </w:r>
      <w:r>
        <w:rPr/>
        <w:t>年度公司企业信息化及信息服务收入合计</w:t>
      </w:r>
      <w:r>
        <w:rPr>
          <w:rFonts w:ascii="宋体" w:hAnsi="宋体" w:cs="宋体" w:eastAsia="宋体" w:hint="default"/>
        </w:rPr>
        <w:t>2,774,670,987.55</w:t>
      </w:r>
      <w:r>
        <w:rPr/>
        <w:t>元，</w:t>
      </w:r>
      <w:r>
        <w:rPr>
          <w:spacing w:val="-27"/>
        </w:rPr>
        <w:t> </w:t>
      </w:r>
      <w:r>
        <w:rPr>
          <w:spacing w:val="12"/>
        </w:rPr>
        <w:t>较</w:t>
      </w:r>
      <w:r>
        <w:rPr>
          <w:rFonts w:ascii="宋体" w:hAnsi="宋体" w:cs="宋体" w:eastAsia="宋体" w:hint="default"/>
          <w:spacing w:val="12"/>
        </w:rPr>
        <w:t>2013</w:t>
      </w:r>
      <w:r>
        <w:rPr>
          <w:spacing w:val="12"/>
        </w:rPr>
        <w:t>年复合增长率为</w:t>
      </w:r>
      <w:r>
        <w:rPr>
          <w:rFonts w:ascii="宋体" w:hAnsi="宋体" w:cs="宋体" w:eastAsia="宋体" w:hint="default"/>
          <w:spacing w:val="12"/>
        </w:rPr>
        <w:t>33.59%</w:t>
      </w:r>
      <w:r>
        <w:rPr>
          <w:spacing w:val="12"/>
        </w:rPr>
        <w:t>，公司业绩考核条件未达标，公司拟对已经授予激励对象尚未解锁的</w:t>
      </w:r>
      <w:r>
        <w:rPr>
          <w:spacing w:val="-94"/>
        </w:rPr>
        <w:t> </w:t>
      </w:r>
      <w:r>
        <w:rPr>
          <w:spacing w:val="-94"/>
        </w:rPr>
      </w:r>
      <w:r>
        <w:rPr>
          <w:rFonts w:ascii="宋体" w:hAnsi="宋体" w:cs="宋体" w:eastAsia="宋体" w:hint="default"/>
        </w:rPr>
        <w:t>2,178,000</w:t>
      </w:r>
      <w:r>
        <w:rPr/>
        <w:t>股实施回购注销；根据《激励计划》在激励期内，激励对象主动辞职的，已辞职的激励对象已</w:t>
      </w:r>
      <w:r>
        <w:rPr>
          <w:spacing w:val="-36"/>
        </w:rPr>
        <w:t> </w:t>
      </w:r>
      <w:r>
        <w:rPr>
          <w:spacing w:val="-36"/>
        </w:rPr>
      </w:r>
      <w:r>
        <w:rPr>
          <w:spacing w:val="-1"/>
        </w:rPr>
        <w:t>不符合公司股权激励计划规定的激励条件，其所持尚未解锁的限制性股票应由公司回购注销，其中有姜晓</w:t>
      </w:r>
      <w:r>
        <w:rPr>
          <w:spacing w:val="-81"/>
        </w:rPr>
        <w:t> </w:t>
      </w:r>
      <w:r>
        <w:rPr>
          <w:spacing w:val="-81"/>
        </w:rPr>
      </w:r>
      <w:r>
        <w:rPr/>
        <w:t>伟等</w:t>
      </w:r>
      <w:r>
        <w:rPr>
          <w:rFonts w:ascii="宋体" w:hAnsi="宋体" w:cs="宋体" w:eastAsia="宋体" w:hint="default"/>
        </w:rPr>
        <w:t>14</w:t>
      </w:r>
      <w:r>
        <w:rPr/>
        <w:t>名激励对象因自动辞职，公司拟对其持有尚未解锁的合计</w:t>
      </w:r>
      <w:r>
        <w:rPr>
          <w:rFonts w:ascii="宋体" w:hAnsi="宋体" w:cs="宋体" w:eastAsia="宋体" w:hint="default"/>
        </w:rPr>
        <w:t>328,100</w:t>
      </w:r>
      <w:r>
        <w:rPr/>
        <w:t>股限制性股票应由公司全部回购</w:t>
      </w:r>
      <w:r>
        <w:rPr>
          <w:spacing w:val="-31"/>
        </w:rPr>
        <w:t> </w:t>
      </w:r>
      <w:r>
        <w:rPr>
          <w:spacing w:val="-31"/>
        </w:rPr>
      </w:r>
      <w:r>
        <w:rPr/>
        <w:t>注销根据《激励计划》根据</w:t>
      </w:r>
      <w:r>
        <w:rPr>
          <w:rFonts w:ascii="宋体" w:hAnsi="宋体" w:cs="宋体" w:eastAsia="宋体" w:hint="default"/>
        </w:rPr>
        <w:t>2015</w:t>
      </w:r>
      <w:r>
        <w:rPr/>
        <w:t>年度考核情况，第一期被授予限制性股票的激励对象张元琴等</w:t>
      </w:r>
      <w:r>
        <w:rPr>
          <w:rFonts w:ascii="宋体" w:hAnsi="宋体" w:cs="宋体" w:eastAsia="宋体" w:hint="default"/>
        </w:rPr>
        <w:t>3</w:t>
      </w:r>
      <w:r>
        <w:rPr/>
        <w:t>人解锁了</w:t>
      </w:r>
      <w:r>
        <w:rPr>
          <w:spacing w:val="-26"/>
        </w:rPr>
        <w:t> </w:t>
      </w:r>
      <w:r>
        <w:rPr>
          <w:spacing w:val="-26"/>
        </w:rPr>
      </w:r>
      <w:r>
        <w:rPr>
          <w:spacing w:val="-1"/>
        </w:rPr>
        <w:t>第一期第一批股份的</w:t>
      </w:r>
      <w:r>
        <w:rPr>
          <w:rFonts w:ascii="宋体" w:hAnsi="宋体" w:cs="宋体" w:eastAsia="宋体" w:hint="default"/>
          <w:spacing w:val="-1"/>
        </w:rPr>
        <w:t>80%</w:t>
      </w:r>
      <w:r>
        <w:rPr>
          <w:spacing w:val="-1"/>
        </w:rPr>
        <w:t>，其所持有的第一期第一批股份的</w:t>
      </w:r>
      <w:r>
        <w:rPr>
          <w:rFonts w:ascii="宋体" w:hAnsi="宋体" w:cs="宋体" w:eastAsia="宋体" w:hint="default"/>
          <w:spacing w:val="-1"/>
        </w:rPr>
        <w:t>20%</w:t>
      </w:r>
      <w:r>
        <w:rPr>
          <w:spacing w:val="-1"/>
        </w:rPr>
        <w:t>即</w:t>
      </w:r>
      <w:r>
        <w:rPr>
          <w:rFonts w:ascii="宋体" w:hAnsi="宋体" w:cs="宋体" w:eastAsia="宋体" w:hint="default"/>
          <w:spacing w:val="-1"/>
        </w:rPr>
        <w:t>11,880</w:t>
      </w:r>
      <w:r>
        <w:rPr>
          <w:spacing w:val="-1"/>
        </w:rPr>
        <w:t>股回购注销。本次回购注销股份共</w:t>
      </w:r>
      <w:r>
        <w:rPr>
          <w:spacing w:val="-78"/>
        </w:rPr>
        <w:t> </w:t>
      </w:r>
      <w:r>
        <w:rPr>
          <w:spacing w:val="-78"/>
        </w:rPr>
      </w:r>
      <w:r>
        <w:rPr>
          <w:spacing w:val="-1"/>
        </w:rPr>
        <w:t>计</w:t>
      </w:r>
      <w:r>
        <w:rPr>
          <w:rFonts w:ascii="宋体" w:hAnsi="宋体" w:cs="宋体" w:eastAsia="宋体" w:hint="default"/>
          <w:spacing w:val="-1"/>
        </w:rPr>
        <w:t>2,517,980</w:t>
      </w:r>
      <w:r>
        <w:rPr>
          <w:spacing w:val="-1"/>
        </w:rPr>
        <w:t>股，回购注销价格为</w:t>
      </w:r>
      <w:r>
        <w:rPr>
          <w:rFonts w:ascii="宋体" w:hAnsi="宋体" w:cs="宋体" w:eastAsia="宋体" w:hint="default"/>
          <w:spacing w:val="-1"/>
        </w:rPr>
        <w:t>5.25</w:t>
      </w:r>
      <w:r>
        <w:rPr>
          <w:spacing w:val="-1"/>
        </w:rPr>
        <w:t>元</w:t>
      </w:r>
      <w:r>
        <w:rPr>
          <w:rFonts w:ascii="宋体" w:hAnsi="宋体" w:cs="宋体" w:eastAsia="宋体" w:hint="default"/>
          <w:spacing w:val="-1"/>
        </w:rPr>
        <w:t>/</w:t>
      </w:r>
      <w:r>
        <w:rPr>
          <w:spacing w:val="-1"/>
        </w:rPr>
        <w:t>股。</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日，公司在中国证券登记结算有限责任公司深</w:t>
      </w:r>
      <w:r>
        <w:rPr>
          <w:spacing w:val="-77"/>
        </w:rPr>
        <w:t> </w:t>
      </w:r>
      <w:r>
        <w:rPr>
          <w:spacing w:val="-77"/>
        </w:rPr>
      </w:r>
      <w:r>
        <w:rPr>
          <w:spacing w:val="3"/>
        </w:rPr>
        <w:t>圳分公司完成已回购股票的注销。具体内容详见公司于</w:t>
      </w:r>
      <w:r>
        <w:rPr>
          <w:rFonts w:ascii="宋体" w:hAnsi="宋体" w:cs="宋体" w:eastAsia="宋体" w:hint="default"/>
          <w:spacing w:val="3"/>
        </w:rPr>
        <w:t>2018</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4</w:t>
      </w:r>
      <w:r>
        <w:rPr>
          <w:spacing w:val="3"/>
        </w:rPr>
        <w:t>日刊登在《证券时报》和巨潮资讯网</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left="574" w:right="0" w:hanging="420"/>
        <w:jc w:val="left"/>
      </w:pPr>
      <w:r>
        <w:rPr/>
        <w:t>（</w:t>
      </w:r>
      <w:hyperlink r:id="rId13">
        <w:r>
          <w:rPr>
            <w:rFonts w:ascii="宋体" w:hAnsi="宋体" w:cs="宋体" w:eastAsia="宋体" w:hint="default"/>
          </w:rPr>
          <w:t>www.cninfo.com.cn</w:t>
        </w:r>
      </w:hyperlink>
      <w:r>
        <w:rPr/>
        <w:t>）的《关于部分限制性股票回购注销完成的公告》。 </w:t>
      </w:r>
      <w:r>
        <w:rPr>
          <w:rFonts w:ascii="宋体" w:hAnsi="宋体" w:cs="宋体" w:eastAsia="宋体" w:hint="default"/>
        </w:rPr>
        <w:t>2017</w:t>
      </w:r>
      <w:r>
        <w:rPr/>
        <w:t>年公司启动第二期限制性股票激励计划，</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14</w:t>
      </w:r>
      <w:r>
        <w:rPr/>
        <w:t>日，经公司第七届第七十次董事会、第七</w:t>
      </w:r>
    </w:p>
    <w:p>
      <w:pPr>
        <w:pStyle w:val="BodyText"/>
        <w:spacing w:line="273" w:lineRule="auto"/>
        <w:ind w:right="1129"/>
        <w:jc w:val="both"/>
      </w:pPr>
      <w:r>
        <w:rPr>
          <w:spacing w:val="-1"/>
        </w:rPr>
        <w:t>届第三十九次监事会审议通过《大唐高鸿数据网络技术股份有限公司限制性股票激励计划（草案）及其摘</w:t>
      </w:r>
      <w:r>
        <w:rPr>
          <w:spacing w:val="-83"/>
        </w:rPr>
        <w:t> </w:t>
      </w:r>
      <w:r>
        <w:rPr>
          <w:spacing w:val="-83"/>
        </w:rPr>
      </w:r>
      <w:r>
        <w:rPr>
          <w:spacing w:val="-3"/>
        </w:rPr>
        <w:t>要》，拟向被激励对象以</w:t>
      </w:r>
      <w:r>
        <w:rPr>
          <w:rFonts w:ascii="宋体" w:hAnsi="宋体" w:cs="宋体" w:eastAsia="宋体" w:hint="default"/>
          <w:spacing w:val="-3"/>
        </w:rPr>
        <w:t>4.63</w:t>
      </w:r>
      <w:r>
        <w:rPr>
          <w:spacing w:val="-3"/>
        </w:rPr>
        <w:t>元</w:t>
      </w:r>
      <w:r>
        <w:rPr>
          <w:rFonts w:ascii="宋体" w:hAnsi="宋体" w:cs="宋体" w:eastAsia="宋体" w:hint="default"/>
          <w:spacing w:val="-3"/>
        </w:rPr>
        <w:t>/</w:t>
      </w:r>
      <w:r>
        <w:rPr>
          <w:spacing w:val="-3"/>
        </w:rPr>
        <w:t>股发行股份，授予限制性股票共计</w:t>
      </w:r>
      <w:r>
        <w:rPr>
          <w:rFonts w:ascii="宋体" w:hAnsi="宋体" w:cs="宋体" w:eastAsia="宋体" w:hint="default"/>
          <w:spacing w:val="-3"/>
        </w:rPr>
        <w:t>1898</w:t>
      </w:r>
      <w:r>
        <w:rPr>
          <w:spacing w:val="-3"/>
        </w:rPr>
        <w:t>万股，被激励对象为公司的董事、</w:t>
      </w:r>
      <w:r>
        <w:rPr>
          <w:spacing w:val="-84"/>
        </w:rPr>
        <w:t> </w:t>
      </w:r>
      <w:r>
        <w:rPr>
          <w:spacing w:val="-84"/>
        </w:rPr>
      </w:r>
      <w:r>
        <w:rPr>
          <w:spacing w:val="-1"/>
        </w:rPr>
        <w:t>高管及核心骨干，共计</w:t>
      </w:r>
      <w:r>
        <w:rPr>
          <w:rFonts w:ascii="宋体" w:hAnsi="宋体" w:cs="宋体" w:eastAsia="宋体" w:hint="default"/>
          <w:spacing w:val="-1"/>
        </w:rPr>
        <w:t>256</w:t>
      </w:r>
      <w:r>
        <w:rPr>
          <w:spacing w:val="-1"/>
        </w:rPr>
        <w:t>人。</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w:t>
      </w:r>
      <w:r>
        <w:rPr>
          <w:spacing w:val="-1"/>
        </w:rPr>
        <w:t>日，公司收到国务院国有资产监督管理委员会办公厅于</w:t>
      </w:r>
      <w:r>
        <w:rPr>
          <w:rFonts w:ascii="宋体" w:hAnsi="宋体" w:cs="宋体" w:eastAsia="宋体" w:hint="default"/>
          <w:spacing w:val="-1"/>
        </w:rPr>
        <w:t>2017</w:t>
      </w:r>
      <w:r>
        <w:rPr>
          <w:spacing w:val="-1"/>
        </w:rPr>
        <w:t>年</w:t>
      </w:r>
      <w:r>
        <w:rPr>
          <w:rFonts w:ascii="宋体" w:hAnsi="宋体" w:cs="宋体" w:eastAsia="宋体" w:hint="default"/>
          <w:spacing w:val="-1"/>
        </w:rPr>
        <w:t>7</w:t>
      </w:r>
      <w:r>
        <w:rPr>
          <w:rFonts w:ascii="宋体" w:hAnsi="宋体" w:cs="宋体" w:eastAsia="宋体" w:hint="default"/>
          <w:spacing w:val="-79"/>
        </w:rPr>
        <w:t> </w:t>
      </w:r>
      <w:r>
        <w:rPr>
          <w:spacing w:val="-1"/>
        </w:rPr>
        <w:t>月</w:t>
      </w:r>
      <w:r>
        <w:rPr>
          <w:rFonts w:ascii="宋体" w:hAnsi="宋体" w:cs="宋体" w:eastAsia="宋体" w:hint="default"/>
          <w:spacing w:val="-1"/>
        </w:rPr>
        <w:t>25</w:t>
      </w:r>
      <w:r>
        <w:rPr>
          <w:spacing w:val="-1"/>
        </w:rPr>
        <w:t>日批复公司控股股东电信科学技术研究院的《关于大唐高鸿数据网络技术股份有限公司第二期限制性</w:t>
      </w:r>
      <w:r>
        <w:rPr>
          <w:spacing w:val="-82"/>
        </w:rPr>
        <w:t> </w:t>
      </w:r>
      <w:r>
        <w:rPr>
          <w:spacing w:val="-82"/>
        </w:rPr>
      </w:r>
      <w:r>
        <w:rPr/>
        <w:t>股票激励计划备案意见的复函》（国资厅考分</w:t>
      </w:r>
      <w:r>
        <w:rPr>
          <w:rFonts w:ascii="宋体" w:hAnsi="宋体" w:cs="宋体" w:eastAsia="宋体" w:hint="default"/>
        </w:rPr>
        <w:t>[2017]543</w:t>
      </w:r>
      <w:r>
        <w:rPr/>
        <w:t>号）。</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日，根据国资委批复意见，修</w:t>
      </w:r>
      <w:r>
        <w:rPr>
          <w:spacing w:val="-32"/>
        </w:rPr>
        <w:t> </w:t>
      </w:r>
      <w:r>
        <w:rPr>
          <w:spacing w:val="-32"/>
        </w:rPr>
      </w:r>
      <w:r>
        <w:rPr>
          <w:spacing w:val="-1"/>
        </w:rPr>
        <w:t>改草案及摘要内容，并公司第七届第七十一次董事、第七届四十次监事会审议通过《大唐高鸿数据网络技</w:t>
      </w:r>
      <w:r>
        <w:rPr>
          <w:spacing w:val="-83"/>
        </w:rPr>
        <w:t> </w:t>
      </w:r>
      <w:r>
        <w:rPr>
          <w:spacing w:val="-83"/>
        </w:rPr>
      </w:r>
      <w:r>
        <w:rPr/>
        <w:t>术股份有限公司限制性股票激励计划（草案修订稿）及其摘要》。</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日，本次股权激励相关事</w:t>
      </w:r>
      <w:r>
        <w:rPr>
          <w:spacing w:val="-30"/>
        </w:rPr>
        <w:t> </w:t>
      </w:r>
      <w:r>
        <w:rPr>
          <w:spacing w:val="-30"/>
        </w:rPr>
      </w:r>
      <w:r>
        <w:rPr>
          <w:spacing w:val="-1"/>
        </w:rPr>
        <w:t>项经公司第二次临时股东大会审议通过。</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w:t>
      </w:r>
      <w:r>
        <w:rPr>
          <w:spacing w:val="-1"/>
        </w:rPr>
        <w:t>日，经公司第七届第七十四次董事会、第七届第四十</w:t>
      </w:r>
      <w:r>
        <w:rPr>
          <w:spacing w:val="-80"/>
        </w:rPr>
        <w:t> </w:t>
      </w:r>
      <w:r>
        <w:rPr>
          <w:spacing w:val="-80"/>
        </w:rPr>
      </w:r>
      <w:r>
        <w:rPr/>
        <w:t>二次监事会审议通过审议《关于公司向激励对象授予限制性股票的议案》</w:t>
      </w:r>
      <w:r>
        <w:rPr>
          <w:spacing w:val="71"/>
        </w:rPr>
        <w:t> </w:t>
      </w:r>
      <w:r>
        <w:rPr/>
        <w:t>，以</w:t>
      </w:r>
      <w:r>
        <w:rPr>
          <w:rFonts w:ascii="宋体" w:hAnsi="宋体" w:cs="宋体" w:eastAsia="宋体" w:hint="default"/>
        </w:rPr>
        <w:t>4.63</w:t>
      </w:r>
      <w:r>
        <w:rPr/>
        <w:t>元</w:t>
      </w:r>
      <w:r>
        <w:rPr>
          <w:rFonts w:ascii="宋体" w:hAnsi="宋体" w:cs="宋体" w:eastAsia="宋体" w:hint="default"/>
        </w:rPr>
        <w:t>/</w:t>
      </w:r>
      <w:r>
        <w:rPr/>
        <w:t>股的价格向</w:t>
      </w:r>
      <w:r>
        <w:rPr>
          <w:rFonts w:ascii="宋体" w:hAnsi="宋体" w:cs="宋体" w:eastAsia="宋体" w:hint="default"/>
        </w:rPr>
        <w:t>230</w:t>
      </w:r>
      <w:r>
        <w:rPr/>
        <w:t>名</w:t>
      </w:r>
      <w:r>
        <w:rPr>
          <w:spacing w:val="-99"/>
        </w:rPr>
        <w:t> </w:t>
      </w:r>
      <w:r>
        <w:rPr/>
        <w:t>激励对象授予共计</w:t>
      </w:r>
      <w:r>
        <w:rPr>
          <w:rFonts w:ascii="宋体" w:hAnsi="宋体" w:cs="宋体" w:eastAsia="宋体" w:hint="default"/>
        </w:rPr>
        <w:t>1,872</w:t>
      </w:r>
      <w:r>
        <w:rPr/>
        <w:t>万股</w:t>
      </w:r>
      <w:r>
        <w:rPr>
          <w:rFonts w:ascii="宋体" w:hAnsi="宋体" w:cs="宋体" w:eastAsia="宋体" w:hint="default"/>
        </w:rPr>
        <w:t>A</w:t>
      </w:r>
      <w:r>
        <w:rPr/>
        <w:t>股限制性股票，确定授予日为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w:t>
      </w:r>
      <w:r>
        <w:rPr/>
        <w:t>日。</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日，授予限制性</w:t>
      </w:r>
      <w:r>
        <w:rPr>
          <w:spacing w:val="-34"/>
        </w:rPr>
        <w:t> </w:t>
      </w:r>
      <w:r>
        <w:rPr>
          <w:spacing w:val="-34"/>
        </w:rPr>
      </w:r>
      <w:r>
        <w:rPr/>
        <w:t>股票</w:t>
      </w:r>
      <w:r>
        <w:rPr>
          <w:rFonts w:ascii="宋体" w:hAnsi="宋体" w:cs="宋体" w:eastAsia="宋体" w:hint="default"/>
        </w:rPr>
        <w:t>1,872</w:t>
      </w:r>
      <w:r>
        <w:rPr/>
        <w:t>万股上市。</w:t>
      </w:r>
    </w:p>
    <w:p>
      <w:pPr>
        <w:pStyle w:val="BodyText"/>
        <w:spacing w:line="273" w:lineRule="auto"/>
        <w:ind w:right="0" w:firstLine="420"/>
        <w:jc w:val="left"/>
      </w:pPr>
      <w:r>
        <w:rPr/>
        <w:t>公司第八届第十三次董事会审议通过《关于回购注销部分限制性股票的议案》。根据</w:t>
      </w:r>
      <w:r>
        <w:rPr>
          <w:rFonts w:ascii="宋体" w:hAnsi="宋体" w:cs="宋体" w:eastAsia="宋体" w:hint="default"/>
        </w:rPr>
        <w:t>2014</w:t>
      </w:r>
      <w:r>
        <w:rPr/>
        <w:t>年限制性股 票激励计划的规定，</w:t>
      </w:r>
      <w:r>
        <w:rPr>
          <w:rFonts w:ascii="宋体" w:hAnsi="宋体" w:cs="宋体" w:eastAsia="宋体" w:hint="default"/>
        </w:rPr>
        <w:t>2017</w:t>
      </w:r>
      <w:r>
        <w:rPr/>
        <w:t>年度至今有</w:t>
      </w:r>
      <w:r>
        <w:rPr>
          <w:rFonts w:ascii="宋体" w:hAnsi="宋体" w:cs="宋体" w:eastAsia="宋体" w:hint="default"/>
        </w:rPr>
        <w:t>9</w:t>
      </w:r>
      <w:r>
        <w:rPr/>
        <w:t>名被激励对象离职，故公司拟对其持有尚未解除限售的</w:t>
      </w:r>
      <w:r>
        <w:rPr>
          <w:rFonts w:ascii="宋体" w:hAnsi="宋体" w:cs="宋体" w:eastAsia="宋体" w:hint="default"/>
        </w:rPr>
        <w:t>238,000</w:t>
      </w:r>
      <w:r>
        <w:rPr/>
        <w:t>股限</w:t>
      </w:r>
      <w:r>
        <w:rPr>
          <w:spacing w:val="1"/>
        </w:rPr>
        <w:t> </w:t>
      </w:r>
      <w:r>
        <w:rPr/>
        <w:t>制性股票回购注销，根据</w:t>
      </w:r>
      <w:r>
        <w:rPr>
          <w:rFonts w:ascii="宋体" w:hAnsi="宋体" w:cs="宋体" w:eastAsia="宋体" w:hint="default"/>
        </w:rPr>
        <w:t>2017</w:t>
      </w:r>
      <w:r>
        <w:rPr/>
        <w:t>年考核情况，公司</w:t>
      </w:r>
      <w:r>
        <w:rPr>
          <w:rFonts w:ascii="宋体" w:hAnsi="宋体" w:cs="宋体" w:eastAsia="宋体" w:hint="default"/>
        </w:rPr>
        <w:t>2017</w:t>
      </w:r>
      <w:r>
        <w:rPr/>
        <w:t>年度</w:t>
      </w:r>
      <w:r>
        <w:rPr>
          <w:rFonts w:ascii="宋体" w:hAnsi="宋体" w:cs="宋体" w:eastAsia="宋体" w:hint="default"/>
        </w:rPr>
        <w:t>12</w:t>
      </w:r>
      <w:r>
        <w:rPr/>
        <w:t>名激励对象因考核不合格不再符合激励条件，</w:t>
      </w:r>
      <w:r>
        <w:rPr>
          <w:spacing w:val="-32"/>
        </w:rPr>
        <w:t> </w:t>
      </w:r>
      <w:r>
        <w:rPr>
          <w:spacing w:val="-32"/>
        </w:rPr>
      </w:r>
      <w:r>
        <w:rPr/>
        <w:t>故公司拟对上述持有尚未解锁的合计</w:t>
      </w:r>
      <w:r>
        <w:rPr>
          <w:rFonts w:ascii="宋体" w:hAnsi="宋体" w:cs="宋体" w:eastAsia="宋体" w:hint="default"/>
        </w:rPr>
        <w:t>59,976</w:t>
      </w:r>
      <w:r>
        <w:rPr/>
        <w:t>股限制性股票回购注销；根据</w:t>
      </w:r>
      <w:r>
        <w:rPr>
          <w:rFonts w:ascii="宋体" w:hAnsi="宋体" w:cs="宋体" w:eastAsia="宋体" w:hint="default"/>
        </w:rPr>
        <w:t>2017</w:t>
      </w:r>
      <w:r>
        <w:rPr/>
        <w:t>年限制性股票激励计划的规 定，</w:t>
      </w:r>
      <w:r>
        <w:rPr>
          <w:rFonts w:ascii="宋体" w:hAnsi="宋体" w:cs="宋体" w:eastAsia="宋体" w:hint="default"/>
        </w:rPr>
        <w:t>3</w:t>
      </w:r>
      <w:r>
        <w:rPr/>
        <w:t>名激励对象因自动辞职不再符合激励条件，故公司拟对上述持有尚未解锁的合计</w:t>
      </w:r>
      <w:r>
        <w:rPr>
          <w:rFonts w:ascii="宋体" w:hAnsi="宋体" w:cs="宋体" w:eastAsia="宋体" w:hint="default"/>
        </w:rPr>
        <w:t>350,000</w:t>
      </w:r>
      <w:r>
        <w:rPr/>
        <w:t>股限制性股 票回购注销。本次回购注销股份共计</w:t>
      </w:r>
      <w:r>
        <w:rPr>
          <w:rFonts w:ascii="宋体" w:hAnsi="宋体" w:cs="宋体" w:eastAsia="宋体" w:hint="default"/>
        </w:rPr>
        <w:t>647,976</w:t>
      </w:r>
      <w:r>
        <w:rPr/>
        <w:t>股，本次回购注销手续尚未办理完成，具体内容详见公司于</w:t>
      </w:r>
      <w:r>
        <w:rPr>
          <w:spacing w:val="-32"/>
        </w:rPr>
        <w:t> </w:t>
      </w:r>
      <w:r>
        <w:rPr>
          <w:spacing w:val="-32"/>
        </w:rPr>
      </w:r>
      <w:r>
        <w:rPr>
          <w:rFonts w:ascii="宋体" w:hAnsi="宋体" w:cs="宋体" w:eastAsia="宋体" w:hint="default"/>
        </w:rPr>
        <w:t>2018</w:t>
      </w:r>
      <w:r>
        <w:rPr/>
        <w:t>年</w:t>
      </w:r>
      <w:r>
        <w:rPr>
          <w:rFonts w:ascii="宋体" w:hAnsi="宋体" w:cs="宋体" w:eastAsia="宋体" w:hint="default"/>
        </w:rPr>
        <w:t>06</w:t>
      </w:r>
      <w:r>
        <w:rPr/>
        <w:t>月</w:t>
      </w:r>
      <w:r>
        <w:rPr>
          <w:rFonts w:ascii="宋体" w:hAnsi="宋体" w:cs="宋体" w:eastAsia="宋体" w:hint="default"/>
        </w:rPr>
        <w:t>21</w:t>
      </w:r>
      <w:r>
        <w:rPr/>
        <w:t>日刊登在《证券时报》和巨潮资讯网（</w:t>
      </w:r>
      <w:hyperlink r:id="rId13">
        <w:r>
          <w:rPr>
            <w:rFonts w:ascii="宋体" w:hAnsi="宋体" w:cs="宋体" w:eastAsia="宋体" w:hint="default"/>
          </w:rPr>
          <w:t>www.cninfo.com.cn</w:t>
        </w:r>
      </w:hyperlink>
      <w:r>
        <w:rPr/>
        <w:t>）的《关于限制股票激励计划第</w:t>
      </w:r>
      <w:r>
        <w:rPr>
          <w:spacing w:val="-29"/>
        </w:rPr>
        <w:t> </w:t>
      </w:r>
      <w:r>
        <w:rPr/>
        <w:t>一个解锁期解锁的限制性股票上市流通的提示性公告》。</w:t>
      </w:r>
    </w:p>
    <w:p>
      <w:pPr>
        <w:pStyle w:val="BodyText"/>
        <w:spacing w:line="273" w:lineRule="auto"/>
        <w:ind w:right="0" w:firstLine="526"/>
        <w:jc w:val="left"/>
      </w:pPr>
      <w:r>
        <w:rPr/>
        <w:t>公司第八届董事会二十次董事会，审议通过了《关于公司第一期限制性股票激励计划第三个解锁期 可解除限售的议案》。</w:t>
      </w:r>
      <w:r>
        <w:rPr>
          <w:rFonts w:ascii="宋体" w:hAnsi="宋体" w:cs="宋体" w:eastAsia="宋体" w:hint="default"/>
        </w:rPr>
        <w:t>2017</w:t>
      </w:r>
      <w:r>
        <w:rPr/>
        <w:t>年度利润总额为</w:t>
      </w:r>
      <w:r>
        <w:rPr>
          <w:rFonts w:ascii="宋体" w:hAnsi="宋体" w:cs="宋体" w:eastAsia="宋体" w:hint="default"/>
        </w:rPr>
        <w:t>24,437.61</w:t>
      </w:r>
      <w:r>
        <w:rPr/>
        <w:t>万元，较</w:t>
      </w:r>
      <w:r>
        <w:rPr>
          <w:rFonts w:ascii="宋体" w:hAnsi="宋体" w:cs="宋体" w:eastAsia="宋体" w:hint="default"/>
        </w:rPr>
        <w:t>2013</w:t>
      </w:r>
      <w:r>
        <w:rPr/>
        <w:t>年度复合增长率为</w:t>
      </w:r>
      <w:r>
        <w:rPr>
          <w:rFonts w:ascii="宋体" w:hAnsi="宋体" w:cs="宋体" w:eastAsia="宋体" w:hint="default"/>
        </w:rPr>
        <w:t>23.07%</w:t>
      </w:r>
      <w:r>
        <w:rPr/>
        <w:t>，达到国内</w:t>
      </w:r>
      <w:r>
        <w:rPr>
          <w:spacing w:val="-29"/>
        </w:rPr>
        <w:t> </w:t>
      </w:r>
      <w:r>
        <w:rPr>
          <w:spacing w:val="-29"/>
        </w:rPr>
      </w:r>
      <w:r>
        <w:rPr/>
        <w:t>对标批发零售类企业利润总额的</w:t>
      </w:r>
      <w:r>
        <w:rPr>
          <w:rFonts w:ascii="宋体" w:hAnsi="宋体" w:cs="宋体" w:eastAsia="宋体" w:hint="default"/>
        </w:rPr>
        <w:t>75</w:t>
      </w:r>
      <w:r>
        <w:rPr/>
        <w:t>分位值以上，</w:t>
      </w:r>
      <w:r>
        <w:rPr>
          <w:rFonts w:ascii="宋体" w:hAnsi="宋体" w:cs="宋体" w:eastAsia="宋体" w:hint="default"/>
        </w:rPr>
        <w:t>2017</w:t>
      </w:r>
      <w:r>
        <w:rPr/>
        <w:t>年度调整</w:t>
      </w:r>
      <w:r>
        <w:rPr>
          <w:rFonts w:ascii="宋体" w:hAnsi="宋体" w:cs="宋体" w:eastAsia="宋体" w:hint="default"/>
        </w:rPr>
        <w:t>EOE</w:t>
      </w:r>
      <w:r>
        <w:rPr/>
        <w:t>（（</w:t>
      </w:r>
      <w:r>
        <w:rPr>
          <w:rFonts w:ascii="宋体" w:hAnsi="宋体" w:cs="宋体" w:eastAsia="宋体" w:hint="default"/>
        </w:rPr>
        <w:t>EBITDA +</w:t>
      </w:r>
      <w:r>
        <w:rPr/>
        <w:t>研发费用（管理费用列支</w:t>
      </w:r>
      <w:r>
        <w:rPr>
          <w:spacing w:val="-33"/>
        </w:rPr>
        <w:t> </w:t>
      </w:r>
      <w:r>
        <w:rPr>
          <w:spacing w:val="-33"/>
        </w:rPr>
      </w:r>
      <w:r>
        <w:rPr/>
        <w:t>部分））</w:t>
      </w:r>
      <w:r>
        <w:rPr>
          <w:rFonts w:ascii="宋体" w:hAnsi="宋体" w:cs="宋体" w:eastAsia="宋体" w:hint="default"/>
        </w:rPr>
        <w:t>/</w:t>
      </w:r>
      <w:r>
        <w:rPr/>
        <w:t>净资产）为</w:t>
      </w:r>
      <w:r>
        <w:rPr>
          <w:rFonts w:ascii="宋体" w:hAnsi="宋体" w:cs="宋体" w:eastAsia="宋体" w:hint="default"/>
        </w:rPr>
        <w:t>14.96%</w:t>
      </w:r>
      <w:r>
        <w:rPr/>
        <w:t>，达到国内对标信息传输、软件和信息技术服务业的</w:t>
      </w:r>
      <w:r>
        <w:rPr>
          <w:rFonts w:ascii="宋体" w:hAnsi="宋体" w:cs="宋体" w:eastAsia="宋体" w:hint="default"/>
        </w:rPr>
        <w:t>75</w:t>
      </w:r>
      <w:r>
        <w:rPr/>
        <w:t>分位值以上，</w:t>
      </w:r>
      <w:r>
        <w:rPr>
          <w:rFonts w:ascii="宋体" w:hAnsi="宋体" w:cs="宋体" w:eastAsia="宋体" w:hint="default"/>
        </w:rPr>
        <w:t>2017</w:t>
      </w:r>
      <w:r>
        <w:rPr/>
        <w:t>年</w:t>
      </w:r>
      <w:r>
        <w:rPr>
          <w:spacing w:val="-30"/>
        </w:rPr>
        <w:t> </w:t>
      </w:r>
      <w:r>
        <w:rPr/>
        <w:t>度公司企业信息化及信息服务收入合计</w:t>
      </w:r>
      <w:r>
        <w:rPr>
          <w:rFonts w:ascii="宋体" w:hAnsi="宋体" w:cs="宋体" w:eastAsia="宋体" w:hint="default"/>
        </w:rPr>
        <w:t>285,134</w:t>
      </w:r>
      <w:r>
        <w:rPr/>
        <w:t>万元，</w:t>
      </w:r>
      <w:r>
        <w:rPr>
          <w:rFonts w:ascii="宋体" w:hAnsi="宋体" w:cs="宋体" w:eastAsia="宋体" w:hint="default"/>
        </w:rPr>
        <w:t>2013</w:t>
      </w:r>
      <w:r>
        <w:rPr/>
        <w:t>年复合增长率为</w:t>
      </w:r>
      <w:r>
        <w:rPr>
          <w:rFonts w:ascii="宋体" w:hAnsi="宋体" w:cs="宋体" w:eastAsia="宋体" w:hint="default"/>
        </w:rPr>
        <w:t>25.11%</w:t>
      </w:r>
      <w:r>
        <w:rPr/>
        <w:t>，达到国内对标信息传</w:t>
      </w:r>
      <w:r>
        <w:rPr>
          <w:spacing w:val="-28"/>
        </w:rPr>
        <w:t> </w:t>
      </w:r>
      <w:r>
        <w:rPr>
          <w:spacing w:val="-28"/>
        </w:rPr>
      </w:r>
      <w:r>
        <w:rPr/>
        <w:t>输、软件和信息技术服务业的</w:t>
      </w:r>
      <w:r>
        <w:rPr>
          <w:rFonts w:ascii="宋体" w:hAnsi="宋体" w:cs="宋体" w:eastAsia="宋体" w:hint="default"/>
        </w:rPr>
        <w:t>75</w:t>
      </w:r>
      <w:r>
        <w:rPr/>
        <w:t>分位值以上，</w:t>
      </w:r>
      <w:r>
        <w:rPr>
          <w:rFonts w:ascii="宋体" w:hAnsi="宋体" w:cs="宋体" w:eastAsia="宋体" w:hint="default"/>
        </w:rPr>
        <w:t>2014</w:t>
      </w:r>
      <w:r>
        <w:rPr/>
        <w:t>年归属于股东的净利润为</w:t>
      </w:r>
      <w:r>
        <w:rPr>
          <w:rFonts w:ascii="宋体" w:hAnsi="宋体" w:cs="宋体" w:eastAsia="宋体" w:hint="default"/>
        </w:rPr>
        <w:t>5641</w:t>
      </w:r>
      <w:r>
        <w:rPr/>
        <w:t>万元，</w:t>
      </w:r>
      <w:r>
        <w:rPr>
          <w:rFonts w:ascii="宋体" w:hAnsi="宋体" w:cs="宋体" w:eastAsia="宋体" w:hint="default"/>
        </w:rPr>
        <w:t>2015</w:t>
      </w:r>
      <w:r>
        <w:rPr/>
        <w:t>年度归属于股 东的净利润为</w:t>
      </w:r>
      <w:r>
        <w:rPr>
          <w:rFonts w:ascii="宋体" w:hAnsi="宋体" w:cs="宋体" w:eastAsia="宋体" w:hint="default"/>
        </w:rPr>
        <w:t>8539</w:t>
      </w:r>
      <w:r>
        <w:rPr/>
        <w:t>万元，授予日前最近三个会计年度的平均水平为</w:t>
      </w:r>
      <w:r>
        <w:rPr>
          <w:rFonts w:ascii="宋体" w:hAnsi="宋体" w:cs="宋体" w:eastAsia="宋体" w:hint="default"/>
        </w:rPr>
        <w:t>3355</w:t>
      </w:r>
      <w:r>
        <w:rPr/>
        <w:t>万元。</w:t>
      </w:r>
      <w:r>
        <w:rPr>
          <w:rFonts w:ascii="宋体" w:hAnsi="宋体" w:cs="宋体" w:eastAsia="宋体" w:hint="default"/>
        </w:rPr>
        <w:t>2014</w:t>
      </w:r>
      <w:r>
        <w:rPr/>
        <w:t>年归属于公司股东的扣 除非经常性损益的净利润为</w:t>
      </w:r>
      <w:r>
        <w:rPr>
          <w:rFonts w:ascii="宋体" w:hAnsi="宋体" w:cs="宋体" w:eastAsia="宋体" w:hint="default"/>
        </w:rPr>
        <w:t>3871</w:t>
      </w:r>
      <w:r>
        <w:rPr/>
        <w:t>万元，</w:t>
      </w:r>
      <w:r>
        <w:rPr>
          <w:rFonts w:ascii="宋体" w:hAnsi="宋体" w:cs="宋体" w:eastAsia="宋体" w:hint="default"/>
        </w:rPr>
        <w:t>2015</w:t>
      </w:r>
      <w:r>
        <w:rPr/>
        <w:t>年归属于公司股东的扣除非经常性损益的净利润为</w:t>
      </w:r>
      <w:r>
        <w:rPr>
          <w:rFonts w:ascii="宋体" w:hAnsi="宋体" w:cs="宋体" w:eastAsia="宋体" w:hint="default"/>
        </w:rPr>
        <w:t>6525</w:t>
      </w:r>
      <w:r>
        <w:rPr/>
        <w:t>万元，</w:t>
      </w:r>
      <w:r>
        <w:rPr>
          <w:spacing w:val="-29"/>
        </w:rPr>
        <w:t> </w:t>
      </w:r>
      <w:r>
        <w:rPr>
          <w:spacing w:val="-29"/>
        </w:rPr>
      </w:r>
      <w:r>
        <w:rPr/>
        <w:t>授予日前最近三个会计年度的平均水平为</w:t>
      </w:r>
      <w:r>
        <w:rPr>
          <w:rFonts w:ascii="宋体" w:hAnsi="宋体" w:cs="宋体" w:eastAsia="宋体" w:hint="default"/>
        </w:rPr>
        <w:t>1550</w:t>
      </w:r>
      <w:r>
        <w:rPr/>
        <w:t>万元。根据公司第一期《股权激励计划方案》设定的第三个 解锁期解锁条件已经成就，本次解锁的限制性股票激励对象为</w:t>
      </w:r>
      <w:r>
        <w:rPr>
          <w:rFonts w:ascii="宋体" w:hAnsi="宋体" w:cs="宋体" w:eastAsia="宋体" w:hint="default"/>
        </w:rPr>
        <w:t>114</w:t>
      </w:r>
      <w:r>
        <w:rPr/>
        <w:t>名，解锁的限制性股票数量为</w:t>
      </w:r>
      <w:r>
        <w:rPr>
          <w:rFonts w:ascii="宋体" w:hAnsi="宋体" w:cs="宋体" w:eastAsia="宋体" w:hint="default"/>
        </w:rPr>
        <w:t>2,843,624 </w:t>
      </w:r>
      <w:r>
        <w:rPr/>
        <w:t>股，解除限售的股份已于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日在深圳证券交易所上市流通。具体内容详见公司于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27</w:t>
      </w:r>
      <w:r>
        <w:rPr>
          <w:rFonts w:ascii="宋体" w:hAnsi="宋体" w:cs="宋体" w:eastAsia="宋体" w:hint="default"/>
          <w:spacing w:val="-1"/>
        </w:rPr>
        <w:t> </w:t>
      </w:r>
      <w:r>
        <w:rPr>
          <w:spacing w:val="-7"/>
        </w:rPr>
        <w:t>日刊登在《证券时报》和巨潮资讯网（</w:t>
      </w:r>
      <w:hyperlink r:id="rId13">
        <w:r>
          <w:rPr>
            <w:rFonts w:ascii="宋体" w:hAnsi="宋体" w:cs="宋体" w:eastAsia="宋体" w:hint="default"/>
            <w:spacing w:val="-7"/>
          </w:rPr>
          <w:t>www.cninfo.com.cn</w:t>
        </w:r>
      </w:hyperlink>
      <w:r>
        <w:rPr>
          <w:spacing w:val="-7"/>
        </w:rPr>
        <w:t>）的《关于股权激励获得股份解除限售的公告》。</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p>
            <w:pPr>
              <w:pStyle w:val="TableParagraph"/>
              <w:spacing w:line="319" w:lineRule="auto" w:before="19"/>
              <w:ind w:left="151" w:right="153"/>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可获得 的同类 交易市 价（万 元）</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832.18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832.18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832.18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大唐电信 国际技术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323.88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323.88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323.88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北京兴鸿 达物业管 理服务有 限责任公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子公司 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153.99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153.99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153.99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北京大唐 志诚软件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90.25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90.25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大唐联诚 信息系统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84.62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84.62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67.44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67.44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接受劳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7.48</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left"/>
              <w:rPr>
                <w:rFonts w:ascii="宋体" w:hAnsi="宋体" w:cs="宋体" w:eastAsia="宋体" w:hint="default"/>
                <w:sz w:val="18"/>
                <w:szCs w:val="18"/>
              </w:rPr>
            </w:pPr>
            <w:r>
              <w:rPr>
                <w:rFonts w:ascii="宋体" w:hAnsi="宋体" w:cs="宋体" w:eastAsia="宋体" w:hint="default"/>
                <w:sz w:val="18"/>
                <w:szCs w:val="18"/>
              </w:rPr>
              <w:t>电信科学 技术仪表</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关联采</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采购商</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商业原</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p>
        </w:tc>
      </w:tr>
    </w:tbl>
    <w:p>
      <w:pPr>
        <w:spacing w:after="0" w:line="36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67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6"/>
              <w:jc w:val="left"/>
              <w:rPr>
                <w:rFonts w:ascii="宋体" w:hAnsi="宋体" w:cs="宋体" w:eastAsia="宋体" w:hint="default"/>
                <w:sz w:val="18"/>
                <w:szCs w:val="18"/>
              </w:rPr>
            </w:pPr>
            <w:r>
              <w:rPr>
                <w:rFonts w:ascii="宋体" w:hAnsi="宋体" w:cs="宋体" w:eastAsia="宋体" w:hint="default"/>
                <w:sz w:val="18"/>
                <w:szCs w:val="18"/>
              </w:rPr>
              <w:t>研究所有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则</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152"/>
              <w:jc w:val="left"/>
              <w:rPr>
                <w:rFonts w:ascii="Times New Roman" w:hAnsi="Times New Roman" w:cs="Times New Roman" w:eastAsia="Times New Roman" w:hint="default"/>
                <w:sz w:val="18"/>
                <w:szCs w:val="18"/>
              </w:rPr>
            </w:pPr>
            <w:r>
              <w:rPr>
                <w:rFonts w:ascii="Times New Roman"/>
                <w:sz w:val="18"/>
              </w:rPr>
              <w:t>nfo.co</w:t>
            </w:r>
            <w:r>
              <w:rPr>
                <w:rFonts w:ascii="Times New Roman"/>
                <w:w w:val="99"/>
                <w:sz w:val="18"/>
              </w:rPr>
              <w:t> </w:t>
            </w:r>
            <w:r>
              <w:rPr>
                <w:rFonts w:ascii="Times New Roman"/>
                <w:sz w:val="18"/>
              </w:rPr>
              <w:t>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武汉虹信 通信技术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5.50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北京通和 实益电信 科学技术 研究所有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广州要玩 娱乐网络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0.02</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高鸿新能 源科技有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公司董 监高拥 有重大 影响公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1,470.4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1,470.4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1,470.4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5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6"/>
              <w:jc w:val="both"/>
              <w:rPr>
                <w:rFonts w:ascii="宋体" w:hAnsi="宋体" w:cs="宋体" w:eastAsia="宋体" w:hint="default"/>
                <w:sz w:val="18"/>
                <w:szCs w:val="18"/>
              </w:rPr>
            </w:pPr>
            <w:r>
              <w:rPr>
                <w:rFonts w:ascii="宋体" w:hAnsi="宋体" w:cs="宋体" w:eastAsia="宋体" w:hint="default"/>
                <w:sz w:val="18"/>
                <w:szCs w:val="18"/>
              </w:rPr>
              <w:t>南京庆亚 贸易有限 公司</w:t>
            </w:r>
          </w:p>
        </w:tc>
        <w:tc>
          <w:tcPr>
            <w:tcW w:w="677"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0"/>
              <w:jc w:val="both"/>
              <w:rPr>
                <w:rFonts w:ascii="宋体" w:hAnsi="宋体" w:cs="宋体" w:eastAsia="宋体" w:hint="default"/>
                <w:sz w:val="18"/>
                <w:szCs w:val="18"/>
              </w:rPr>
            </w:pPr>
            <w:r>
              <w:rPr>
                <w:rFonts w:ascii="宋体" w:hAnsi="宋体" w:cs="宋体" w:eastAsia="宋体" w:hint="default"/>
                <w:spacing w:val="20"/>
                <w:sz w:val="18"/>
                <w:szCs w:val="18"/>
              </w:rPr>
              <w:t>公司</w:t>
            </w:r>
            <w:r>
              <w:rPr>
                <w:rFonts w:ascii="宋体" w:hAnsi="宋体" w:cs="宋体" w:eastAsia="宋体" w:hint="default"/>
                <w:spacing w:val="-50"/>
                <w:sz w:val="18"/>
                <w:szCs w:val="18"/>
              </w:rPr>
              <w:t> </w:t>
            </w:r>
            <w:r>
              <w:rPr>
                <w:rFonts w:ascii="宋体" w:hAnsi="宋体" w:cs="宋体" w:eastAsia="宋体" w:hint="default"/>
                <w:sz w:val="18"/>
                <w:szCs w:val="18"/>
              </w:rPr>
              <w:t>董</w:t>
            </w:r>
            <w:r>
              <w:rPr>
                <w:rFonts w:ascii="宋体" w:hAnsi="宋体" w:cs="宋体" w:eastAsia="宋体" w:hint="default"/>
                <w:sz w:val="18"/>
                <w:szCs w:val="18"/>
              </w:rPr>
              <w:t> </w:t>
            </w:r>
            <w:r>
              <w:rPr>
                <w:rFonts w:ascii="宋体" w:hAnsi="宋体" w:cs="宋体" w:eastAsia="宋体" w:hint="default"/>
                <w:spacing w:val="26"/>
                <w:sz w:val="18"/>
                <w:szCs w:val="18"/>
              </w:rPr>
              <w:t>监高拥</w:t>
            </w:r>
            <w:r>
              <w:rPr>
                <w:rFonts w:ascii="宋体" w:hAnsi="宋体" w:cs="宋体" w:eastAsia="宋体" w:hint="default"/>
                <w:spacing w:val="-88"/>
                <w:sz w:val="18"/>
                <w:szCs w:val="18"/>
              </w:rPr>
              <w:t> </w:t>
            </w:r>
            <w:r>
              <w:rPr>
                <w:rFonts w:ascii="宋体" w:hAnsi="宋体" w:cs="宋体" w:eastAsia="宋体" w:hint="default"/>
                <w:spacing w:val="26"/>
                <w:sz w:val="18"/>
                <w:szCs w:val="18"/>
              </w:rPr>
              <w:t>有重大</w:t>
            </w:r>
            <w:r>
              <w:rPr>
                <w:rFonts w:ascii="宋体" w:hAnsi="宋体" w:cs="宋体" w:eastAsia="宋体" w:hint="default"/>
                <w:spacing w:val="-88"/>
                <w:sz w:val="18"/>
                <w:szCs w:val="18"/>
              </w:rPr>
              <w:t> </w:t>
            </w:r>
            <w:r>
              <w:rPr>
                <w:rFonts w:ascii="宋体" w:hAnsi="宋体" w:cs="宋体" w:eastAsia="宋体" w:hint="default"/>
                <w:spacing w:val="20"/>
                <w:sz w:val="18"/>
                <w:szCs w:val="18"/>
              </w:rPr>
              <w:t>影响</w:t>
            </w:r>
            <w:r>
              <w:rPr>
                <w:rFonts w:ascii="宋体" w:hAnsi="宋体" w:cs="宋体" w:eastAsia="宋体" w:hint="default"/>
                <w:spacing w:val="-50"/>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677"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1" w:right="-25"/>
              <w:jc w:val="left"/>
              <w:rPr>
                <w:rFonts w:ascii="宋体" w:hAnsi="宋体" w:cs="宋体" w:eastAsia="宋体" w:hint="default"/>
                <w:sz w:val="18"/>
                <w:szCs w:val="18"/>
              </w:rPr>
            </w:pPr>
            <w:r>
              <w:rPr>
                <w:rFonts w:ascii="宋体" w:hAnsi="宋体" w:cs="宋体" w:eastAsia="宋体" w:hint="default"/>
                <w:spacing w:val="26"/>
                <w:sz w:val="18"/>
                <w:szCs w:val="18"/>
              </w:rPr>
              <w:t>关联采</w:t>
            </w:r>
            <w:r>
              <w:rPr>
                <w:rFonts w:ascii="宋体" w:hAnsi="宋体" w:cs="宋体" w:eastAsia="宋体" w:hint="default"/>
                <w:spacing w:val="-88"/>
                <w:sz w:val="18"/>
                <w:szCs w:val="18"/>
              </w:rPr>
              <w:t> </w:t>
            </w:r>
            <w:r>
              <w:rPr>
                <w:rFonts w:ascii="宋体" w:hAnsi="宋体" w:cs="宋体" w:eastAsia="宋体" w:hint="default"/>
                <w:sz w:val="18"/>
                <w:szCs w:val="18"/>
              </w:rPr>
              <w:t>购</w:t>
            </w:r>
          </w:p>
        </w:tc>
        <w:tc>
          <w:tcPr>
            <w:tcW w:w="70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66.25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66.25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大唐移动 通信设备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295.26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295.26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295.26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大唐软件 技术股份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75.15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75.15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75.15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上海大唐 移动通信 设备有限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72.51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72.51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72.51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大唐联诚 信息系统 技术有限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45.90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45.9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45.90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5"/>
              <w:jc w:val="right"/>
              <w:rPr>
                <w:rFonts w:ascii="Times New Roman" w:hAnsi="Times New Roman" w:cs="Times New Roman" w:eastAsia="Times New Roman" w:hint="default"/>
                <w:sz w:val="18"/>
                <w:szCs w:val="18"/>
              </w:rPr>
            </w:pPr>
            <w:r>
              <w:rPr>
                <w:rFonts w:ascii="Times New Roman"/>
                <w:sz w:val="18"/>
              </w:rPr>
              <w:t>37.74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37.74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37.74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大唐电信 科技股份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5"/>
              <w:jc w:val="right"/>
              <w:rPr>
                <w:rFonts w:ascii="Times New Roman" w:hAnsi="Times New Roman" w:cs="Times New Roman" w:eastAsia="Times New Roman" w:hint="default"/>
                <w:sz w:val="18"/>
                <w:szCs w:val="18"/>
              </w:rPr>
            </w:pPr>
            <w:r>
              <w:rPr>
                <w:rFonts w:ascii="Times New Roman"/>
                <w:sz w:val="18"/>
              </w:rPr>
              <w:t>12.45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12.45</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12.45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大唐电信 科技产业 控股有限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2"/>
              <w:jc w:val="right"/>
              <w:rPr>
                <w:rFonts w:ascii="Times New Roman" w:hAnsi="Times New Roman" w:cs="Times New Roman" w:eastAsia="Times New Roman" w:hint="default"/>
                <w:sz w:val="18"/>
                <w:szCs w:val="18"/>
              </w:rPr>
            </w:pPr>
            <w:r>
              <w:rPr>
                <w:rFonts w:ascii="Times New Roman"/>
                <w:spacing w:val="-2"/>
                <w:sz w:val="18"/>
              </w:rPr>
              <w:t>10.11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2"/>
                <w:sz w:val="18"/>
              </w:rPr>
              <w:t>10.11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10.11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武汉虹信 技术服务 有限责任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25"/>
              <w:jc w:val="right"/>
              <w:rPr>
                <w:rFonts w:ascii="Times New Roman" w:hAnsi="Times New Roman" w:cs="Times New Roman" w:eastAsia="Times New Roman" w:hint="default"/>
                <w:sz w:val="18"/>
                <w:szCs w:val="18"/>
              </w:rPr>
            </w:pPr>
            <w:r>
              <w:rPr>
                <w:rFonts w:ascii="Times New Roman"/>
                <w:sz w:val="18"/>
              </w:rPr>
              <w:t>5.30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5.30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大唐奇安 网络科技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25"/>
              <w:jc w:val="right"/>
              <w:rPr>
                <w:rFonts w:ascii="Times New Roman" w:hAnsi="Times New Roman" w:cs="Times New Roman" w:eastAsia="Times New Roman" w:hint="default"/>
                <w:sz w:val="18"/>
                <w:szCs w:val="18"/>
              </w:rPr>
            </w:pPr>
            <w:r>
              <w:rPr>
                <w:rFonts w:ascii="Times New Roman"/>
                <w:sz w:val="18"/>
              </w:rPr>
              <w:t>1.89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1.89</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1.89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电信科学 技术研究 院有限公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25"/>
              <w:jc w:val="right"/>
              <w:rPr>
                <w:rFonts w:ascii="Times New Roman" w:hAnsi="Times New Roman" w:cs="Times New Roman" w:eastAsia="Times New Roman" w:hint="default"/>
                <w:sz w:val="18"/>
                <w:szCs w:val="18"/>
              </w:rPr>
            </w:pPr>
            <w:r>
              <w:rPr>
                <w:rFonts w:ascii="Times New Roman"/>
                <w:sz w:val="18"/>
              </w:rPr>
              <w:t>1.20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1.20</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大唐微电 子技术有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同一最 终控制 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关联销 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商业原 则</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325"/>
              <w:jc w:val="right"/>
              <w:rPr>
                <w:rFonts w:ascii="Times New Roman" w:hAnsi="Times New Roman" w:cs="Times New Roman" w:eastAsia="Times New Roman" w:hint="default"/>
                <w:sz w:val="18"/>
                <w:szCs w:val="18"/>
              </w:rPr>
            </w:pPr>
            <w:r>
              <w:rPr>
                <w:rFonts w:ascii="Times New Roman"/>
                <w:sz w:val="18"/>
              </w:rPr>
              <w:t>0.96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0.96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电汇</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0.96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sz w:val="18"/>
              </w:rPr>
              <w:t>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61"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1,500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71"/>
              <w:jc w:val="right"/>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37"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0"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年未对日常关联交易进行预计。公司与中国信科及其下属单位的关联方采</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1,574.25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万元，关联方销售</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558.47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万元。公司已于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日在深圳证券</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交易所网站及巨潮资讯网披露《关联交易公告》显示：</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年期初至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338" w:lineRule="auto" w:before="64"/>
              <w:ind w:left="16" w:right="1007"/>
              <w:jc w:val="left"/>
              <w:rPr>
                <w:rFonts w:ascii="宋体" w:hAnsi="宋体" w:cs="宋体" w:eastAsia="宋体" w:hint="default"/>
                <w:sz w:val="18"/>
                <w:szCs w:val="18"/>
              </w:rPr>
            </w:pPr>
            <w:r>
              <w:rPr>
                <w:rFonts w:ascii="宋体" w:hAnsi="宋体" w:cs="宋体" w:eastAsia="宋体" w:hint="default"/>
                <w:sz w:val="18"/>
                <w:szCs w:val="18"/>
              </w:rPr>
              <w:t>日累计向同一关联方采购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843.16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万元，向同一关联方销售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上述全部经公司第八届董事会第二十六次会议确认。</w:t>
            </w:r>
          </w:p>
        </w:tc>
      </w:tr>
      <w:tr>
        <w:trPr>
          <w:trHeight w:val="1016"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vMerge/>
            <w:tcBorders>
              <w:left w:val="single" w:sz="9" w:space="0" w:color="D2D2D2"/>
              <w:right w:val="single" w:sz="4" w:space="0" w:color="000000"/>
            </w:tcBorders>
          </w:tcPr>
          <w:p>
            <w:pPr/>
          </w:p>
        </w:tc>
      </w:tr>
      <w:tr>
        <w:trPr>
          <w:trHeight w:val="336"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0" w:type="dxa"/>
            <w:gridSpan w:val="10"/>
            <w:vMerge/>
            <w:tcBorders>
              <w:left w:val="single" w:sz="9" w:space="0" w:color="D2D2D2"/>
              <w:bottom w:val="single" w:sz="4" w:space="0" w:color="000000"/>
              <w:right w:val="single" w:sz="4" w:space="0" w:color="000000"/>
            </w:tcBorders>
          </w:tcPr>
          <w:p>
            <w:pPr/>
          </w:p>
        </w:tc>
      </w:tr>
      <w:tr>
        <w:trPr>
          <w:trHeight w:val="71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before="35"/>
        <w:ind w:right="0"/>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3"/>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0"/>
        <w:jc w:val="left"/>
      </w:pPr>
      <w:r>
        <w:rPr>
          <w:rFonts w:ascii="Times New Roman" w:hAnsi="Times New Roman" w:cs="Times New Roman" w:eastAsia="Times New Roman" w:hint="default"/>
        </w:rPr>
        <w:t>1</w:t>
      </w:r>
      <w:r>
        <w:rPr/>
        <w:t>、报告期内，公司向大唐电信科技产业控股有限公司和电信科学技术研究院有限公司申请的贷款发生额</w:t>
      </w:r>
      <w:r>
        <w:rPr>
          <w:spacing w:val="-34"/>
        </w:rPr>
        <w:t> </w:t>
      </w:r>
      <w:r>
        <w:rPr>
          <w:spacing w:val="-34"/>
        </w:rPr>
      </w:r>
      <w:r>
        <w:rPr/>
        <w:t>为</w:t>
      </w:r>
      <w:r>
        <w:rPr>
          <w:rFonts w:ascii="Times New Roman" w:hAnsi="Times New Roman" w:cs="Times New Roman" w:eastAsia="Times New Roman" w:hint="default"/>
        </w:rPr>
        <w:t>40,000</w:t>
      </w:r>
      <w:r>
        <w:rPr/>
        <w:t>万元，具体披露情况为：</w:t>
      </w:r>
    </w:p>
    <w:p>
      <w:pPr>
        <w:spacing w:line="240" w:lineRule="auto" w:before="5"/>
        <w:rPr>
          <w:rFonts w:ascii="宋体" w:hAnsi="宋体" w:cs="宋体" w:eastAsia="宋体" w:hint="default"/>
          <w:sz w:val="25"/>
          <w:szCs w:val="25"/>
        </w:rPr>
      </w:pPr>
    </w:p>
    <w:tbl>
      <w:tblPr>
        <w:tblW w:w="0" w:type="auto"/>
        <w:jc w:val="left"/>
        <w:tblInd w:w="139" w:type="dxa"/>
        <w:tblLayout w:type="fixed"/>
        <w:tblCellMar>
          <w:top w:w="0" w:type="dxa"/>
          <w:left w:w="0" w:type="dxa"/>
          <w:bottom w:w="0" w:type="dxa"/>
          <w:right w:w="0" w:type="dxa"/>
        </w:tblCellMar>
        <w:tblLook w:val="01E0"/>
      </w:tblPr>
      <w:tblGrid>
        <w:gridCol w:w="2552"/>
        <w:gridCol w:w="4532"/>
        <w:gridCol w:w="2575"/>
      </w:tblGrid>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2015-3-17</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第七届第三十九次董事会决议公告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2015-016</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2015-3-17</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关联交易公告（三）</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2015-022</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2015-4-10</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z w:val="20"/>
                <w:szCs w:val="20"/>
              </w:rPr>
              <w:t>年度股东大会决议公告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2015-036</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2017-3-22</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第七届第六十八次董事会决议公告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2017-009</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2017-3-22</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关联交易公告（三）</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2017-012</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2017-4-13</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2016</w:t>
            </w:r>
            <w:r>
              <w:rPr>
                <w:rFonts w:ascii="宋体" w:hAnsi="宋体" w:cs="宋体" w:eastAsia="宋体" w:hint="default"/>
                <w:spacing w:val="-3"/>
                <w:sz w:val="20"/>
                <w:szCs w:val="20"/>
              </w:rPr>
              <w:t> </w:t>
            </w:r>
            <w:r>
              <w:rPr>
                <w:rFonts w:ascii="宋体" w:hAnsi="宋体" w:cs="宋体" w:eastAsia="宋体" w:hint="default"/>
                <w:sz w:val="20"/>
                <w:szCs w:val="20"/>
              </w:rPr>
              <w:t>年度股东大会决议公告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2017-021</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2018-3-27</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关联交易公告（三）</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2018-023</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2018-3-31</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第八届第十次董事会决议公告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2018-028</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2018-4-18</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3"/>
                <w:sz w:val="20"/>
                <w:szCs w:val="20"/>
              </w:rPr>
              <w:t> </w:t>
            </w:r>
            <w:r>
              <w:rPr>
                <w:rFonts w:ascii="宋体" w:hAnsi="宋体" w:cs="宋体" w:eastAsia="宋体" w:hint="default"/>
                <w:sz w:val="20"/>
                <w:szCs w:val="20"/>
              </w:rPr>
              <w:t>年度股东大会决议公告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2018-038</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2018-11-21</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第八届第二十次董事会决议公告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2018-100</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2018-11-21</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关联交易公告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2018-102</w:t>
            </w: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2018-12-8</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2018</w:t>
            </w:r>
            <w:r>
              <w:rPr>
                <w:rFonts w:ascii="宋体" w:hAnsi="宋体" w:cs="宋体" w:eastAsia="宋体" w:hint="default"/>
                <w:spacing w:val="-3"/>
                <w:sz w:val="20"/>
                <w:szCs w:val="20"/>
              </w:rPr>
              <w:t> </w:t>
            </w:r>
            <w:r>
              <w:rPr>
                <w:rFonts w:ascii="宋体" w:hAnsi="宋体" w:cs="宋体" w:eastAsia="宋体" w:hint="default"/>
                <w:sz w:val="20"/>
                <w:szCs w:val="20"/>
              </w:rPr>
              <w:t>年第七次临时股东大会决议公告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2018-110</w:t>
            </w:r>
          </w:p>
        </w:tc>
      </w:tr>
    </w:tbl>
    <w:p>
      <w:pPr>
        <w:spacing w:line="240" w:lineRule="auto" w:before="0"/>
        <w:rPr>
          <w:rFonts w:ascii="宋体" w:hAnsi="宋体" w:cs="宋体" w:eastAsia="宋体" w:hint="default"/>
          <w:sz w:val="20"/>
          <w:szCs w:val="20"/>
        </w:rPr>
      </w:pPr>
    </w:p>
    <w:p>
      <w:pPr>
        <w:pStyle w:val="BodyText"/>
        <w:spacing w:line="240" w:lineRule="auto" w:before="35"/>
        <w:ind w:right="0"/>
        <w:jc w:val="left"/>
      </w:pPr>
      <w:r>
        <w:rPr>
          <w:rFonts w:ascii="Times New Roman" w:hAnsi="Times New Roman" w:cs="Times New Roman" w:eastAsia="Times New Roman" w:hint="default"/>
        </w:rPr>
        <w:t>2</w:t>
      </w:r>
      <w:r>
        <w:rPr/>
        <w:t>、报告期内，公司和大唐电信集团财务有限公司签订了《金融服务协议》，具体披露情况为：</w:t>
      </w:r>
    </w:p>
    <w:p>
      <w:pPr>
        <w:spacing w:line="240" w:lineRule="auto" w:before="8"/>
        <w:rPr>
          <w:rFonts w:ascii="宋体" w:hAnsi="宋体" w:cs="宋体" w:eastAsia="宋体" w:hint="default"/>
          <w:sz w:val="26"/>
          <w:szCs w:val="26"/>
        </w:rPr>
      </w:pPr>
    </w:p>
    <w:tbl>
      <w:tblPr>
        <w:tblW w:w="0" w:type="auto"/>
        <w:jc w:val="left"/>
        <w:tblInd w:w="139" w:type="dxa"/>
        <w:tblLayout w:type="fixed"/>
        <w:tblCellMar>
          <w:top w:w="0" w:type="dxa"/>
          <w:left w:w="0" w:type="dxa"/>
          <w:bottom w:w="0" w:type="dxa"/>
          <w:right w:w="0" w:type="dxa"/>
        </w:tblCellMar>
        <w:tblLook w:val="01E0"/>
      </w:tblPr>
      <w:tblGrid>
        <w:gridCol w:w="2552"/>
        <w:gridCol w:w="4532"/>
        <w:gridCol w:w="2575"/>
      </w:tblGrid>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时间</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公告名称</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公告编号</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sz w:val="20"/>
              </w:rPr>
              <w:t>2018-3-27</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关联交易公告（二）</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sz w:val="20"/>
              </w:rPr>
              <w:t>2018-022</w:t>
            </w:r>
          </w:p>
        </w:tc>
      </w:tr>
      <w:tr>
        <w:trPr>
          <w:trHeight w:val="34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sz w:val="20"/>
              </w:rPr>
              <w:t>2018-3-31</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第八届第十次董事会决议公告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sz w:val="20"/>
              </w:rPr>
              <w:t>2018-028</w:t>
            </w:r>
          </w:p>
        </w:tc>
      </w:tr>
    </w:tbl>
    <w:p>
      <w:pPr>
        <w:spacing w:after="0" w:line="240" w:lineRule="auto"/>
        <w:jc w:val="left"/>
        <w:rPr>
          <w:rFonts w:ascii="宋体" w:hAnsi="宋体" w:cs="宋体" w:eastAsia="宋体" w:hint="default"/>
          <w:sz w:val="20"/>
          <w:szCs w:val="20"/>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2554"/>
        <w:gridCol w:w="4532"/>
        <w:gridCol w:w="2575"/>
      </w:tblGrid>
      <w:tr>
        <w:trPr>
          <w:trHeight w:val="342" w:hRule="exact"/>
        </w:trPr>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2018-4-18</w:t>
            </w:r>
          </w:p>
        </w:tc>
        <w:tc>
          <w:tcPr>
            <w:tcW w:w="4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2017</w:t>
            </w:r>
            <w:r>
              <w:rPr>
                <w:rFonts w:ascii="宋体" w:hAnsi="宋体" w:cs="宋体" w:eastAsia="宋体" w:hint="default"/>
                <w:spacing w:val="-3"/>
                <w:sz w:val="20"/>
                <w:szCs w:val="20"/>
              </w:rPr>
              <w:t> </w:t>
            </w:r>
            <w:r>
              <w:rPr>
                <w:rFonts w:ascii="宋体" w:hAnsi="宋体" w:cs="宋体" w:eastAsia="宋体" w:hint="default"/>
                <w:sz w:val="20"/>
                <w:szCs w:val="20"/>
              </w:rPr>
              <w:t>年度股东大会决议公告</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sz w:val="20"/>
              </w:rPr>
              <w:t>2018-038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第八届第十次董事会决议公告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第八届第二十次董事会决议公告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年第七次临时股东大会决议公告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4"/>
              <w:jc w:val="left"/>
              <w:rPr>
                <w:rFonts w:ascii="宋体" w:hAnsi="宋体" w:cs="宋体" w:eastAsia="宋体" w:hint="default"/>
                <w:sz w:val="18"/>
                <w:szCs w:val="18"/>
              </w:rPr>
            </w:pPr>
            <w:r>
              <w:rPr>
                <w:rFonts w:ascii="宋体" w:hAnsi="宋体" w:cs="宋体" w:eastAsia="宋体" w:hint="default"/>
                <w:sz w:val="18"/>
                <w:szCs w:val="18"/>
              </w:rPr>
              <w:t>大唐融合信息服务有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2018-3-13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大唐融合信息服务有</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2019-4-1</w:t>
            </w: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大唐融合信息服务有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244.51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2019-5-30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大唐融合信息服务有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2019-6-5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大唐融合信息服务有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2,181.27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2019-6-20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大唐融合信息服务有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2019-6-7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6"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2018-8-22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2018-11-5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2019-8-21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北京大唐高鸿科技发 展有限公司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2018-10-29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2018-6-14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2018-11-19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2019-6-14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2019-10-15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大唐高鸿信息技术有</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2019-11-8</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北京大唐高鸿科技发 展有限公司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4,179.24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2018-10-30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2019-10-30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北京大唐高鸿科技发 展有限公司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820.76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2019-12-12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2019-11-13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2019-11-27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2018-8-10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2017-10-16</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2018-7-20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2018-6-2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2018-6-7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2019-7-24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2019-7-24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2019-9-3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2018-8-5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2019-8-1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2019-8-6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143.539993pt;margin-top:72.47998pt;width:43.4pt;height:17.650pt;mso-position-horizontal-relative:page;mso-position-vertical-relative:page;z-index:-1545448" coordorigin="2871,1450" coordsize="868,353">
            <v:shape style="position:absolute;left:2871;top:1450;width:868;height:353" coordorigin="2871,1450" coordsize="868,353" path="m2871,1802l3738,1802,3738,1450,2871,1450,2871,1802xe" filled="true" fillcolor="#ffffff" stroked="false">
              <v:path arrowok="t"/>
              <v:fill type="solid"/>
            </v:shape>
            <w10:wrap type="none"/>
          </v:group>
        </w:pict>
      </w:r>
      <w:r>
        <w:rPr/>
        <w:pict>
          <v:group style="position:absolute;margin-left:143.539993pt;margin-top:519.820007pt;width:43.4pt;height:17.650pt;mso-position-horizontal-relative:page;mso-position-vertical-relative:page;z-index:-1545424" coordorigin="2871,10396" coordsize="868,353">
            <v:shape style="position:absolute;left:2871;top:10396;width:868;height:353" coordorigin="2871,10396" coordsize="868,353" path="m2871,10749l3738,10749,3738,10396,2871,10396,2871,1074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宋体" w:hAnsi="宋体" w:cs="宋体" w:eastAsia="宋体" w:hint="default"/>
                <w:sz w:val="18"/>
                <w:szCs w:val="18"/>
              </w:rPr>
            </w:pPr>
            <w:r>
              <w:rPr>
                <w:rFonts w:ascii="宋体" w:hAnsi="宋体" w:cs="宋体" w:eastAsia="宋体" w:hint="default"/>
                <w:spacing w:val="-10"/>
                <w:sz w:val="18"/>
                <w:szCs w:val="18"/>
              </w:rPr>
              <w:t>大唐广电科技（武汉）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92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2018-10-31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大唐融合（贵阳）科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2018-7-27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大唐融合（哈尔滨） 云数科技有限公司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2017-10-24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2018-10-23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大唐融合（盘锦）科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2018-7-27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110.56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大唐融合（盘锦）科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大唐融合（盘锦）科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大唐融合（盘锦）科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2018-10-19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大唐融合（盘锦）科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大唐融合（哈尔滨） 云数科技有限公司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2019-11-8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4"/>
              <w:jc w:val="left"/>
              <w:rPr>
                <w:rFonts w:ascii="宋体" w:hAnsi="宋体" w:cs="宋体" w:eastAsia="宋体" w:hint="default"/>
                <w:sz w:val="18"/>
                <w:szCs w:val="18"/>
              </w:rPr>
            </w:pPr>
            <w:r>
              <w:rPr>
                <w:rFonts w:ascii="宋体" w:hAnsi="宋体" w:cs="宋体" w:eastAsia="宋体" w:hint="default"/>
                <w:spacing w:val="-10"/>
                <w:sz w:val="18"/>
                <w:szCs w:val="18"/>
              </w:rPr>
              <w:t>大唐广电科技（武汉）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w:t>
            </w:r>
          </w:p>
        </w:tc>
        <w:tc>
          <w:tcPr>
            <w:tcW w:w="92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2018-11-13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2019-11-12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大唐融合（贵阳）科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大唐融合（贵阳）科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大唐融合（贵阳）科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2018-10-19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大唐融合（贵阳）科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大唐融合通信无锡有</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2019-11-8</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2018-11-15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2019-11-8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2019-3-27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贵州大唐高鸿置业有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2023-12-25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2018-11-15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2018-10-17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2019-8-29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2018-9-12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2017-11-20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2018-11-13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2019-9-12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2019-11-14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2019-2-9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578.57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2018-1-18</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191.3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2018-4-18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2018-4-20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295.54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2018-4-27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2018-8-14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2018-12-18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2017-12-18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2018-12-18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954.66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2019-3-26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2018-9-30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545.34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2019-6-19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2019-5-16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2018-12-11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1,499.77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2018-2-8</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2018-4-19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2019-4-27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北京高阳捷迅信息技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连带责任保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2019-4-20</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2019-9-6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2019-9-19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2019-8-26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2018-11-16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2019-11-16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2019-7-5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2019-12-19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sz w:val="18"/>
              </w:rPr>
              <w:t>2018-1-4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1,867.95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2018-3-22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2018-7-11</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2018-8-13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2018-8-13</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江苏高鸿鼎远信息科 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2018-12-14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2019-6-14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2018-6-4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1,406.02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2018-6-25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2019-6-6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1,401.04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2018-12-27</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2"/>
        <w:gridCol w:w="1305"/>
        <w:gridCol w:w="1054"/>
        <w:gridCol w:w="1044"/>
        <w:gridCol w:w="1046"/>
        <w:gridCol w:w="791"/>
        <w:gridCol w:w="785"/>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大唐融合通信股份有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2019-3-19</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22.09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2015-10-20</w:t>
            </w:r>
          </w:p>
          <w:p>
            <w:pPr>
              <w:pStyle w:val="TableParagraph"/>
              <w:spacing w:line="240" w:lineRule="auto" w:before="6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2019-4-30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2018-3-23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61.97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2018-3-23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65.09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2019-7-21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42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2020-12-30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460.79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2016-12-23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2019-12-26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134.44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2016-12-23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2020-12-26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2022-5-10</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2018-6-13</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2018-6-27</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309,600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272,832</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367,500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151,836.98</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2018-6-26</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2019-6-25</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2018-8-24</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3"/>
              <w:jc w:val="center"/>
              <w:rPr>
                <w:rFonts w:ascii="宋体" w:hAnsi="宋体" w:cs="宋体" w:eastAsia="宋体" w:hint="default"/>
                <w:sz w:val="18"/>
                <w:szCs w:val="18"/>
              </w:rPr>
            </w:pPr>
            <w:r>
              <w:rPr>
                <w:rFonts w:ascii="宋体" w:hAnsi="宋体" w:cs="宋体" w:eastAsia="宋体" w:hint="default"/>
                <w:sz w:val="18"/>
                <w:szCs w:val="18"/>
              </w:rPr>
              <w:t>大唐融合通信无锡有</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19"/>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698"/>
        <w:gridCol w:w="914"/>
        <w:gridCol w:w="920"/>
        <w:gridCol w:w="1313"/>
        <w:gridCol w:w="1044"/>
        <w:gridCol w:w="1048"/>
        <w:gridCol w:w="1051"/>
        <w:gridCol w:w="786"/>
        <w:gridCol w:w="790"/>
      </w:tblGrid>
      <w:tr>
        <w:trPr>
          <w:trHeight w:val="362"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sz w:val="18"/>
              </w:rPr>
              <w:t>2018-8-24</w:t>
            </w:r>
          </w:p>
        </w:tc>
        <w:tc>
          <w:tcPr>
            <w:tcW w:w="786"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2017-10-25</w:t>
            </w:r>
          </w:p>
          <w:p>
            <w:pPr>
              <w:pStyle w:val="TableParagraph"/>
              <w:spacing w:line="240" w:lineRule="auto" w:before="65"/>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2018-9-21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3"/>
              <w:ind w:left="28" w:right="0"/>
              <w:jc w:val="left"/>
              <w:rPr>
                <w:rFonts w:ascii="Times New Roman" w:hAnsi="Times New Roman" w:cs="Times New Roman" w:eastAsia="Times New Roman" w:hint="default"/>
                <w:sz w:val="18"/>
                <w:szCs w:val="18"/>
              </w:rPr>
            </w:pPr>
            <w:r>
              <w:rPr>
                <w:rFonts w:ascii="Times New Roman"/>
                <w:sz w:val="18"/>
              </w:rPr>
              <w:t>2018-9-21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2019-9-19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大唐融合通信无锡有 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560</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2"/>
              <w:ind w:left="28" w:right="0"/>
              <w:jc w:val="left"/>
              <w:rPr>
                <w:rFonts w:ascii="Times New Roman" w:hAnsi="Times New Roman" w:cs="Times New Roman" w:eastAsia="Times New Roman" w:hint="default"/>
                <w:sz w:val="18"/>
                <w:szCs w:val="18"/>
              </w:rPr>
            </w:pPr>
            <w:r>
              <w:rPr>
                <w:rFonts w:ascii="Times New Roman"/>
                <w:sz w:val="18"/>
              </w:rPr>
              <w:t>2018-9-20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6,960</w:t>
            </w:r>
          </w:p>
        </w:tc>
      </w:tr>
      <w:tr>
        <w:trPr>
          <w:trHeight w:val="719"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8,440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2,700</w:t>
            </w:r>
          </w:p>
        </w:tc>
      </w:tr>
      <w:tr>
        <w:trPr>
          <w:trHeight w:val="392"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2"/>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314,600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286,792</w:t>
            </w:r>
          </w:p>
        </w:tc>
      </w:tr>
      <w:tr>
        <w:trPr>
          <w:trHeight w:val="714" w:hRule="exact"/>
        </w:trPr>
        <w:tc>
          <w:tcPr>
            <w:tcW w:w="26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382,940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159,536.98</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48.02%</w:t>
            </w:r>
          </w:p>
        </w:tc>
      </w:tr>
      <w:tr>
        <w:trPr>
          <w:trHeight w:val="393"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w:t>
            </w:r>
          </w:p>
        </w:tc>
      </w:tr>
      <w:tr>
        <w:trPr>
          <w:trHeight w:val="714"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after="0" w:line="3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101"/>
      <w:bookmarkEnd w:id="101"/>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102"/>
      <w:bookmarkEnd w:id="102"/>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spacing w:before="0"/>
        <w:ind w:left="437" w:right="0" w:firstLine="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年，公司严格按照相关法律法规的要求，并根据自身的实际情况积极履行社会责任：</w:t>
      </w:r>
    </w:p>
    <w:p>
      <w:pPr>
        <w:spacing w:line="316" w:lineRule="auto" w:before="77"/>
        <w:ind w:left="43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）履行好信息披露义务，切实保护投资者利益。 </w:t>
      </w:r>
      <w:r>
        <w:rPr>
          <w:rFonts w:ascii="宋体" w:hAnsi="宋体" w:cs="宋体" w:eastAsia="宋体" w:hint="default"/>
          <w:spacing w:val="-1"/>
          <w:sz w:val="18"/>
          <w:szCs w:val="18"/>
        </w:rPr>
        <w:t>公司严格遵守公平信息披露原则，通过电话交流、电子邮件、业绩说明会、投资者互动平台等多种方式，与投资者保持</w:t>
      </w:r>
    </w:p>
    <w:p>
      <w:pPr>
        <w:spacing w:line="316" w:lineRule="auto" w:before="19"/>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了良好沟通。公司重视在不断发展中为投资者持续创造稳定增长的利润，并根据公司的经营情况实行利润分配政策，让投资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者分享收益。</w:t>
      </w:r>
    </w:p>
    <w:p>
      <w:pPr>
        <w:spacing w:line="316" w:lineRule="auto" w:before="19"/>
        <w:ind w:left="154" w:right="1131" w:firstLine="283"/>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）重视人才培养，关注员工与企业的共同成长。</w:t>
      </w:r>
      <w:r>
        <w:rPr>
          <w:rFonts w:ascii="宋体" w:hAnsi="宋体" w:cs="宋体" w:eastAsia="宋体" w:hint="default"/>
          <w:spacing w:val="-7"/>
          <w:sz w:val="18"/>
          <w:szCs w:val="18"/>
        </w:rPr>
        <w:t> </w:t>
      </w:r>
      <w:r>
        <w:rPr>
          <w:rFonts w:ascii="宋体" w:hAnsi="宋体" w:cs="宋体" w:eastAsia="宋体" w:hint="default"/>
          <w:sz w:val="18"/>
          <w:szCs w:val="18"/>
        </w:rPr>
        <w:t>公司将思想管理和党建工作相结合作为各级管理工作之首要。创造</w:t>
      </w:r>
      <w:r>
        <w:rPr>
          <w:rFonts w:ascii="宋体" w:hAnsi="宋体" w:cs="宋体" w:eastAsia="宋体" w:hint="default"/>
          <w:sz w:val="18"/>
          <w:szCs w:val="18"/>
        </w:rPr>
        <w:t> </w:t>
      </w:r>
      <w:r>
        <w:rPr>
          <w:rFonts w:ascii="宋体" w:hAnsi="宋体" w:cs="宋体" w:eastAsia="宋体" w:hint="default"/>
          <w:spacing w:val="-2"/>
          <w:sz w:val="18"/>
          <w:szCs w:val="18"/>
        </w:rPr>
        <w:t>良好的工作条件，有吸引力的薪酬待遇，公正的成长竞争环境，和谐温暖的人文关怀，来招揽、培养、激励、回报员工，留</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住有能力、高品格、有奉献精神的优秀人员。开展多种形式的岗前培训、外派培训，适时更新和提高各岗位人员职业所需的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技能，确保现有员工均能胜任目前所处的工作岗位。</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履行精准扶贫社会责任情况" w:id="103"/>
      <w:bookmarkEnd w:id="103"/>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104"/>
      <w:bookmarkEnd w:id="104"/>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30" w:firstLine="283"/>
        <w:jc w:val="both"/>
        <w:rPr>
          <w:rFonts w:ascii="宋体" w:hAnsi="宋体" w:cs="宋体" w:eastAsia="宋体" w:hint="default"/>
          <w:sz w:val="18"/>
          <w:szCs w:val="18"/>
        </w:rPr>
      </w:pPr>
      <w:r>
        <w:rPr>
          <w:rFonts w:ascii="宋体" w:hAnsi="宋体" w:cs="宋体" w:eastAsia="宋体" w:hint="default"/>
          <w:spacing w:val="-1"/>
          <w:sz w:val="18"/>
          <w:szCs w:val="18"/>
        </w:rPr>
        <w:t>基本方略：全面贯彻党的十九大和十九届二中、三中全会精神，以习近平新时代中国特色社会主义思想为指导，坚持精</w:t>
      </w:r>
      <w:r>
        <w:rPr>
          <w:rFonts w:ascii="宋体" w:hAnsi="宋体" w:cs="宋体" w:eastAsia="宋体" w:hint="default"/>
          <w:sz w:val="18"/>
          <w:szCs w:val="18"/>
        </w:rPr>
        <w:t> </w:t>
      </w:r>
      <w:r>
        <w:rPr>
          <w:rFonts w:ascii="宋体" w:hAnsi="宋体" w:cs="宋体" w:eastAsia="宋体" w:hint="default"/>
          <w:spacing w:val="-2"/>
          <w:sz w:val="18"/>
          <w:szCs w:val="18"/>
        </w:rPr>
        <w:t>准扶贫精准脱贫基本方略，坚持大扶贫工作格局，坚持脱贫攻坚目标和现行扶贫标准，下足绣花功夫，着力激发贫困人口内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生动力，着力夯实贫困人口稳定脱贫基础，着力加强扶贫领域作风建设，切实提高贫困人口获得感，确保到</w:t>
      </w:r>
      <w:r>
        <w:rPr>
          <w:rFonts w:ascii="宋体" w:hAnsi="宋体" w:cs="宋体" w:eastAsia="宋体" w:hint="default"/>
          <w:spacing w:val="-2"/>
          <w:sz w:val="18"/>
          <w:szCs w:val="18"/>
        </w:rPr>
        <w:t>2020</w:t>
      </w:r>
      <w:r>
        <w:rPr>
          <w:rFonts w:ascii="宋体" w:hAnsi="宋体" w:cs="宋体" w:eastAsia="宋体" w:hint="default"/>
          <w:spacing w:val="-2"/>
          <w:sz w:val="18"/>
          <w:szCs w:val="18"/>
        </w:rPr>
        <w:t>年贫困地区</w:t>
      </w:r>
      <w:r>
        <w:rPr>
          <w:rFonts w:ascii="宋体" w:hAnsi="宋体" w:cs="宋体" w:eastAsia="宋体" w:hint="default"/>
          <w:spacing w:val="-62"/>
          <w:sz w:val="18"/>
          <w:szCs w:val="18"/>
        </w:rPr>
        <w:t> </w:t>
      </w:r>
      <w:r>
        <w:rPr>
          <w:rFonts w:ascii="宋体" w:hAnsi="宋体" w:cs="宋体" w:eastAsia="宋体" w:hint="default"/>
          <w:sz w:val="18"/>
          <w:szCs w:val="18"/>
        </w:rPr>
        <w:t>和贫困群众同全国一道进入全面小康社会，为实施乡村振兴战略打好基础。</w:t>
      </w:r>
    </w:p>
    <w:p>
      <w:pPr>
        <w:spacing w:line="319" w:lineRule="auto" w:before="19"/>
        <w:ind w:left="437" w:right="2009" w:firstLine="0"/>
        <w:jc w:val="left"/>
        <w:rPr>
          <w:rFonts w:ascii="宋体" w:hAnsi="宋体" w:cs="宋体" w:eastAsia="宋体" w:hint="default"/>
          <w:sz w:val="18"/>
          <w:szCs w:val="18"/>
        </w:rPr>
      </w:pPr>
      <w:r>
        <w:rPr>
          <w:rFonts w:ascii="宋体" w:hAnsi="宋体" w:cs="宋体" w:eastAsia="宋体" w:hint="default"/>
          <w:sz w:val="18"/>
          <w:szCs w:val="18"/>
        </w:rPr>
        <w:t>总体目标：公司通过子公司大唐融合重点实施，到对口帮扶的国家级贫困县沈丘县，落实扶贫攻坚任务。 主要任务： </w:t>
      </w:r>
      <w:r>
        <w:rPr>
          <w:rFonts w:ascii="宋体" w:hAnsi="宋体" w:cs="宋体" w:eastAsia="宋体" w:hint="default"/>
          <w:sz w:val="18"/>
          <w:szCs w:val="18"/>
        </w:rPr>
        <w:t>a.</w:t>
      </w:r>
      <w:r>
        <w:rPr>
          <w:rFonts w:ascii="宋体" w:hAnsi="宋体" w:cs="宋体" w:eastAsia="宋体" w:hint="default"/>
          <w:sz w:val="18"/>
          <w:szCs w:val="18"/>
        </w:rPr>
        <w:t>积极推进服务外包产业园建设及服务外包产业基地群建设，扩大央企联合扶贫成果，积极推进就业扶贫。 </w:t>
      </w:r>
      <w:r>
        <w:rPr>
          <w:rFonts w:ascii="宋体" w:hAnsi="宋体" w:cs="宋体" w:eastAsia="宋体" w:hint="default"/>
          <w:sz w:val="18"/>
          <w:szCs w:val="18"/>
        </w:rPr>
        <w:t>b.</w:t>
      </w:r>
      <w:r>
        <w:rPr>
          <w:rFonts w:ascii="宋体" w:hAnsi="宋体" w:cs="宋体" w:eastAsia="宋体" w:hint="default"/>
          <w:sz w:val="18"/>
          <w:szCs w:val="18"/>
        </w:rPr>
        <w:t>推进“智慧沈丘”建设</w:t>
      </w:r>
    </w:p>
    <w:p>
      <w:pPr>
        <w:spacing w:before="17"/>
        <w:ind w:left="437" w:right="0" w:firstLine="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z w:val="18"/>
          <w:szCs w:val="18"/>
        </w:rPr>
        <w:t>加强人才培训培养、做好扶志扶智工作。</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spacing w:line="316" w:lineRule="auto" w:before="44"/>
        <w:ind w:left="437" w:right="6329" w:firstLine="0"/>
        <w:jc w:val="left"/>
        <w:rPr>
          <w:rFonts w:ascii="宋体" w:hAnsi="宋体" w:cs="宋体" w:eastAsia="宋体" w:hint="default"/>
          <w:sz w:val="18"/>
          <w:szCs w:val="18"/>
        </w:rPr>
      </w:pPr>
      <w:r>
        <w:rPr>
          <w:rFonts w:ascii="宋体" w:hAnsi="宋体" w:cs="宋体" w:eastAsia="宋体" w:hint="default"/>
          <w:sz w:val="18"/>
          <w:szCs w:val="18"/>
        </w:rPr>
        <w:t>d.</w:t>
      </w:r>
      <w:r>
        <w:rPr>
          <w:rFonts w:ascii="宋体" w:hAnsi="宋体" w:cs="宋体" w:eastAsia="宋体" w:hint="default"/>
          <w:sz w:val="18"/>
          <w:szCs w:val="18"/>
        </w:rPr>
        <w:t>着力发展农村电子商务，落实消费扶贫。 </w:t>
      </w:r>
      <w:r>
        <w:rPr>
          <w:rFonts w:ascii="宋体" w:hAnsi="宋体" w:cs="宋体" w:eastAsia="宋体" w:hint="default"/>
          <w:sz w:val="18"/>
          <w:szCs w:val="18"/>
        </w:rPr>
        <w:t>e.</w:t>
      </w:r>
      <w:r>
        <w:rPr>
          <w:rFonts w:ascii="宋体" w:hAnsi="宋体" w:cs="宋体" w:eastAsia="宋体" w:hint="default"/>
          <w:sz w:val="18"/>
          <w:szCs w:val="18"/>
        </w:rPr>
        <w:t>持续做好工作落实及扶贫领域作风整顿工作。 保障措施： </w:t>
      </w:r>
      <w:r>
        <w:rPr>
          <w:rFonts w:ascii="宋体" w:hAnsi="宋体" w:cs="宋体" w:eastAsia="宋体" w:hint="default"/>
          <w:sz w:val="18"/>
          <w:szCs w:val="18"/>
        </w:rPr>
        <w:t>a.</w:t>
      </w:r>
      <w:r>
        <w:rPr>
          <w:rFonts w:ascii="宋体" w:hAnsi="宋体" w:cs="宋体" w:eastAsia="宋体" w:hint="default"/>
          <w:sz w:val="18"/>
          <w:szCs w:val="18"/>
        </w:rPr>
        <w:t>成立精准扶贫工作小组，扎实做好精准扶贫工作。</w:t>
      </w:r>
    </w:p>
    <w:p>
      <w:pPr>
        <w:spacing w:before="19"/>
        <w:ind w:left="797" w:right="0" w:firstLine="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z w:val="18"/>
          <w:szCs w:val="18"/>
        </w:rPr>
        <w:t>建立健全对接部门工作联系机制，做好日常沟通协调等工作，保障各扶贫项目顺利开展，取得成效。</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年度精准扶贫概要" w:id="105"/>
      <w:bookmarkEnd w:id="105"/>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0" w:firstLine="283"/>
        <w:jc w:val="left"/>
        <w:rPr>
          <w:rFonts w:ascii="宋体" w:hAnsi="宋体" w:cs="宋体" w:eastAsia="宋体" w:hint="default"/>
          <w:sz w:val="18"/>
          <w:szCs w:val="18"/>
        </w:rPr>
      </w:pPr>
      <w:r>
        <w:rPr>
          <w:rFonts w:ascii="宋体" w:hAnsi="宋体" w:cs="宋体" w:eastAsia="宋体" w:hint="default"/>
          <w:sz w:val="18"/>
          <w:szCs w:val="18"/>
        </w:rPr>
        <w:t>公司积极响应中央号召，深刻认识到扶贫开发的重大意义和脱贫攻坚的艰巨性、紧迫性，以高度的政治责任感和历史使 </w:t>
      </w:r>
      <w:r>
        <w:rPr>
          <w:rFonts w:ascii="宋体" w:hAnsi="宋体" w:cs="宋体" w:eastAsia="宋体" w:hint="default"/>
          <w:spacing w:val="-2"/>
          <w:sz w:val="18"/>
          <w:szCs w:val="18"/>
        </w:rPr>
        <w:t>命感，坚决贯彻执行党中央、国务院关于脱贫攻坚的重大决策部署。通过精心调研，结合沈丘产业结构、人员等实际情况以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及大唐融合产业优势，明确了“授人以鱼不如授人以渔”的扶贫思路，制订了详细的扶贫计划。</w:t>
      </w: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月在沈丘县设立子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公司，建设</w:t>
      </w:r>
      <w:r>
        <w:rPr>
          <w:rFonts w:ascii="宋体" w:hAnsi="宋体" w:cs="宋体" w:eastAsia="宋体" w:hint="default"/>
          <w:spacing w:val="-2"/>
          <w:sz w:val="18"/>
          <w:szCs w:val="18"/>
        </w:rPr>
        <w:t>1500</w:t>
      </w:r>
      <w:r>
        <w:rPr>
          <w:rFonts w:ascii="宋体" w:hAnsi="宋体" w:cs="宋体" w:eastAsia="宋体" w:hint="default"/>
          <w:spacing w:val="-2"/>
          <w:sz w:val="18"/>
          <w:szCs w:val="18"/>
        </w:rPr>
        <w:t>席位的呼叫中心外包基地，围绕呼叫外包服务，安排就业、培训</w:t>
      </w:r>
      <w:r>
        <w:rPr>
          <w:rFonts w:ascii="宋体" w:hAnsi="宋体" w:cs="宋体" w:eastAsia="宋体" w:hint="default"/>
          <w:spacing w:val="-2"/>
          <w:sz w:val="18"/>
          <w:szCs w:val="18"/>
        </w:rPr>
        <w:t>1500</w:t>
      </w:r>
      <w:r>
        <w:rPr>
          <w:rFonts w:ascii="宋体" w:hAnsi="宋体" w:cs="宋体" w:eastAsia="宋体" w:hint="default"/>
          <w:spacing w:val="-2"/>
          <w:sz w:val="18"/>
          <w:szCs w:val="18"/>
        </w:rPr>
        <w:t>余人，培养基层管理人员数十人，</w:t>
      </w:r>
      <w:r>
        <w:rPr>
          <w:rFonts w:ascii="宋体" w:hAnsi="宋体" w:cs="宋体" w:eastAsia="宋体" w:hint="default"/>
          <w:spacing w:val="-2"/>
          <w:sz w:val="18"/>
          <w:szCs w:val="18"/>
        </w:rPr>
        <w:t>2019</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2"/>
          <w:sz w:val="18"/>
          <w:szCs w:val="18"/>
        </w:rPr>
        <w:t>年公司坚持项目扶贫为主的造血式扶贫，积极推进就业扶贫，放宽人员录用标准，对建档立卡贫困户实行长期培训并优先安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排到效益好的项目中，确保“一人就业、全家脱贫”。</w:t>
      </w:r>
      <w:r>
        <w:rPr>
          <w:rFonts w:ascii="宋体" w:hAnsi="宋体" w:cs="宋体" w:eastAsia="宋体" w:hint="default"/>
          <w:spacing w:val="-3"/>
          <w:sz w:val="18"/>
          <w:szCs w:val="18"/>
        </w:rPr>
        <w:t>2018</w:t>
      </w:r>
      <w:r>
        <w:rPr>
          <w:rFonts w:ascii="宋体" w:hAnsi="宋体" w:cs="宋体" w:eastAsia="宋体" w:hint="default"/>
          <w:spacing w:val="-3"/>
          <w:sz w:val="18"/>
          <w:szCs w:val="18"/>
        </w:rPr>
        <w:t>年总计帮助建档立卡贫困人员</w:t>
      </w:r>
      <w:r>
        <w:rPr>
          <w:rFonts w:ascii="宋体" w:hAnsi="宋体" w:cs="宋体" w:eastAsia="宋体" w:hint="default"/>
          <w:spacing w:val="-3"/>
          <w:sz w:val="18"/>
          <w:szCs w:val="18"/>
        </w:rPr>
        <w:t>128</w:t>
      </w:r>
      <w:r>
        <w:rPr>
          <w:rFonts w:ascii="宋体" w:hAnsi="宋体" w:cs="宋体" w:eastAsia="宋体" w:hint="default"/>
          <w:spacing w:val="-3"/>
          <w:sz w:val="18"/>
          <w:szCs w:val="18"/>
        </w:rPr>
        <w:t>名，河南沈丘基地人工成本</w:t>
      </w:r>
      <w:r>
        <w:rPr>
          <w:rFonts w:ascii="宋体" w:hAnsi="宋体" w:cs="宋体" w:eastAsia="宋体" w:hint="default"/>
          <w:spacing w:val="-3"/>
          <w:sz w:val="18"/>
          <w:szCs w:val="18"/>
        </w:rPr>
        <w:t>1441</w:t>
      </w:r>
      <w:r>
        <w:rPr>
          <w:rFonts w:ascii="宋体" w:hAnsi="宋体" w:cs="宋体" w:eastAsia="宋体" w:hint="default"/>
          <w:spacing w:val="-84"/>
          <w:sz w:val="18"/>
          <w:szCs w:val="18"/>
        </w:rPr>
        <w:t> </w:t>
      </w:r>
      <w:r>
        <w:rPr>
          <w:rFonts w:ascii="宋体" w:hAnsi="宋体" w:cs="宋体" w:eastAsia="宋体" w:hint="default"/>
          <w:spacing w:val="-2"/>
          <w:sz w:val="18"/>
          <w:szCs w:val="18"/>
        </w:rPr>
        <w:t>余万元</w:t>
      </w:r>
      <w:r>
        <w:rPr>
          <w:rFonts w:ascii="宋体" w:hAnsi="宋体" w:cs="宋体" w:eastAsia="宋体" w:hint="default"/>
          <w:spacing w:val="-2"/>
          <w:sz w:val="18"/>
          <w:szCs w:val="18"/>
        </w:rPr>
        <w:t>,</w:t>
      </w:r>
      <w:r>
        <w:rPr>
          <w:rFonts w:ascii="宋体" w:hAnsi="宋体" w:cs="宋体" w:eastAsia="宋体" w:hint="default"/>
          <w:spacing w:val="-2"/>
          <w:sz w:val="18"/>
          <w:szCs w:val="18"/>
        </w:rPr>
        <w:t>实现了</w:t>
      </w:r>
      <w:r>
        <w:rPr>
          <w:rFonts w:ascii="宋体" w:hAnsi="宋体" w:cs="宋体" w:eastAsia="宋体" w:hint="default"/>
          <w:spacing w:val="-2"/>
          <w:sz w:val="18"/>
          <w:szCs w:val="18"/>
        </w:rPr>
        <w:t>2018</w:t>
      </w:r>
      <w:r>
        <w:rPr>
          <w:rFonts w:ascii="宋体" w:hAnsi="宋体" w:cs="宋体" w:eastAsia="宋体" w:hint="default"/>
          <w:spacing w:val="-2"/>
          <w:sz w:val="18"/>
          <w:szCs w:val="18"/>
        </w:rPr>
        <w:t>年原定建档立卡贫困人员在员工中占比</w:t>
      </w:r>
      <w:r>
        <w:rPr>
          <w:rFonts w:ascii="宋体" w:hAnsi="宋体" w:cs="宋体" w:eastAsia="宋体" w:hint="default"/>
          <w:spacing w:val="-2"/>
          <w:sz w:val="18"/>
          <w:szCs w:val="18"/>
        </w:rPr>
        <w:t>8%</w:t>
      </w:r>
      <w:r>
        <w:rPr>
          <w:rFonts w:ascii="宋体" w:hAnsi="宋体" w:cs="宋体" w:eastAsia="宋体" w:hint="default"/>
          <w:spacing w:val="-2"/>
          <w:sz w:val="18"/>
          <w:szCs w:val="18"/>
        </w:rPr>
        <w:t>的前期目标，并优先把贫困员工安排在公司的优质项目里工作，</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贫困家庭的劳务收入因此有了显著增加。沈丘基地将社会责任融入企业发展，勇于担当，确保精准扶贫目标如期实现，积极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履行“授人以鱼不如授人以渔”的扶贫方针。</w:t>
      </w:r>
    </w:p>
    <w:p>
      <w:pPr>
        <w:spacing w:line="316" w:lineRule="auto" w:before="19"/>
        <w:ind w:left="154" w:right="0" w:firstLine="283"/>
        <w:jc w:val="left"/>
        <w:rPr>
          <w:rFonts w:ascii="宋体" w:hAnsi="宋体" w:cs="宋体" w:eastAsia="宋体" w:hint="default"/>
          <w:sz w:val="18"/>
          <w:szCs w:val="18"/>
        </w:rPr>
      </w:pPr>
      <w:r>
        <w:rPr>
          <w:rFonts w:ascii="宋体" w:hAnsi="宋体" w:cs="宋体" w:eastAsia="宋体" w:hint="default"/>
          <w:sz w:val="18"/>
          <w:szCs w:val="18"/>
        </w:rPr>
        <w:t>继续实施金融扶贫，通过金融扶贫贷款项目带动贫困户</w:t>
      </w:r>
      <w:r>
        <w:rPr>
          <w:rFonts w:ascii="宋体" w:hAnsi="宋体" w:cs="宋体" w:eastAsia="宋体" w:hint="default"/>
          <w:sz w:val="18"/>
          <w:szCs w:val="18"/>
        </w:rPr>
        <w:t>600</w:t>
      </w:r>
      <w:r>
        <w:rPr>
          <w:rFonts w:ascii="宋体" w:hAnsi="宋体" w:cs="宋体" w:eastAsia="宋体" w:hint="default"/>
          <w:sz w:val="18"/>
          <w:szCs w:val="18"/>
        </w:rPr>
        <w:t>户，分散在沈丘县冯营乡、大刑庄镇、莲池镇、刘庄店镇、 洪山乡、卞路口乡、范营乡等</w:t>
      </w:r>
      <w:r>
        <w:rPr>
          <w:rFonts w:ascii="宋体" w:hAnsi="宋体" w:cs="宋体" w:eastAsia="宋体" w:hint="default"/>
          <w:sz w:val="18"/>
          <w:szCs w:val="18"/>
        </w:rPr>
        <w:t>7</w:t>
      </w:r>
      <w:r>
        <w:rPr>
          <w:rFonts w:ascii="宋体" w:hAnsi="宋体" w:cs="宋体" w:eastAsia="宋体" w:hint="default"/>
          <w:sz w:val="18"/>
          <w:szCs w:val="18"/>
        </w:rPr>
        <w:t>个乡镇，为每户每年分红</w:t>
      </w:r>
      <w:r>
        <w:rPr>
          <w:rFonts w:ascii="宋体" w:hAnsi="宋体" w:cs="宋体" w:eastAsia="宋体" w:hint="default"/>
          <w:sz w:val="18"/>
          <w:szCs w:val="18"/>
        </w:rPr>
        <w:t>2000</w:t>
      </w:r>
      <w:r>
        <w:rPr>
          <w:rFonts w:ascii="宋体" w:hAnsi="宋体" w:cs="宋体" w:eastAsia="宋体" w:hint="default"/>
          <w:sz w:val="18"/>
          <w:szCs w:val="18"/>
        </w:rPr>
        <w:t>元，共计帮扶建档立卡贫困户</w:t>
      </w:r>
      <w:r>
        <w:rPr>
          <w:rFonts w:ascii="宋体" w:hAnsi="宋体" w:cs="宋体" w:eastAsia="宋体" w:hint="default"/>
          <w:sz w:val="18"/>
          <w:szCs w:val="18"/>
        </w:rPr>
        <w:t>656</w:t>
      </w:r>
      <w:r>
        <w:rPr>
          <w:rFonts w:ascii="宋体" w:hAnsi="宋体" w:cs="宋体" w:eastAsia="宋体" w:hint="default"/>
          <w:sz w:val="18"/>
          <w:szCs w:val="18"/>
        </w:rPr>
        <w:t>户，真正做到了精准帮扶。</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精准扶贫成效" w:id="106"/>
      <w:bookmarkEnd w:id="106"/>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67"/>
        <w:gridCol w:w="1461"/>
        <w:gridCol w:w="4530"/>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2,331</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帮助建档立卡贫困人口脱贫数</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91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产业发展脱贫项目类型</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产业发展脱贫项目投入金额</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2,331</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帮助建档立卡贫困人口脱贫数</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 w:right="0"/>
              <w:jc w:val="center"/>
              <w:rPr>
                <w:rFonts w:ascii="宋体" w:hAnsi="宋体" w:cs="宋体" w:eastAsia="宋体" w:hint="default"/>
                <w:sz w:val="18"/>
                <w:szCs w:val="18"/>
              </w:rPr>
            </w:pPr>
            <w:r>
              <w:rPr>
                <w:rFonts w:ascii="宋体" w:hAnsi="宋体" w:cs="宋体" w:eastAsia="宋体" w:hint="default"/>
                <w:sz w:val="18"/>
                <w:szCs w:val="18"/>
              </w:rPr>
              <w:t>人</w:t>
            </w:r>
          </w:p>
        </w:tc>
        <w:tc>
          <w:tcPr>
            <w:tcW w:w="453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6" w:type="dxa"/>
        <w:tblLayout w:type="fixed"/>
        <w:tblCellMar>
          <w:top w:w="0" w:type="dxa"/>
          <w:left w:w="0" w:type="dxa"/>
          <w:bottom w:w="0" w:type="dxa"/>
          <w:right w:w="0" w:type="dxa"/>
        </w:tblCellMar>
        <w:tblLook w:val="01E0"/>
      </w:tblPr>
      <w:tblGrid>
        <w:gridCol w:w="3597"/>
        <w:gridCol w:w="1462"/>
        <w:gridCol w:w="4512"/>
      </w:tblGrid>
      <w:tr>
        <w:trPr>
          <w:trHeight w:val="402"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4）后续精准扶贫计划" w:id="107"/>
      <w:bookmarkEnd w:id="107"/>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30" w:firstLine="283"/>
        <w:jc w:val="both"/>
        <w:rPr>
          <w:rFonts w:ascii="宋体" w:hAnsi="宋体" w:cs="宋体" w:eastAsia="宋体" w:hint="default"/>
          <w:sz w:val="18"/>
          <w:szCs w:val="18"/>
        </w:rPr>
      </w:pPr>
      <w:r>
        <w:rPr>
          <w:rFonts w:ascii="宋体" w:hAnsi="宋体" w:cs="宋体" w:eastAsia="宋体" w:hint="default"/>
          <w:sz w:val="18"/>
          <w:szCs w:val="18"/>
        </w:rPr>
        <w:t>公司将继续在产业扶贫、科技扶贫方面加大力度，</w:t>
      </w:r>
      <w:r>
        <w:rPr>
          <w:rFonts w:ascii="宋体" w:hAnsi="宋体" w:cs="宋体" w:eastAsia="宋体" w:hint="default"/>
          <w:sz w:val="18"/>
          <w:szCs w:val="18"/>
        </w:rPr>
        <w:t>2019</w:t>
      </w:r>
      <w:r>
        <w:rPr>
          <w:rFonts w:ascii="宋体" w:hAnsi="宋体" w:cs="宋体" w:eastAsia="宋体" w:hint="default"/>
          <w:sz w:val="18"/>
          <w:szCs w:val="18"/>
        </w:rPr>
        <w:t>年公司将继续加强建档立卡贫困人员的招聘力度，招聘员工将优 </w:t>
      </w:r>
      <w:r>
        <w:rPr>
          <w:rFonts w:ascii="宋体" w:hAnsi="宋体" w:cs="宋体" w:eastAsia="宋体" w:hint="default"/>
          <w:spacing w:val="-2"/>
          <w:sz w:val="18"/>
          <w:szCs w:val="18"/>
        </w:rPr>
        <w:t>先招聘贫困家庭成员、退伍军人，并将建档立卡贫困员工的占比进一步扩大，继续维持优先安排贫困员工进入公司优质项目</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工作的方案，真正去实现“就业一人，脱贫一户”的目标。</w:t>
      </w:r>
    </w:p>
    <w:p>
      <w:pPr>
        <w:spacing w:line="316" w:lineRule="auto" w:before="19"/>
        <w:ind w:left="437" w:right="1649" w:firstLine="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z w:val="18"/>
          <w:szCs w:val="18"/>
        </w:rPr>
        <w:t>继续积极推进服务外包产业园建设及服务外包产业基地群建设，扩大央企联合扶贫成果，积极推进就业扶贫。 积极推进呼叫中心服务包产业扩规在沈丘建设中心产业园区，使就业人员规模达到</w:t>
      </w:r>
      <w:r>
        <w:rPr>
          <w:rFonts w:ascii="宋体" w:hAnsi="宋体" w:cs="宋体" w:eastAsia="宋体" w:hint="default"/>
          <w:sz w:val="18"/>
          <w:szCs w:val="18"/>
        </w:rPr>
        <w:t>5000</w:t>
      </w:r>
      <w:r>
        <w:rPr>
          <w:rFonts w:ascii="宋体" w:hAnsi="宋体" w:cs="宋体" w:eastAsia="宋体" w:hint="default"/>
          <w:sz w:val="18"/>
          <w:szCs w:val="18"/>
        </w:rPr>
        <w:t>人。 并积极拓展央企联合扶贫计划，扩大贫困县产业建设，促进贫困县脱贫工作的快速发展。 </w:t>
      </w:r>
      <w:r>
        <w:rPr>
          <w:rFonts w:ascii="宋体" w:hAnsi="宋体" w:cs="宋体" w:eastAsia="宋体" w:hint="default"/>
          <w:sz w:val="18"/>
          <w:szCs w:val="18"/>
        </w:rPr>
        <w:t>b.</w:t>
      </w:r>
      <w:r>
        <w:rPr>
          <w:rFonts w:ascii="宋体" w:hAnsi="宋体" w:cs="宋体" w:eastAsia="宋体" w:hint="default"/>
          <w:sz w:val="18"/>
          <w:szCs w:val="18"/>
        </w:rPr>
        <w:t>积极推进“智慧沈丘”建设</w:t>
      </w:r>
    </w:p>
    <w:p>
      <w:pPr>
        <w:spacing w:line="316" w:lineRule="auto" w:before="19"/>
        <w:ind w:left="437" w:right="5429" w:firstLine="0"/>
        <w:jc w:val="left"/>
        <w:rPr>
          <w:rFonts w:ascii="宋体" w:hAnsi="宋体" w:cs="宋体" w:eastAsia="宋体" w:hint="default"/>
          <w:sz w:val="18"/>
          <w:szCs w:val="18"/>
        </w:rPr>
      </w:pPr>
      <w:r>
        <w:rPr>
          <w:rFonts w:ascii="宋体" w:hAnsi="宋体" w:cs="宋体" w:eastAsia="宋体" w:hint="default"/>
          <w:sz w:val="18"/>
          <w:szCs w:val="18"/>
        </w:rPr>
        <w:t>根据已经初步完成的智慧城市规划，将积极推进智慧沈丘建设。 </w:t>
      </w:r>
      <w:r>
        <w:rPr>
          <w:rFonts w:ascii="宋体" w:hAnsi="宋体" w:cs="宋体" w:eastAsia="宋体" w:hint="default"/>
          <w:sz w:val="18"/>
          <w:szCs w:val="18"/>
        </w:rPr>
        <w:t>c.</w:t>
      </w:r>
      <w:r>
        <w:rPr>
          <w:rFonts w:ascii="宋体" w:hAnsi="宋体" w:cs="宋体" w:eastAsia="宋体" w:hint="default"/>
          <w:sz w:val="18"/>
          <w:szCs w:val="18"/>
        </w:rPr>
        <w:t>继续加强人才培训培养、做好扶志扶智工作</w:t>
      </w:r>
    </w:p>
    <w:p>
      <w:pPr>
        <w:spacing w:line="316" w:lineRule="auto" w:before="19"/>
        <w:ind w:left="154" w:right="1131" w:firstLine="283"/>
        <w:jc w:val="both"/>
        <w:rPr>
          <w:rFonts w:ascii="宋体" w:hAnsi="宋体" w:cs="宋体" w:eastAsia="宋体" w:hint="default"/>
          <w:sz w:val="18"/>
          <w:szCs w:val="18"/>
        </w:rPr>
      </w:pPr>
      <w:r>
        <w:rPr>
          <w:rFonts w:ascii="宋体" w:hAnsi="宋体" w:cs="宋体" w:eastAsia="宋体" w:hint="default"/>
          <w:spacing w:val="-1"/>
          <w:sz w:val="18"/>
          <w:szCs w:val="18"/>
        </w:rPr>
        <w:t>尤其是在高层次人才培养、职业人才培训方面将积极推进，把沈丘县职业教育中心建成依托农村电子商务发展特色的职</w:t>
      </w:r>
      <w:r>
        <w:rPr>
          <w:rFonts w:ascii="宋体" w:hAnsi="宋体" w:cs="宋体" w:eastAsia="宋体" w:hint="default"/>
          <w:sz w:val="18"/>
          <w:szCs w:val="18"/>
        </w:rPr>
        <w:t> 业培训基地，为农村电商输送人才。</w:t>
      </w:r>
    </w:p>
    <w:p>
      <w:pPr>
        <w:spacing w:line="316" w:lineRule="auto" w:before="19"/>
        <w:ind w:left="437" w:right="0" w:firstLine="0"/>
        <w:jc w:val="left"/>
        <w:rPr>
          <w:rFonts w:ascii="宋体" w:hAnsi="宋体" w:cs="宋体" w:eastAsia="宋体" w:hint="default"/>
          <w:sz w:val="18"/>
          <w:szCs w:val="18"/>
        </w:rPr>
      </w:pPr>
      <w:r>
        <w:rPr>
          <w:rFonts w:ascii="宋体" w:hAnsi="宋体" w:cs="宋体" w:eastAsia="宋体" w:hint="default"/>
          <w:sz w:val="18"/>
          <w:szCs w:val="18"/>
        </w:rPr>
        <w:t>d.</w:t>
      </w:r>
      <w:r>
        <w:rPr>
          <w:rFonts w:ascii="宋体" w:hAnsi="宋体" w:cs="宋体" w:eastAsia="宋体" w:hint="default"/>
          <w:sz w:val="18"/>
          <w:szCs w:val="18"/>
        </w:rPr>
        <w:t>着力发展农村电子商务，落实消费扶贫 </w:t>
      </w:r>
      <w:r>
        <w:rPr>
          <w:rFonts w:ascii="宋体" w:hAnsi="宋体" w:cs="宋体" w:eastAsia="宋体" w:hint="default"/>
          <w:spacing w:val="-1"/>
          <w:sz w:val="18"/>
          <w:szCs w:val="18"/>
        </w:rPr>
        <w:t>为建设县域电子商务生态环境，构建电子商务服务体系、电子商务产业链支撑体系，沈丘县政府结合本县实际情况，本</w:t>
      </w:r>
    </w:p>
    <w:p>
      <w:pPr>
        <w:spacing w:line="316" w:lineRule="auto" w:before="19"/>
        <w:ind w:left="154" w:right="1032" w:firstLine="0"/>
        <w:jc w:val="left"/>
        <w:rPr>
          <w:rFonts w:ascii="宋体" w:hAnsi="宋体" w:cs="宋体" w:eastAsia="宋体" w:hint="default"/>
          <w:sz w:val="18"/>
          <w:szCs w:val="18"/>
        </w:rPr>
      </w:pPr>
      <w:r>
        <w:rPr>
          <w:rFonts w:ascii="宋体" w:hAnsi="宋体" w:cs="宋体" w:eastAsia="宋体" w:hint="default"/>
          <w:spacing w:val="-5"/>
          <w:sz w:val="18"/>
          <w:szCs w:val="18"/>
        </w:rPr>
        <w:t>着“政府引导、服务先行”的思路，以职业教育中心为依托，建设电子商务公共服务中心。并将建设农村电子商务六大体系，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包括县级农村电子商务公共服务中心、农村电子商务培训体系、农村电子商务物流体系、农产品电子商务供应链管理体系、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农村电子商务营销体系和农村电子商务服务站体系。</w:t>
      </w:r>
    </w:p>
    <w:p>
      <w:pPr>
        <w:spacing w:line="360" w:lineRule="auto" w:before="19"/>
        <w:ind w:left="437" w:right="0" w:firstLine="0"/>
        <w:jc w:val="left"/>
        <w:rPr>
          <w:rFonts w:ascii="宋体" w:hAnsi="宋体" w:cs="宋体" w:eastAsia="宋体" w:hint="default"/>
          <w:sz w:val="18"/>
          <w:szCs w:val="18"/>
        </w:rPr>
      </w:pPr>
      <w:r>
        <w:rPr>
          <w:rFonts w:ascii="宋体" w:hAnsi="宋体" w:cs="宋体" w:eastAsia="宋体" w:hint="default"/>
          <w:sz w:val="18"/>
          <w:szCs w:val="18"/>
        </w:rPr>
        <w:t>e.</w:t>
      </w:r>
      <w:r>
        <w:rPr>
          <w:rFonts w:ascii="宋体" w:hAnsi="宋体" w:cs="宋体" w:eastAsia="宋体" w:hint="default"/>
          <w:sz w:val="18"/>
          <w:szCs w:val="18"/>
        </w:rPr>
        <w:t>持续做好工作落实及扶贫领域作风整顿工作 </w:t>
      </w:r>
      <w:r>
        <w:rPr>
          <w:rFonts w:ascii="宋体" w:hAnsi="宋体" w:cs="宋体" w:eastAsia="宋体" w:hint="default"/>
          <w:spacing w:val="-1"/>
          <w:sz w:val="18"/>
          <w:szCs w:val="18"/>
        </w:rPr>
        <w:t>在快速推进扶贫工作的过程中，加强扶贫工作的有效落实，注重扶贫工作作风问题的整顿，保障良好的扶贫效果，体现</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央企扶贫的社会责任。</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8"/>
      <w:bookmarkEnd w:id="10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9"/>
      <w:bookmarkEnd w:id="109"/>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07" w:lineRule="auto" w:before="75"/>
        <w:ind w:left="574" w:right="0" w:hanging="420"/>
        <w:jc w:val="left"/>
        <w:rPr>
          <w:rFonts w:ascii="宋体" w:hAnsi="宋体" w:cs="宋体" w:eastAsia="宋体" w:hint="default"/>
        </w:rPr>
      </w:pPr>
      <w:r>
        <w:rPr/>
        <w:t>（一）第一期限制性股票回购注销 </w:t>
      </w:r>
      <w:r>
        <w:rPr>
          <w:rFonts w:ascii="宋体" w:hAnsi="宋体" w:cs="宋体" w:eastAsia="宋体" w:hint="default"/>
          <w:spacing w:val="-6"/>
        </w:rPr>
        <w:t>2016</w:t>
      </w:r>
      <w:r>
        <w:rPr>
          <w:spacing w:val="-6"/>
        </w:rPr>
        <w:t>年度利润总额为</w:t>
      </w:r>
      <w:r>
        <w:rPr>
          <w:rFonts w:ascii="宋体" w:hAnsi="宋体" w:cs="宋体" w:eastAsia="宋体" w:hint="default"/>
          <w:spacing w:val="-6"/>
        </w:rPr>
        <w:t>169,784,455.96</w:t>
      </w:r>
      <w:r>
        <w:rPr>
          <w:spacing w:val="-6"/>
        </w:rPr>
        <w:t>元，较</w:t>
      </w:r>
      <w:r>
        <w:rPr>
          <w:rFonts w:ascii="宋体" w:hAnsi="宋体" w:cs="宋体" w:eastAsia="宋体" w:hint="default"/>
          <w:spacing w:val="-6"/>
        </w:rPr>
        <w:t>2013</w:t>
      </w:r>
      <w:r>
        <w:rPr>
          <w:spacing w:val="-6"/>
        </w:rPr>
        <w:t>年度复合增长率为</w:t>
      </w:r>
      <w:r>
        <w:rPr>
          <w:rFonts w:ascii="宋体" w:hAnsi="宋体" w:cs="宋体" w:eastAsia="宋体" w:hint="default"/>
          <w:spacing w:val="-6"/>
        </w:rPr>
        <w:t>16.81%</w:t>
      </w:r>
      <w:r>
        <w:rPr>
          <w:spacing w:val="-6"/>
        </w:rPr>
        <w:t>；</w:t>
      </w:r>
      <w:r>
        <w:rPr>
          <w:rFonts w:ascii="宋体" w:hAnsi="宋体" w:cs="宋体" w:eastAsia="宋体" w:hint="default"/>
          <w:spacing w:val="-6"/>
        </w:rPr>
        <w:t>2016</w:t>
      </w:r>
      <w:r>
        <w:rPr>
          <w:spacing w:val="-6"/>
        </w:rPr>
        <w:t>年度调整</w:t>
      </w:r>
      <w:r>
        <w:rPr>
          <w:rFonts w:ascii="宋体" w:hAnsi="宋体" w:cs="宋体" w:eastAsia="宋体" w:hint="default"/>
          <w:spacing w:val="-6"/>
        </w:rPr>
        <w:t>EOE</w:t>
      </w:r>
      <w:r>
        <w:rPr>
          <w:spacing w:val="-6"/>
        </w:rPr>
        <w:t>（（</w:t>
      </w:r>
      <w:r>
        <w:rPr>
          <w:rFonts w:ascii="宋体" w:hAnsi="宋体" w:cs="宋体" w:eastAsia="宋体" w:hint="default"/>
          <w:spacing w:val="-6"/>
        </w:rPr>
        <w:t>EBITDA</w:t>
      </w:r>
    </w:p>
    <w:p>
      <w:pPr>
        <w:pStyle w:val="BodyText"/>
        <w:spacing w:line="252" w:lineRule="exact" w:before="0"/>
        <w:ind w:right="0"/>
        <w:jc w:val="left"/>
      </w:pPr>
      <w:r>
        <w:rPr>
          <w:rFonts w:ascii="宋体" w:hAnsi="宋体" w:cs="宋体" w:eastAsia="宋体" w:hint="default"/>
          <w:spacing w:val="3"/>
        </w:rPr>
        <w:t>+</w:t>
      </w:r>
      <w:r>
        <w:rPr>
          <w:spacing w:val="3"/>
        </w:rPr>
        <w:t>研发费用（管理费用列支部分））</w:t>
      </w:r>
      <w:r>
        <w:rPr>
          <w:rFonts w:ascii="宋体" w:hAnsi="宋体" w:cs="宋体" w:eastAsia="宋体" w:hint="default"/>
          <w:spacing w:val="3"/>
        </w:rPr>
        <w:t>/</w:t>
      </w:r>
      <w:r>
        <w:rPr>
          <w:spacing w:val="3"/>
        </w:rPr>
        <w:t>净资产）为</w:t>
      </w:r>
      <w:r>
        <w:rPr>
          <w:rFonts w:ascii="宋体" w:hAnsi="宋体" w:cs="宋体" w:eastAsia="宋体" w:hint="default"/>
          <w:spacing w:val="3"/>
        </w:rPr>
        <w:t>12.49%</w:t>
      </w:r>
      <w:r>
        <w:rPr>
          <w:spacing w:val="3"/>
        </w:rPr>
        <w:t>；</w:t>
      </w:r>
      <w:r>
        <w:rPr>
          <w:rFonts w:ascii="宋体" w:hAnsi="宋体" w:cs="宋体" w:eastAsia="宋体" w:hint="default"/>
          <w:spacing w:val="3"/>
        </w:rPr>
        <w:t>2016</w:t>
      </w:r>
      <w:r>
        <w:rPr>
          <w:spacing w:val="3"/>
        </w:rPr>
        <w:t>年度公司企业信息化及信息服务收入合计</w:t>
      </w:r>
    </w:p>
    <w:p>
      <w:pPr>
        <w:pStyle w:val="BodyText"/>
        <w:spacing w:line="273" w:lineRule="auto" w:before="37"/>
        <w:ind w:right="1132"/>
        <w:jc w:val="both"/>
      </w:pPr>
      <w:r>
        <w:rPr>
          <w:rFonts w:ascii="宋体" w:hAnsi="宋体" w:cs="宋体" w:eastAsia="宋体" w:hint="default"/>
          <w:spacing w:val="-1"/>
        </w:rPr>
        <w:t>2,774,670,987.55</w:t>
      </w:r>
      <w:r>
        <w:rPr>
          <w:spacing w:val="-1"/>
        </w:rPr>
        <w:t>元，较</w:t>
      </w:r>
      <w:r>
        <w:rPr>
          <w:rFonts w:ascii="宋体" w:hAnsi="宋体" w:cs="宋体" w:eastAsia="宋体" w:hint="default"/>
          <w:spacing w:val="-1"/>
        </w:rPr>
        <w:t>2013</w:t>
      </w:r>
      <w:r>
        <w:rPr>
          <w:spacing w:val="-1"/>
        </w:rPr>
        <w:t>年复合增长率为</w:t>
      </w:r>
      <w:r>
        <w:rPr>
          <w:rFonts w:ascii="宋体" w:hAnsi="宋体" w:cs="宋体" w:eastAsia="宋体" w:hint="default"/>
          <w:spacing w:val="-1"/>
        </w:rPr>
        <w:t>33.59%</w:t>
      </w:r>
      <w:r>
        <w:rPr>
          <w:spacing w:val="-1"/>
        </w:rPr>
        <w:t>，公司业绩考核条件未达标，公司拟对已经授予激励</w:t>
      </w:r>
      <w:r>
        <w:rPr>
          <w:spacing w:val="-74"/>
        </w:rPr>
        <w:t> </w:t>
      </w:r>
      <w:r>
        <w:rPr>
          <w:spacing w:val="-74"/>
        </w:rPr>
      </w:r>
      <w:r>
        <w:rPr/>
        <w:t>对象尚未解锁的</w:t>
      </w:r>
      <w:r>
        <w:rPr>
          <w:rFonts w:ascii="宋体" w:hAnsi="宋体" w:cs="宋体" w:eastAsia="宋体" w:hint="default"/>
        </w:rPr>
        <w:t>2,178,000</w:t>
      </w:r>
      <w:r>
        <w:rPr/>
        <w:t>股实施回购注销；根据《激励计划》在激励期内，激励对象主动辞职的，已辞</w:t>
      </w:r>
      <w:r>
        <w:rPr>
          <w:spacing w:val="-31"/>
        </w:rPr>
        <w:t> </w:t>
      </w:r>
      <w:r>
        <w:rPr>
          <w:spacing w:val="-31"/>
        </w:rPr>
      </w:r>
      <w:r>
        <w:rPr>
          <w:spacing w:val="-1"/>
        </w:rPr>
        <w:t>职的激励对象已不符合公司股权激励计划规定的激励条件，其所持尚未解锁的限制性股票应由公司回购注</w:t>
      </w:r>
      <w:r>
        <w:rPr>
          <w:spacing w:val="-81"/>
        </w:rPr>
        <w:t> </w:t>
      </w:r>
      <w:r>
        <w:rPr>
          <w:spacing w:val="-81"/>
        </w:rPr>
      </w:r>
      <w:r>
        <w:rPr/>
        <w:t>销，其中有姜晓伟等</w:t>
      </w:r>
      <w:r>
        <w:rPr>
          <w:rFonts w:ascii="宋体" w:hAnsi="宋体" w:cs="宋体" w:eastAsia="宋体" w:hint="default"/>
        </w:rPr>
        <w:t>14</w:t>
      </w:r>
      <w:r>
        <w:rPr/>
        <w:t>名激励对象因自动辞职，公司拟对其持有尚未解锁的合计</w:t>
      </w:r>
      <w:r>
        <w:rPr>
          <w:rFonts w:ascii="宋体" w:hAnsi="宋体" w:cs="宋体" w:eastAsia="宋体" w:hint="default"/>
        </w:rPr>
        <w:t>328,100</w:t>
      </w:r>
      <w:r>
        <w:rPr/>
        <w:t>股限制性股票应</w:t>
      </w:r>
      <w:r>
        <w:rPr>
          <w:spacing w:val="-29"/>
        </w:rPr>
        <w:t> </w:t>
      </w:r>
      <w:r>
        <w:rPr>
          <w:spacing w:val="-29"/>
        </w:rPr>
      </w:r>
      <w:r>
        <w:rPr>
          <w:spacing w:val="-1"/>
        </w:rPr>
        <w:t>由公司全部回购注销根据《激励计划》根据</w:t>
      </w:r>
      <w:r>
        <w:rPr>
          <w:rFonts w:ascii="宋体" w:hAnsi="宋体" w:cs="宋体" w:eastAsia="宋体" w:hint="default"/>
          <w:spacing w:val="-1"/>
        </w:rPr>
        <w:t>2015</w:t>
      </w:r>
      <w:r>
        <w:rPr>
          <w:spacing w:val="-1"/>
        </w:rPr>
        <w:t>年度考核情况，第一期被授予限制性股票的激励对象张元</w:t>
      </w:r>
      <w:r>
        <w:rPr>
          <w:spacing w:val="-83"/>
        </w:rPr>
        <w:t> </w:t>
      </w:r>
      <w:r>
        <w:rPr>
          <w:spacing w:val="-83"/>
        </w:rPr>
      </w:r>
      <w:r>
        <w:rPr/>
        <w:t>琴等</w:t>
      </w:r>
      <w:r>
        <w:rPr>
          <w:rFonts w:ascii="宋体" w:hAnsi="宋体" w:cs="宋体" w:eastAsia="宋体" w:hint="default"/>
        </w:rPr>
        <w:t>3</w:t>
      </w:r>
      <w:r>
        <w:rPr/>
        <w:t>人解锁了第一期第一批股份的</w:t>
      </w:r>
      <w:r>
        <w:rPr>
          <w:rFonts w:ascii="宋体" w:hAnsi="宋体" w:cs="宋体" w:eastAsia="宋体" w:hint="default"/>
        </w:rPr>
        <w:t>80%</w:t>
      </w:r>
      <w:r>
        <w:rPr/>
        <w:t>，其所持有的第一期第一批股份的</w:t>
      </w:r>
      <w:r>
        <w:rPr>
          <w:rFonts w:ascii="宋体" w:hAnsi="宋体" w:cs="宋体" w:eastAsia="宋体" w:hint="default"/>
        </w:rPr>
        <w:t>20%</w:t>
      </w:r>
      <w:r>
        <w:rPr/>
        <w:t>即</w:t>
      </w:r>
      <w:r>
        <w:rPr>
          <w:rFonts w:ascii="宋体" w:hAnsi="宋体" w:cs="宋体" w:eastAsia="宋体" w:hint="default"/>
        </w:rPr>
        <w:t>11,880</w:t>
      </w:r>
      <w:r>
        <w:rPr/>
        <w:t>股回购注销。公司</w:t>
      </w:r>
      <w:r>
        <w:rPr>
          <w:spacing w:val="-30"/>
        </w:rPr>
        <w:t> </w:t>
      </w:r>
      <w:r>
        <w:rPr>
          <w:spacing w:val="-30"/>
        </w:rPr>
      </w:r>
      <w:r>
        <w:rPr>
          <w:spacing w:val="8"/>
        </w:rPr>
        <w:t>第七届第六十八次董事会审议通过《关于回购注销部分限制性股票的议案》。本次回购注销股份共计</w:t>
      </w:r>
      <w:r>
        <w:rPr>
          <w:spacing w:val="-81"/>
        </w:rPr>
        <w:t> </w:t>
      </w:r>
      <w:r>
        <w:rPr>
          <w:spacing w:val="-81"/>
        </w:rPr>
      </w:r>
      <w:r>
        <w:rPr>
          <w:rFonts w:ascii="宋体" w:hAnsi="宋体" w:cs="宋体" w:eastAsia="宋体" w:hint="default"/>
          <w:spacing w:val="-1"/>
        </w:rPr>
        <w:t>2,517,980</w:t>
      </w:r>
      <w:r>
        <w:rPr>
          <w:spacing w:val="-1"/>
        </w:rPr>
        <w:t>股，回购注销价格为</w:t>
      </w:r>
      <w:r>
        <w:rPr>
          <w:rFonts w:ascii="宋体" w:hAnsi="宋体" w:cs="宋体" w:eastAsia="宋体" w:hint="default"/>
          <w:spacing w:val="-1"/>
        </w:rPr>
        <w:t>5.25</w:t>
      </w:r>
      <w:r>
        <w:rPr>
          <w:spacing w:val="-1"/>
        </w:rPr>
        <w:t>元</w:t>
      </w:r>
      <w:r>
        <w:rPr>
          <w:rFonts w:ascii="宋体" w:hAnsi="宋体" w:cs="宋体" w:eastAsia="宋体" w:hint="default"/>
          <w:spacing w:val="-1"/>
        </w:rPr>
        <w:t>/</w:t>
      </w:r>
      <w:r>
        <w:rPr>
          <w:spacing w:val="-1"/>
        </w:rPr>
        <w:t>股。</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日，公司在中国证券登记结算有限责任公司深圳</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spacing w:val="8"/>
        </w:rPr>
        <w:t>分公司完成已回购股票的注销。具体内容详见公司于</w:t>
      </w:r>
      <w:r>
        <w:rPr>
          <w:rFonts w:ascii="宋体" w:hAnsi="宋体" w:cs="宋体" w:eastAsia="宋体" w:hint="default"/>
          <w:spacing w:val="8"/>
        </w:rPr>
        <w:t>2018</w:t>
      </w:r>
      <w:r>
        <w:rPr>
          <w:spacing w:val="8"/>
        </w:rPr>
        <w:t>年</w:t>
      </w:r>
      <w:r>
        <w:rPr>
          <w:rFonts w:ascii="宋体" w:hAnsi="宋体" w:cs="宋体" w:eastAsia="宋体" w:hint="default"/>
          <w:spacing w:val="8"/>
        </w:rPr>
        <w:t>1</w:t>
      </w:r>
      <w:r>
        <w:rPr>
          <w:spacing w:val="8"/>
        </w:rPr>
        <w:t>月</w:t>
      </w:r>
      <w:r>
        <w:rPr>
          <w:rFonts w:ascii="宋体" w:hAnsi="宋体" w:cs="宋体" w:eastAsia="宋体" w:hint="default"/>
          <w:spacing w:val="8"/>
        </w:rPr>
        <w:t>4</w:t>
      </w:r>
      <w:r>
        <w:rPr>
          <w:spacing w:val="8"/>
        </w:rPr>
        <w:t>日刊登在《证券时报》和巨潮资讯网</w:t>
      </w:r>
    </w:p>
    <w:p>
      <w:pPr>
        <w:pStyle w:val="BodyText"/>
        <w:spacing w:line="240" w:lineRule="auto" w:before="38"/>
        <w:ind w:right="0"/>
        <w:jc w:val="both"/>
      </w:pPr>
      <w:r>
        <w:rPr/>
        <w:t>（</w:t>
      </w:r>
      <w:hyperlink r:id="rId13">
        <w:r>
          <w:rPr>
            <w:rFonts w:ascii="宋体" w:hAnsi="宋体" w:cs="宋体" w:eastAsia="宋体" w:hint="default"/>
          </w:rPr>
          <w:t>www.cninfo.com.cn</w:t>
        </w:r>
      </w:hyperlink>
      <w:r>
        <w:rPr/>
        <w:t>）的《关于部分限制性股票回购注销完成的公告》。</w:t>
      </w:r>
    </w:p>
    <w:p>
      <w:pPr>
        <w:pStyle w:val="BodyText"/>
        <w:spacing w:line="307" w:lineRule="auto" w:before="76"/>
        <w:ind w:left="575" w:right="0" w:hanging="422"/>
        <w:jc w:val="left"/>
      </w:pPr>
      <w:r>
        <w:rPr/>
        <w:t>（二）第一期第三批限制性股票解除限售 </w:t>
      </w:r>
      <w:r>
        <w:rPr>
          <w:spacing w:val="-1"/>
        </w:rPr>
        <w:t>公司第八届第二十次董事会，审议通过了《关于公司第一期限制性股票激励计划第三个解锁期可解除</w:t>
      </w:r>
    </w:p>
    <w:p>
      <w:pPr>
        <w:pStyle w:val="BodyText"/>
        <w:spacing w:line="254" w:lineRule="exact" w:before="0"/>
        <w:ind w:right="0"/>
        <w:jc w:val="both"/>
      </w:pPr>
      <w:r>
        <w:rPr/>
        <w:t>限售的议案》。</w:t>
      </w:r>
      <w:r>
        <w:rPr>
          <w:rFonts w:ascii="宋体" w:hAnsi="宋体" w:cs="宋体" w:eastAsia="宋体" w:hint="default"/>
        </w:rPr>
        <w:t>2017</w:t>
      </w:r>
      <w:r>
        <w:rPr/>
        <w:t>年度利润总额为</w:t>
      </w:r>
      <w:r>
        <w:rPr>
          <w:rFonts w:ascii="宋体" w:hAnsi="宋体" w:cs="宋体" w:eastAsia="宋体" w:hint="default"/>
        </w:rPr>
        <w:t>24,437.61</w:t>
      </w:r>
      <w:r>
        <w:rPr/>
        <w:t>万元，较</w:t>
      </w:r>
      <w:r>
        <w:rPr>
          <w:rFonts w:ascii="宋体" w:hAnsi="宋体" w:cs="宋体" w:eastAsia="宋体" w:hint="default"/>
        </w:rPr>
        <w:t>2013</w:t>
      </w:r>
      <w:r>
        <w:rPr/>
        <w:t>年度复合增长率为</w:t>
      </w:r>
      <w:r>
        <w:rPr>
          <w:rFonts w:ascii="宋体" w:hAnsi="宋体" w:cs="宋体" w:eastAsia="宋体" w:hint="default"/>
        </w:rPr>
        <w:t>23.07%</w:t>
      </w:r>
      <w:r>
        <w:rPr/>
        <w:t>，达到国内对标批</w:t>
      </w:r>
    </w:p>
    <w:p>
      <w:pPr>
        <w:pStyle w:val="BodyText"/>
        <w:spacing w:line="240" w:lineRule="auto" w:before="37"/>
        <w:ind w:right="0"/>
        <w:jc w:val="both"/>
      </w:pPr>
      <w:r>
        <w:rPr>
          <w:spacing w:val="-2"/>
        </w:rPr>
        <w:t>发零售类企业利润总额的</w:t>
      </w:r>
      <w:r>
        <w:rPr>
          <w:rFonts w:ascii="宋体" w:hAnsi="宋体" w:cs="宋体" w:eastAsia="宋体" w:hint="default"/>
          <w:spacing w:val="-2"/>
        </w:rPr>
        <w:t>75</w:t>
      </w:r>
      <w:r>
        <w:rPr>
          <w:spacing w:val="-2"/>
        </w:rPr>
        <w:t>分位值以上，</w:t>
      </w:r>
      <w:r>
        <w:rPr>
          <w:rFonts w:ascii="宋体" w:hAnsi="宋体" w:cs="宋体" w:eastAsia="宋体" w:hint="default"/>
          <w:spacing w:val="-2"/>
        </w:rPr>
        <w:t>2017</w:t>
      </w:r>
      <w:r>
        <w:rPr>
          <w:spacing w:val="-2"/>
        </w:rPr>
        <w:t>年度调整</w:t>
      </w:r>
      <w:r>
        <w:rPr>
          <w:rFonts w:ascii="宋体" w:hAnsi="宋体" w:cs="宋体" w:eastAsia="宋体" w:hint="default"/>
          <w:spacing w:val="-2"/>
        </w:rPr>
        <w:t>EOE</w:t>
      </w:r>
      <w:r>
        <w:rPr>
          <w:spacing w:val="-2"/>
        </w:rPr>
        <w:t>（（</w:t>
      </w:r>
      <w:r>
        <w:rPr>
          <w:rFonts w:ascii="宋体" w:hAnsi="宋体" w:cs="宋体" w:eastAsia="宋体" w:hint="default"/>
          <w:spacing w:val="-2"/>
        </w:rPr>
        <w:t>EBITDA</w:t>
      </w:r>
      <w:r>
        <w:rPr>
          <w:rFonts w:ascii="宋体" w:hAnsi="宋体" w:cs="宋体" w:eastAsia="宋体" w:hint="default"/>
          <w:spacing w:val="-23"/>
        </w:rPr>
        <w:t> </w:t>
      </w:r>
      <w:r>
        <w:rPr>
          <w:rFonts w:ascii="宋体" w:hAnsi="宋体" w:cs="宋体" w:eastAsia="宋体" w:hint="default"/>
          <w:spacing w:val="-2"/>
        </w:rPr>
        <w:t>+</w:t>
      </w:r>
      <w:r>
        <w:rPr>
          <w:spacing w:val="-2"/>
        </w:rPr>
        <w:t>研发费用（管理费用列支部分））</w:t>
      </w:r>
    </w:p>
    <w:p>
      <w:pPr>
        <w:pStyle w:val="BodyText"/>
        <w:spacing w:line="273" w:lineRule="auto" w:before="37"/>
        <w:ind w:right="1128"/>
        <w:jc w:val="both"/>
      </w:pPr>
      <w:r>
        <w:rPr>
          <w:rFonts w:ascii="宋体" w:hAnsi="宋体" w:cs="宋体" w:eastAsia="宋体" w:hint="default"/>
        </w:rPr>
        <w:t>/</w:t>
      </w:r>
      <w:r>
        <w:rPr/>
        <w:t>净资产）为</w:t>
      </w:r>
      <w:r>
        <w:rPr>
          <w:rFonts w:ascii="宋体" w:hAnsi="宋体" w:cs="宋体" w:eastAsia="宋体" w:hint="default"/>
        </w:rPr>
        <w:t>14.96%</w:t>
      </w:r>
      <w:r>
        <w:rPr/>
        <w:t>，达到国内对标信息传输、软件和信息技术服务业的</w:t>
      </w:r>
      <w:r>
        <w:rPr>
          <w:rFonts w:ascii="宋体" w:hAnsi="宋体" w:cs="宋体" w:eastAsia="宋体" w:hint="default"/>
        </w:rPr>
        <w:t>75</w:t>
      </w:r>
      <w:r>
        <w:rPr/>
        <w:t>分位值以上，</w:t>
      </w:r>
      <w:r>
        <w:rPr>
          <w:rFonts w:ascii="宋体" w:hAnsi="宋体" w:cs="宋体" w:eastAsia="宋体" w:hint="default"/>
        </w:rPr>
        <w:t>2017</w:t>
      </w:r>
      <w:r>
        <w:rPr/>
        <w:t>年度公司企</w:t>
      </w:r>
      <w:r>
        <w:rPr>
          <w:spacing w:val="-26"/>
        </w:rPr>
        <w:t> </w:t>
      </w:r>
      <w:r>
        <w:rPr/>
        <w:t>业信息化及信息服务收入合计</w:t>
      </w:r>
      <w:r>
        <w:rPr>
          <w:rFonts w:ascii="宋体" w:hAnsi="宋体" w:cs="宋体" w:eastAsia="宋体" w:hint="default"/>
        </w:rPr>
        <w:t>285,134</w:t>
      </w:r>
      <w:r>
        <w:rPr/>
        <w:t>万元，</w:t>
      </w:r>
      <w:r>
        <w:rPr>
          <w:rFonts w:ascii="宋体" w:hAnsi="宋体" w:cs="宋体" w:eastAsia="宋体" w:hint="default"/>
        </w:rPr>
        <w:t>2013</w:t>
      </w:r>
      <w:r>
        <w:rPr/>
        <w:t>年复合增长率为</w:t>
      </w:r>
      <w:r>
        <w:rPr>
          <w:rFonts w:ascii="宋体" w:hAnsi="宋体" w:cs="宋体" w:eastAsia="宋体" w:hint="default"/>
        </w:rPr>
        <w:t>25.11%</w:t>
      </w:r>
      <w:r>
        <w:rPr/>
        <w:t>，达到国内对标信息传输、软件</w:t>
      </w:r>
      <w:r>
        <w:rPr>
          <w:spacing w:val="-29"/>
        </w:rPr>
        <w:t> </w:t>
      </w:r>
      <w:r>
        <w:rPr>
          <w:spacing w:val="-29"/>
        </w:rPr>
      </w:r>
      <w:r>
        <w:rPr>
          <w:spacing w:val="-1"/>
        </w:rPr>
        <w:t>和信息技术服务业的</w:t>
      </w:r>
      <w:r>
        <w:rPr>
          <w:rFonts w:ascii="宋体" w:hAnsi="宋体" w:cs="宋体" w:eastAsia="宋体" w:hint="default"/>
          <w:spacing w:val="-1"/>
        </w:rPr>
        <w:t>75</w:t>
      </w:r>
      <w:r>
        <w:rPr>
          <w:spacing w:val="-1"/>
        </w:rPr>
        <w:t>分位值以上，</w:t>
      </w:r>
      <w:r>
        <w:rPr>
          <w:rFonts w:ascii="宋体" w:hAnsi="宋体" w:cs="宋体" w:eastAsia="宋体" w:hint="default"/>
          <w:spacing w:val="-1"/>
        </w:rPr>
        <w:t>2014</w:t>
      </w:r>
      <w:r>
        <w:rPr>
          <w:spacing w:val="-1"/>
        </w:rPr>
        <w:t>年归属于股东的净利润为</w:t>
      </w:r>
      <w:r>
        <w:rPr>
          <w:rFonts w:ascii="宋体" w:hAnsi="宋体" w:cs="宋体" w:eastAsia="宋体" w:hint="default"/>
          <w:spacing w:val="-1"/>
        </w:rPr>
        <w:t>5641</w:t>
      </w:r>
      <w:r>
        <w:rPr>
          <w:spacing w:val="-1"/>
        </w:rPr>
        <w:t>万元，</w:t>
      </w:r>
      <w:r>
        <w:rPr>
          <w:rFonts w:ascii="宋体" w:hAnsi="宋体" w:cs="宋体" w:eastAsia="宋体" w:hint="default"/>
          <w:spacing w:val="-1"/>
        </w:rPr>
        <w:t>2015</w:t>
      </w:r>
      <w:r>
        <w:rPr>
          <w:spacing w:val="-1"/>
        </w:rPr>
        <w:t>年度归属于股东的净利</w:t>
      </w:r>
      <w:r>
        <w:rPr>
          <w:spacing w:val="-78"/>
        </w:rPr>
        <w:t> </w:t>
      </w:r>
      <w:r>
        <w:rPr>
          <w:spacing w:val="-1"/>
        </w:rPr>
        <w:t>润为</w:t>
      </w:r>
      <w:r>
        <w:rPr>
          <w:rFonts w:ascii="宋体" w:hAnsi="宋体" w:cs="宋体" w:eastAsia="宋体" w:hint="default"/>
          <w:spacing w:val="-1"/>
        </w:rPr>
        <w:t>8539</w:t>
      </w:r>
      <w:r>
        <w:rPr>
          <w:spacing w:val="-1"/>
        </w:rPr>
        <w:t>万元，授予日前最近三个会计年度的平均水平为</w:t>
      </w:r>
      <w:r>
        <w:rPr>
          <w:rFonts w:ascii="宋体" w:hAnsi="宋体" w:cs="宋体" w:eastAsia="宋体" w:hint="default"/>
          <w:spacing w:val="-1"/>
        </w:rPr>
        <w:t>3355</w:t>
      </w:r>
      <w:r>
        <w:rPr>
          <w:spacing w:val="-1"/>
        </w:rPr>
        <w:t>万元。</w:t>
      </w:r>
      <w:r>
        <w:rPr>
          <w:rFonts w:ascii="宋体" w:hAnsi="宋体" w:cs="宋体" w:eastAsia="宋体" w:hint="default"/>
          <w:spacing w:val="-1"/>
        </w:rPr>
        <w:t>2014</w:t>
      </w:r>
      <w:r>
        <w:rPr>
          <w:spacing w:val="-1"/>
        </w:rPr>
        <w:t>年归属于公司股东的扣除非经常</w:t>
      </w:r>
      <w:r>
        <w:rPr>
          <w:spacing w:val="-80"/>
        </w:rPr>
        <w:t> </w:t>
      </w:r>
      <w:r>
        <w:rPr>
          <w:spacing w:val="-80"/>
        </w:rPr>
      </w:r>
      <w:r>
        <w:rPr>
          <w:spacing w:val="-1"/>
        </w:rPr>
        <w:t>性损益的净利润为</w:t>
      </w:r>
      <w:r>
        <w:rPr>
          <w:rFonts w:ascii="宋体" w:hAnsi="宋体" w:cs="宋体" w:eastAsia="宋体" w:hint="default"/>
          <w:spacing w:val="-1"/>
        </w:rPr>
        <w:t>3871</w:t>
      </w:r>
      <w:r>
        <w:rPr>
          <w:spacing w:val="-1"/>
        </w:rPr>
        <w:t>万元，</w:t>
      </w:r>
      <w:r>
        <w:rPr>
          <w:rFonts w:ascii="宋体" w:hAnsi="宋体" w:cs="宋体" w:eastAsia="宋体" w:hint="default"/>
          <w:spacing w:val="-1"/>
        </w:rPr>
        <w:t>2015</w:t>
      </w:r>
      <w:r>
        <w:rPr>
          <w:spacing w:val="-1"/>
        </w:rPr>
        <w:t>年归属于公司股东的扣除非经常性损益的净利润为</w:t>
      </w:r>
      <w:r>
        <w:rPr>
          <w:rFonts w:ascii="宋体" w:hAnsi="宋体" w:cs="宋体" w:eastAsia="宋体" w:hint="default"/>
          <w:spacing w:val="-1"/>
        </w:rPr>
        <w:t>6525</w:t>
      </w:r>
      <w:r>
        <w:rPr>
          <w:spacing w:val="-1"/>
        </w:rPr>
        <w:t>万元，授予日前</w:t>
      </w:r>
      <w:r>
        <w:rPr>
          <w:spacing w:val="-76"/>
        </w:rPr>
        <w:t> </w:t>
      </w:r>
      <w:r>
        <w:rPr>
          <w:spacing w:val="-76"/>
        </w:rPr>
      </w:r>
      <w:r>
        <w:rPr>
          <w:spacing w:val="-1"/>
        </w:rPr>
        <w:t>最近三个会计年度的平均水平为</w:t>
      </w:r>
      <w:r>
        <w:rPr>
          <w:rFonts w:ascii="宋体" w:hAnsi="宋体" w:cs="宋体" w:eastAsia="宋体" w:hint="default"/>
          <w:spacing w:val="-1"/>
        </w:rPr>
        <w:t>1550</w:t>
      </w:r>
      <w:r>
        <w:rPr>
          <w:spacing w:val="-1"/>
        </w:rPr>
        <w:t>万元。根据公司第一期《股权激励计划方案》设定的第三个解锁期解</w:t>
      </w:r>
      <w:r>
        <w:rPr>
          <w:spacing w:val="-83"/>
        </w:rPr>
        <w:t> </w:t>
      </w:r>
      <w:r>
        <w:rPr>
          <w:spacing w:val="-83"/>
        </w:rPr>
      </w:r>
      <w:r>
        <w:rPr>
          <w:spacing w:val="-1"/>
        </w:rPr>
        <w:t>锁条件已经成就，本次解锁的限制性股票激励对象为</w:t>
      </w:r>
      <w:r>
        <w:rPr>
          <w:rFonts w:ascii="宋体" w:hAnsi="宋体" w:cs="宋体" w:eastAsia="宋体" w:hint="default"/>
          <w:spacing w:val="-1"/>
        </w:rPr>
        <w:t>114</w:t>
      </w:r>
      <w:r>
        <w:rPr>
          <w:spacing w:val="-1"/>
        </w:rPr>
        <w:t>名，解锁的限制性股票数量为</w:t>
      </w:r>
      <w:r>
        <w:rPr>
          <w:rFonts w:ascii="宋体" w:hAnsi="宋体" w:cs="宋体" w:eastAsia="宋体" w:hint="default"/>
          <w:spacing w:val="-1"/>
        </w:rPr>
        <w:t>2,843,624</w:t>
      </w:r>
      <w:r>
        <w:rPr>
          <w:spacing w:val="-1"/>
        </w:rPr>
        <w:t>股，解除</w:t>
      </w:r>
      <w:r>
        <w:rPr>
          <w:spacing w:val="-79"/>
        </w:rPr>
        <w:t> </w:t>
      </w:r>
      <w:r>
        <w:rPr>
          <w:spacing w:val="-79"/>
        </w:rPr>
      </w:r>
      <w:r>
        <w:rPr>
          <w:spacing w:val="-1"/>
        </w:rPr>
        <w:t>限售的股份已于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日在深圳证券交易所上市流通。具体内容详见公司于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27</w:t>
      </w:r>
      <w:r>
        <w:rPr>
          <w:spacing w:val="-1"/>
        </w:rPr>
        <w:t>日刊登在</w:t>
      </w:r>
    </w:p>
    <w:p>
      <w:pPr>
        <w:pStyle w:val="BodyText"/>
        <w:spacing w:line="240" w:lineRule="auto" w:before="9"/>
        <w:ind w:right="0"/>
        <w:jc w:val="both"/>
      </w:pPr>
      <w:r>
        <w:rPr/>
        <w:t>《证券时报》和巨潮资讯网（</w:t>
      </w:r>
      <w:hyperlink r:id="rId13">
        <w:r>
          <w:rPr>
            <w:rFonts w:ascii="宋体" w:hAnsi="宋体" w:cs="宋体" w:eastAsia="宋体" w:hint="default"/>
          </w:rPr>
          <w:t>www.cninfo.com.cn</w:t>
        </w:r>
      </w:hyperlink>
      <w:r>
        <w:rPr/>
        <w:t>）的《关于股权激励获得股份解除限售的公告》。</w:t>
      </w:r>
    </w:p>
    <w:p>
      <w:pPr>
        <w:pStyle w:val="BodyText"/>
        <w:spacing w:line="240" w:lineRule="auto" w:before="76"/>
        <w:ind w:right="0"/>
        <w:jc w:val="both"/>
      </w:pPr>
      <w:r>
        <w:rPr/>
        <w:t>（三）对外投资</w:t>
      </w:r>
    </w:p>
    <w:p>
      <w:pPr>
        <w:pStyle w:val="BodyText"/>
        <w:spacing w:line="273" w:lineRule="auto" w:before="75"/>
        <w:ind w:right="1132" w:firstLine="526"/>
        <w:jc w:val="both"/>
      </w:pPr>
      <w:r>
        <w:rPr/>
        <w:t>公司第八届第十七次董事会，审议通过《关于公司对全资子公司北京大唐高鸿数据网络技术有限公 司增资的议案》，拟为全资子公司北京大唐高鸿数据网络技术有限公司增资</w:t>
      </w:r>
      <w:r>
        <w:rPr>
          <w:rFonts w:ascii="宋体" w:hAnsi="宋体" w:cs="宋体" w:eastAsia="宋体" w:hint="default"/>
        </w:rPr>
        <w:t>3.5</w:t>
      </w:r>
      <w:r>
        <w:rPr/>
        <w:t>亿元，本次增资完成高鸿</w:t>
      </w:r>
      <w:r>
        <w:rPr>
          <w:spacing w:val="-27"/>
        </w:rPr>
        <w:t> </w:t>
      </w:r>
      <w:r>
        <w:rPr>
          <w:spacing w:val="-27"/>
        </w:rPr>
      </w:r>
      <w:r>
        <w:rPr/>
        <w:t>数据注册资本将达到</w:t>
      </w:r>
      <w:r>
        <w:rPr>
          <w:rFonts w:ascii="宋体" w:hAnsi="宋体" w:cs="宋体" w:eastAsia="宋体" w:hint="default"/>
        </w:rPr>
        <w:t>6</w:t>
      </w:r>
      <w:r>
        <w:rPr/>
        <w:t>亿元，公司仍持有其</w:t>
      </w:r>
      <w:r>
        <w:rPr>
          <w:rFonts w:ascii="宋体" w:hAnsi="宋体" w:cs="宋体" w:eastAsia="宋体" w:hint="default"/>
        </w:rPr>
        <w:t>100%</w:t>
      </w:r>
      <w:r>
        <w:rPr/>
        <w:t>股权。</w:t>
      </w:r>
    </w:p>
    <w:p>
      <w:pPr>
        <w:pStyle w:val="BodyText"/>
        <w:spacing w:line="307" w:lineRule="auto" w:before="48"/>
        <w:ind w:left="574" w:right="0" w:hanging="420"/>
        <w:jc w:val="left"/>
      </w:pPr>
      <w:r>
        <w:rPr/>
        <w:t>（四）公司控股股东重组 公司控股股东电信科学技术研究院有限公司于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27</w:t>
      </w:r>
      <w:r>
        <w:rPr/>
        <w:t>日收到国务院国有资产监督管理委员会通</w:t>
      </w:r>
    </w:p>
    <w:p>
      <w:pPr>
        <w:pStyle w:val="BodyText"/>
        <w:spacing w:line="254" w:lineRule="exact" w:before="0"/>
        <w:ind w:right="0"/>
        <w:jc w:val="both"/>
      </w:pPr>
      <w:r>
        <w:rPr/>
        <w:t>知，经国务院批准，同意电信科学技术研究院有限公司与武汉邮电科学研究院有限公司实施联合重组。新</w:t>
      </w:r>
    </w:p>
    <w:p>
      <w:pPr>
        <w:pStyle w:val="BodyText"/>
        <w:spacing w:line="273" w:lineRule="auto" w:before="37"/>
        <w:ind w:right="1131"/>
        <w:jc w:val="both"/>
      </w:pPr>
      <w:r>
        <w:rPr>
          <w:spacing w:val="-1"/>
        </w:rPr>
        <w:t>设公司，由国务院国有资产监督管理委员会代表国务院履行出资人职责，将电信科学技术研究院有限公司</w:t>
      </w:r>
      <w:r>
        <w:rPr>
          <w:spacing w:val="-81"/>
        </w:rPr>
        <w:t> </w:t>
      </w:r>
      <w:r>
        <w:rPr>
          <w:spacing w:val="-81"/>
        </w:rPr>
      </w:r>
      <w:r>
        <w:rPr>
          <w:spacing w:val="-1"/>
        </w:rPr>
        <w:t>和武汉邮电科学研究院有限公司整体无偿划入新公司中国信息通信科技集团有限公司。重组完成后，电信</w:t>
      </w:r>
      <w:r>
        <w:rPr>
          <w:spacing w:val="-81"/>
        </w:rPr>
        <w:t> </w:t>
      </w:r>
      <w:r>
        <w:rPr>
          <w:spacing w:val="-81"/>
        </w:rPr>
      </w:r>
      <w:r>
        <w:rPr>
          <w:spacing w:val="-1"/>
        </w:rPr>
        <w:t>科学技术研究院有限公司持有本公司的股份数量及股权比例未发生变化，最终实际控制人国务院国有资产</w:t>
      </w:r>
      <w:r>
        <w:rPr>
          <w:spacing w:val="-81"/>
        </w:rPr>
        <w:t> </w:t>
      </w:r>
      <w:r>
        <w:rPr>
          <w:spacing w:val="-81"/>
        </w:rPr>
      </w:r>
      <w:r>
        <w:rPr/>
        <w:t>监督管理委员会未发生变化。</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二十、公司子公司重大事项" w:id="110"/>
      <w:bookmarkEnd w:id="110"/>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8" w:lineRule="auto" w:before="75"/>
        <w:ind w:right="0" w:firstLine="423"/>
        <w:jc w:val="left"/>
      </w:pPr>
      <w:r>
        <w:rPr/>
        <w:t>（一）</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月，公司全资子公司北京高阳捷迅技术有限公司在通过北京产权交易所挂牌引入战略 投资者对其进行增资。经过竞争性谈判确定投资者为：上海云鑫创业投资有限公司、嘉兴桔子共享投资合 伙企业（有限合伙）、北京金吾创业投资中心（有限合伙）、北京数字畅优科技中心（有限合伙）。公司 与子公司高阳捷迅与上海云鑫创业投资有限公司、嘉兴桔子共享投资合伙企业（有限合伙）、北京金吾创 业投资中心（有限合伙）、北京数字畅优科技中心（有限合伙）完成签署《增资协议》及《股东协议》。</w:t>
      </w:r>
      <w:r>
        <w:rPr>
          <w:spacing w:val="-35"/>
        </w:rPr>
        <w:t> </w:t>
      </w:r>
      <w:r>
        <w:rPr>
          <w:spacing w:val="-3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月，高阳捷迅已收到增资款项并办理完成工商变更登记手续。</w:t>
      </w:r>
    </w:p>
    <w:p>
      <w:pPr>
        <w:pStyle w:val="BodyText"/>
        <w:spacing w:line="266" w:lineRule="auto" w:before="0"/>
        <w:ind w:right="0" w:firstLine="423"/>
        <w:jc w:val="left"/>
      </w:pPr>
      <w:r>
        <w:rPr/>
        <w:t>（二）公司第七届董事会第七十二次会议审议并通过了《关于大唐融合通信股份有限公司引入投资者 增资的议案》，同意公司控股子公司大唐融合引入投资者对其进行增资。公司控股子公司大唐融合拟以不 </w:t>
      </w:r>
      <w:r>
        <w:rPr>
          <w:spacing w:val="-2"/>
        </w:rPr>
        <w:t>低于</w:t>
      </w:r>
      <w:r>
        <w:rPr>
          <w:rFonts w:ascii="Times New Roman" w:hAnsi="Times New Roman" w:cs="Times New Roman" w:eastAsia="Times New Roman" w:hint="default"/>
          <w:spacing w:val="-2"/>
        </w:rPr>
        <w:t>5.38</w:t>
      </w:r>
      <w:r>
        <w:rPr>
          <w:spacing w:val="-2"/>
        </w:rPr>
        <w:t>元</w:t>
      </w:r>
      <w:r>
        <w:rPr>
          <w:rFonts w:ascii="Times New Roman" w:hAnsi="Times New Roman" w:cs="Times New Roman" w:eastAsia="Times New Roman" w:hint="default"/>
          <w:spacing w:val="-2"/>
        </w:rPr>
        <w:t>/</w:t>
      </w:r>
      <w:r>
        <w:rPr>
          <w:spacing w:val="-2"/>
        </w:rPr>
        <w:t>股价格向不超过</w:t>
      </w:r>
      <w:r>
        <w:rPr>
          <w:rFonts w:ascii="Times New Roman" w:hAnsi="Times New Roman" w:cs="Times New Roman" w:eastAsia="Times New Roman" w:hint="default"/>
          <w:spacing w:val="-2"/>
        </w:rPr>
        <w:t>8</w:t>
      </w:r>
      <w:r>
        <w:rPr>
          <w:spacing w:val="-2"/>
        </w:rPr>
        <w:t>名投资人发行不超过</w:t>
      </w:r>
      <w:r>
        <w:rPr>
          <w:rFonts w:ascii="Times New Roman" w:hAnsi="Times New Roman" w:cs="Times New Roman" w:eastAsia="Times New Roman" w:hint="default"/>
          <w:spacing w:val="-2"/>
        </w:rPr>
        <w:t>3000</w:t>
      </w:r>
      <w:r>
        <w:rPr>
          <w:spacing w:val="-2"/>
        </w:rPr>
        <w:t>万股大唐融合股份，募集资金总额不超过</w:t>
      </w:r>
      <w:r>
        <w:rPr>
          <w:rFonts w:ascii="Times New Roman" w:hAnsi="Times New Roman" w:cs="Times New Roman" w:eastAsia="Times New Roman" w:hint="default"/>
          <w:spacing w:val="-2"/>
        </w:rPr>
        <w:t>1.62</w:t>
      </w:r>
      <w:r>
        <w:rPr>
          <w:spacing w:val="-2"/>
        </w:rPr>
        <w:t>亿元人</w:t>
      </w:r>
      <w:r>
        <w:rPr>
          <w:spacing w:val="-82"/>
        </w:rPr>
        <w:t> </w:t>
      </w:r>
      <w:r>
        <w:rPr/>
        <w:t>民币，本次增资金额将全部用于大唐融合上下游及相关产业的投资、整合或并购、投资设立区域性公司、</w:t>
      </w:r>
      <w:r>
        <w:rPr>
          <w:spacing w:val="-35"/>
        </w:rPr>
        <w:t> </w:t>
      </w:r>
      <w:r>
        <w:rPr>
          <w:spacing w:val="-35"/>
        </w:rPr>
      </w:r>
      <w:r>
        <w:rPr/>
        <w:t>产品研发投入和补充流动资金，本次发行完成后大唐融合总股本不超过</w:t>
      </w:r>
      <w:r>
        <w:rPr>
          <w:rFonts w:ascii="Times New Roman" w:hAnsi="Times New Roman" w:cs="Times New Roman" w:eastAsia="Times New Roman" w:hint="default"/>
        </w:rPr>
        <w:t>12,700</w:t>
      </w:r>
      <w:r>
        <w:rPr/>
        <w:t>万股。引入投资者方式为在</w:t>
      </w:r>
      <w:r>
        <w:rPr>
          <w:spacing w:val="-76"/>
        </w:rPr>
        <w:t> </w:t>
      </w:r>
      <w:r>
        <w:rPr>
          <w:spacing w:val="-76"/>
        </w:rPr>
      </w:r>
      <w:r>
        <w:rPr/>
        <w:t>北京产权交易所公开挂牌交易方式。</w:t>
      </w:r>
    </w:p>
    <w:p>
      <w:pPr>
        <w:pStyle w:val="BodyText"/>
        <w:spacing w:line="240" w:lineRule="auto" w:before="14"/>
        <w:ind w:left="577" w:right="0"/>
        <w:jc w:val="left"/>
      </w:pPr>
      <w:r>
        <w:rPr/>
        <w:t>大唐融合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日在北京产权交易所正式挂牌，根据北交所国有产权转让规则和转让公告约定，</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56" w:lineRule="auto" w:before="35"/>
        <w:ind w:left="577" w:right="1014" w:hanging="424"/>
        <w:jc w:val="left"/>
      </w:pPr>
      <w:r>
        <w:rPr/>
        <w:t>挂牌期满后符合受让条件并按时缴纳保证金成为的投资人共计</w:t>
      </w:r>
      <w:r>
        <w:rPr>
          <w:rFonts w:ascii="Times New Roman" w:hAnsi="Times New Roman" w:cs="Times New Roman" w:eastAsia="Times New Roman" w:hint="default"/>
        </w:rPr>
        <w:t>4</w:t>
      </w:r>
      <w:r>
        <w:rPr/>
        <w:t>方。 </w:t>
      </w:r>
      <w:r>
        <w:rPr>
          <w:spacing w:val="-3"/>
        </w:rPr>
        <w:t>公司召开第八届董事会第八次会议审议通过《关于大唐融合引入投资者增资并签署相关协议的议案》，</w:t>
      </w:r>
    </w:p>
    <w:p>
      <w:pPr>
        <w:pStyle w:val="BodyText"/>
        <w:spacing w:line="266" w:lineRule="auto" w:before="22"/>
        <w:ind w:right="1131"/>
        <w:jc w:val="both"/>
      </w:pPr>
      <w:r>
        <w:rPr>
          <w:spacing w:val="-1"/>
        </w:rPr>
        <w:t>确定发行价格为</w:t>
      </w:r>
      <w:r>
        <w:rPr>
          <w:rFonts w:ascii="Times New Roman" w:hAnsi="Times New Roman" w:cs="Times New Roman" w:eastAsia="Times New Roman" w:hint="default"/>
          <w:spacing w:val="-1"/>
        </w:rPr>
        <w:t>5.4</w:t>
      </w:r>
      <w:r>
        <w:rPr>
          <w:spacing w:val="-1"/>
        </w:rPr>
        <w:t>元</w:t>
      </w:r>
      <w:r>
        <w:rPr>
          <w:rFonts w:ascii="Times New Roman" w:hAnsi="Times New Roman" w:cs="Times New Roman" w:eastAsia="Times New Roman" w:hint="default"/>
          <w:spacing w:val="-1"/>
        </w:rPr>
        <w:t>/</w:t>
      </w:r>
      <w:r>
        <w:rPr>
          <w:spacing w:val="-1"/>
        </w:rPr>
        <w:t>股，发行股份数量为不超过</w:t>
      </w:r>
      <w:r>
        <w:rPr>
          <w:rFonts w:ascii="Times New Roman" w:hAnsi="Times New Roman" w:cs="Times New Roman" w:eastAsia="Times New Roman" w:hint="default"/>
          <w:spacing w:val="-1"/>
        </w:rPr>
        <w:t>2100</w:t>
      </w:r>
      <w:r>
        <w:rPr>
          <w:spacing w:val="-1"/>
        </w:rPr>
        <w:t>万股，募集资金总额不超过</w:t>
      </w:r>
      <w:r>
        <w:rPr>
          <w:rFonts w:ascii="Times New Roman" w:hAnsi="Times New Roman" w:cs="Times New Roman" w:eastAsia="Times New Roman" w:hint="default"/>
          <w:spacing w:val="-1"/>
        </w:rPr>
        <w:t>11340</w:t>
      </w:r>
      <w:r>
        <w:rPr>
          <w:spacing w:val="-1"/>
        </w:rPr>
        <w:t>万元人民币，本次</w:t>
      </w:r>
      <w:r>
        <w:rPr>
          <w:spacing w:val="-88"/>
        </w:rPr>
        <w:t> </w:t>
      </w:r>
      <w:r>
        <w:rPr>
          <w:spacing w:val="-88"/>
        </w:rPr>
      </w:r>
      <w:r>
        <w:rPr>
          <w:spacing w:val="-1"/>
        </w:rPr>
        <w:t>增资金额将全部用于大唐融合上下游及相关产业的投资、整合或并购、投资设立区域性公司、产品研发投</w:t>
      </w:r>
      <w:r>
        <w:rPr>
          <w:spacing w:val="-83"/>
        </w:rPr>
        <w:t> </w:t>
      </w:r>
      <w:r>
        <w:rPr>
          <w:spacing w:val="-83"/>
        </w:rPr>
      </w:r>
      <w:r>
        <w:rPr/>
        <w:t>入和补充流动资金，大唐融合注册资本由</w:t>
      </w:r>
      <w:r>
        <w:rPr>
          <w:rFonts w:ascii="Times New Roman" w:hAnsi="Times New Roman" w:cs="Times New Roman" w:eastAsia="Times New Roman" w:hint="default"/>
        </w:rPr>
        <w:t>9700</w:t>
      </w:r>
      <w:r>
        <w:rPr/>
        <w:t>万元增至不超过</w:t>
      </w:r>
      <w:r>
        <w:rPr>
          <w:rFonts w:ascii="Times New Roman" w:hAnsi="Times New Roman" w:cs="Times New Roman" w:eastAsia="Times New Roman" w:hint="default"/>
        </w:rPr>
        <w:t>11800</w:t>
      </w:r>
      <w:r>
        <w:rPr/>
        <w:t>万元。</w:t>
      </w:r>
    </w:p>
    <w:p>
      <w:pPr>
        <w:pStyle w:val="BodyText"/>
        <w:spacing w:line="266" w:lineRule="auto" w:before="0"/>
        <w:ind w:right="0" w:firstLine="423"/>
        <w:jc w:val="left"/>
      </w:pPr>
      <w:r>
        <w:rPr>
          <w:spacing w:val="-6"/>
        </w:rPr>
        <w:t>投资方分别为深圳市大唐同威高技术创业投资基金（有限合伙）、福建兴和豪康股权并购合伙企业（有</w:t>
      </w:r>
      <w:r>
        <w:rPr/>
        <w:t> 限合伙）、盘锦市创业投资有限公司、盘锦鑫诚投资管理有限公司，公司及子公司大唐融合与各投资方签 署《股权认购协议》，认购大唐融合人民币普通股</w:t>
      </w:r>
      <w:r>
        <w:rPr>
          <w:rFonts w:ascii="Times New Roman" w:hAnsi="Times New Roman" w:cs="Times New Roman" w:eastAsia="Times New Roman" w:hint="default"/>
        </w:rPr>
        <w:t>2100</w:t>
      </w:r>
      <w:r>
        <w:rPr/>
        <w:t>万股，大唐融合募集资金</w:t>
      </w:r>
      <w:r>
        <w:rPr>
          <w:rFonts w:ascii="Times New Roman" w:hAnsi="Times New Roman" w:cs="Times New Roman" w:eastAsia="Times New Roman" w:hint="default"/>
        </w:rPr>
        <w:t>11340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spacing w:val="-27"/>
        </w:rPr>
        <w:t> </w:t>
      </w:r>
      <w:r>
        <w:rPr/>
        <w:t>大唐融合已经收到募集资金款项并办理完成工商变更手续。</w:t>
      </w:r>
    </w:p>
    <w:p>
      <w:pPr>
        <w:pStyle w:val="BodyText"/>
        <w:spacing w:line="273" w:lineRule="auto" w:before="14"/>
        <w:ind w:right="1131" w:firstLine="423"/>
        <w:jc w:val="both"/>
      </w:pPr>
      <w:r>
        <w:rPr>
          <w:spacing w:val="-1"/>
        </w:rPr>
        <w:t>（三）公司第八届董事会第十四次会议审议通过《关于公司下属公司大唐融合（河南）信息服务有限</w:t>
      </w:r>
      <w:r>
        <w:rPr/>
        <w:t> </w:t>
      </w:r>
      <w:r>
        <w:rPr>
          <w:spacing w:val="-1"/>
        </w:rPr>
        <w:t>公司引入投资者增资的议案》，公司拟引入外部投资者对控股子公司大唐融合通信股份有限公司的控股子</w:t>
      </w:r>
      <w:r>
        <w:rPr>
          <w:spacing w:val="-81"/>
        </w:rPr>
        <w:t> </w:t>
      </w:r>
      <w:r>
        <w:rPr>
          <w:spacing w:val="-81"/>
        </w:rPr>
      </w:r>
      <w:r>
        <w:rPr/>
        <w:t>公司大唐融合（河南）信息服务有限公司进行增资。</w:t>
      </w:r>
    </w:p>
    <w:p>
      <w:pPr>
        <w:pStyle w:val="BodyText"/>
        <w:spacing w:line="261" w:lineRule="auto"/>
        <w:ind w:right="1128" w:firstLine="423"/>
        <w:jc w:val="both"/>
      </w:pPr>
      <w:r>
        <w:rPr>
          <w:spacing w:val="-1"/>
        </w:rPr>
        <w:t>公司第八届董事会第二十一次会议审议通过《关于公司参与大唐融合（河南）信息服务有限公司增资</w:t>
      </w:r>
      <w:r>
        <w:rPr/>
        <w:t> </w:t>
      </w:r>
      <w:r>
        <w:rPr>
          <w:spacing w:val="-1"/>
        </w:rPr>
        <w:t>并签署相关协议的议案》，同意公司以自有货币出资不超过</w:t>
      </w:r>
      <w:r>
        <w:rPr>
          <w:rFonts w:ascii="Times New Roman" w:hAnsi="Times New Roman" w:cs="Times New Roman" w:eastAsia="Times New Roman" w:hint="default"/>
          <w:spacing w:val="-1"/>
        </w:rPr>
        <w:t>3000</w:t>
      </w:r>
      <w:r>
        <w:rPr>
          <w:spacing w:val="-1"/>
        </w:rPr>
        <w:t>万元参与大唐融合（河南）信息服务有限</w:t>
      </w:r>
      <w:r>
        <w:rPr>
          <w:spacing w:val="-82"/>
        </w:rPr>
        <w:t> </w:t>
      </w:r>
      <w:r>
        <w:rPr>
          <w:spacing w:val="-82"/>
        </w:rPr>
      </w:r>
      <w:r>
        <w:rPr/>
        <w:t>公司增资并授权管理层签署相关协议，根据银信评报字</w:t>
      </w:r>
      <w:r>
        <w:rPr>
          <w:rFonts w:ascii="Times New Roman" w:hAnsi="Times New Roman" w:cs="Times New Roman" w:eastAsia="Times New Roman" w:hint="default"/>
        </w:rPr>
        <w:t>[2018]</w:t>
      </w:r>
      <w:r>
        <w:rPr/>
        <w:t>沪第</w:t>
      </w:r>
      <w:r>
        <w:rPr>
          <w:rFonts w:ascii="Times New Roman" w:hAnsi="Times New Roman" w:cs="Times New Roman" w:eastAsia="Times New Roman" w:hint="default"/>
        </w:rPr>
        <w:t>1001</w:t>
      </w:r>
      <w:r>
        <w:rPr/>
        <w:t>号评估报告确认增资价格为不低于</w:t>
      </w:r>
      <w:r>
        <w:rPr>
          <w:spacing w:val="-64"/>
        </w:rPr>
        <w:t> </w:t>
      </w:r>
      <w:r>
        <w:rPr>
          <w:rFonts w:ascii="Times New Roman" w:hAnsi="Times New Roman" w:cs="Times New Roman" w:eastAsia="Times New Roman" w:hint="default"/>
        </w:rPr>
        <w:t>1.2</w:t>
      </w:r>
      <w:r>
        <w:rPr/>
        <w:t>元</w:t>
      </w:r>
      <w:r>
        <w:rPr>
          <w:rFonts w:ascii="Times New Roman" w:hAnsi="Times New Roman" w:cs="Times New Roman" w:eastAsia="Times New Roman" w:hint="default"/>
        </w:rPr>
        <w:t>/</w:t>
      </w:r>
      <w:r>
        <w:rPr/>
        <w:t>元注册资金，增资完成后公司持股比例为不低于</w:t>
      </w:r>
      <w:r>
        <w:rPr>
          <w:rFonts w:ascii="Times New Roman" w:hAnsi="Times New Roman" w:cs="Times New Roman" w:eastAsia="Times New Roman" w:hint="default"/>
        </w:rPr>
        <w:t>29.90%</w:t>
      </w:r>
      <w:r>
        <w:rPr/>
        <w:t>，本次增资完成后河南融合注册资本不超过</w:t>
      </w:r>
    </w:p>
    <w:p>
      <w:pPr>
        <w:pStyle w:val="BodyText"/>
        <w:spacing w:line="240" w:lineRule="auto" w:before="0"/>
        <w:ind w:right="0"/>
        <w:jc w:val="both"/>
      </w:pPr>
      <w:r>
        <w:rPr>
          <w:rFonts w:ascii="Times New Roman" w:hAnsi="Times New Roman" w:cs="Times New Roman" w:eastAsia="Times New Roman" w:hint="default"/>
        </w:rPr>
        <w:t>9,000</w:t>
      </w:r>
      <w:r>
        <w:rPr/>
        <w:t>万元。</w:t>
      </w:r>
    </w:p>
    <w:p>
      <w:pPr>
        <w:pStyle w:val="BodyText"/>
        <w:spacing w:line="264" w:lineRule="auto" w:before="21"/>
        <w:ind w:right="1130" w:firstLine="420"/>
        <w:jc w:val="both"/>
      </w:pPr>
      <w:r>
        <w:rPr/>
        <w:t>河南融合于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13</w:t>
      </w:r>
      <w:r>
        <w:rPr/>
        <w:t>日在北京产权交易所正式挂牌，根据北交所国有产权转让规则和转让公告约 </w:t>
      </w:r>
      <w:r>
        <w:rPr>
          <w:spacing w:val="-1"/>
        </w:rPr>
        <w:t>定，挂牌期满后符合受让条件并按时缴纳保证金成为的投资人共计五方，分别为中央企业贫困地区产业投</w:t>
      </w:r>
      <w:r>
        <w:rPr>
          <w:spacing w:val="-81"/>
        </w:rPr>
        <w:t> </w:t>
      </w:r>
      <w:r>
        <w:rPr>
          <w:spacing w:val="-81"/>
        </w:rPr>
      </w:r>
      <w:r>
        <w:rPr/>
        <w:t>资基金股份有限公司、北京外企投资上海有限公司、</w:t>
      </w:r>
      <w:r>
        <w:rPr>
          <w:spacing w:val="50"/>
        </w:rPr>
        <w:t> </w:t>
      </w:r>
      <w:r>
        <w:rPr/>
        <w:t>沈丘县综合投资有限公司、沈丘县城区改造建设投</w:t>
      </w:r>
      <w:r>
        <w:rPr>
          <w:spacing w:val="-88"/>
        </w:rPr>
        <w:t> </w:t>
      </w:r>
      <w:r>
        <w:rPr>
          <w:spacing w:val="-88"/>
        </w:rPr>
      </w:r>
      <w:r>
        <w:rPr/>
        <w:t>资开发有限公司、中国有色矿业集团有限公司。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月，河南融合收到增资款项并办理完成工商变更</w:t>
      </w:r>
      <w:r>
        <w:rPr>
          <w:spacing w:val="-30"/>
        </w:rPr>
        <w:t> </w:t>
      </w:r>
      <w:r>
        <w:rPr>
          <w:spacing w:val="-30"/>
        </w:rPr>
      </w:r>
      <w:r>
        <w:rPr/>
        <w:t>登记手续。</w:t>
      </w:r>
    </w:p>
    <w:p>
      <w:pPr>
        <w:pStyle w:val="BodyText"/>
        <w:spacing w:line="261" w:lineRule="auto" w:before="16"/>
        <w:ind w:right="1130" w:firstLine="420"/>
        <w:jc w:val="both"/>
      </w:pPr>
      <w:r>
        <w:rPr>
          <w:spacing w:val="-1"/>
        </w:rPr>
        <w:t>（四）公司第八届第十七次董事会，审议通过《关于公司下属公司投资设立合资公司的议案》，同意</w:t>
      </w:r>
      <w:r>
        <w:rPr/>
        <w:t> 公司下属子公司大唐高鸿信息技术有限公司与</w:t>
      </w:r>
      <w:r>
        <w:rPr>
          <w:rFonts w:ascii="Times New Roman" w:hAnsi="Times New Roman" w:cs="Times New Roman" w:eastAsia="Times New Roman" w:hint="default"/>
        </w:rPr>
        <w:t>IDC</w:t>
      </w:r>
      <w:r>
        <w:rPr/>
        <w:t>运营商</w:t>
      </w:r>
      <w:r>
        <w:rPr>
          <w:rFonts w:ascii="Times New Roman" w:hAnsi="Times New Roman" w:cs="Times New Roman" w:eastAsia="Times New Roman" w:hint="default"/>
        </w:rPr>
        <w:t>Equini Inc. </w:t>
      </w:r>
      <w:r>
        <w:rPr/>
        <w:t>子公司</w:t>
      </w:r>
      <w:r>
        <w:rPr>
          <w:rFonts w:ascii="Times New Roman" w:hAnsi="Times New Roman" w:cs="Times New Roman" w:eastAsia="Times New Roman" w:hint="default"/>
        </w:rPr>
        <w:t>Equinix Hong Kong</w:t>
      </w:r>
      <w:r>
        <w:rPr>
          <w:rFonts w:ascii="Times New Roman" w:hAnsi="Times New Roman" w:cs="Times New Roman" w:eastAsia="Times New Roman" w:hint="default"/>
          <w:spacing w:val="-20"/>
        </w:rPr>
        <w:t> </w:t>
      </w:r>
      <w:r>
        <w:rPr>
          <w:rFonts w:ascii="Times New Roman" w:hAnsi="Times New Roman" w:cs="Times New Roman" w:eastAsia="Times New Roman" w:hint="default"/>
        </w:rPr>
        <w:t>Limited</w:t>
      </w:r>
      <w:r>
        <w:rPr/>
        <w:t>共同 </w:t>
      </w:r>
      <w:r>
        <w:rPr>
          <w:spacing w:val="-1"/>
        </w:rPr>
        <w:t>出资设立合资公司。经中国（上海）自由贸易试验区核准，合资公司已完成工商注册登记手续。</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7"/>
        </w:rPr>
        <w:t> </w:t>
      </w:r>
      <w:r>
        <w:rPr/>
        <w:t>月</w:t>
      </w:r>
      <w:r>
        <w:rPr>
          <w:rFonts w:ascii="Times New Roman" w:hAnsi="Times New Roman" w:cs="Times New Roman" w:eastAsia="Times New Roman" w:hint="default"/>
        </w:rPr>
        <w:t>25</w:t>
      </w:r>
      <w:r>
        <w:rPr/>
        <w:t>日公司领取了中国（上海）自由贸易试验区核发的营业执照。</w:t>
      </w:r>
    </w:p>
    <w:p>
      <w:pPr>
        <w:pStyle w:val="BodyText"/>
        <w:spacing w:line="273" w:lineRule="auto" w:before="41"/>
        <w:ind w:right="1131" w:firstLine="336"/>
        <w:jc w:val="both"/>
      </w:pPr>
      <w:r>
        <w:rPr/>
        <w:t>（五）公司第八届董事会第十八次会议审议通过《关于预披露公开挂牌转让全资子公司的议案》，同 </w:t>
      </w:r>
      <w:r>
        <w:rPr>
          <w:spacing w:val="-1"/>
        </w:rPr>
        <w:t>意转让江苏高鸿鼎恒信息技术有限公司全部股权，本次转让完成后将不再持有高鸿鼎恒股份，本次转让事</w:t>
      </w:r>
      <w:r>
        <w:rPr>
          <w:spacing w:val="-81"/>
        </w:rPr>
        <w:t> </w:t>
      </w:r>
      <w:r>
        <w:rPr>
          <w:spacing w:val="-81"/>
        </w:rPr>
      </w:r>
      <w:r>
        <w:rPr>
          <w:spacing w:val="-1"/>
        </w:rPr>
        <w:t>项待评估报告出具，价格确定后再次提交董事会审议，同意授权管理层办理前期在北京产权交易所预披露</w:t>
      </w:r>
      <w:r>
        <w:rPr>
          <w:spacing w:val="-81"/>
        </w:rPr>
        <w:t> </w:t>
      </w:r>
      <w:r>
        <w:rPr>
          <w:spacing w:val="-81"/>
        </w:rPr>
      </w:r>
      <w:r>
        <w:rPr/>
        <w:t>挂牌转让高鸿鼎恒股权事宜。此项转让事项截至本公告日尚无更新进展。</w:t>
      </w:r>
    </w:p>
    <w:p>
      <w:pPr>
        <w:spacing w:after="0" w:line="273"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0"/>
        <w:jc w:val="left"/>
        <w:rPr>
          <w:b w:val="0"/>
          <w:bCs w:val="0"/>
        </w:rPr>
      </w:pPr>
      <w:bookmarkStart w:name="第六节 股份变动及股东情况" w:id="111"/>
      <w:bookmarkEnd w:id="111"/>
      <w:r>
        <w:rPr>
          <w:b w:val="0"/>
          <w:bCs w:val="0"/>
        </w:rPr>
      </w:r>
      <w:bookmarkStart w:name="_bookmark5" w:id="112"/>
      <w:bookmarkEnd w:id="112"/>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3"/>
      <w:bookmarkEnd w:id="11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14"/>
      <w:bookmarkEnd w:id="11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103"/>
        <w:gridCol w:w="974"/>
        <w:gridCol w:w="712"/>
        <w:gridCol w:w="474"/>
        <w:gridCol w:w="430"/>
        <w:gridCol w:w="1000"/>
        <w:gridCol w:w="1355"/>
        <w:gridCol w:w="962"/>
        <w:gridCol w:w="962"/>
        <w:gridCol w:w="712"/>
      </w:tblGrid>
      <w:tr>
        <w:trPr>
          <w:trHeight w:val="402" w:hRule="exact"/>
        </w:trPr>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2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03" w:type="dxa"/>
            <w:vMerge w:val="restart"/>
            <w:tcBorders>
              <w:top w:val="nil" w:sz="6" w:space="0" w:color="auto"/>
              <w:left w:val="single" w:sz="4" w:space="0" w:color="000000"/>
              <w:right w:val="single" w:sz="4" w:space="0" w:color="000000"/>
            </w:tcBorders>
            <w:shd w:val="clear" w:color="auto" w:fill="D2D2D2"/>
          </w:tcPr>
          <w:p>
            <w:pPr/>
          </w:p>
        </w:tc>
        <w:tc>
          <w:tcPr>
            <w:tcW w:w="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7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 w:right="4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9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103" w:type="dxa"/>
            <w:vMerge/>
            <w:tcBorders>
              <w:left w:val="single" w:sz="4" w:space="0" w:color="000000"/>
              <w:bottom w:val="nil" w:sz="6" w:space="0" w:color="auto"/>
              <w:right w:val="single" w:sz="4" w:space="0" w:color="000000"/>
            </w:tcBorders>
            <w:shd w:val="clear" w:color="auto" w:fill="D2D2D2"/>
          </w:tcPr>
          <w:p>
            <w:pPr/>
          </w:p>
        </w:tc>
        <w:tc>
          <w:tcPr>
            <w:tcW w:w="9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74" w:type="dxa"/>
            <w:vMerge/>
            <w:tcBorders>
              <w:left w:val="single" w:sz="4" w:space="0" w:color="000000"/>
              <w:right w:val="single" w:sz="4" w:space="0" w:color="000000"/>
            </w:tcBorders>
            <w:shd w:val="clear" w:color="auto" w:fill="D2D2D2"/>
          </w:tcPr>
          <w:p>
            <w:pPr/>
          </w:p>
        </w:tc>
        <w:tc>
          <w:tcPr>
            <w:tcW w:w="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03" w:type="dxa"/>
            <w:vMerge w:val="restart"/>
            <w:tcBorders>
              <w:top w:val="nil" w:sz="6" w:space="0" w:color="auto"/>
              <w:left w:val="single" w:sz="4" w:space="0" w:color="000000"/>
              <w:right w:val="single" w:sz="4" w:space="0" w:color="000000"/>
            </w:tcBorders>
            <w:shd w:val="clear" w:color="auto" w:fill="D2D2D2"/>
          </w:tcPr>
          <w:p>
            <w:pPr/>
          </w:p>
        </w:tc>
        <w:tc>
          <w:tcPr>
            <w:tcW w:w="974" w:type="dxa"/>
            <w:vMerge/>
            <w:tcBorders>
              <w:left w:val="single" w:sz="4" w:space="0" w:color="000000"/>
              <w:bottom w:val="nil" w:sz="6" w:space="0" w:color="auto"/>
              <w:right w:val="single" w:sz="4" w:space="0" w:color="000000"/>
            </w:tcBorders>
            <w:shd w:val="clear" w:color="auto" w:fill="D2D2D2"/>
          </w:tcPr>
          <w:p>
            <w:pPr/>
          </w:p>
        </w:tc>
        <w:tc>
          <w:tcPr>
            <w:tcW w:w="712" w:type="dxa"/>
            <w:vMerge/>
            <w:tcBorders>
              <w:left w:val="single" w:sz="4" w:space="0" w:color="000000"/>
              <w:bottom w:val="nil" w:sz="6" w:space="0" w:color="auto"/>
              <w:right w:val="single" w:sz="4" w:space="0" w:color="000000"/>
            </w:tcBorders>
            <w:shd w:val="clear" w:color="auto" w:fill="D2D2D2"/>
          </w:tcPr>
          <w:p>
            <w:pPr/>
          </w:p>
        </w:tc>
        <w:tc>
          <w:tcPr>
            <w:tcW w:w="474" w:type="dxa"/>
            <w:vMerge/>
            <w:tcBorders>
              <w:left w:val="single" w:sz="4" w:space="0" w:color="000000"/>
              <w:right w:val="single" w:sz="4" w:space="0" w:color="000000"/>
            </w:tcBorders>
            <w:shd w:val="clear" w:color="auto" w:fill="D2D2D2"/>
          </w:tcPr>
          <w:p>
            <w:pPr/>
          </w:p>
        </w:tc>
        <w:tc>
          <w:tcPr>
            <w:tcW w:w="430" w:type="dxa"/>
            <w:vMerge/>
            <w:tcBorders>
              <w:left w:val="single" w:sz="4" w:space="0" w:color="000000"/>
              <w:bottom w:val="nil" w:sz="6" w:space="0" w:color="auto"/>
              <w:right w:val="single" w:sz="4" w:space="0" w:color="000000"/>
            </w:tcBorders>
            <w:shd w:val="clear" w:color="auto" w:fill="D2D2D2"/>
          </w:tcPr>
          <w:p>
            <w:pPr/>
          </w:p>
        </w:tc>
        <w:tc>
          <w:tcPr>
            <w:tcW w:w="1000" w:type="dxa"/>
            <w:vMerge/>
            <w:tcBorders>
              <w:left w:val="single" w:sz="4" w:space="0" w:color="000000"/>
              <w:bottom w:val="nil" w:sz="6" w:space="0" w:color="auto"/>
              <w:right w:val="single" w:sz="4" w:space="0" w:color="000000"/>
            </w:tcBorders>
            <w:shd w:val="clear" w:color="auto" w:fill="D2D2D2"/>
          </w:tcPr>
          <w:p>
            <w:pPr/>
          </w:p>
        </w:tc>
        <w:tc>
          <w:tcPr>
            <w:tcW w:w="1355" w:type="dxa"/>
            <w:vMerge/>
            <w:tcBorders>
              <w:left w:val="single" w:sz="4" w:space="0" w:color="000000"/>
              <w:bottom w:val="nil" w:sz="6" w:space="0" w:color="auto"/>
              <w:right w:val="single" w:sz="4" w:space="0" w:color="000000"/>
            </w:tcBorders>
            <w:shd w:val="clear" w:color="auto" w:fill="D2D2D2"/>
          </w:tcPr>
          <w:p>
            <w:pPr/>
          </w:p>
        </w:tc>
        <w:tc>
          <w:tcPr>
            <w:tcW w:w="962" w:type="dxa"/>
            <w:vMerge/>
            <w:tcBorders>
              <w:left w:val="single" w:sz="4" w:space="0" w:color="000000"/>
              <w:bottom w:val="nil" w:sz="6" w:space="0" w:color="auto"/>
              <w:right w:val="single" w:sz="4" w:space="0" w:color="000000"/>
            </w:tcBorders>
            <w:shd w:val="clear" w:color="auto" w:fill="D2D2D2"/>
          </w:tcPr>
          <w:p>
            <w:pPr/>
          </w:p>
        </w:tc>
        <w:tc>
          <w:tcPr>
            <w:tcW w:w="962" w:type="dxa"/>
            <w:vMerge/>
            <w:tcBorders>
              <w:left w:val="single" w:sz="4" w:space="0" w:color="000000"/>
              <w:bottom w:val="nil" w:sz="6" w:space="0" w:color="auto"/>
              <w:right w:val="single" w:sz="4" w:space="0" w:color="000000"/>
            </w:tcBorders>
            <w:shd w:val="clear" w:color="auto" w:fill="D2D2D2"/>
          </w:tcPr>
          <w:p>
            <w:pPr/>
          </w:p>
        </w:tc>
        <w:tc>
          <w:tcPr>
            <w:tcW w:w="71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103" w:type="dxa"/>
            <w:vMerge/>
            <w:tcBorders>
              <w:left w:val="single" w:sz="4" w:space="0" w:color="000000"/>
              <w:bottom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474" w:type="dxa"/>
            <w:vMerge/>
            <w:tcBorders>
              <w:left w:val="single" w:sz="4" w:space="0" w:color="000000"/>
              <w:bottom w:val="single" w:sz="4" w:space="0" w:color="000000"/>
              <w:right w:val="single" w:sz="4" w:space="0" w:color="000000"/>
            </w:tcBorders>
            <w:shd w:val="clear" w:color="auto" w:fill="D2D2D2"/>
          </w:tcPr>
          <w:p>
            <w:pPr/>
          </w:p>
        </w:tc>
        <w:tc>
          <w:tcPr>
            <w:tcW w:w="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9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70,699,304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10.91%</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28,279,722</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-48,156,394</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-19,876,673</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50,822,631</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21,260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8,504</w:t>
            </w:r>
          </w:p>
        </w:tc>
        <w:tc>
          <w:tcPr>
            <w:tcW w:w="13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8,504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29,764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70,678,044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28,271,218</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-48,156,394</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-19,885,177</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50,792,867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39,707,912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15,883,165</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-34,388,291</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-18,505,127</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21,202,785</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30,970,132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12,388,053</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-13,768,103</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-1,380,050</w:t>
            </w:r>
            <w:r>
              <w:rPr>
                <w:rFonts w:ascii="Times New Roman"/>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29,590,082</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577,607,744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89.09%</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231,043,098</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48,156,394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279,199,492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856,807,236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577,607,744</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89.09%</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231,043,098</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48,156,394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279,199,492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856,807,236</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648,307,048</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474"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259,322,820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259,322,819</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907,629,867</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129" w:firstLine="426"/>
        <w:jc w:val="both"/>
      </w:pPr>
      <w:r>
        <w:rPr>
          <w:spacing w:val="-3"/>
        </w:rPr>
        <w:t>（</w:t>
      </w:r>
      <w:r>
        <w:rPr>
          <w:rFonts w:ascii="宋体" w:hAnsi="宋体" w:cs="宋体" w:eastAsia="宋体" w:hint="default"/>
          <w:spacing w:val="-3"/>
        </w:rPr>
        <w:t>1</w:t>
      </w:r>
      <w:r>
        <w:rPr>
          <w:spacing w:val="-3"/>
        </w:rPr>
        <w:t>）非公开发行解除限售：华安基金管理有限公司、鹏华资产管理有限公司、韦光宗等三名股东</w:t>
      </w:r>
      <w:r>
        <w:rPr>
          <w:rFonts w:ascii="宋体" w:hAnsi="宋体" w:cs="宋体" w:eastAsia="宋体" w:hint="default"/>
          <w:spacing w:val="-3"/>
        </w:rPr>
        <w:t>2016</w:t>
      </w:r>
      <w:r>
        <w:rPr>
          <w:rFonts w:ascii="宋体" w:hAnsi="宋体" w:cs="宋体" w:eastAsia="宋体" w:hint="default"/>
        </w:rPr>
        <w:t> </w:t>
      </w:r>
      <w:r>
        <w:rPr/>
        <w:t>年认购的限售股份共计</w:t>
      </w:r>
      <w:r>
        <w:rPr>
          <w:rFonts w:ascii="宋体" w:hAnsi="宋体" w:cs="宋体" w:eastAsia="宋体" w:hint="default"/>
        </w:rPr>
        <w:t>13,377,775</w:t>
      </w:r>
      <w:r>
        <w:rPr/>
        <w:t>股于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18</w:t>
      </w:r>
      <w:r>
        <w:rPr/>
        <w:t>日上市流通，有限售条件股份较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日减少</w:t>
      </w:r>
      <w:r>
        <w:rPr>
          <w:spacing w:val="-30"/>
        </w:rPr>
        <w:t> </w:t>
      </w:r>
      <w:r>
        <w:rPr>
          <w:rFonts w:ascii="宋体" w:hAnsi="宋体" w:cs="宋体" w:eastAsia="宋体" w:hint="default"/>
        </w:rPr>
        <w:t>13,377,775</w:t>
      </w:r>
      <w:r>
        <w:rPr/>
        <w:t>股。</w:t>
      </w:r>
    </w:p>
    <w:p>
      <w:pPr>
        <w:pStyle w:val="BodyText"/>
        <w:spacing w:line="273" w:lineRule="auto"/>
        <w:ind w:right="1130" w:firstLine="426"/>
        <w:jc w:val="both"/>
      </w:pPr>
      <w:r>
        <w:rPr>
          <w:spacing w:val="-1"/>
        </w:rPr>
        <w:t>（</w:t>
      </w:r>
      <w:r>
        <w:rPr>
          <w:rFonts w:ascii="宋体" w:hAnsi="宋体" w:cs="宋体" w:eastAsia="宋体" w:hint="default"/>
          <w:spacing w:val="-1"/>
        </w:rPr>
        <w:t>2</w:t>
      </w:r>
      <w:r>
        <w:rPr>
          <w:spacing w:val="-1"/>
        </w:rPr>
        <w:t>）权益分派：公司于</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4</w:t>
      </w:r>
      <w:r>
        <w:rPr>
          <w:spacing w:val="-1"/>
        </w:rPr>
        <w:t>日实施</w:t>
      </w:r>
      <w:r>
        <w:rPr>
          <w:rFonts w:ascii="宋体" w:hAnsi="宋体" w:cs="宋体" w:eastAsia="宋体" w:hint="default"/>
          <w:spacing w:val="-1"/>
        </w:rPr>
        <w:t>2017</w:t>
      </w:r>
      <w:r>
        <w:rPr>
          <w:spacing w:val="-1"/>
        </w:rPr>
        <w:t>年年度权益分派，以公司现有总股本</w:t>
      </w:r>
      <w:r>
        <w:rPr>
          <w:rFonts w:ascii="宋体" w:hAnsi="宋体" w:cs="宋体" w:eastAsia="宋体" w:hint="default"/>
          <w:spacing w:val="-1"/>
        </w:rPr>
        <w:t>648,307,048</w:t>
      </w:r>
      <w:r>
        <w:rPr>
          <w:spacing w:val="-1"/>
        </w:rPr>
        <w:t>股为</w:t>
      </w:r>
      <w:r>
        <w:rPr/>
        <w:t> </w:t>
      </w:r>
      <w:r>
        <w:rPr>
          <w:spacing w:val="-3"/>
        </w:rPr>
        <w:t>基数，以资本公积金向全体股东每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4</w:t>
      </w:r>
      <w:r>
        <w:rPr>
          <w:spacing w:val="-3"/>
        </w:rPr>
        <w:t>股。转增后公司总股本由</w:t>
      </w:r>
      <w:r>
        <w:rPr>
          <w:rFonts w:ascii="宋体" w:hAnsi="宋体" w:cs="宋体" w:eastAsia="宋体" w:hint="default"/>
          <w:spacing w:val="-3"/>
        </w:rPr>
        <w:t>648,307,048</w:t>
      </w:r>
      <w:r>
        <w:rPr>
          <w:spacing w:val="-3"/>
        </w:rPr>
        <w:t>股增至</w:t>
      </w:r>
      <w:r>
        <w:rPr>
          <w:rFonts w:ascii="宋体" w:hAnsi="宋体" w:cs="宋体" w:eastAsia="宋体" w:hint="default"/>
          <w:spacing w:val="-3"/>
        </w:rPr>
        <w:t>907,629,867</w:t>
      </w:r>
      <w:r>
        <w:rPr>
          <w:spacing w:val="-3"/>
        </w:rPr>
        <w:t>股。</w:t>
      </w:r>
    </w:p>
    <w:p>
      <w:pPr>
        <w:pStyle w:val="BodyText"/>
        <w:spacing w:line="273" w:lineRule="auto" w:before="8"/>
        <w:ind w:right="1131" w:firstLine="426"/>
        <w:jc w:val="both"/>
      </w:pPr>
      <w:r>
        <w:rPr>
          <w:spacing w:val="-1"/>
        </w:rPr>
        <w:t>（</w:t>
      </w:r>
      <w:r>
        <w:rPr>
          <w:rFonts w:ascii="宋体" w:hAnsi="宋体" w:cs="宋体" w:eastAsia="宋体" w:hint="default"/>
          <w:spacing w:val="-1"/>
        </w:rPr>
        <w:t>3</w:t>
      </w:r>
      <w:r>
        <w:rPr>
          <w:spacing w:val="-1"/>
        </w:rPr>
        <w:t>）非公开发行解除限售：曾东卫、李昌锋、叶军等三名股东</w:t>
      </w:r>
      <w:r>
        <w:rPr>
          <w:rFonts w:ascii="宋体" w:hAnsi="宋体" w:cs="宋体" w:eastAsia="宋体" w:hint="default"/>
          <w:spacing w:val="-1"/>
        </w:rPr>
        <w:t>2014</w:t>
      </w:r>
      <w:r>
        <w:rPr>
          <w:spacing w:val="-1"/>
        </w:rPr>
        <w:t>年认购的限售股份共计</w:t>
      </w:r>
      <w:r>
        <w:rPr>
          <w:rFonts w:ascii="宋体" w:hAnsi="宋体" w:cs="宋体" w:eastAsia="宋体" w:hint="default"/>
          <w:spacing w:val="-1"/>
        </w:rPr>
        <w:t>7,576,829</w:t>
      </w:r>
      <w:r>
        <w:rPr>
          <w:rFonts w:ascii="宋体" w:hAnsi="宋体" w:cs="宋体" w:eastAsia="宋体" w:hint="default"/>
        </w:rPr>
        <w:t> </w:t>
      </w:r>
      <w:r>
        <w:rPr/>
        <w:t>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29</w:t>
      </w:r>
      <w:r>
        <w:rPr/>
        <w:t>日上市流通，有限售条件股份较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日减少</w:t>
      </w:r>
      <w:r>
        <w:rPr>
          <w:rFonts w:ascii="宋体" w:hAnsi="宋体" w:cs="宋体" w:eastAsia="宋体" w:hint="default"/>
        </w:rPr>
        <w:t>7,576,829</w:t>
      </w:r>
      <w:r>
        <w:rPr/>
        <w:t>股。</w:t>
      </w:r>
    </w:p>
    <w:p>
      <w:pPr>
        <w:pStyle w:val="BodyText"/>
        <w:spacing w:line="273" w:lineRule="auto"/>
        <w:ind w:right="1132" w:firstLine="426"/>
        <w:jc w:val="both"/>
      </w:pPr>
      <w:r>
        <w:rPr>
          <w:spacing w:val="-3"/>
        </w:rPr>
        <w:t>（</w:t>
      </w:r>
      <w:r>
        <w:rPr>
          <w:rFonts w:ascii="宋体" w:hAnsi="宋体" w:cs="宋体" w:eastAsia="宋体" w:hint="default"/>
          <w:spacing w:val="-3"/>
        </w:rPr>
        <w:t>4</w:t>
      </w:r>
      <w:r>
        <w:rPr>
          <w:spacing w:val="-3"/>
        </w:rPr>
        <w:t>）第一期限制性股票解除限售：第一期第三批</w:t>
      </w:r>
      <w:r>
        <w:rPr>
          <w:rFonts w:ascii="宋体" w:hAnsi="宋体" w:cs="宋体" w:eastAsia="宋体" w:hint="default"/>
          <w:spacing w:val="-3"/>
        </w:rPr>
        <w:t>114</w:t>
      </w:r>
      <w:r>
        <w:rPr>
          <w:spacing w:val="-3"/>
        </w:rPr>
        <w:t>名被激励对象的股权激励股份</w:t>
      </w:r>
      <w:r>
        <w:rPr>
          <w:rFonts w:ascii="宋体" w:hAnsi="宋体" w:cs="宋体" w:eastAsia="宋体" w:hint="default"/>
          <w:spacing w:val="-3"/>
        </w:rPr>
        <w:t>2,843,624</w:t>
      </w:r>
      <w:r>
        <w:rPr>
          <w:spacing w:val="-3"/>
        </w:rPr>
        <w:t>股于</w:t>
      </w:r>
      <w:r>
        <w:rPr>
          <w:rFonts w:ascii="宋体" w:hAnsi="宋体" w:cs="宋体" w:eastAsia="宋体" w:hint="default"/>
          <w:spacing w:val="-3"/>
        </w:rPr>
        <w:t>2018</w:t>
      </w:r>
      <w:r>
        <w:rPr>
          <w:rFonts w:ascii="宋体" w:hAnsi="宋体" w:cs="宋体" w:eastAsia="宋体" w:hint="default"/>
        </w:rPr>
        <w:t> </w:t>
      </w:r>
      <w:r>
        <w:rPr/>
        <w:t>年</w:t>
      </w:r>
      <w:r>
        <w:rPr>
          <w:rFonts w:ascii="宋体" w:hAnsi="宋体" w:cs="宋体" w:eastAsia="宋体" w:hint="default"/>
        </w:rPr>
        <w:t>11</w:t>
      </w:r>
      <w:r>
        <w:rPr/>
        <w:t>月</w:t>
      </w:r>
      <w:r>
        <w:rPr>
          <w:rFonts w:ascii="宋体" w:hAnsi="宋体" w:cs="宋体" w:eastAsia="宋体" w:hint="default"/>
        </w:rPr>
        <w:t>30</w:t>
      </w:r>
      <w:r>
        <w:rPr/>
        <w:t>日解除限售并上市流通，有限售条件股份较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日减少</w:t>
      </w:r>
      <w:r>
        <w:rPr>
          <w:rFonts w:ascii="宋体" w:hAnsi="宋体" w:cs="宋体" w:eastAsia="宋体" w:hint="default"/>
        </w:rPr>
        <w:t>2,843,624</w:t>
      </w:r>
      <w:r>
        <w:rPr/>
        <w:t>股。</w:t>
      </w:r>
    </w:p>
    <w:p>
      <w:pPr>
        <w:spacing w:after="0" w:line="273" w:lineRule="auto"/>
        <w:jc w:val="both"/>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BodyText"/>
        <w:spacing w:line="273" w:lineRule="auto" w:before="35"/>
        <w:ind w:right="1127"/>
        <w:jc w:val="both"/>
      </w:pPr>
      <w:r>
        <w:rPr/>
        <w:t>（</w:t>
      </w:r>
      <w:r>
        <w:rPr>
          <w:rFonts w:ascii="宋体" w:hAnsi="宋体" w:cs="宋体" w:eastAsia="宋体" w:hint="default"/>
        </w:rPr>
        <w:t>5</w:t>
      </w:r>
      <w:r>
        <w:rPr/>
        <w:t>）公司董事、高级管理人员所持限售股份发生变化：</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日，公司董事、高级管理人员持股</w:t>
      </w:r>
      <w:r>
        <w:rPr>
          <w:spacing w:val="-29"/>
        </w:rPr>
        <w:t> </w:t>
      </w:r>
      <w:r>
        <w:rPr>
          <w:spacing w:val="-29"/>
        </w:rPr>
      </w:r>
      <w:r>
        <w:rPr/>
        <w:t>合计为</w:t>
      </w:r>
      <w:r>
        <w:rPr>
          <w:rFonts w:ascii="宋体" w:hAnsi="宋体" w:cs="宋体" w:eastAsia="宋体" w:hint="default"/>
        </w:rPr>
        <w:t>2,333,325</w:t>
      </w:r>
      <w:r>
        <w:rPr/>
        <w:t>股，其中股权激励限售股为</w:t>
      </w:r>
      <w:r>
        <w:rPr>
          <w:rFonts w:ascii="宋体" w:hAnsi="宋体" w:cs="宋体" w:eastAsia="宋体" w:hint="default"/>
        </w:rPr>
        <w:t>1,910,300</w:t>
      </w:r>
      <w:r>
        <w:rPr/>
        <w:t>股，高管锁定股为</w:t>
      </w:r>
      <w:r>
        <w:rPr>
          <w:rFonts w:ascii="宋体" w:hAnsi="宋体" w:cs="宋体" w:eastAsia="宋体" w:hint="default"/>
        </w:rPr>
        <w:t>224,856</w:t>
      </w:r>
      <w:r>
        <w:rPr/>
        <w:t>股。</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spacing w:val="-28"/>
        </w:rPr>
        <w:t> </w:t>
      </w:r>
      <w:r>
        <w:rPr>
          <w:spacing w:val="-1"/>
        </w:rPr>
        <w:t>公司董事、高级管理人员持股合计为</w:t>
      </w:r>
      <w:r>
        <w:rPr>
          <w:rFonts w:ascii="宋体" w:hAnsi="宋体" w:cs="宋体" w:eastAsia="宋体" w:hint="default"/>
          <w:spacing w:val="-1"/>
        </w:rPr>
        <w:t>3,635,115</w:t>
      </w:r>
      <w:r>
        <w:rPr>
          <w:spacing w:val="-1"/>
        </w:rPr>
        <w:t>股，其中，股权激励限售股为</w:t>
      </w:r>
      <w:r>
        <w:rPr>
          <w:rFonts w:ascii="宋体" w:hAnsi="宋体" w:cs="宋体" w:eastAsia="宋体" w:hint="default"/>
          <w:spacing w:val="-1"/>
        </w:rPr>
        <w:t>1,229,500</w:t>
      </w:r>
      <w:r>
        <w:rPr>
          <w:spacing w:val="-1"/>
        </w:rPr>
        <w:t>股，高管锁定股为</w:t>
      </w:r>
      <w:r>
        <w:rPr>
          <w:spacing w:val="-78"/>
        </w:rPr>
        <w:t> </w:t>
      </w:r>
      <w:r>
        <w:rPr>
          <w:spacing w:val="-78"/>
        </w:rPr>
      </w:r>
      <w:r>
        <w:rPr>
          <w:rFonts w:ascii="宋体" w:hAnsi="宋体" w:cs="宋体" w:eastAsia="宋体" w:hint="default"/>
        </w:rPr>
        <w:t>60,004</w:t>
      </w:r>
      <w:r>
        <w:rPr/>
        <w:t>股。自</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26</w:t>
      </w:r>
      <w:r>
        <w:rPr/>
        <w:t>日起至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6</w:t>
      </w:r>
      <w:r>
        <w:rPr/>
        <w:t>日，公司高级管理人员合计增持</w:t>
      </w:r>
      <w:r>
        <w:rPr>
          <w:rFonts w:ascii="宋体" w:hAnsi="宋体" w:cs="宋体" w:eastAsia="宋体" w:hint="default"/>
        </w:rPr>
        <w:t>358,900</w:t>
      </w:r>
      <w:r>
        <w:rPr/>
        <w:t>股。</w:t>
      </w:r>
    </w:p>
    <w:p>
      <w:pPr>
        <w:spacing w:before="73"/>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73" w:lineRule="auto" w:before="75"/>
        <w:ind w:right="1024" w:firstLine="423"/>
        <w:jc w:val="left"/>
      </w:pPr>
      <w:r>
        <w:rPr>
          <w:spacing w:val="-5"/>
        </w:rPr>
        <w:t>（</w:t>
      </w:r>
      <w:r>
        <w:rPr>
          <w:rFonts w:ascii="宋体" w:hAnsi="宋体" w:cs="宋体" w:eastAsia="宋体" w:hint="default"/>
          <w:spacing w:val="-5"/>
        </w:rPr>
        <w:t>1</w:t>
      </w:r>
      <w:r>
        <w:rPr>
          <w:spacing w:val="-5"/>
        </w:rPr>
        <w:t>）公司召开</w:t>
      </w:r>
      <w:r>
        <w:rPr>
          <w:rFonts w:ascii="宋体" w:hAnsi="宋体" w:cs="宋体" w:eastAsia="宋体" w:hint="default"/>
          <w:spacing w:val="-5"/>
        </w:rPr>
        <w:t>2017</w:t>
      </w:r>
      <w:r>
        <w:rPr>
          <w:spacing w:val="-5"/>
        </w:rPr>
        <w:t>年度股东大会审议通过《关于</w:t>
      </w:r>
      <w:r>
        <w:rPr>
          <w:rFonts w:ascii="宋体" w:hAnsi="宋体" w:cs="宋体" w:eastAsia="宋体" w:hint="default"/>
          <w:spacing w:val="-5"/>
        </w:rPr>
        <w:t>2017</w:t>
      </w:r>
      <w:r>
        <w:rPr>
          <w:spacing w:val="-5"/>
        </w:rPr>
        <w:t>年度利润分配与资本公积转增股本方案的议案》，</w:t>
      </w:r>
      <w:r>
        <w:rPr/>
        <w:t> 公司</w:t>
      </w:r>
      <w:r>
        <w:rPr>
          <w:rFonts w:ascii="宋体" w:hAnsi="宋体" w:cs="宋体" w:eastAsia="宋体" w:hint="default"/>
        </w:rPr>
        <w:t>2017</w:t>
      </w:r>
      <w:r>
        <w:rPr/>
        <w:t>年年度权益分派方案为：以公司总股本</w:t>
      </w:r>
      <w:r>
        <w:rPr>
          <w:rFonts w:ascii="宋体" w:hAnsi="宋体" w:cs="宋体" w:eastAsia="宋体" w:hint="default"/>
        </w:rPr>
        <w:t>648,307,048</w:t>
      </w:r>
      <w:r>
        <w:rPr/>
        <w:t>股为基数，以资本公积金向全体股东每</w:t>
      </w:r>
      <w:r>
        <w:rPr>
          <w:rFonts w:ascii="宋体" w:hAnsi="宋体" w:cs="宋体" w:eastAsia="宋体" w:hint="default"/>
        </w:rPr>
        <w:t>10</w:t>
      </w:r>
      <w:r>
        <w:rPr/>
        <w:t>股</w:t>
      </w:r>
      <w:r>
        <w:rPr>
          <w:spacing w:val="-25"/>
        </w:rPr>
        <w:t> </w:t>
      </w:r>
      <w:r>
        <w:rPr/>
        <w:t>转增</w:t>
      </w:r>
      <w:r>
        <w:rPr>
          <w:rFonts w:ascii="宋体" w:hAnsi="宋体" w:cs="宋体" w:eastAsia="宋体" w:hint="default"/>
        </w:rPr>
        <w:t>4</w:t>
      </w:r>
      <w:r>
        <w:rPr/>
        <w:t>股，公司总股本由</w:t>
      </w:r>
      <w:r>
        <w:rPr>
          <w:rFonts w:ascii="宋体" w:hAnsi="宋体" w:cs="宋体" w:eastAsia="宋体" w:hint="default"/>
        </w:rPr>
        <w:t>648,307,048</w:t>
      </w:r>
      <w:r>
        <w:rPr/>
        <w:t>股增至</w:t>
      </w:r>
      <w:r>
        <w:rPr>
          <w:rFonts w:ascii="宋体" w:hAnsi="宋体" w:cs="宋体" w:eastAsia="宋体" w:hint="default"/>
        </w:rPr>
        <w:t>907,629,867</w:t>
      </w:r>
      <w:r>
        <w:rPr/>
        <w:t>股。</w:t>
      </w:r>
      <w:r>
        <w:rPr>
          <w:rFonts w:ascii="宋体" w:hAnsi="宋体" w:cs="宋体" w:eastAsia="宋体" w:hint="default"/>
        </w:rPr>
        <w:t>2017</w:t>
      </w:r>
      <w:r>
        <w:rPr/>
        <w:t>年度权益分派方案已于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4</w:t>
      </w:r>
      <w:r>
        <w:rPr/>
        <w:t>日实</w:t>
      </w:r>
      <w:r>
        <w:rPr>
          <w:spacing w:val="-27"/>
        </w:rPr>
        <w:t> </w:t>
      </w:r>
      <w:r>
        <w:rPr/>
        <w:t>施完成。</w:t>
      </w:r>
    </w:p>
    <w:p>
      <w:pPr>
        <w:pStyle w:val="BodyText"/>
        <w:spacing w:line="273" w:lineRule="auto" w:before="46"/>
        <w:ind w:right="1119" w:firstLine="423"/>
        <w:jc w:val="both"/>
      </w:pPr>
      <w:r>
        <w:rPr/>
        <w:t>（</w:t>
      </w:r>
      <w:r>
        <w:rPr>
          <w:rFonts w:ascii="宋体" w:hAnsi="宋体" w:cs="宋体" w:eastAsia="宋体" w:hint="default"/>
        </w:rPr>
        <w:t>2</w:t>
      </w:r>
      <w:r>
        <w:rPr/>
        <w:t>）公司第八届第二十次董事会审议通过了《关于公司第一期限制性股票激励计划第三个解锁期解 </w:t>
      </w:r>
      <w:r>
        <w:rPr>
          <w:spacing w:val="-1"/>
        </w:rPr>
        <w:t>锁的议案》，董事会认为公司第一期《股权激励计划方案》设定的第三个解锁期解锁条件已经成就，根据</w:t>
      </w:r>
      <w:r>
        <w:rPr>
          <w:spacing w:val="-83"/>
        </w:rPr>
        <w:t> </w:t>
      </w:r>
      <w:r>
        <w:rPr>
          <w:spacing w:val="-83"/>
        </w:rPr>
      </w:r>
      <w:r>
        <w:rPr>
          <w:spacing w:val="-1"/>
        </w:rPr>
        <w:t>公司</w:t>
      </w:r>
      <w:r>
        <w:rPr>
          <w:rFonts w:ascii="宋体" w:hAnsi="宋体" w:cs="宋体" w:eastAsia="宋体" w:hint="default"/>
          <w:spacing w:val="-1"/>
        </w:rPr>
        <w:t>2014</w:t>
      </w:r>
      <w:r>
        <w:rPr>
          <w:spacing w:val="-1"/>
        </w:rPr>
        <w:t>年第五次临时股东大会的授权，同意按照激励计划的相关规定办理公司第一期限制性股票激励计</w:t>
      </w:r>
      <w:r>
        <w:rPr>
          <w:spacing w:val="-80"/>
        </w:rPr>
        <w:t> </w:t>
      </w:r>
      <w:r>
        <w:rPr>
          <w:spacing w:val="-80"/>
        </w:rPr>
      </w:r>
      <w:r>
        <w:rPr>
          <w:spacing w:val="11"/>
        </w:rPr>
        <w:t>划第三个解锁期解锁相关事宜。本次解锁的限制性股票激励对象为</w:t>
      </w:r>
      <w:r>
        <w:rPr>
          <w:rFonts w:ascii="宋体" w:hAnsi="宋体" w:cs="宋体" w:eastAsia="宋体" w:hint="default"/>
          <w:spacing w:val="11"/>
        </w:rPr>
        <w:t>114</w:t>
      </w:r>
      <w:r>
        <w:rPr>
          <w:spacing w:val="11"/>
        </w:rPr>
        <w:t>名，解锁的限制性股票数量为</w:t>
      </w:r>
      <w:r>
        <w:rPr>
          <w:spacing w:val="-86"/>
        </w:rPr>
        <w:t> </w:t>
      </w:r>
      <w:r>
        <w:rPr>
          <w:rFonts w:ascii="宋体" w:hAnsi="宋体" w:cs="宋体" w:eastAsia="宋体" w:hint="default"/>
        </w:rPr>
        <w:t>2,843,624</w:t>
      </w:r>
      <w:r>
        <w:rPr/>
        <w:t>股，已于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30</w:t>
      </w:r>
      <w:r>
        <w:rPr/>
        <w:t>日上市流通。</w:t>
      </w:r>
    </w:p>
    <w:p>
      <w:pPr>
        <w:spacing w:before="74"/>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21" w:lineRule="auto" w:before="116"/>
        <w:ind w:left="154" w:right="78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1"/>
          <w:szCs w:val="21"/>
        </w:rPr>
        <w:t>上述股份变动已全部过户完成。</w:t>
      </w:r>
      <w:r>
        <w:rPr>
          <w:rFonts w:ascii="宋体" w:hAnsi="宋体" w:cs="宋体" w:eastAsia="宋体" w:hint="default"/>
          <w:sz w:val="21"/>
          <w:szCs w:val="21"/>
        </w:rPr>
        <w:t> </w:t>
      </w:r>
      <w:r>
        <w:rPr>
          <w:rFonts w:ascii="宋体" w:hAnsi="宋体" w:cs="宋体" w:eastAsia="宋体" w:hint="default"/>
          <w:sz w:val="18"/>
          <w:szCs w:val="18"/>
        </w:rPr>
        <w:t>股份回购的实施进展情况</w:t>
      </w:r>
    </w:p>
    <w:p>
      <w:pPr>
        <w:spacing w:before="5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66" w:lineRule="auto" w:before="75"/>
        <w:ind w:right="0" w:firstLine="423"/>
        <w:jc w:val="left"/>
      </w:pPr>
      <w:r>
        <w:rPr/>
        <w:t>公司召开第八届第第八届董事会十三次会议，审议通过了《关于回购注销部分限制性股票的议案》， </w:t>
      </w:r>
      <w:r>
        <w:rPr>
          <w:spacing w:val="-2"/>
        </w:rPr>
        <w:t>对第一期离职人员、考核不合格的被激励对象及第二期离职人员所持有的合计</w:t>
      </w:r>
      <w:r>
        <w:rPr>
          <w:rFonts w:ascii="Times New Roman" w:hAnsi="Times New Roman" w:cs="Times New Roman" w:eastAsia="Times New Roman" w:hint="default"/>
          <w:spacing w:val="-2"/>
        </w:rPr>
        <w:t>647,976</w:t>
      </w:r>
      <w:r>
        <w:rPr>
          <w:spacing w:val="-2"/>
        </w:rPr>
        <w:t>股进行回购注销，截</w:t>
      </w:r>
      <w:r>
        <w:rPr>
          <w:spacing w:val="-84"/>
        </w:rPr>
        <w:t> </w:t>
      </w:r>
      <w:r>
        <w:rPr>
          <w:spacing w:val="-84"/>
        </w:rPr>
      </w:r>
      <w:r>
        <w:rPr/>
        <w:t>至本报告期末，上述股份尚未办理完成回购注销手续。</w:t>
      </w:r>
    </w:p>
    <w:p>
      <w:pPr>
        <w:spacing w:before="80"/>
        <w:ind w:left="154" w:right="0" w:firstLine="0"/>
        <w:jc w:val="left"/>
        <w:rPr>
          <w:rFonts w:ascii="宋体" w:hAnsi="宋体" w:cs="宋体" w:eastAsia="宋体" w:hint="default"/>
          <w:sz w:val="18"/>
          <w:szCs w:val="18"/>
        </w:rPr>
      </w:pPr>
      <w:r>
        <w:rPr>
          <w:rFonts w:ascii="宋体" w:hAnsi="宋体" w:cs="宋体" w:eastAsia="宋体" w:hint="default"/>
          <w:sz w:val="18"/>
          <w:szCs w:val="18"/>
        </w:rPr>
        <w:t>采用集中竞价方式减持回购股份的实施进展情况</w:t>
      </w:r>
    </w:p>
    <w:p>
      <w:pPr>
        <w:spacing w:line="338" w:lineRule="auto" w:before="117"/>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56" w:lineRule="auto" w:before="75"/>
        <w:ind w:right="0" w:firstLine="426"/>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月，公司根据</w:t>
      </w:r>
      <w:r>
        <w:rPr>
          <w:rFonts w:ascii="Times New Roman" w:hAnsi="Times New Roman" w:cs="Times New Roman" w:eastAsia="Times New Roman" w:hint="default"/>
        </w:rPr>
        <w:t>2017</w:t>
      </w:r>
      <w:r>
        <w:rPr/>
        <w:t>年度股东会决议和修改后的章程规定，以资本公积转增股本，对股本的影 响金额为</w:t>
      </w:r>
      <w:r>
        <w:rPr>
          <w:rFonts w:ascii="Times New Roman" w:hAnsi="Times New Roman" w:cs="Times New Roman" w:eastAsia="Times New Roman" w:hint="default"/>
        </w:rPr>
        <w:t>259,322,819.00</w:t>
      </w:r>
      <w:r>
        <w:rPr/>
        <w:t>元。本次变动对公司所有者权益总额和净资产收益率没有影响。</w:t>
      </w:r>
    </w:p>
    <w:p>
      <w:pPr>
        <w:pStyle w:val="BodyText"/>
        <w:spacing w:line="240" w:lineRule="auto" w:before="5"/>
        <w:ind w:left="580" w:right="0"/>
        <w:jc w:val="left"/>
      </w:pPr>
      <w:r>
        <w:rPr/>
        <w:t>股本变动对基本每股收益和稀释每股收益变动影响：</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971"/>
        <w:gridCol w:w="1971"/>
        <w:gridCol w:w="1972"/>
        <w:gridCol w:w="1971"/>
        <w:gridCol w:w="1972"/>
      </w:tblGrid>
      <w:tr>
        <w:trPr>
          <w:trHeight w:val="347" w:hRule="exact"/>
        </w:trPr>
        <w:tc>
          <w:tcPr>
            <w:tcW w:w="1971" w:type="dxa"/>
            <w:vMerge w:val="restart"/>
            <w:tcBorders>
              <w:top w:val="single" w:sz="6" w:space="0" w:color="000000"/>
              <w:left w:val="single" w:sz="6" w:space="0" w:color="000000"/>
              <w:right w:val="single" w:sz="6" w:space="0" w:color="000000"/>
            </w:tcBorders>
          </w:tcPr>
          <w:p>
            <w:pPr/>
          </w:p>
        </w:tc>
        <w:tc>
          <w:tcPr>
            <w:tcW w:w="39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p>
        </w:tc>
        <w:tc>
          <w:tcPr>
            <w:tcW w:w="39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r>
      <w:tr>
        <w:trPr>
          <w:trHeight w:val="347" w:hRule="exact"/>
        </w:trPr>
        <w:tc>
          <w:tcPr>
            <w:tcW w:w="1971" w:type="dxa"/>
            <w:vMerge/>
            <w:tcBorders>
              <w:left w:val="single" w:sz="6" w:space="0" w:color="000000"/>
              <w:bottom w:val="single" w:sz="6" w:space="0" w:color="000000"/>
              <w:right w:val="single" w:sz="6" w:space="0" w:color="000000"/>
            </w:tcBorders>
          </w:tcPr>
          <w:p>
            <w:pP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股本变动前</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股本变动后</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股本变动前</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股本变动后</w:t>
            </w:r>
          </w:p>
        </w:tc>
      </w:tr>
      <w:tr>
        <w:trPr>
          <w:trHeight w:val="347" w:hRule="exact"/>
        </w:trPr>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基本每股收益（元）</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0.2869</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0.2097</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0.0546</w:t>
            </w:r>
            <w:r>
              <w:rPr>
                <w:rFonts w:ascii="Times New Roman"/>
                <w:sz w:val="21"/>
              </w:rPr>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0.0385</w:t>
            </w:r>
          </w:p>
        </w:tc>
      </w:tr>
      <w:tr>
        <w:trPr>
          <w:trHeight w:val="348" w:hRule="exact"/>
        </w:trPr>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稀释每股收益（元）</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0.2811</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0.1998</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0.0524</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0.0374</w:t>
            </w:r>
          </w:p>
        </w:tc>
      </w:tr>
      <w:tr>
        <w:trPr>
          <w:trHeight w:val="347" w:hRule="exact"/>
        </w:trPr>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每股净资产（元）</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5.02</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3.58</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5.12</w:t>
            </w:r>
          </w:p>
        </w:tc>
        <w:tc>
          <w:tcPr>
            <w:tcW w:w="1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3.66</w:t>
            </w: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15"/>
      <w:bookmarkEnd w:id="11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44"/>
        <w:gridCol w:w="992"/>
        <w:gridCol w:w="992"/>
        <w:gridCol w:w="993"/>
        <w:gridCol w:w="991"/>
        <w:gridCol w:w="1986"/>
        <w:gridCol w:w="2371"/>
      </w:tblGrid>
      <w:tr>
        <w:trPr>
          <w:trHeight w:val="71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41"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0" w:right="3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5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南京庆亚贸易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27,542,993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-19,280,095</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11,017,197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19,280,095</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非公开发行股份锁定</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日解限</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19,280,095 </w:t>
            </w:r>
            <w:r>
              <w:rPr>
                <w:rFonts w:ascii="宋体" w:hAnsi="宋体" w:cs="宋体" w:eastAsia="宋体" w:hint="default"/>
                <w:spacing w:val="-5"/>
                <w:sz w:val="18"/>
                <w:szCs w:val="18"/>
              </w:rPr>
              <w:t>股，其余可于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日分别解限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11,568,057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7,712,038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鹏华资产管理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-10,000,000</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非公开发行股份锁定</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71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韦光宗</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2,586,206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-2,586,206</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非公开发行股份锁定</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2,586,206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71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华安基金管理 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791,569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-791,569</w:t>
            </w:r>
          </w:p>
        </w:tc>
        <w:tc>
          <w:tcPr>
            <w:tcW w:w="99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非公开发行股份锁定</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791,569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股已于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33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3,634,498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-2,376,148</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1,453,799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2,712,149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21"/>
              <w:jc w:val="left"/>
              <w:rPr>
                <w:rFonts w:ascii="宋体" w:hAnsi="宋体" w:cs="宋体" w:eastAsia="宋体" w:hint="default"/>
                <w:sz w:val="18"/>
                <w:szCs w:val="18"/>
              </w:rPr>
            </w:pPr>
            <w:r>
              <w:rPr>
                <w:rFonts w:ascii="宋体" w:hAnsi="宋体" w:cs="宋体" w:eastAsia="宋体" w:hint="default"/>
                <w:spacing w:val="-5"/>
                <w:sz w:val="18"/>
                <w:szCs w:val="18"/>
              </w:rPr>
              <w:t>非公开发行股份锁定；限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制性股票激励计划锁定</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2,376,148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2,376,149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股，剩余为限制性股票</w:t>
            </w:r>
          </w:p>
        </w:tc>
      </w:tr>
      <w:tr>
        <w:trPr>
          <w:trHeight w:val="71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2,498,669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-3,498,137</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999,468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非公开发行股份锁定</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3,498,137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71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李昌锋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1,216,103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-1,702,544</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486,441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非公开发行股份锁定</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1,702,544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96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22,304,014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-2,843,624</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9,369,997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28,830,387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3"/>
              <w:jc w:val="left"/>
              <w:rPr>
                <w:rFonts w:ascii="宋体" w:hAnsi="宋体" w:cs="宋体" w:eastAsia="宋体" w:hint="default"/>
                <w:sz w:val="18"/>
                <w:szCs w:val="18"/>
              </w:rPr>
            </w:pPr>
            <w:r>
              <w:rPr>
                <w:rFonts w:ascii="宋体" w:hAnsi="宋体" w:cs="宋体" w:eastAsia="宋体" w:hint="default"/>
                <w:sz w:val="18"/>
                <w:szCs w:val="18"/>
              </w:rPr>
              <w:t>限制性股票激励限售股 </w:t>
            </w:r>
            <w:r>
              <w:rPr>
                <w:rFonts w:ascii="宋体" w:hAnsi="宋体" w:cs="宋体" w:eastAsia="宋体" w:hint="default"/>
                <w:spacing w:val="-5"/>
                <w:sz w:val="18"/>
                <w:szCs w:val="18"/>
              </w:rPr>
              <w:t>锁定、高管持股锁定及股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改股份未能取得联系的 </w:t>
            </w:r>
            <w:r>
              <w:rPr>
                <w:rFonts w:ascii="宋体" w:hAnsi="宋体" w:cs="宋体" w:eastAsia="宋体" w:hint="default"/>
                <w:spacing w:val="-9"/>
                <w:sz w:val="18"/>
                <w:szCs w:val="18"/>
              </w:rPr>
              <w:t>限售股份锁定。（</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88"/>
                <w:sz w:val="18"/>
                <w:szCs w:val="18"/>
              </w:rPr>
              <w:t> </w:t>
            </w:r>
            <w:r>
              <w:rPr>
                <w:rFonts w:ascii="宋体" w:hAnsi="宋体" w:cs="宋体" w:eastAsia="宋体" w:hint="default"/>
                <w:sz w:val="18"/>
                <w:szCs w:val="18"/>
              </w:rPr>
              <w:t>实施资本公积转增股本 </w:t>
            </w:r>
            <w:r>
              <w:rPr>
                <w:rFonts w:ascii="宋体" w:hAnsi="宋体" w:cs="宋体" w:eastAsia="宋体" w:hint="default"/>
                <w:spacing w:val="-10"/>
                <w:sz w:val="18"/>
                <w:szCs w:val="18"/>
              </w:rPr>
              <w:t>致限售股份增加。）</w:t>
            </w:r>
          </w:p>
        </w:tc>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0"/>
              <w:jc w:val="left"/>
              <w:rPr>
                <w:rFonts w:ascii="宋体" w:hAnsi="宋体" w:cs="宋体" w:eastAsia="宋体" w:hint="default"/>
                <w:sz w:val="18"/>
                <w:szCs w:val="18"/>
              </w:rPr>
            </w:pPr>
            <w:r>
              <w:rPr>
                <w:rFonts w:ascii="宋体" w:hAnsi="宋体" w:cs="宋体" w:eastAsia="宋体" w:hint="default"/>
                <w:sz w:val="18"/>
                <w:szCs w:val="18"/>
              </w:rPr>
              <w:t>股改股份未能取得联系的限 </w:t>
            </w:r>
            <w:r>
              <w:rPr>
                <w:rFonts w:ascii="宋体" w:hAnsi="宋体" w:cs="宋体" w:eastAsia="宋体" w:hint="default"/>
                <w:spacing w:val="-2"/>
                <w:sz w:val="18"/>
                <w:szCs w:val="18"/>
              </w:rPr>
              <w:t>售股解禁日期尚未确定；其余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为限制性股票股票及高管锁 定股</w:t>
            </w:r>
          </w:p>
        </w:tc>
      </w:tr>
      <w:tr>
        <w:trPr>
          <w:trHeight w:val="40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70,574,052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-43,078,323</w:t>
            </w:r>
            <w:r>
              <w:rPr>
                <w:rFonts w:ascii="Times New Roman"/>
                <w:sz w:val="18"/>
              </w:rPr>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23,326,902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50,822,631</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right="0"/>
        <w:jc w:val="left"/>
        <w:rPr>
          <w:b w:val="0"/>
          <w:bCs w:val="0"/>
        </w:rPr>
      </w:pPr>
      <w:bookmarkStart w:name="二、证券发行与上市情况" w:id="116"/>
      <w:bookmarkEnd w:id="116"/>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7"/>
      <w:bookmarkEnd w:id="11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8"/>
      <w:bookmarkEnd w:id="11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75"/>
        <w:ind w:left="580" w:right="0"/>
        <w:jc w:val="left"/>
      </w:pPr>
      <w:r>
        <w:rPr/>
        <w:t>（</w:t>
      </w:r>
      <w:r>
        <w:rPr>
          <w:rFonts w:ascii="宋体" w:hAnsi="宋体" w:cs="宋体" w:eastAsia="宋体" w:hint="default"/>
        </w:rPr>
        <w:t>1</w:t>
      </w:r>
      <w:r>
        <w:rPr/>
        <w:t>）公司总股本变动情况</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29" w:firstLine="426"/>
        <w:jc w:val="both"/>
      </w:pPr>
      <w:r>
        <w:rPr/>
        <w:t>资本公积转增股本：公司于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4</w:t>
      </w:r>
      <w:r>
        <w:rPr/>
        <w:t>日实施</w:t>
      </w:r>
      <w:r>
        <w:rPr>
          <w:rFonts w:ascii="宋体" w:hAnsi="宋体" w:cs="宋体" w:eastAsia="宋体" w:hint="default"/>
        </w:rPr>
        <w:t>2017</w:t>
      </w:r>
      <w:r>
        <w:rPr/>
        <w:t>年年度权益分派，以公司现有总股本</w:t>
      </w:r>
      <w:r>
        <w:rPr>
          <w:rFonts w:ascii="宋体" w:hAnsi="宋体" w:cs="宋体" w:eastAsia="宋体" w:hint="default"/>
        </w:rPr>
        <w:t>648,307,048 </w:t>
      </w:r>
      <w:r>
        <w:rPr>
          <w:spacing w:val="-3"/>
        </w:rPr>
        <w:t>股为基数，以资本公积金向全体股东每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4</w:t>
      </w:r>
      <w:r>
        <w:rPr>
          <w:spacing w:val="-3"/>
        </w:rPr>
        <w:t>股。转增后公司总股本由</w:t>
      </w:r>
      <w:r>
        <w:rPr>
          <w:rFonts w:ascii="宋体" w:hAnsi="宋体" w:cs="宋体" w:eastAsia="宋体" w:hint="default"/>
          <w:spacing w:val="-3"/>
        </w:rPr>
        <w:t>648,307,048</w:t>
      </w:r>
      <w:r>
        <w:rPr>
          <w:spacing w:val="-3"/>
        </w:rPr>
        <w:t>股增至</w:t>
      </w:r>
      <w:r>
        <w:rPr>
          <w:rFonts w:ascii="宋体" w:hAnsi="宋体" w:cs="宋体" w:eastAsia="宋体" w:hint="default"/>
          <w:spacing w:val="-3"/>
        </w:rPr>
        <w:t>907,629,867</w:t>
      </w:r>
      <w:r>
        <w:rPr>
          <w:rFonts w:ascii="宋体" w:hAnsi="宋体" w:cs="宋体" w:eastAsia="宋体" w:hint="default"/>
          <w:spacing w:val="-58"/>
        </w:rPr>
        <w:t> </w:t>
      </w:r>
      <w:r>
        <w:rPr>
          <w:rFonts w:ascii="宋体" w:hAnsi="宋体" w:cs="宋体" w:eastAsia="宋体" w:hint="default"/>
          <w:spacing w:val="-58"/>
        </w:rPr>
      </w:r>
      <w:r>
        <w:rPr/>
        <w:t>股。</w:t>
      </w:r>
    </w:p>
    <w:p>
      <w:pPr>
        <w:pStyle w:val="BodyText"/>
        <w:spacing w:line="273" w:lineRule="auto"/>
        <w:ind w:left="580" w:right="0"/>
        <w:jc w:val="left"/>
      </w:pPr>
      <w:r>
        <w:rPr/>
        <w:t>（</w:t>
      </w:r>
      <w:r>
        <w:rPr>
          <w:rFonts w:ascii="宋体" w:hAnsi="宋体" w:cs="宋体" w:eastAsia="宋体" w:hint="default"/>
        </w:rPr>
        <w:t>2</w:t>
      </w:r>
      <w:r>
        <w:rPr/>
        <w:t>）股东结构变动情况： </w:t>
      </w:r>
      <w:r>
        <w:rPr>
          <w:rFonts w:ascii="宋体" w:hAnsi="宋体" w:cs="宋体" w:eastAsia="宋体" w:hint="default"/>
          <w:spacing w:val="-1"/>
        </w:rPr>
        <w:t>a.</w:t>
      </w:r>
      <w:r>
        <w:rPr>
          <w:spacing w:val="-1"/>
        </w:rPr>
        <w:t>非公开发行股份解限：华安基金管理有限公司、鹏华资产管理有限公司、韦光宗等三名股东</w:t>
      </w:r>
      <w:r>
        <w:rPr>
          <w:rFonts w:ascii="宋体" w:hAnsi="宋体" w:cs="宋体" w:eastAsia="宋体" w:hint="default"/>
          <w:spacing w:val="-1"/>
        </w:rPr>
        <w:t>2016</w:t>
      </w:r>
      <w:r>
        <w:rPr>
          <w:spacing w:val="-1"/>
        </w:rPr>
        <w:t>年</w:t>
      </w:r>
    </w:p>
    <w:p>
      <w:pPr>
        <w:pStyle w:val="BodyText"/>
        <w:spacing w:line="273" w:lineRule="auto"/>
        <w:ind w:right="0"/>
        <w:jc w:val="left"/>
      </w:pPr>
      <w:r>
        <w:rPr>
          <w:spacing w:val="4"/>
        </w:rPr>
        <w:t>认购的限售股份共计</w:t>
      </w:r>
      <w:r>
        <w:rPr>
          <w:rFonts w:ascii="宋体" w:hAnsi="宋体" w:cs="宋体" w:eastAsia="宋体" w:hint="default"/>
          <w:spacing w:val="4"/>
        </w:rPr>
        <w:t>13,377,775</w:t>
      </w:r>
      <w:r>
        <w:rPr>
          <w:spacing w:val="4"/>
        </w:rPr>
        <w:t>股于</w:t>
      </w:r>
      <w:r>
        <w:rPr>
          <w:rFonts w:ascii="宋体" w:hAnsi="宋体" w:cs="宋体" w:eastAsia="宋体" w:hint="default"/>
          <w:spacing w:val="4"/>
        </w:rPr>
        <w:t>2018</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18</w:t>
      </w:r>
      <w:r>
        <w:rPr>
          <w:spacing w:val="4"/>
        </w:rPr>
        <w:t>日上市流通，有限售条件股份较</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日减少</w:t>
      </w:r>
      <w:r>
        <w:rPr>
          <w:spacing w:val="-57"/>
        </w:rPr>
        <w:t> </w:t>
      </w:r>
      <w:r>
        <w:rPr>
          <w:rFonts w:ascii="宋体" w:hAnsi="宋体" w:cs="宋体" w:eastAsia="宋体" w:hint="default"/>
        </w:rPr>
        <w:t>13,377,775</w:t>
      </w:r>
      <w:r>
        <w:rPr/>
        <w:t>股。</w:t>
      </w:r>
    </w:p>
    <w:p>
      <w:pPr>
        <w:pStyle w:val="BodyText"/>
        <w:spacing w:line="273" w:lineRule="auto"/>
        <w:ind w:right="1130" w:firstLine="426"/>
        <w:jc w:val="both"/>
      </w:pPr>
      <w:r>
        <w:rPr>
          <w:rFonts w:ascii="宋体" w:hAnsi="宋体" w:cs="宋体" w:eastAsia="宋体" w:hint="default"/>
          <w:spacing w:val="-1"/>
        </w:rPr>
        <w:t>b.</w:t>
      </w:r>
      <w:r>
        <w:rPr>
          <w:spacing w:val="-1"/>
        </w:rPr>
        <w:t>第一期限制性股票解除限售：第一期第三批</w:t>
      </w:r>
      <w:r>
        <w:rPr>
          <w:rFonts w:ascii="宋体" w:hAnsi="宋体" w:cs="宋体" w:eastAsia="宋体" w:hint="default"/>
          <w:spacing w:val="-1"/>
        </w:rPr>
        <w:t>114</w:t>
      </w:r>
      <w:r>
        <w:rPr>
          <w:spacing w:val="-1"/>
        </w:rPr>
        <w:t>名被激励对象的股权激励股份</w:t>
      </w:r>
      <w:r>
        <w:rPr>
          <w:rFonts w:ascii="宋体" w:hAnsi="宋体" w:cs="宋体" w:eastAsia="宋体" w:hint="default"/>
          <w:spacing w:val="-1"/>
        </w:rPr>
        <w:t>2,843,624</w:t>
      </w:r>
      <w:r>
        <w:rPr>
          <w:spacing w:val="-1"/>
        </w:rPr>
        <w:t>股于</w:t>
      </w:r>
      <w:r>
        <w:rPr>
          <w:rFonts w:ascii="宋体" w:hAnsi="宋体" w:cs="宋体" w:eastAsia="宋体" w:hint="default"/>
          <w:spacing w:val="-1"/>
        </w:rPr>
        <w:t>2018</w:t>
      </w:r>
      <w:r>
        <w:rPr>
          <w:spacing w:val="-1"/>
        </w:rPr>
        <w:t>年</w:t>
      </w:r>
      <w:r>
        <w:rPr/>
        <w:t> </w:t>
      </w:r>
      <w:r>
        <w:rPr>
          <w:rFonts w:ascii="宋体" w:hAnsi="宋体" w:cs="宋体" w:eastAsia="宋体" w:hint="default"/>
        </w:rPr>
        <w:t>11</w:t>
      </w:r>
      <w:r>
        <w:rPr/>
        <w:t>月</w:t>
      </w:r>
      <w:r>
        <w:rPr>
          <w:rFonts w:ascii="宋体" w:hAnsi="宋体" w:cs="宋体" w:eastAsia="宋体" w:hint="default"/>
        </w:rPr>
        <w:t>30</w:t>
      </w:r>
      <w:r>
        <w:rPr/>
        <w:t>日解除限售并上市流通，有限售条件股份较</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日减少</w:t>
      </w:r>
      <w:r>
        <w:rPr>
          <w:rFonts w:ascii="宋体" w:hAnsi="宋体" w:cs="宋体" w:eastAsia="宋体" w:hint="default"/>
        </w:rPr>
        <w:t>2,843,624</w:t>
      </w:r>
      <w:r>
        <w:rPr/>
        <w:t>股。</w:t>
      </w:r>
    </w:p>
    <w:p>
      <w:pPr>
        <w:pStyle w:val="BodyText"/>
        <w:spacing w:line="273" w:lineRule="auto" w:before="48"/>
        <w:ind w:right="1127" w:firstLine="420"/>
        <w:jc w:val="both"/>
      </w:pPr>
      <w:r>
        <w:rPr>
          <w:rFonts w:ascii="宋体" w:hAnsi="宋体" w:cs="宋体" w:eastAsia="宋体" w:hint="default"/>
          <w:spacing w:val="-1"/>
        </w:rPr>
        <w:t>c.</w:t>
      </w:r>
      <w:r>
        <w:rPr>
          <w:spacing w:val="-1"/>
        </w:rPr>
        <w:t>公司董事、高级管理人员所持限售股份发生变化：</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日，公司董事、高级管理人员持股</w:t>
      </w:r>
      <w:r>
        <w:rPr/>
        <w:t> 合计为</w:t>
      </w:r>
      <w:r>
        <w:rPr>
          <w:rFonts w:ascii="宋体" w:hAnsi="宋体" w:cs="宋体" w:eastAsia="宋体" w:hint="default"/>
        </w:rPr>
        <w:t>2,333,325</w:t>
      </w:r>
      <w:r>
        <w:rPr/>
        <w:t>股，其中股权激励限售股为</w:t>
      </w:r>
      <w:r>
        <w:rPr>
          <w:rFonts w:ascii="宋体" w:hAnsi="宋体" w:cs="宋体" w:eastAsia="宋体" w:hint="default"/>
        </w:rPr>
        <w:t>1,910,300</w:t>
      </w:r>
      <w:r>
        <w:rPr/>
        <w:t>股，高管锁定股为</w:t>
      </w:r>
      <w:r>
        <w:rPr>
          <w:rFonts w:ascii="宋体" w:hAnsi="宋体" w:cs="宋体" w:eastAsia="宋体" w:hint="default"/>
        </w:rPr>
        <w:t>224,856</w:t>
      </w:r>
      <w:r>
        <w:rPr/>
        <w:t>股。</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spacing w:val="-28"/>
        </w:rPr>
        <w:t> </w:t>
      </w:r>
      <w:r>
        <w:rPr>
          <w:spacing w:val="-1"/>
        </w:rPr>
        <w:t>公司董事、高级管理人员持股合计为</w:t>
      </w:r>
      <w:r>
        <w:rPr>
          <w:rFonts w:ascii="宋体" w:hAnsi="宋体" w:cs="宋体" w:eastAsia="宋体" w:hint="default"/>
          <w:spacing w:val="-1"/>
        </w:rPr>
        <w:t>3,635,115</w:t>
      </w:r>
      <w:r>
        <w:rPr>
          <w:spacing w:val="-1"/>
        </w:rPr>
        <w:t>股，其中，股权激励限售股为</w:t>
      </w:r>
      <w:r>
        <w:rPr>
          <w:rFonts w:ascii="宋体" w:hAnsi="宋体" w:cs="宋体" w:eastAsia="宋体" w:hint="default"/>
          <w:spacing w:val="-1"/>
        </w:rPr>
        <w:t>1,229,500</w:t>
      </w:r>
      <w:r>
        <w:rPr>
          <w:spacing w:val="-1"/>
        </w:rPr>
        <w:t>股，高管锁定股为</w:t>
      </w:r>
      <w:r>
        <w:rPr>
          <w:spacing w:val="-78"/>
        </w:rPr>
        <w:t> </w:t>
      </w:r>
      <w:r>
        <w:rPr>
          <w:spacing w:val="-78"/>
        </w:rPr>
      </w:r>
      <w:r>
        <w:rPr>
          <w:rFonts w:ascii="宋体" w:hAnsi="宋体" w:cs="宋体" w:eastAsia="宋体" w:hint="default"/>
        </w:rPr>
        <w:t>60,004</w:t>
      </w:r>
      <w:r>
        <w:rPr/>
        <w:t>股。自</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26</w:t>
      </w:r>
      <w:r>
        <w:rPr/>
        <w:t>日起至</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6</w:t>
      </w:r>
      <w:r>
        <w:rPr/>
        <w:t>日，公司高级管理人员合计增持</w:t>
      </w:r>
      <w:r>
        <w:rPr>
          <w:rFonts w:ascii="宋体" w:hAnsi="宋体" w:cs="宋体" w:eastAsia="宋体" w:hint="default"/>
        </w:rPr>
        <w:t>358,900</w:t>
      </w:r>
      <w:r>
        <w:rPr/>
        <w:t>股。</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3、现存的内部职工股情况" w:id="119"/>
      <w:bookmarkEnd w:id="11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20"/>
      <w:bookmarkEnd w:id="120"/>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21"/>
      <w:bookmarkEnd w:id="12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186"/>
        <w:gridCol w:w="241"/>
        <w:gridCol w:w="920"/>
        <w:gridCol w:w="448"/>
        <w:gridCol w:w="796"/>
        <w:gridCol w:w="930"/>
        <w:gridCol w:w="314"/>
        <w:gridCol w:w="423"/>
        <w:gridCol w:w="871"/>
        <w:gridCol w:w="235"/>
        <w:gridCol w:w="725"/>
        <w:gridCol w:w="423"/>
        <w:gridCol w:w="883"/>
        <w:gridCol w:w="380"/>
        <w:gridCol w:w="920"/>
      </w:tblGrid>
      <w:tr>
        <w:trPr>
          <w:trHeight w:val="317" w:hRule="exact"/>
        </w:trPr>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62"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70,366</w:t>
            </w:r>
          </w:p>
        </w:tc>
        <w:tc>
          <w:tcPr>
            <w:tcW w:w="124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4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76,329</w:t>
            </w:r>
          </w:p>
        </w:tc>
        <w:tc>
          <w:tcPr>
            <w:tcW w:w="15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14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2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3"/>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0"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186" w:type="dxa"/>
            <w:vMerge/>
            <w:tcBorders>
              <w:left w:val="single" w:sz="4" w:space="0" w:color="000000"/>
              <w:bottom w:val="nil" w:sz="6" w:space="0" w:color="auto"/>
              <w:right w:val="single" w:sz="4" w:space="0" w:color="000000"/>
            </w:tcBorders>
            <w:shd w:val="clear" w:color="auto" w:fill="D2D2D2"/>
          </w:tcPr>
          <w:p>
            <w:pPr/>
          </w:p>
        </w:tc>
        <w:tc>
          <w:tcPr>
            <w:tcW w:w="1162" w:type="dxa"/>
            <w:gridSpan w:val="2"/>
            <w:vMerge/>
            <w:tcBorders>
              <w:left w:val="single" w:sz="9" w:space="0" w:color="D2D2D2"/>
              <w:right w:val="single" w:sz="10" w:space="0" w:color="D2D2D2"/>
            </w:tcBorders>
          </w:tcPr>
          <w:p>
            <w:pPr/>
          </w:p>
        </w:tc>
        <w:tc>
          <w:tcPr>
            <w:tcW w:w="124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4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44" w:type="dxa"/>
            <w:gridSpan w:val="2"/>
            <w:vMerge/>
            <w:tcBorders>
              <w:left w:val="single" w:sz="9" w:space="0" w:color="D2D2D2"/>
              <w:right w:val="single" w:sz="9" w:space="0" w:color="D2D2D2"/>
            </w:tcBorders>
          </w:tcPr>
          <w:p>
            <w:pPr/>
          </w:p>
        </w:tc>
        <w:tc>
          <w:tcPr>
            <w:tcW w:w="152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9"/>
              <w:jc w:val="both"/>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4"/>
                <w:sz w:val="18"/>
                <w:szCs w:val="18"/>
              </w:rPr>
              <w:t>数（如有）（参见注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48" w:type="dxa"/>
            <w:gridSpan w:val="2"/>
            <w:vMerge/>
            <w:tcBorders>
              <w:left w:val="single" w:sz="9" w:space="0" w:color="D2D2D2"/>
              <w:right w:val="single" w:sz="9" w:space="0" w:color="D2D2D2"/>
            </w:tcBorders>
          </w:tcPr>
          <w:p>
            <w:pPr/>
          </w:p>
        </w:tc>
        <w:tc>
          <w:tcPr>
            <w:tcW w:w="1263"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704" w:hRule="exact"/>
        </w:trPr>
        <w:tc>
          <w:tcPr>
            <w:tcW w:w="1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62" w:type="dxa"/>
            <w:gridSpan w:val="2"/>
            <w:vMerge/>
            <w:tcBorders>
              <w:left w:val="single" w:sz="9" w:space="0" w:color="D2D2D2"/>
              <w:right w:val="single" w:sz="10" w:space="0" w:color="D2D2D2"/>
            </w:tcBorders>
          </w:tcPr>
          <w:p>
            <w:pPr/>
          </w:p>
        </w:tc>
        <w:tc>
          <w:tcPr>
            <w:tcW w:w="1244" w:type="dxa"/>
            <w:gridSpan w:val="2"/>
            <w:vMerge/>
            <w:tcBorders>
              <w:left w:val="single" w:sz="4" w:space="0" w:color="000000"/>
              <w:right w:val="single" w:sz="4" w:space="0" w:color="000000"/>
            </w:tcBorders>
            <w:shd w:val="clear" w:color="auto" w:fill="D2D2D2"/>
          </w:tcPr>
          <w:p>
            <w:pPr/>
          </w:p>
        </w:tc>
        <w:tc>
          <w:tcPr>
            <w:tcW w:w="1244" w:type="dxa"/>
            <w:gridSpan w:val="2"/>
            <w:vMerge/>
            <w:tcBorders>
              <w:left w:val="single" w:sz="9" w:space="0" w:color="D2D2D2"/>
              <w:right w:val="single" w:sz="9" w:space="0" w:color="D2D2D2"/>
            </w:tcBorders>
          </w:tcPr>
          <w:p>
            <w:pPr/>
          </w:p>
        </w:tc>
        <w:tc>
          <w:tcPr>
            <w:tcW w:w="1529" w:type="dxa"/>
            <w:gridSpan w:val="3"/>
            <w:vMerge/>
            <w:tcBorders>
              <w:left w:val="single" w:sz="4" w:space="0" w:color="000000"/>
              <w:right w:val="single" w:sz="4" w:space="0" w:color="000000"/>
            </w:tcBorders>
            <w:shd w:val="clear" w:color="auto" w:fill="D2D2D2"/>
          </w:tcPr>
          <w:p>
            <w:pPr/>
          </w:p>
        </w:tc>
        <w:tc>
          <w:tcPr>
            <w:tcW w:w="1148" w:type="dxa"/>
            <w:gridSpan w:val="2"/>
            <w:vMerge/>
            <w:tcBorders>
              <w:left w:val="single" w:sz="9" w:space="0" w:color="D2D2D2"/>
              <w:right w:val="single" w:sz="9" w:space="0" w:color="D2D2D2"/>
            </w:tcBorders>
          </w:tcPr>
          <w:p>
            <w:pPr/>
          </w:p>
        </w:tc>
        <w:tc>
          <w:tcPr>
            <w:tcW w:w="1263"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312" w:hRule="exact"/>
        </w:trPr>
        <w:tc>
          <w:tcPr>
            <w:tcW w:w="1186" w:type="dxa"/>
            <w:vMerge w:val="restart"/>
            <w:tcBorders>
              <w:top w:val="nil" w:sz="6" w:space="0" w:color="auto"/>
              <w:left w:val="single" w:sz="4" w:space="0" w:color="000000"/>
              <w:right w:val="single" w:sz="4" w:space="0" w:color="000000"/>
            </w:tcBorders>
            <w:shd w:val="clear" w:color="auto" w:fill="D2D2D2"/>
          </w:tcPr>
          <w:p>
            <w:pPr/>
          </w:p>
        </w:tc>
        <w:tc>
          <w:tcPr>
            <w:tcW w:w="1162" w:type="dxa"/>
            <w:gridSpan w:val="2"/>
            <w:vMerge/>
            <w:tcBorders>
              <w:left w:val="single" w:sz="9" w:space="0" w:color="D2D2D2"/>
              <w:right w:val="single" w:sz="10" w:space="0" w:color="D2D2D2"/>
            </w:tcBorders>
          </w:tcPr>
          <w:p>
            <w:pPr/>
          </w:p>
        </w:tc>
        <w:tc>
          <w:tcPr>
            <w:tcW w:w="1244" w:type="dxa"/>
            <w:gridSpan w:val="2"/>
            <w:vMerge/>
            <w:tcBorders>
              <w:left w:val="single" w:sz="4" w:space="0" w:color="000000"/>
              <w:bottom w:val="nil" w:sz="6" w:space="0" w:color="auto"/>
              <w:right w:val="single" w:sz="4" w:space="0" w:color="000000"/>
            </w:tcBorders>
            <w:shd w:val="clear" w:color="auto" w:fill="D2D2D2"/>
          </w:tcPr>
          <w:p>
            <w:pPr/>
          </w:p>
        </w:tc>
        <w:tc>
          <w:tcPr>
            <w:tcW w:w="1244" w:type="dxa"/>
            <w:gridSpan w:val="2"/>
            <w:vMerge/>
            <w:tcBorders>
              <w:left w:val="single" w:sz="9" w:space="0" w:color="D2D2D2"/>
              <w:right w:val="single" w:sz="9" w:space="0" w:color="D2D2D2"/>
            </w:tcBorders>
          </w:tcPr>
          <w:p>
            <w:pPr/>
          </w:p>
        </w:tc>
        <w:tc>
          <w:tcPr>
            <w:tcW w:w="1529" w:type="dxa"/>
            <w:gridSpan w:val="3"/>
            <w:vMerge/>
            <w:tcBorders>
              <w:left w:val="single" w:sz="4" w:space="0" w:color="000000"/>
              <w:bottom w:val="nil" w:sz="6" w:space="0" w:color="auto"/>
              <w:right w:val="single" w:sz="4" w:space="0" w:color="000000"/>
            </w:tcBorders>
            <w:shd w:val="clear" w:color="auto" w:fill="D2D2D2"/>
          </w:tcPr>
          <w:p>
            <w:pPr/>
          </w:p>
        </w:tc>
        <w:tc>
          <w:tcPr>
            <w:tcW w:w="1148" w:type="dxa"/>
            <w:gridSpan w:val="2"/>
            <w:vMerge/>
            <w:tcBorders>
              <w:left w:val="single" w:sz="9" w:space="0" w:color="D2D2D2"/>
              <w:right w:val="single" w:sz="9" w:space="0" w:color="D2D2D2"/>
            </w:tcBorders>
          </w:tcPr>
          <w:p>
            <w:pPr/>
          </w:p>
        </w:tc>
        <w:tc>
          <w:tcPr>
            <w:tcW w:w="1263" w:type="dxa"/>
            <w:gridSpan w:val="2"/>
            <w:vMerge/>
            <w:tcBorders>
              <w:left w:val="single" w:sz="4" w:space="0" w:color="000000"/>
              <w:right w:val="single" w:sz="4" w:space="0" w:color="000000"/>
            </w:tcBorders>
            <w:shd w:val="clear" w:color="auto" w:fill="D2D2D2"/>
          </w:tcPr>
          <w:p>
            <w:pPr/>
          </w:p>
        </w:tc>
        <w:tc>
          <w:tcPr>
            <w:tcW w:w="920" w:type="dxa"/>
            <w:vMerge/>
            <w:tcBorders>
              <w:left w:val="single" w:sz="13" w:space="0" w:color="D2D2D2"/>
              <w:right w:val="single" w:sz="4" w:space="0" w:color="000000"/>
            </w:tcBorders>
          </w:tcPr>
          <w:p>
            <w:pPr/>
          </w:p>
        </w:tc>
      </w:tr>
      <w:tr>
        <w:trPr>
          <w:trHeight w:val="322" w:hRule="exact"/>
        </w:trPr>
        <w:tc>
          <w:tcPr>
            <w:tcW w:w="1186" w:type="dxa"/>
            <w:vMerge/>
            <w:tcBorders>
              <w:left w:val="single" w:sz="4" w:space="0" w:color="000000"/>
              <w:bottom w:val="single" w:sz="4" w:space="0" w:color="000000"/>
              <w:right w:val="single" w:sz="4" w:space="0" w:color="000000"/>
            </w:tcBorders>
            <w:shd w:val="clear" w:color="auto" w:fill="D2D2D2"/>
          </w:tcPr>
          <w:p>
            <w:pPr/>
          </w:p>
        </w:tc>
        <w:tc>
          <w:tcPr>
            <w:tcW w:w="1162" w:type="dxa"/>
            <w:gridSpan w:val="2"/>
            <w:vMerge/>
            <w:tcBorders>
              <w:left w:val="single" w:sz="9" w:space="0" w:color="D2D2D2"/>
              <w:bottom w:val="single" w:sz="4" w:space="0" w:color="000000"/>
              <w:right w:val="single" w:sz="10" w:space="0" w:color="D2D2D2"/>
            </w:tcBorders>
          </w:tcPr>
          <w:p>
            <w:pPr/>
          </w:p>
        </w:tc>
        <w:tc>
          <w:tcPr>
            <w:tcW w:w="124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44" w:type="dxa"/>
            <w:gridSpan w:val="2"/>
            <w:vMerge/>
            <w:tcBorders>
              <w:left w:val="single" w:sz="9" w:space="0" w:color="D2D2D2"/>
              <w:bottom w:val="single" w:sz="4" w:space="0" w:color="000000"/>
              <w:right w:val="single" w:sz="9" w:space="0" w:color="D2D2D2"/>
            </w:tcBorders>
          </w:tcPr>
          <w:p>
            <w:pPr/>
          </w:p>
        </w:tc>
        <w:tc>
          <w:tcPr>
            <w:tcW w:w="15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148" w:type="dxa"/>
            <w:gridSpan w:val="2"/>
            <w:vMerge/>
            <w:tcBorders>
              <w:left w:val="single" w:sz="9" w:space="0" w:color="D2D2D2"/>
              <w:bottom w:val="single" w:sz="4" w:space="0" w:color="000000"/>
              <w:right w:val="single" w:sz="9" w:space="0" w:color="D2D2D2"/>
            </w:tcBorders>
          </w:tcPr>
          <w:p>
            <w:pPr/>
          </w:p>
        </w:tc>
        <w:tc>
          <w:tcPr>
            <w:tcW w:w="1263"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13" w:space="0" w:color="D2D2D2"/>
              <w:bottom w:val="single" w:sz="4" w:space="0" w:color="000000"/>
              <w:right w:val="single" w:sz="4" w:space="0" w:color="000000"/>
            </w:tcBorders>
          </w:tcPr>
          <w:p>
            <w:pPr/>
          </w:p>
        </w:tc>
      </w:tr>
      <w:tr>
        <w:trPr>
          <w:trHeight w:val="392" w:hRule="exact"/>
        </w:trPr>
        <w:tc>
          <w:tcPr>
            <w:tcW w:w="969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12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27" w:type="dxa"/>
            <w:gridSpan w:val="2"/>
            <w:vMerge w:val="restart"/>
            <w:tcBorders>
              <w:top w:val="single" w:sz="4" w:space="0" w:color="000000"/>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
        </w:tc>
        <w:tc>
          <w:tcPr>
            <w:tcW w:w="796" w:type="dxa"/>
            <w:vMerge w:val="restart"/>
            <w:tcBorders>
              <w:top w:val="single" w:sz="4" w:space="0" w:color="000000"/>
              <w:left w:val="single" w:sz="4" w:space="0" w:color="000000"/>
              <w:right w:val="single" w:sz="4" w:space="0" w:color="000000"/>
            </w:tcBorders>
            <w:shd w:val="clear" w:color="auto" w:fill="D2D2D2"/>
          </w:tcPr>
          <w:p>
            <w:pPr/>
          </w:p>
        </w:tc>
        <w:tc>
          <w:tcPr>
            <w:tcW w:w="930" w:type="dxa"/>
            <w:vMerge w:val="restart"/>
            <w:tcBorders>
              <w:top w:val="single" w:sz="4" w:space="0" w:color="000000"/>
              <w:left w:val="single" w:sz="4" w:space="0" w:color="000000"/>
              <w:right w:val="single" w:sz="4" w:space="0" w:color="000000"/>
            </w:tcBorders>
            <w:shd w:val="clear" w:color="auto" w:fill="D2D2D2"/>
          </w:tcPr>
          <w:p>
            <w:pPr/>
          </w:p>
        </w:tc>
        <w:tc>
          <w:tcPr>
            <w:tcW w:w="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2"/>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71" w:type="dxa"/>
            <w:tcBorders>
              <w:top w:val="single" w:sz="4" w:space="0" w:color="000000"/>
              <w:left w:val="single" w:sz="4" w:space="0" w:color="000000"/>
              <w:bottom w:val="nil" w:sz="6" w:space="0" w:color="auto"/>
              <w:right w:val="single" w:sz="4" w:space="0" w:color="000000"/>
            </w:tcBorders>
            <w:shd w:val="clear" w:color="auto" w:fill="D2D2D2"/>
          </w:tcPr>
          <w:p>
            <w:pPr/>
          </w:p>
        </w:tc>
        <w:tc>
          <w:tcPr>
            <w:tcW w:w="95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606"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6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9" w:hRule="exact"/>
        </w:trPr>
        <w:tc>
          <w:tcPr>
            <w:tcW w:w="1427"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737" w:type="dxa"/>
            <w:gridSpan w:val="2"/>
            <w:vMerge/>
            <w:tcBorders>
              <w:left w:val="single" w:sz="4" w:space="0" w:color="000000"/>
              <w:right w:val="single" w:sz="4" w:space="0" w:color="000000"/>
            </w:tcBorders>
            <w:shd w:val="clear" w:color="auto" w:fill="D2D2D2"/>
          </w:tcPr>
          <w:p>
            <w:pPr/>
          </w:p>
        </w:tc>
        <w:tc>
          <w:tcPr>
            <w:tcW w:w="87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0" w:right="68"/>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95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 w:right="2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606" w:type="dxa"/>
            <w:gridSpan w:val="4"/>
            <w:vMerge/>
            <w:tcBorders>
              <w:left w:val="single" w:sz="4" w:space="0" w:color="000000"/>
              <w:bottom w:val="single" w:sz="4" w:space="0" w:color="000000"/>
              <w:right w:val="single" w:sz="4" w:space="0" w:color="000000"/>
            </w:tcBorders>
            <w:shd w:val="clear" w:color="auto" w:fill="D2D2D2"/>
          </w:tcPr>
          <w:p>
            <w:pPr/>
          </w:p>
        </w:tc>
      </w:tr>
      <w:tr>
        <w:trPr>
          <w:trHeight w:val="113" w:hRule="exact"/>
        </w:trPr>
        <w:tc>
          <w:tcPr>
            <w:tcW w:w="1427" w:type="dxa"/>
            <w:gridSpan w:val="2"/>
            <w:vMerge/>
            <w:tcBorders>
              <w:left w:val="single" w:sz="4" w:space="0" w:color="000000"/>
              <w:bottom w:val="nil" w:sz="6" w:space="0" w:color="auto"/>
              <w:right w:val="single" w:sz="4" w:space="0" w:color="000000"/>
            </w:tcBorders>
            <w:shd w:val="clear" w:color="auto" w:fill="D2D2D2"/>
          </w:tcPr>
          <w:p>
            <w:pPr/>
          </w:p>
        </w:tc>
        <w:tc>
          <w:tcPr>
            <w:tcW w:w="1368" w:type="dxa"/>
            <w:gridSpan w:val="2"/>
            <w:vMerge/>
            <w:tcBorders>
              <w:left w:val="single" w:sz="4" w:space="0" w:color="000000"/>
              <w:bottom w:val="nil" w:sz="6" w:space="0" w:color="auto"/>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288" w:right="136"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3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8"/>
              <w:ind w:left="176" w:right="22"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737" w:type="dxa"/>
            <w:gridSpan w:val="2"/>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959" w:type="dxa"/>
            <w:gridSpan w:val="2"/>
            <w:vMerge/>
            <w:tcBorders>
              <w:left w:val="single" w:sz="4" w:space="0" w:color="000000"/>
              <w:right w:val="single" w:sz="4" w:space="0" w:color="000000"/>
            </w:tcBorders>
            <w:shd w:val="clear" w:color="auto" w:fill="D2D2D2"/>
          </w:tcPr>
          <w:p>
            <w:pP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
        </w:tc>
        <w:tc>
          <w:tcPr>
            <w:tcW w:w="1301" w:type="dxa"/>
            <w:gridSpan w:val="2"/>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42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6" w:type="dxa"/>
            <w:vMerge/>
            <w:tcBorders>
              <w:left w:val="single" w:sz="4" w:space="0" w:color="000000"/>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737" w:type="dxa"/>
            <w:gridSpan w:val="2"/>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959" w:type="dxa"/>
            <w:gridSpan w:val="2"/>
            <w:vMerge/>
            <w:tcBorders>
              <w:left w:val="single" w:sz="4" w:space="0" w:color="000000"/>
              <w:right w:val="single" w:sz="4" w:space="0" w:color="000000"/>
            </w:tcBorders>
            <w:shd w:val="clear" w:color="auto" w:fill="D2D2D2"/>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301" w:type="dxa"/>
            <w:gridSpan w:val="2"/>
            <w:vMerge/>
            <w:tcBorders>
              <w:left w:val="single" w:sz="4" w:space="0" w:color="000000"/>
              <w:bottom w:val="nil" w:sz="6" w:space="0" w:color="auto"/>
              <w:right w:val="single" w:sz="4" w:space="0" w:color="000000"/>
            </w:tcBorders>
            <w:shd w:val="clear" w:color="auto" w:fill="D2D2D2"/>
          </w:tcPr>
          <w:p>
            <w:pPr/>
          </w:p>
        </w:tc>
      </w:tr>
      <w:tr>
        <w:trPr>
          <w:trHeight w:val="191" w:hRule="exact"/>
        </w:trPr>
        <w:tc>
          <w:tcPr>
            <w:tcW w:w="1427" w:type="dxa"/>
            <w:gridSpan w:val="2"/>
            <w:vMerge/>
            <w:tcBorders>
              <w:left w:val="single" w:sz="4" w:space="0" w:color="000000"/>
              <w:bottom w:val="nil" w:sz="6" w:space="0" w:color="auto"/>
              <w:right w:val="single" w:sz="4" w:space="0" w:color="000000"/>
            </w:tcBorders>
            <w:shd w:val="clear" w:color="auto" w:fill="D2D2D2"/>
          </w:tcPr>
          <w:p>
            <w:pPr/>
          </w:p>
        </w:tc>
        <w:tc>
          <w:tcPr>
            <w:tcW w:w="1368" w:type="dxa"/>
            <w:gridSpan w:val="2"/>
            <w:vMerge/>
            <w:tcBorders>
              <w:left w:val="single" w:sz="4" w:space="0" w:color="000000"/>
              <w:bottom w:val="nil" w:sz="6" w:space="0" w:color="auto"/>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930" w:type="dxa"/>
            <w:vMerge/>
            <w:tcBorders>
              <w:left w:val="single" w:sz="4" w:space="0" w:color="000000"/>
              <w:right w:val="single" w:sz="4" w:space="0" w:color="000000"/>
            </w:tcBorders>
            <w:shd w:val="clear" w:color="auto" w:fill="D2D2D2"/>
          </w:tcPr>
          <w:p>
            <w:pPr/>
          </w:p>
        </w:tc>
        <w:tc>
          <w:tcPr>
            <w:tcW w:w="737" w:type="dxa"/>
            <w:gridSpan w:val="2"/>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959" w:type="dxa"/>
            <w:gridSpan w:val="2"/>
            <w:vMerge/>
            <w:tcBorders>
              <w:left w:val="single" w:sz="4" w:space="0" w:color="000000"/>
              <w:right w:val="single" w:sz="4" w:space="0" w:color="000000"/>
            </w:tcBorders>
            <w:shd w:val="clear" w:color="auto" w:fill="D2D2D2"/>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0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78" w:hRule="exact"/>
        </w:trPr>
        <w:tc>
          <w:tcPr>
            <w:tcW w:w="1427" w:type="dxa"/>
            <w:gridSpan w:val="2"/>
            <w:vMerge w:val="restart"/>
            <w:tcBorders>
              <w:top w:val="nil" w:sz="6" w:space="0" w:color="auto"/>
              <w:left w:val="single" w:sz="4" w:space="0" w:color="000000"/>
              <w:right w:val="single" w:sz="4" w:space="0" w:color="000000"/>
            </w:tcBorders>
            <w:shd w:val="clear" w:color="auto" w:fill="D2D2D2"/>
          </w:tcPr>
          <w:p>
            <w:pPr/>
          </w:p>
        </w:tc>
        <w:tc>
          <w:tcPr>
            <w:tcW w:w="1368" w:type="dxa"/>
            <w:gridSpan w:val="2"/>
            <w:vMerge w:val="restart"/>
            <w:tcBorders>
              <w:top w:val="nil" w:sz="6" w:space="0" w:color="auto"/>
              <w:left w:val="single" w:sz="4" w:space="0" w:color="000000"/>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930" w:type="dxa"/>
            <w:vMerge/>
            <w:tcBorders>
              <w:left w:val="single" w:sz="4" w:space="0" w:color="000000"/>
              <w:bottom w:val="nil" w:sz="6" w:space="0" w:color="auto"/>
              <w:right w:val="single" w:sz="4" w:space="0" w:color="000000"/>
            </w:tcBorders>
            <w:shd w:val="clear" w:color="auto" w:fill="D2D2D2"/>
          </w:tcPr>
          <w:p>
            <w:pPr/>
          </w:p>
        </w:tc>
        <w:tc>
          <w:tcPr>
            <w:tcW w:w="737" w:type="dxa"/>
            <w:gridSpan w:val="2"/>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959" w:type="dxa"/>
            <w:gridSpan w:val="2"/>
            <w:vMerge/>
            <w:tcBorders>
              <w:left w:val="single" w:sz="4" w:space="0" w:color="000000"/>
              <w:right w:val="single" w:sz="4" w:space="0" w:color="000000"/>
            </w:tcBorders>
            <w:shd w:val="clear" w:color="auto" w:fill="D2D2D2"/>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301" w:type="dxa"/>
            <w:gridSpan w:val="2"/>
            <w:vMerge/>
            <w:tcBorders>
              <w:left w:val="single" w:sz="4" w:space="0" w:color="000000"/>
              <w:bottom w:val="nil" w:sz="6" w:space="0" w:color="auto"/>
              <w:right w:val="single" w:sz="4" w:space="0" w:color="000000"/>
            </w:tcBorders>
            <w:shd w:val="clear" w:color="auto" w:fill="D2D2D2"/>
          </w:tcPr>
          <w:p>
            <w:pPr/>
          </w:p>
        </w:tc>
      </w:tr>
      <w:tr>
        <w:trPr>
          <w:trHeight w:val="134" w:hRule="exact"/>
        </w:trPr>
        <w:tc>
          <w:tcPr>
            <w:tcW w:w="1427"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c>
          <w:tcPr>
            <w:tcW w:w="930" w:type="dxa"/>
            <w:vMerge w:val="restart"/>
            <w:tcBorders>
              <w:top w:val="nil" w:sz="6" w:space="0" w:color="auto"/>
              <w:left w:val="single" w:sz="4" w:space="0" w:color="000000"/>
              <w:right w:val="single" w:sz="4" w:space="0" w:color="000000"/>
            </w:tcBorders>
            <w:shd w:val="clear" w:color="auto" w:fill="D2D2D2"/>
          </w:tcPr>
          <w:p>
            <w:pPr/>
          </w:p>
        </w:tc>
        <w:tc>
          <w:tcPr>
            <w:tcW w:w="737" w:type="dxa"/>
            <w:gridSpan w:val="2"/>
            <w:vMerge/>
            <w:tcBorders>
              <w:left w:val="single" w:sz="4" w:space="0" w:color="000000"/>
              <w:right w:val="single" w:sz="4" w:space="0" w:color="000000"/>
            </w:tcBorders>
            <w:shd w:val="clear" w:color="auto" w:fill="D2D2D2"/>
          </w:tcPr>
          <w:p>
            <w:pPr/>
          </w:p>
        </w:tc>
        <w:tc>
          <w:tcPr>
            <w:tcW w:w="871" w:type="dxa"/>
            <w:vMerge/>
            <w:tcBorders>
              <w:left w:val="single" w:sz="4" w:space="0" w:color="000000"/>
              <w:bottom w:val="nil" w:sz="6" w:space="0" w:color="auto"/>
              <w:right w:val="single" w:sz="4" w:space="0" w:color="000000"/>
            </w:tcBorders>
            <w:shd w:val="clear" w:color="auto" w:fill="D2D2D2"/>
          </w:tcPr>
          <w:p>
            <w:pPr/>
          </w:p>
        </w:tc>
        <w:tc>
          <w:tcPr>
            <w:tcW w:w="959" w:type="dxa"/>
            <w:gridSpan w:val="2"/>
            <w:vMerge/>
            <w:tcBorders>
              <w:left w:val="single" w:sz="4" w:space="0" w:color="000000"/>
              <w:bottom w:val="nil" w:sz="6" w:space="0" w:color="auto"/>
              <w:right w:val="single" w:sz="4" w:space="0" w:color="000000"/>
            </w:tcBorders>
            <w:shd w:val="clear" w:color="auto" w:fill="D2D2D2"/>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
        </w:tc>
        <w:tc>
          <w:tcPr>
            <w:tcW w:w="1301" w:type="dxa"/>
            <w:gridSpan w:val="2"/>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427"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930" w:type="dxa"/>
            <w:vMerge/>
            <w:tcBorders>
              <w:left w:val="single" w:sz="4" w:space="0" w:color="000000"/>
              <w:bottom w:val="single" w:sz="4" w:space="0" w:color="000000"/>
              <w:right w:val="single" w:sz="4" w:space="0" w:color="000000"/>
            </w:tcBorders>
            <w:shd w:val="clear" w:color="auto" w:fill="D2D2D2"/>
          </w:tcPr>
          <w:p>
            <w:pPr/>
          </w:p>
        </w:tc>
        <w:tc>
          <w:tcPr>
            <w:tcW w:w="737" w:type="dxa"/>
            <w:gridSpan w:val="2"/>
            <w:vMerge/>
            <w:tcBorders>
              <w:left w:val="single" w:sz="4" w:space="0" w:color="000000"/>
              <w:bottom w:val="single" w:sz="4" w:space="0" w:color="000000"/>
              <w:right w:val="single" w:sz="4" w:space="0" w:color="000000"/>
            </w:tcBorders>
            <w:shd w:val="clear" w:color="auto" w:fill="D2D2D2"/>
          </w:tcPr>
          <w:p>
            <w:pPr/>
          </w:p>
        </w:tc>
        <w:tc>
          <w:tcPr>
            <w:tcW w:w="871" w:type="dxa"/>
            <w:tcBorders>
              <w:top w:val="nil" w:sz="6" w:space="0" w:color="auto"/>
              <w:left w:val="single" w:sz="4" w:space="0" w:color="000000"/>
              <w:bottom w:val="single" w:sz="4" w:space="0" w:color="000000"/>
              <w:right w:val="single" w:sz="4" w:space="0" w:color="000000"/>
            </w:tcBorders>
            <w:shd w:val="clear" w:color="auto" w:fill="D2D2D2"/>
          </w:tcPr>
          <w:p>
            <w:pPr/>
          </w:p>
        </w:tc>
        <w:tc>
          <w:tcPr>
            <w:tcW w:w="95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1301"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电信科学技术研 究院有限公司</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12.81%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116,232,472</w:t>
            </w: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29,764</w:t>
            </w:r>
          </w:p>
        </w:tc>
        <w:tc>
          <w:tcPr>
            <w:tcW w:w="9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116,202,708</w:t>
            </w:r>
          </w:p>
        </w:tc>
        <w:tc>
          <w:tcPr>
            <w:tcW w:w="1306" w:type="dxa"/>
            <w:gridSpan w:val="2"/>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南京庆亚贸易有 限公司</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2.12%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19,280,190</w:t>
            </w: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19,280,095</w:t>
            </w:r>
          </w:p>
        </w:tc>
        <w:tc>
          <w:tcPr>
            <w:tcW w:w="9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16,000,000</w:t>
            </w:r>
          </w:p>
        </w:tc>
      </w:tr>
      <w:tr>
        <w:trPr>
          <w:trHeight w:val="402"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张珂</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1.57%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14,266,077</w:t>
            </w: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14,266,077</w:t>
            </w:r>
          </w:p>
        </w:tc>
        <w:tc>
          <w:tcPr>
            <w:tcW w:w="1306" w:type="dxa"/>
            <w:gridSpan w:val="2"/>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1.35%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12,216,740</w:t>
            </w: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2,712,149</w:t>
            </w:r>
          </w:p>
        </w:tc>
        <w:tc>
          <w:tcPr>
            <w:tcW w:w="9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9,504,591</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8" w:right="0"/>
              <w:jc w:val="left"/>
              <w:rPr>
                <w:rFonts w:ascii="Times New Roman" w:hAnsi="Times New Roman" w:cs="Times New Roman" w:eastAsia="Times New Roman" w:hint="default"/>
                <w:sz w:val="18"/>
                <w:szCs w:val="18"/>
              </w:rPr>
            </w:pPr>
            <w:r>
              <w:rPr>
                <w:rFonts w:ascii="Times New Roman"/>
                <w:sz w:val="18"/>
              </w:rPr>
              <w:t>6,158,686</w:t>
            </w:r>
          </w:p>
        </w:tc>
      </w:tr>
      <w:tr>
        <w:trPr>
          <w:trHeight w:val="402"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张广全</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0.97%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8,770,000</w:t>
            </w: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8,770,000</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8" w:right="0"/>
              <w:jc w:val="left"/>
              <w:rPr>
                <w:rFonts w:ascii="Times New Roman" w:hAnsi="Times New Roman" w:cs="Times New Roman" w:eastAsia="Times New Roman" w:hint="default"/>
                <w:sz w:val="18"/>
                <w:szCs w:val="18"/>
              </w:rPr>
            </w:pPr>
            <w:r>
              <w:rPr>
                <w:rFonts w:ascii="Times New Roman"/>
                <w:sz w:val="18"/>
              </w:rPr>
              <w:t>8,770,000</w:t>
            </w:r>
          </w:p>
        </w:tc>
      </w:tr>
      <w:tr>
        <w:trPr>
          <w:trHeight w:val="402" w:hRule="exact"/>
        </w:trPr>
        <w:tc>
          <w:tcPr>
            <w:tcW w:w="14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0.91%</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8,269,540</w:t>
            </w:r>
          </w:p>
        </w:tc>
        <w:tc>
          <w:tcPr>
            <w:tcW w:w="737" w:type="dxa"/>
            <w:gridSpan w:val="2"/>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 w:right="0"/>
              <w:jc w:val="left"/>
              <w:rPr>
                <w:rFonts w:ascii="Times New Roman" w:hAnsi="Times New Roman" w:cs="Times New Roman" w:eastAsia="Times New Roman" w:hint="default"/>
                <w:sz w:val="18"/>
                <w:szCs w:val="18"/>
              </w:rPr>
            </w:pPr>
            <w:r>
              <w:rPr>
                <w:rFonts w:ascii="Times New Roman"/>
                <w:sz w:val="18"/>
              </w:rPr>
              <w:t>8,269,540</w:t>
            </w:r>
          </w:p>
        </w:tc>
        <w:tc>
          <w:tcPr>
            <w:tcW w:w="1306" w:type="dxa"/>
            <w:gridSpan w:val="2"/>
            <w:tcBorders>
              <w:top w:val="single" w:sz="4" w:space="0" w:color="000000"/>
              <w:left w:val="single" w:sz="4" w:space="0" w:color="000000"/>
              <w:bottom w:val="single" w:sz="4" w:space="0" w:color="000000"/>
              <w:right w:val="single" w:sz="4" w:space="0" w:color="000000"/>
            </w:tcBorders>
          </w:tcPr>
          <w:p>
            <w:pPr/>
          </w:p>
        </w:tc>
        <w:tc>
          <w:tcPr>
            <w:tcW w:w="1301"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5.080002pt;margin-top:71.999985pt;width:485.5pt;height:697pt;mso-position-horizontal-relative:page;mso-position-vertical-relative:page;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7"/>
                    <w:gridCol w:w="1368"/>
                    <w:gridCol w:w="768"/>
                    <w:gridCol w:w="958"/>
                    <w:gridCol w:w="737"/>
                    <w:gridCol w:w="871"/>
                    <w:gridCol w:w="959"/>
                    <w:gridCol w:w="1306"/>
                    <w:gridCol w:w="1301"/>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汪雪梅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7,790,745</w:t>
                        </w:r>
                      </w:p>
                    </w:tc>
                    <w:tc>
                      <w:tcPr>
                        <w:tcW w:w="73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7,790,745</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7,080,969</w:t>
                        </w:r>
                      </w:p>
                    </w:tc>
                    <w:tc>
                      <w:tcPr>
                        <w:tcW w:w="73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7,080,969</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5,230,700</w:t>
                        </w:r>
                      </w:p>
                    </w:tc>
                    <w:tc>
                      <w:tcPr>
                        <w:tcW w:w="73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5,230,700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5,230,000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4,504,554</w:t>
                        </w:r>
                      </w:p>
                    </w:tc>
                    <w:tc>
                      <w:tcPr>
                        <w:tcW w:w="73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4,504,554</w:t>
                        </w:r>
                      </w:p>
                    </w:tc>
                    <w:tc>
                      <w:tcPr>
                        <w:tcW w:w="130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2345" w:hRule="exact"/>
                    </w:trPr>
                    <w:tc>
                      <w:tcPr>
                        <w:tcW w:w="279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00" w:type="dxa"/>
                        <w:gridSpan w:val="7"/>
                        <w:vMerge w:val="restart"/>
                        <w:tcBorders>
                          <w:top w:val="single" w:sz="4" w:space="0" w:color="000000"/>
                          <w:left w:val="single" w:sz="10" w:space="0" w:color="D2D2D2"/>
                          <w:right w:val="single" w:sz="4" w:space="0" w:color="000000"/>
                        </w:tcBorders>
                      </w:tcPr>
                      <w:p>
                        <w:pPr>
                          <w:pStyle w:val="TableParagraph"/>
                          <w:spacing w:line="309" w:lineRule="auto" w:before="51"/>
                          <w:ind w:left="15"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日，公司因发行股份购买资产发行的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68,174,260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股股份上市，因认购非</w:t>
                        </w:r>
                        <w:r>
                          <w:rPr>
                            <w:rFonts w:ascii="宋体" w:hAnsi="宋体" w:cs="宋体" w:eastAsia="宋体" w:hint="default"/>
                            <w:sz w:val="18"/>
                            <w:szCs w:val="18"/>
                          </w:rPr>
                          <w:t> 公开发行股份成为前十大股东的有：曾东卫、李伟斌、叶军、张岩、李昌锋、海南信息 </w:t>
                        </w:r>
                        <w:r>
                          <w:rPr>
                            <w:rFonts w:ascii="宋体" w:hAnsi="宋体" w:cs="宋体" w:eastAsia="宋体" w:hint="default"/>
                            <w:spacing w:val="-4"/>
                            <w:sz w:val="18"/>
                            <w:szCs w:val="18"/>
                          </w:rPr>
                          <w:t>产业创业投资基金（有限合伙）。其中，曾东卫持有</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8,486,243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股，全部为有限售条件的</w:t>
                        </w:r>
                      </w:p>
                      <w:p>
                        <w:pPr>
                          <w:pStyle w:val="TableParagraph"/>
                          <w:spacing w:line="240" w:lineRule="auto" w:before="5"/>
                          <w:ind w:left="15" w:right="0"/>
                          <w:jc w:val="both"/>
                          <w:rPr>
                            <w:rFonts w:ascii="宋体" w:hAnsi="宋体" w:cs="宋体" w:eastAsia="宋体" w:hint="default"/>
                            <w:sz w:val="18"/>
                            <w:szCs w:val="18"/>
                          </w:rPr>
                        </w:pPr>
                        <w:r>
                          <w:rPr>
                            <w:rFonts w:ascii="宋体" w:hAnsi="宋体" w:cs="宋体" w:eastAsia="宋体" w:hint="default"/>
                            <w:sz w:val="18"/>
                            <w:szCs w:val="18"/>
                          </w:rPr>
                          <w:t>流通股，股份限售情况：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日解除限售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5,091,745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解除限售</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1,697,248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日后可以解除限售</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1,697,250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股；李伟斌持有</w:t>
                        </w:r>
                      </w:p>
                      <w:p>
                        <w:pPr>
                          <w:pStyle w:val="TableParagraph"/>
                          <w:spacing w:line="240" w:lineRule="auto" w:before="63"/>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7,700,635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股，全部为有限售条件的流通股，股份限售情况：</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w:t>
                        </w:r>
                      </w:p>
                      <w:p>
                        <w:pPr>
                          <w:pStyle w:val="TableParagraph"/>
                          <w:spacing w:line="240" w:lineRule="auto" w:before="63"/>
                          <w:ind w:left="15"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7,700,635  </w:t>
                        </w:r>
                        <w:r>
                          <w:rPr>
                            <w:rFonts w:ascii="宋体" w:hAnsi="宋体" w:cs="宋体" w:eastAsia="宋体" w:hint="default"/>
                            <w:spacing w:val="-8"/>
                            <w:sz w:val="18"/>
                            <w:szCs w:val="18"/>
                          </w:rPr>
                          <w:t>股。叶军持有 </w:t>
                        </w:r>
                        <w:r>
                          <w:rPr>
                            <w:rFonts w:ascii="Times New Roman" w:hAnsi="Times New Roman" w:cs="Times New Roman" w:eastAsia="Times New Roman" w:hint="default"/>
                            <w:sz w:val="18"/>
                            <w:szCs w:val="18"/>
                          </w:rPr>
                          <w:t>6,246,671</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股，全部为有限售条件的流通股，股份限售情况：</w:t>
                        </w:r>
                        <w:r>
                          <w:rPr>
                            <w:rFonts w:ascii="Times New Roman" w:hAnsi="Times New Roman" w:cs="Times New Roman" w:eastAsia="Times New Roman" w:hint="default"/>
                            <w:spacing w:val="-6"/>
                            <w:sz w:val="18"/>
                            <w:szCs w:val="18"/>
                          </w:rPr>
                          <w:t>2017</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3,748,002  </w:t>
                        </w: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2,498,669</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股。张岩持</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3,127,936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股，全部为有限售条件的流通股，股份限售情况：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日解除</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3,127,936</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股。李昌锋持有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3,040,256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股，全部为有限售条件的流通股，股份限售情</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日解除限售</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1,824,153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日解限</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1,216,103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pacing w:val="-6"/>
                            <w:sz w:val="18"/>
                            <w:szCs w:val="18"/>
                          </w:rPr>
                          <w:t>海南信息产业创业投资基金（有限合伙）持有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27"/>
                            <w:sz w:val="18"/>
                            <w:szCs w:val="18"/>
                          </w:rPr>
                          <w:t> </w:t>
                        </w:r>
                        <w:r>
                          <w:rPr>
                            <w:rFonts w:ascii="宋体" w:hAnsi="宋体" w:cs="宋体" w:eastAsia="宋体" w:hint="default"/>
                            <w:spacing w:val="-5"/>
                            <w:sz w:val="18"/>
                            <w:szCs w:val="18"/>
                          </w:rPr>
                          <w:t>股，全部为有限售条件的流通股</w:t>
                        </w:r>
                      </w:p>
                      <w:p>
                        <w:pPr>
                          <w:pStyle w:val="TableParagraph"/>
                          <w:spacing w:line="240" w:lineRule="auto" w:before="63"/>
                          <w:ind w:left="15" w:right="0"/>
                          <w:jc w:val="both"/>
                          <w:rPr>
                            <w:rFonts w:ascii="宋体" w:hAnsi="宋体" w:cs="宋体" w:eastAsia="宋体" w:hint="default"/>
                            <w:sz w:val="18"/>
                            <w:szCs w:val="18"/>
                          </w:rPr>
                        </w:pPr>
                        <w:r>
                          <w:rPr>
                            <w:rFonts w:ascii="宋体" w:hAnsi="宋体" w:cs="宋体" w:eastAsia="宋体" w:hint="default"/>
                            <w:spacing w:val="-3"/>
                            <w:sz w:val="18"/>
                            <w:szCs w:val="18"/>
                          </w:rPr>
                          <w:t>股份限售情况：</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2,894,857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4"/>
                            <w:sz w:val="18"/>
                            <w:szCs w:val="18"/>
                          </w:rPr>
                          <w:t>月，公司因发行股</w:t>
                        </w:r>
                      </w:p>
                      <w:p>
                        <w:pPr>
                          <w:pStyle w:val="TableParagraph"/>
                          <w:spacing w:line="309" w:lineRule="auto" w:before="63"/>
                          <w:ind w:left="1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份购买资产并募集配套资金发行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27,542,993 </w:t>
                        </w:r>
                        <w:r>
                          <w:rPr>
                            <w:rFonts w:ascii="宋体" w:hAnsi="宋体" w:cs="宋体" w:eastAsia="宋体" w:hint="default"/>
                            <w:sz w:val="18"/>
                            <w:szCs w:val="18"/>
                          </w:rPr>
                          <w:t>股购买资产，发行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13,377,775 </w:t>
                        </w:r>
                        <w:r>
                          <w:rPr>
                            <w:rFonts w:ascii="宋体" w:hAnsi="宋体" w:cs="宋体" w:eastAsia="宋体" w:hint="default"/>
                            <w:sz w:val="18"/>
                            <w:szCs w:val="18"/>
                          </w:rPr>
                          <w:t>股募集配套资 金。因认购本次股份而成为公司前十大股东的有南京庆亚贸易有限公司、鹏华资产管理 有限公司，全部为有限售条件的流通股，股份限售情况：南京庆亚已于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24</w:t>
                        </w:r>
                      </w:p>
                      <w:p>
                        <w:pPr>
                          <w:pStyle w:val="TableParagraph"/>
                          <w:spacing w:line="240" w:lineRule="auto" w:before="5"/>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日解限</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19,280,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其余可于</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日分别解限</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1,568,057</w:t>
                        </w:r>
                      </w:p>
                      <w:p>
                        <w:pPr>
                          <w:pStyle w:val="TableParagraph"/>
                          <w:spacing w:line="240" w:lineRule="auto" w:before="64"/>
                          <w:ind w:left="15" w:right="0"/>
                          <w:jc w:val="both"/>
                          <w:rPr>
                            <w:rFonts w:ascii="宋体" w:hAnsi="宋体" w:cs="宋体" w:eastAsia="宋体"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7,712,038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日鹏华资产管理有限公司解除限售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016" w:hRule="exact"/>
                    </w:trPr>
                    <w:tc>
                      <w:tcPr>
                        <w:tcW w:w="279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20"/>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00" w:type="dxa"/>
                        <w:gridSpan w:val="7"/>
                        <w:vMerge/>
                        <w:tcBorders>
                          <w:left w:val="single" w:sz="10" w:space="0" w:color="D2D2D2"/>
                          <w:right w:val="single" w:sz="4" w:space="0" w:color="000000"/>
                        </w:tcBorders>
                      </w:tcPr>
                      <w:p>
                        <w:pPr/>
                      </w:p>
                    </w:tc>
                  </w:tr>
                  <w:tr>
                    <w:trPr>
                      <w:trHeight w:val="2345" w:hRule="exact"/>
                    </w:trPr>
                    <w:tc>
                      <w:tcPr>
                        <w:tcW w:w="27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00" w:type="dxa"/>
                        <w:gridSpan w:val="7"/>
                        <w:vMerge/>
                        <w:tcBorders>
                          <w:left w:val="single" w:sz="10" w:space="0" w:color="D2D2D2"/>
                          <w:bottom w:val="single" w:sz="4" w:space="0" w:color="000000"/>
                          <w:right w:val="single" w:sz="4" w:space="0" w:color="000000"/>
                        </w:tcBorders>
                      </w:tcPr>
                      <w:p>
                        <w:pPr/>
                      </w:p>
                    </w:tc>
                  </w:tr>
                  <w:tr>
                    <w:trPr>
                      <w:trHeight w:val="714" w:hRule="exact"/>
                    </w:trPr>
                    <w:tc>
                      <w:tcPr>
                        <w:tcW w:w="2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900" w:type="dxa"/>
                        <w:gridSpan w:val="7"/>
                        <w:tcBorders>
                          <w:top w:val="single" w:sz="4" w:space="0" w:color="000000"/>
                          <w:left w:val="single" w:sz="13" w:space="0" w:color="D2D2D2"/>
                          <w:bottom w:val="single" w:sz="4" w:space="0" w:color="000000"/>
                          <w:right w:val="single" w:sz="4" w:space="0" w:color="000000"/>
                        </w:tcBorders>
                      </w:tcPr>
                      <w:p>
                        <w:pPr>
                          <w:pStyle w:val="TableParagraph"/>
                          <w:spacing w:line="302" w:lineRule="auto" w:before="51"/>
                          <w:ind w:left="10"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名股东中未知是否存在关联关系，未知是否属于《上市公司收购管理办法》中规定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的一致行动人。</w:t>
                        </w:r>
                      </w:p>
                    </w:tc>
                  </w:tr>
                  <w:tr>
                    <w:trPr>
                      <w:trHeight w:val="402" w:hRule="exact"/>
                    </w:trPr>
                    <w:tc>
                      <w:tcPr>
                        <w:tcW w:w="969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79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29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79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29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9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0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95" w:type="dxa"/>
                        <w:gridSpan w:val="2"/>
                        <w:vMerge/>
                        <w:tcBorders>
                          <w:left w:val="single" w:sz="4" w:space="0" w:color="000000"/>
                          <w:bottom w:val="nil" w:sz="6" w:space="0" w:color="auto"/>
                          <w:right w:val="single" w:sz="4" w:space="0" w:color="000000"/>
                        </w:tcBorders>
                        <w:shd w:val="clear" w:color="auto" w:fill="D2D2D2"/>
                      </w:tcPr>
                      <w:p>
                        <w:pPr/>
                      </w:p>
                    </w:tc>
                    <w:tc>
                      <w:tcPr>
                        <w:tcW w:w="4293" w:type="dxa"/>
                        <w:gridSpan w:val="5"/>
                        <w:vMerge/>
                        <w:tcBorders>
                          <w:left w:val="single" w:sz="4" w:space="0" w:color="000000"/>
                          <w:bottom w:val="nil" w:sz="6" w:space="0" w:color="auto"/>
                          <w:right w:val="single" w:sz="4" w:space="0" w:color="000000"/>
                        </w:tcBorders>
                        <w:shd w:val="clear" w:color="auto" w:fill="D2D2D2"/>
                      </w:tcPr>
                      <w:p>
                        <w:pPr/>
                      </w:p>
                    </w:tc>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9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29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06" w:type="dxa"/>
                        <w:vMerge/>
                        <w:tcBorders>
                          <w:left w:val="single" w:sz="4" w:space="0" w:color="000000"/>
                          <w:bottom w:val="single" w:sz="4" w:space="0" w:color="000000"/>
                          <w:right w:val="single" w:sz="4" w:space="0" w:color="000000"/>
                        </w:tcBorders>
                        <w:shd w:val="clear" w:color="auto" w:fill="D2D2D2"/>
                      </w:tcPr>
                      <w:p>
                        <w:pPr/>
                      </w:p>
                    </w:tc>
                    <w:tc>
                      <w:tcPr>
                        <w:tcW w:w="13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电信科学技术研究院有限公司</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116,202,708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116,202,708</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张珂</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14,266,077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14,266,077</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曾东卫</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9,504,591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9,504,591</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张广全</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8,770,000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8,770,000</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叶军</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8,269,540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8,269,540</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汪雪梅</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7,790,745</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7,790,745</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李伟斌</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7,080,969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7,080,969</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王国华</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5,230,700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5,230,700</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刘文涛</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4,504,554</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4,504,554</w:t>
                        </w:r>
                      </w:p>
                    </w:tc>
                  </w:tr>
                  <w:tr>
                    <w:trPr>
                      <w:trHeight w:val="402" w:hRule="exact"/>
                    </w:trPr>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姜红华</w:t>
                        </w:r>
                      </w:p>
                    </w:tc>
                    <w:tc>
                      <w:tcPr>
                        <w:tcW w:w="429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4,166,000</w:t>
                        </w:r>
                      </w:p>
                    </w:tc>
                  </w:tr>
                  <w:tr>
                    <w:trPr>
                      <w:trHeight w:val="674" w:hRule="exact"/>
                    </w:trPr>
                    <w:tc>
                      <w:tcPr>
                        <w:tcW w:w="27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4"/>
                            <w:sz w:val="18"/>
                            <w:szCs w:val="18"/>
                          </w:rPr>
                          <w:t>名无限售流通股股东之间，以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名无限售流通股股东和前</w:t>
                        </w:r>
                      </w:p>
                    </w:tc>
                    <w:tc>
                      <w:tcPr>
                        <w:tcW w:w="690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名股东中，未知是否存在关联关系，也未知是否属于《上市公司收购管理办法》中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规定的一致行动人，无限售条件的第一大股东电信科学技术研究院有限公司暨全部股东</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0"/>
        <w:ind w:left="154"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2795"/>
        <w:gridCol w:w="6900"/>
      </w:tblGrid>
      <w:tr>
        <w:trPr>
          <w:trHeight w:val="674"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名股东之间关联关系或一致行动 的说明</w:t>
            </w:r>
          </w:p>
        </w:tc>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中的第一大股东电信科学技术研究院有限公司为公司控股股东。</w:t>
            </w:r>
          </w:p>
        </w:tc>
      </w:tr>
      <w:tr>
        <w:trPr>
          <w:trHeight w:val="714"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报告期内，自然人股东张珂持有公司股份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14,266,077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股全部为通过融资融券账户持有；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自然人股东姜红华持有公司股份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4,166,000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全部为通过融资融券账户持有。</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22"/>
      <w:bookmarkEnd w:id="12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控股股东性质：中央国有控股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44"/>
        <w:ind w:left="154" w:right="1047" w:firstLine="0"/>
        <w:jc w:val="right"/>
        <w:rPr>
          <w:rFonts w:ascii="宋体" w:hAnsi="宋体" w:cs="宋体" w:eastAsia="宋体" w:hint="default"/>
          <w:sz w:val="18"/>
          <w:szCs w:val="18"/>
        </w:rPr>
      </w:pPr>
      <w:r>
        <w:rPr/>
        <w:pict>
          <v:shape style="position:absolute;margin-left:55.080002pt;margin-top:-83.348297pt;width:485.5pt;height:227.9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6"/>
                    <w:gridCol w:w="1151"/>
                    <w:gridCol w:w="1003"/>
                    <w:gridCol w:w="1725"/>
                    <w:gridCol w:w="438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1" w:right="93"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4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41"/>
                          <w:jc w:val="left"/>
                          <w:rPr>
                            <w:rFonts w:ascii="宋体" w:hAnsi="宋体" w:cs="宋体" w:eastAsia="宋体" w:hint="default"/>
                            <w:sz w:val="18"/>
                            <w:szCs w:val="18"/>
                          </w:rPr>
                        </w:pPr>
                        <w:r>
                          <w:rPr>
                            <w:rFonts w:ascii="宋体" w:hAnsi="宋体" w:cs="宋体" w:eastAsia="宋体" w:hint="default"/>
                            <w:sz w:val="18"/>
                            <w:szCs w:val="18"/>
                          </w:rPr>
                          <w:t>电信科学技术研 究院有限公司</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童国华</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45"/>
                          <w:jc w:val="center"/>
                          <w:rPr>
                            <w:rFonts w:ascii="Times New Roman" w:hAnsi="Times New Roman" w:cs="Times New Roman" w:eastAsia="Times New Roman" w:hint="default"/>
                            <w:sz w:val="18"/>
                            <w:szCs w:val="18"/>
                          </w:rPr>
                        </w:pPr>
                        <w:r>
                          <w:rPr>
                            <w:rFonts w:ascii="Times New Roman"/>
                            <w:spacing w:val="-2"/>
                            <w:sz w:val="18"/>
                          </w:rPr>
                          <w:t>91110000400011016E</w:t>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通信设备、电子计算机及外部设备、电子软件、广播电 视设备、光纤及光电缆、电子元器件、其他电子设备、 仪器仪表的开发、生产、销售；系统集成（国家有专项 </w:t>
                        </w:r>
                        <w:r>
                          <w:rPr>
                            <w:rFonts w:ascii="宋体" w:hAnsi="宋体" w:cs="宋体" w:eastAsia="宋体" w:hint="default"/>
                            <w:spacing w:val="-4"/>
                            <w:sz w:val="18"/>
                            <w:szCs w:val="18"/>
                          </w:rPr>
                          <w:t>专营规定的除外）、通信、网络、电子商务、信息安全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广播电视的技术开发、技术服务；小区及写字楼物业管 </w:t>
                        </w:r>
                        <w:r>
                          <w:rPr>
                            <w:rFonts w:ascii="宋体" w:hAnsi="宋体" w:cs="宋体" w:eastAsia="宋体" w:hint="default"/>
                            <w:spacing w:val="-4"/>
                            <w:sz w:val="18"/>
                            <w:szCs w:val="18"/>
                          </w:rPr>
                          <w:t>理；供暖、绿化服务；花木租赁；房屋维修、家居装饰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房产租售咨询；物业管理咨询；技术开发、技术转让、 技术交流；百货、机械电子设备、建筑材料、五金交电 </w:t>
                        </w:r>
                        <w:r>
                          <w:rPr>
                            <w:rFonts w:ascii="宋体" w:hAnsi="宋体" w:cs="宋体" w:eastAsia="宋体" w:hint="default"/>
                            <w:spacing w:val="-8"/>
                            <w:sz w:val="18"/>
                            <w:szCs w:val="18"/>
                          </w:rPr>
                          <w:t>销售。（企业依法自主选择经营项目，开展经营活动；依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法须经批准的项目，经相关部门批准后依批准的内容开 展经营活动；不得从事本市产业政策禁止和限制类项目 </w:t>
                        </w:r>
                        <w:r>
                          <w:rPr>
                            <w:rFonts w:ascii="宋体" w:hAnsi="宋体" w:cs="宋体" w:eastAsia="宋体" w:hint="default"/>
                            <w:spacing w:val="-13"/>
                            <w:sz w:val="18"/>
                            <w:szCs w:val="18"/>
                          </w:rPr>
                          <w:t>的经营活动。）</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154" w:right="10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3、公司实际控制人及其一致行动人" w:id="123"/>
      <w:bookmarkEnd w:id="12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实际控制人性质：中央国资管理机构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398"/>
        <w:gridCol w:w="1382"/>
        <w:gridCol w:w="1524"/>
        <w:gridCol w:w="1829"/>
        <w:gridCol w:w="2436"/>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15" w:right="2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7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国务院国有资产监督管理委员 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9"/>
        <w:rPr>
          <w:rFonts w:ascii="宋体" w:hAnsi="宋体" w:cs="宋体" w:eastAsia="宋体" w:hint="default"/>
          <w:sz w:val="14"/>
          <w:szCs w:val="14"/>
        </w:rPr>
      </w:pPr>
    </w:p>
    <w:p>
      <w:pPr>
        <w:spacing w:line="4367" w:lineRule="exact"/>
        <w:ind w:left="2093"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3672482" cy="277348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0" cstate="print"/>
                    <a:stretch>
                      <a:fillRect/>
                    </a:stretch>
                  </pic:blipFill>
                  <pic:spPr>
                    <a:xfrm>
                      <a:off x="0" y="0"/>
                      <a:ext cx="3672482" cy="2773489"/>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7"/>
        <w:rPr>
          <w:rFonts w:ascii="宋体" w:hAnsi="宋体" w:cs="宋体" w:eastAsia="宋体" w:hint="default"/>
          <w:sz w:val="24"/>
          <w:szCs w:val="24"/>
        </w:rPr>
      </w:pPr>
    </w:p>
    <w:p>
      <w:pPr>
        <w:pStyle w:val="Heading3"/>
        <w:spacing w:line="240" w:lineRule="auto"/>
        <w:ind w:right="0"/>
        <w:jc w:val="left"/>
        <w:rPr>
          <w:rFonts w:ascii="宋体" w:hAnsi="宋体" w:cs="宋体" w:eastAsia="宋体" w:hint="default"/>
        </w:rPr>
      </w:pPr>
      <w:r>
        <w:rPr>
          <w:rFonts w:ascii="宋体" w:hAnsi="宋体" w:cs="宋体" w:eastAsia="宋体" w:hint="default"/>
        </w:rPr>
        <w:t>实际控制人通过信托或其他资产管理方式控制公司</w:t>
      </w:r>
    </w:p>
    <w:p>
      <w:pPr>
        <w:spacing w:line="240" w:lineRule="auto" w:before="1"/>
        <w:rPr>
          <w:rFonts w:ascii="宋体" w:hAnsi="宋体" w:cs="宋体" w:eastAsia="宋体" w:hint="default"/>
          <w:sz w:val="30"/>
          <w:szCs w:val="30"/>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24"/>
      <w:bookmarkEnd w:id="12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25"/>
      <w:bookmarkEnd w:id="12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26"/>
      <w:bookmarkEnd w:id="126"/>
      <w:r>
        <w:rPr>
          <w:b w:val="0"/>
          <w:bCs w:val="0"/>
        </w:rPr>
      </w:r>
      <w:bookmarkStart w:name="_bookmark6" w:id="127"/>
      <w:bookmarkEnd w:id="127"/>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28"/>
      <w:bookmarkEnd w:id="128"/>
      <w:r>
        <w:rPr>
          <w:b w:val="0"/>
          <w:bCs w:val="0"/>
        </w:rPr>
      </w:r>
      <w:bookmarkStart w:name="_bookmark7" w:id="129"/>
      <w:bookmarkEnd w:id="129"/>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886"/>
        <w:gridCol w:w="533"/>
        <w:gridCol w:w="425"/>
        <w:gridCol w:w="425"/>
        <w:gridCol w:w="1385"/>
        <w:gridCol w:w="1417"/>
        <w:gridCol w:w="851"/>
        <w:gridCol w:w="708"/>
        <w:gridCol w:w="709"/>
        <w:gridCol w:w="709"/>
        <w:gridCol w:w="816"/>
      </w:tblGrid>
      <w:tr>
        <w:trPr>
          <w:trHeight w:val="1025"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姓名</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87" w:right="0"/>
              <w:jc w:val="left"/>
              <w:rPr>
                <w:rFonts w:ascii="宋体" w:hAnsi="宋体" w:cs="宋体" w:eastAsia="宋体" w:hint="default"/>
                <w:sz w:val="15"/>
                <w:szCs w:val="15"/>
              </w:rPr>
            </w:pPr>
            <w:r>
              <w:rPr>
                <w:rFonts w:ascii="宋体" w:hAnsi="宋体" w:cs="宋体" w:eastAsia="宋体" w:hint="default"/>
                <w:sz w:val="15"/>
                <w:szCs w:val="15"/>
              </w:rPr>
              <w:t>职务</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381" w:lineRule="auto"/>
              <w:ind w:left="186" w:right="35" w:hanging="150"/>
              <w:jc w:val="left"/>
              <w:rPr>
                <w:rFonts w:ascii="宋体" w:hAnsi="宋体" w:cs="宋体" w:eastAsia="宋体" w:hint="default"/>
                <w:sz w:val="15"/>
                <w:szCs w:val="15"/>
              </w:rPr>
            </w:pPr>
            <w:r>
              <w:rPr>
                <w:rFonts w:ascii="宋体" w:hAnsi="宋体" w:cs="宋体" w:eastAsia="宋体" w:hint="default"/>
                <w:sz w:val="15"/>
                <w:szCs w:val="15"/>
              </w:rPr>
              <w:t>任职状 态</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56" w:right="0"/>
              <w:jc w:val="left"/>
              <w:rPr>
                <w:rFonts w:ascii="宋体" w:hAnsi="宋体" w:cs="宋体" w:eastAsia="宋体" w:hint="default"/>
                <w:sz w:val="15"/>
                <w:szCs w:val="15"/>
              </w:rPr>
            </w:pPr>
            <w:r>
              <w:rPr>
                <w:rFonts w:ascii="宋体" w:hAnsi="宋体" w:cs="宋体" w:eastAsia="宋体" w:hint="default"/>
                <w:sz w:val="15"/>
                <w:szCs w:val="15"/>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6"/>
              <w:jc w:val="right"/>
              <w:rPr>
                <w:rFonts w:ascii="宋体" w:hAnsi="宋体" w:cs="宋体" w:eastAsia="宋体" w:hint="default"/>
                <w:sz w:val="15"/>
                <w:szCs w:val="15"/>
              </w:rPr>
            </w:pPr>
            <w:r>
              <w:rPr>
                <w:rFonts w:ascii="宋体" w:hAnsi="宋体" w:cs="宋体" w:eastAsia="宋体" w:hint="default"/>
                <w:sz w:val="15"/>
                <w:szCs w:val="15"/>
              </w:rPr>
              <w:t>年龄</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6" w:right="0"/>
              <w:jc w:val="left"/>
              <w:rPr>
                <w:rFonts w:ascii="宋体" w:hAnsi="宋体" w:cs="宋体" w:eastAsia="宋体" w:hint="default"/>
                <w:sz w:val="15"/>
                <w:szCs w:val="15"/>
              </w:rPr>
            </w:pPr>
            <w:r>
              <w:rPr>
                <w:rFonts w:ascii="宋体" w:hAnsi="宋体" w:cs="宋体" w:eastAsia="宋体" w:hint="default"/>
                <w:sz w:val="15"/>
                <w:szCs w:val="15"/>
              </w:rPr>
              <w:t>任期起始日期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5"/>
                <w:szCs w:val="15"/>
              </w:rPr>
            </w:pPr>
            <w:r>
              <w:rPr>
                <w:rFonts w:ascii="宋体" w:hAnsi="宋体" w:cs="宋体" w:eastAsia="宋体" w:hint="default"/>
                <w:sz w:val="15"/>
                <w:szCs w:val="15"/>
              </w:rPr>
              <w:t>任期终止日期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期初持股数</w:t>
            </w:r>
          </w:p>
          <w:p>
            <w:pPr>
              <w:pStyle w:val="TableParagraph"/>
              <w:spacing w:line="240" w:lineRule="auto" w:before="115"/>
              <w:ind w:right="0"/>
              <w:jc w:val="center"/>
              <w:rPr>
                <w:rFonts w:ascii="宋体" w:hAnsi="宋体" w:cs="宋体" w:eastAsia="宋体" w:hint="default"/>
                <w:sz w:val="15"/>
                <w:szCs w:val="15"/>
              </w:rPr>
            </w:pPr>
            <w:r>
              <w:rPr>
                <w:rFonts w:ascii="宋体" w:hAnsi="宋体" w:cs="宋体" w:eastAsia="宋体" w:hint="default"/>
                <w:sz w:val="15"/>
                <w:szCs w:val="15"/>
              </w:rPr>
              <w:t>（股）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75"/>
              <w:ind w:left="48" w:right="48"/>
              <w:jc w:val="left"/>
              <w:rPr>
                <w:rFonts w:ascii="宋体" w:hAnsi="宋体" w:cs="宋体" w:eastAsia="宋体" w:hint="default"/>
                <w:sz w:val="15"/>
                <w:szCs w:val="15"/>
              </w:rPr>
            </w:pPr>
            <w:r>
              <w:rPr>
                <w:rFonts w:ascii="宋体" w:hAnsi="宋体" w:cs="宋体" w:eastAsia="宋体" w:hint="default"/>
                <w:sz w:val="15"/>
                <w:szCs w:val="15"/>
              </w:rPr>
              <w:t>本期增持 股份数量</w:t>
            </w:r>
          </w:p>
          <w:p>
            <w:pPr>
              <w:pStyle w:val="TableParagraph"/>
              <w:spacing w:line="240" w:lineRule="auto" w:before="30"/>
              <w:ind w:left="123" w:right="0"/>
              <w:jc w:val="left"/>
              <w:rPr>
                <w:rFonts w:ascii="宋体" w:hAnsi="宋体" w:cs="宋体" w:eastAsia="宋体" w:hint="default"/>
                <w:sz w:val="15"/>
                <w:szCs w:val="15"/>
              </w:rPr>
            </w:pPr>
            <w:r>
              <w:rPr>
                <w:rFonts w:ascii="宋体" w:hAnsi="宋体" w:cs="宋体" w:eastAsia="宋体" w:hint="default"/>
                <w:sz w:val="15"/>
                <w:szCs w:val="15"/>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79" w:lineRule="auto" w:before="75"/>
              <w:ind w:left="49" w:right="48"/>
              <w:jc w:val="left"/>
              <w:rPr>
                <w:rFonts w:ascii="宋体" w:hAnsi="宋体" w:cs="宋体" w:eastAsia="宋体" w:hint="default"/>
                <w:sz w:val="15"/>
                <w:szCs w:val="15"/>
              </w:rPr>
            </w:pPr>
            <w:r>
              <w:rPr>
                <w:rFonts w:ascii="宋体" w:hAnsi="宋体" w:cs="宋体" w:eastAsia="宋体" w:hint="default"/>
                <w:sz w:val="15"/>
                <w:szCs w:val="15"/>
              </w:rPr>
              <w:t>本期减持 股份数量</w:t>
            </w:r>
          </w:p>
          <w:p>
            <w:pPr>
              <w:pStyle w:val="TableParagraph"/>
              <w:spacing w:line="240" w:lineRule="auto" w:before="30"/>
              <w:ind w:left="123" w:right="0"/>
              <w:jc w:val="left"/>
              <w:rPr>
                <w:rFonts w:ascii="宋体" w:hAnsi="宋体" w:cs="宋体" w:eastAsia="宋体" w:hint="default"/>
                <w:sz w:val="15"/>
                <w:szCs w:val="15"/>
              </w:rPr>
            </w:pPr>
            <w:r>
              <w:rPr>
                <w:rFonts w:ascii="宋体" w:hAnsi="宋体" w:cs="宋体" w:eastAsia="宋体" w:hint="default"/>
                <w:sz w:val="15"/>
                <w:szCs w:val="15"/>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381" w:lineRule="auto"/>
              <w:ind w:left="22" w:right="48" w:firstLine="26"/>
              <w:jc w:val="left"/>
              <w:rPr>
                <w:rFonts w:ascii="宋体" w:hAnsi="宋体" w:cs="宋体" w:eastAsia="宋体" w:hint="default"/>
                <w:sz w:val="15"/>
                <w:szCs w:val="15"/>
              </w:rPr>
            </w:pPr>
            <w:r>
              <w:rPr>
                <w:rFonts w:ascii="宋体" w:hAnsi="宋体" w:cs="宋体" w:eastAsia="宋体" w:hint="default"/>
                <w:sz w:val="15"/>
                <w:szCs w:val="15"/>
              </w:rPr>
              <w:t>其他增减 </w:t>
            </w:r>
            <w:r>
              <w:rPr>
                <w:rFonts w:ascii="宋体" w:hAnsi="宋体" w:cs="宋体" w:eastAsia="宋体" w:hint="default"/>
                <w:spacing w:val="-6"/>
                <w:sz w:val="15"/>
                <w:szCs w:val="15"/>
              </w:rPr>
              <w:t>变动（股</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7" w:right="0"/>
              <w:jc w:val="left"/>
              <w:rPr>
                <w:rFonts w:ascii="宋体" w:hAnsi="宋体" w:cs="宋体" w:eastAsia="宋体" w:hint="default"/>
                <w:sz w:val="15"/>
                <w:szCs w:val="15"/>
              </w:rPr>
            </w:pPr>
            <w:r>
              <w:rPr>
                <w:rFonts w:ascii="宋体" w:hAnsi="宋体" w:cs="宋体" w:eastAsia="宋体" w:hint="default"/>
                <w:sz w:val="15"/>
                <w:szCs w:val="15"/>
              </w:rPr>
              <w:t>期末持股数</w:t>
            </w:r>
          </w:p>
          <w:p>
            <w:pPr>
              <w:pStyle w:val="TableParagraph"/>
              <w:spacing w:line="240" w:lineRule="auto" w:before="115"/>
              <w:ind w:left="-108" w:right="0"/>
              <w:jc w:val="left"/>
              <w:rPr>
                <w:rFonts w:ascii="宋体" w:hAnsi="宋体" w:cs="宋体" w:eastAsia="宋体" w:hint="default"/>
                <w:sz w:val="15"/>
                <w:szCs w:val="15"/>
              </w:rPr>
            </w:pPr>
            <w:r>
              <w:rPr>
                <w:rFonts w:ascii="宋体" w:hAnsi="宋体" w:cs="宋体" w:eastAsia="宋体" w:hint="default"/>
                <w:sz w:val="15"/>
                <w:szCs w:val="15"/>
              </w:rPr>
              <w:t>）</w:t>
            </w:r>
            <w:r>
              <w:rPr>
                <w:rFonts w:ascii="宋体" w:hAnsi="宋体" w:cs="宋体" w:eastAsia="宋体" w:hint="default"/>
                <w:spacing w:val="60"/>
                <w:sz w:val="15"/>
                <w:szCs w:val="15"/>
              </w:rPr>
              <w:t> </w:t>
            </w:r>
            <w:r>
              <w:rPr>
                <w:rFonts w:ascii="宋体" w:hAnsi="宋体" w:cs="宋体" w:eastAsia="宋体" w:hint="default"/>
                <w:sz w:val="15"/>
                <w:szCs w:val="15"/>
              </w:rPr>
              <w:t>（股）</w:t>
            </w:r>
          </w:p>
        </w:tc>
      </w:tr>
      <w:tr>
        <w:trPr>
          <w:trHeight w:val="402"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2" w:right="0"/>
              <w:jc w:val="left"/>
              <w:rPr>
                <w:rFonts w:ascii="宋体" w:hAnsi="宋体" w:cs="宋体" w:eastAsia="宋体" w:hint="default"/>
                <w:sz w:val="15"/>
                <w:szCs w:val="15"/>
              </w:rPr>
            </w:pPr>
            <w:r>
              <w:rPr>
                <w:rFonts w:ascii="宋体" w:hAnsi="宋体" w:cs="宋体" w:eastAsia="宋体" w:hint="default"/>
                <w:sz w:val="15"/>
                <w:szCs w:val="15"/>
              </w:rPr>
              <w:t>付景林</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董事长</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41" w:right="0"/>
              <w:jc w:val="left"/>
              <w:rPr>
                <w:rFonts w:ascii="宋体" w:hAnsi="宋体" w:cs="宋体" w:eastAsia="宋体" w:hint="default"/>
                <w:sz w:val="15"/>
                <w:szCs w:val="15"/>
              </w:rPr>
            </w:pPr>
            <w:r>
              <w:rPr>
                <w:rFonts w:ascii="宋体"/>
                <w:sz w:val="15"/>
              </w:rPr>
              <w:t>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2003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93" w:right="0"/>
              <w:jc w:val="left"/>
              <w:rPr>
                <w:rFonts w:ascii="宋体" w:hAnsi="宋体" w:cs="宋体" w:eastAsia="宋体" w:hint="default"/>
                <w:sz w:val="15"/>
                <w:szCs w:val="15"/>
              </w:rPr>
            </w:pPr>
            <w:r>
              <w:rPr>
                <w:rFonts w:ascii="宋体"/>
                <w:sz w:val="15"/>
              </w:rPr>
              <w:t>169,206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24" w:right="0"/>
              <w:jc w:val="left"/>
              <w:rPr>
                <w:rFonts w:ascii="宋体" w:hAnsi="宋体" w:cs="宋体" w:eastAsia="宋体" w:hint="default"/>
                <w:sz w:val="15"/>
                <w:szCs w:val="15"/>
              </w:rPr>
            </w:pPr>
            <w:r>
              <w:rPr>
                <w:rFonts w:ascii="宋体"/>
                <w:sz w:val="15"/>
              </w:rPr>
              <w:t>67,900</w:t>
            </w: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25" w:right="0"/>
              <w:jc w:val="left"/>
              <w:rPr>
                <w:rFonts w:ascii="宋体" w:hAnsi="宋体" w:cs="宋体" w:eastAsia="宋体" w:hint="default"/>
                <w:sz w:val="15"/>
                <w:szCs w:val="15"/>
              </w:rPr>
            </w:pPr>
            <w:r>
              <w:rPr>
                <w:rFonts w:ascii="宋体"/>
                <w:sz w:val="15"/>
              </w:rPr>
              <w:t>67,683</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58" w:right="0"/>
              <w:jc w:val="left"/>
              <w:rPr>
                <w:rFonts w:ascii="宋体" w:hAnsi="宋体" w:cs="宋体" w:eastAsia="宋体" w:hint="default"/>
                <w:sz w:val="15"/>
                <w:szCs w:val="15"/>
              </w:rPr>
            </w:pPr>
            <w:r>
              <w:rPr>
                <w:rFonts w:ascii="宋体"/>
                <w:sz w:val="15"/>
              </w:rPr>
              <w:t>304,789</w:t>
            </w:r>
          </w:p>
        </w:tc>
      </w:tr>
      <w:tr>
        <w:trPr>
          <w:trHeight w:val="402" w:hRule="exact"/>
        </w:trPr>
        <w:tc>
          <w:tcPr>
            <w:tcW w:w="710"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离任</w:t>
            </w: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2003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18</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402"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2" w:right="0"/>
              <w:jc w:val="left"/>
              <w:rPr>
                <w:rFonts w:ascii="宋体" w:hAnsi="宋体" w:cs="宋体" w:eastAsia="宋体" w:hint="default"/>
                <w:sz w:val="15"/>
                <w:szCs w:val="15"/>
              </w:rPr>
            </w:pPr>
            <w:r>
              <w:rPr>
                <w:rFonts w:ascii="宋体" w:hAnsi="宋体" w:cs="宋体" w:eastAsia="宋体" w:hint="default"/>
                <w:sz w:val="15"/>
                <w:szCs w:val="15"/>
              </w:rPr>
              <w:t>陈蕾</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2" w:right="0"/>
              <w:jc w:val="left"/>
              <w:rPr>
                <w:rFonts w:ascii="宋体" w:hAnsi="宋体" w:cs="宋体" w:eastAsia="宋体" w:hint="default"/>
                <w:sz w:val="15"/>
                <w:szCs w:val="15"/>
              </w:rPr>
            </w:pPr>
            <w:r>
              <w:rPr>
                <w:rFonts w:ascii="宋体" w:hAnsi="宋体" w:cs="宋体" w:eastAsia="宋体" w:hint="default"/>
                <w:sz w:val="15"/>
                <w:szCs w:val="15"/>
              </w:rPr>
              <w:t>女</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41" w:right="0"/>
              <w:jc w:val="left"/>
              <w:rPr>
                <w:rFonts w:ascii="宋体" w:hAnsi="宋体" w:cs="宋体" w:eastAsia="宋体" w:hint="default"/>
                <w:sz w:val="15"/>
                <w:szCs w:val="15"/>
              </w:rPr>
            </w:pPr>
            <w:r>
              <w:rPr>
                <w:rFonts w:ascii="宋体"/>
                <w:sz w:val="15"/>
              </w:rPr>
              <w:t>51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07</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副董事长</w:t>
            </w:r>
          </w:p>
        </w:tc>
        <w:tc>
          <w:tcPr>
            <w:tcW w:w="533"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07</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梁文永</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52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15</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吕廷杰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64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孙琪</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张焕国</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74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06</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01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张晓岚</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独立董事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70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曹秉蛟</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54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26</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541,600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216,640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758,240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李群</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董事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450,000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180,000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630,000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段茂忠</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监事会主席</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55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15</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孙绍利</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47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26</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42,000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16,800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58,800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黄霈霖</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监事</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35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2017</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15</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 w:right="0"/>
              <w:jc w:val="left"/>
              <w:rPr>
                <w:rFonts w:ascii="宋体" w:hAnsi="宋体" w:cs="宋体" w:eastAsia="宋体" w:hint="default"/>
                <w:sz w:val="15"/>
                <w:szCs w:val="15"/>
              </w:rPr>
            </w:pPr>
            <w:r>
              <w:rPr>
                <w:rFonts w:ascii="宋体" w:hAnsi="宋体" w:cs="宋体" w:eastAsia="宋体" w:hint="default"/>
                <w:sz w:val="15"/>
                <w:szCs w:val="15"/>
              </w:rPr>
              <w:t>王芊</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41" w:right="0"/>
              <w:jc w:val="left"/>
              <w:rPr>
                <w:rFonts w:ascii="宋体" w:hAnsi="宋体" w:cs="宋体" w:eastAsia="宋体" w:hint="default"/>
                <w:sz w:val="15"/>
                <w:szCs w:val="15"/>
              </w:rPr>
            </w:pPr>
            <w:r>
              <w:rPr>
                <w:rFonts w:ascii="宋体"/>
                <w:sz w:val="15"/>
              </w:rPr>
              <w:t>46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18</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93" w:right="0"/>
              <w:jc w:val="left"/>
              <w:rPr>
                <w:rFonts w:ascii="宋体" w:hAnsi="宋体" w:cs="宋体" w:eastAsia="宋体" w:hint="default"/>
                <w:sz w:val="15"/>
                <w:szCs w:val="15"/>
              </w:rPr>
            </w:pPr>
            <w:r>
              <w:rPr>
                <w:rFonts w:ascii="宋体"/>
                <w:sz w:val="15"/>
              </w:rPr>
              <w:t>140,200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4" w:right="0"/>
              <w:jc w:val="left"/>
              <w:rPr>
                <w:rFonts w:ascii="宋体" w:hAnsi="宋体" w:cs="宋体" w:eastAsia="宋体" w:hint="default"/>
                <w:sz w:val="15"/>
                <w:szCs w:val="15"/>
              </w:rPr>
            </w:pPr>
            <w:r>
              <w:rPr>
                <w:rFonts w:ascii="宋体"/>
                <w:sz w:val="15"/>
              </w:rPr>
              <w:t>49,000</w:t>
            </w: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5" w:right="0"/>
              <w:jc w:val="left"/>
              <w:rPr>
                <w:rFonts w:ascii="宋体" w:hAnsi="宋体" w:cs="宋体" w:eastAsia="宋体" w:hint="default"/>
                <w:sz w:val="15"/>
                <w:szCs w:val="15"/>
              </w:rPr>
            </w:pPr>
            <w:r>
              <w:rPr>
                <w:rFonts w:ascii="宋体"/>
                <w:sz w:val="15"/>
              </w:rPr>
              <w:t>56,080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58" w:right="0"/>
              <w:jc w:val="left"/>
              <w:rPr>
                <w:rFonts w:ascii="宋体" w:hAnsi="宋体" w:cs="宋体" w:eastAsia="宋体" w:hint="default"/>
                <w:sz w:val="15"/>
                <w:szCs w:val="15"/>
              </w:rPr>
            </w:pPr>
            <w:r>
              <w:rPr>
                <w:rFonts w:ascii="宋体"/>
                <w:sz w:val="15"/>
              </w:rPr>
              <w:t>245,280</w:t>
            </w:r>
          </w:p>
        </w:tc>
      </w:tr>
      <w:tr>
        <w:trPr>
          <w:trHeight w:val="402" w:hRule="exact"/>
        </w:trPr>
        <w:tc>
          <w:tcPr>
            <w:tcW w:w="710" w:type="dxa"/>
            <w:vMerge/>
            <w:tcBorders>
              <w:left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董事会秘书</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3"/>
              <w:ind w:left="22" w:right="0"/>
              <w:jc w:val="left"/>
              <w:rPr>
                <w:rFonts w:ascii="宋体" w:hAnsi="宋体" w:cs="宋体" w:eastAsia="宋体" w:hint="default"/>
                <w:sz w:val="15"/>
                <w:szCs w:val="15"/>
              </w:rPr>
            </w:pPr>
            <w:r>
              <w:rPr>
                <w:rFonts w:ascii="宋体" w:hAnsi="宋体" w:cs="宋体" w:eastAsia="宋体" w:hint="default"/>
                <w:sz w:val="15"/>
                <w:szCs w:val="15"/>
              </w:rPr>
              <w:t>离任</w:t>
            </w: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2004</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03</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18</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402" w:hRule="exact"/>
        </w:trPr>
        <w:tc>
          <w:tcPr>
            <w:tcW w:w="710"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33"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2011</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12</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18</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赵德胜</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51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2003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142,075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60,000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56,830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258,905</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刘雪峰</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48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2005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26</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140,200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52,000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56,080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248,280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侯玉成</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56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2009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155,200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26,000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62,080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243,280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张新中</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41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05</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142,244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52,000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56,898</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251,142</w:t>
            </w:r>
          </w:p>
        </w:tc>
      </w:tr>
      <w:tr>
        <w:trPr>
          <w:trHeight w:val="402" w:hRule="exact"/>
        </w:trPr>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 w:right="0"/>
              <w:jc w:val="left"/>
              <w:rPr>
                <w:rFonts w:ascii="宋体" w:hAnsi="宋体" w:cs="宋体" w:eastAsia="宋体" w:hint="default"/>
                <w:sz w:val="15"/>
                <w:szCs w:val="15"/>
              </w:rPr>
            </w:pPr>
            <w:r>
              <w:rPr>
                <w:rFonts w:ascii="宋体" w:hAnsi="宋体" w:cs="宋体" w:eastAsia="宋体" w:hint="default"/>
                <w:sz w:val="15"/>
                <w:szCs w:val="15"/>
              </w:rPr>
              <w:t>丁明锋</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 w:right="0"/>
              <w:jc w:val="left"/>
              <w:rPr>
                <w:rFonts w:ascii="宋体" w:hAnsi="宋体" w:cs="宋体" w:eastAsia="宋体" w:hint="default"/>
                <w:sz w:val="15"/>
                <w:szCs w:val="15"/>
              </w:rPr>
            </w:pPr>
            <w:r>
              <w:rPr>
                <w:rFonts w:ascii="宋体" w:hAnsi="宋体" w:cs="宋体" w:eastAsia="宋体" w:hint="default"/>
                <w:sz w:val="15"/>
                <w:szCs w:val="15"/>
              </w:rPr>
              <w:t>现任</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41" w:right="0"/>
              <w:jc w:val="left"/>
              <w:rPr>
                <w:rFonts w:ascii="宋体" w:hAnsi="宋体" w:cs="宋体" w:eastAsia="宋体" w:hint="default"/>
                <w:sz w:val="15"/>
                <w:szCs w:val="15"/>
              </w:rPr>
            </w:pPr>
            <w:r>
              <w:rPr>
                <w:rFonts w:ascii="宋体"/>
                <w:sz w:val="15"/>
              </w:rPr>
              <w:t>42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2015</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07</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13</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93" w:right="0"/>
              <w:jc w:val="left"/>
              <w:rPr>
                <w:rFonts w:ascii="宋体" w:hAnsi="宋体" w:cs="宋体" w:eastAsia="宋体" w:hint="default"/>
                <w:sz w:val="15"/>
                <w:szCs w:val="15"/>
              </w:rPr>
            </w:pPr>
            <w:r>
              <w:rPr>
                <w:rFonts w:ascii="宋体"/>
                <w:sz w:val="15"/>
              </w:rPr>
              <w:t>140,200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4" w:right="0"/>
              <w:jc w:val="left"/>
              <w:rPr>
                <w:rFonts w:ascii="宋体" w:hAnsi="宋体" w:cs="宋体" w:eastAsia="宋体" w:hint="default"/>
                <w:sz w:val="15"/>
                <w:szCs w:val="15"/>
              </w:rPr>
            </w:pPr>
            <w:r>
              <w:rPr>
                <w:rFonts w:ascii="宋体"/>
                <w:sz w:val="15"/>
              </w:rPr>
              <w:t>52,000</w:t>
            </w:r>
          </w:p>
        </w:tc>
        <w:tc>
          <w:tcPr>
            <w:tcW w:w="709"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25" w:right="0"/>
              <w:jc w:val="left"/>
              <w:rPr>
                <w:rFonts w:ascii="宋体" w:hAnsi="宋体" w:cs="宋体" w:eastAsia="宋体" w:hint="default"/>
                <w:sz w:val="15"/>
                <w:szCs w:val="15"/>
              </w:rPr>
            </w:pPr>
            <w:r>
              <w:rPr>
                <w:rFonts w:ascii="宋体"/>
                <w:sz w:val="15"/>
              </w:rPr>
              <w:t>56,080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1"/>
              <w:ind w:left="258" w:right="0"/>
              <w:jc w:val="left"/>
              <w:rPr>
                <w:rFonts w:ascii="宋体" w:hAnsi="宋体" w:cs="宋体" w:eastAsia="宋体" w:hint="default"/>
                <w:sz w:val="15"/>
                <w:szCs w:val="15"/>
              </w:rPr>
            </w:pPr>
            <w:r>
              <w:rPr>
                <w:rFonts w:ascii="宋体"/>
                <w:sz w:val="15"/>
              </w:rPr>
              <w:t>248,280</w:t>
            </w:r>
          </w:p>
        </w:tc>
      </w:tr>
      <w:tr>
        <w:trPr>
          <w:trHeight w:val="402" w:hRule="exact"/>
        </w:trPr>
        <w:tc>
          <w:tcPr>
            <w:tcW w:w="710" w:type="dxa"/>
            <w:vMerge/>
            <w:tcBorders>
              <w:left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财务总监</w:t>
            </w:r>
          </w:p>
        </w:tc>
        <w:tc>
          <w:tcPr>
            <w:tcW w:w="533"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03</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22</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402" w:hRule="exact"/>
        </w:trPr>
        <w:tc>
          <w:tcPr>
            <w:tcW w:w="710" w:type="dxa"/>
            <w:vMerge/>
            <w:tcBorders>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董事会秘书</w:t>
            </w:r>
          </w:p>
        </w:tc>
        <w:tc>
          <w:tcPr>
            <w:tcW w:w="533"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18</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09</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14</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40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翁冠男</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副总经理</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8"/>
              <w:jc w:val="right"/>
              <w:rPr>
                <w:rFonts w:ascii="宋体" w:hAnsi="宋体" w:cs="宋体" w:eastAsia="宋体" w:hint="default"/>
                <w:sz w:val="15"/>
                <w:szCs w:val="15"/>
              </w:rPr>
            </w:pPr>
            <w:r>
              <w:rPr>
                <w:rFonts w:ascii="宋体" w:hAnsi="宋体" w:cs="宋体" w:eastAsia="宋体" w:hint="default"/>
                <w:sz w:val="15"/>
                <w:szCs w:val="15"/>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z w:val="15"/>
              </w:rPr>
              <w:t>43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18</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2020</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19</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270,400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9,560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108,160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388,120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85"/>
              <w:jc w:val="right"/>
              <w:rPr>
                <w:rFonts w:ascii="宋体" w:hAnsi="宋体" w:cs="宋体" w:eastAsia="宋体" w:hint="default"/>
                <w:sz w:val="15"/>
                <w:szCs w:val="15"/>
              </w:rPr>
            </w:pPr>
            <w:r>
              <w:rPr>
                <w:rFonts w:ascii="宋体"/>
                <w:sz w:val="15"/>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1" w:right="0"/>
              <w:jc w:val="left"/>
              <w:rPr>
                <w:rFonts w:ascii="宋体" w:hAnsi="宋体" w:cs="宋体" w:eastAsia="宋体" w:hint="default"/>
                <w:sz w:val="15"/>
                <w:szCs w:val="15"/>
              </w:rPr>
            </w:pPr>
            <w:r>
              <w:rPr>
                <w:rFonts w:ascii="宋体"/>
                <w:sz w:val="15"/>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1" w:right="0"/>
              <w:jc w:val="left"/>
              <w:rPr>
                <w:rFonts w:ascii="宋体" w:hAnsi="宋体" w:cs="宋体" w:eastAsia="宋体" w:hint="default"/>
                <w:sz w:val="15"/>
                <w:szCs w:val="15"/>
              </w:rPr>
            </w:pPr>
            <w:r>
              <w:rPr>
                <w:rFonts w:ascii="宋体"/>
                <w:sz w:val="15"/>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5"/>
                <w:szCs w:val="15"/>
              </w:rPr>
            </w:pPr>
            <w:r>
              <w:rPr>
                <w:rFonts w:ascii="宋体"/>
                <w:sz w:val="15"/>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宋体" w:hAnsi="宋体" w:cs="宋体" w:eastAsia="宋体" w:hint="default"/>
                <w:sz w:val="15"/>
                <w:szCs w:val="15"/>
              </w:rPr>
            </w:pPr>
            <w:r>
              <w:rPr>
                <w:rFonts w:ascii="宋体"/>
                <w:sz w:val="15"/>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2,333,325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宋体" w:hAnsi="宋体" w:cs="宋体" w:eastAsia="宋体" w:hint="default"/>
                <w:sz w:val="15"/>
                <w:szCs w:val="15"/>
              </w:rPr>
            </w:pPr>
            <w:r>
              <w:rPr>
                <w:rFonts w:ascii="宋体"/>
                <w:spacing w:val="-1"/>
                <w:sz w:val="15"/>
              </w:rPr>
              <w:t>368,460</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933,330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5"/>
                <w:szCs w:val="15"/>
              </w:rPr>
            </w:pPr>
            <w:r>
              <w:rPr>
                <w:rFonts w:ascii="宋体"/>
                <w:spacing w:val="-1"/>
                <w:sz w:val="15"/>
              </w:rPr>
              <w:t>3,635,116</w:t>
            </w:r>
          </w:p>
        </w:tc>
      </w:tr>
    </w:tbl>
    <w:p>
      <w:pPr>
        <w:spacing w:after="0" w:line="240" w:lineRule="auto"/>
        <w:jc w:val="right"/>
        <w:rPr>
          <w:rFonts w:ascii="宋体" w:hAnsi="宋体" w:cs="宋体" w:eastAsia="宋体" w:hint="default"/>
          <w:sz w:val="15"/>
          <w:szCs w:val="15"/>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before="26"/>
        <w:ind w:right="0"/>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19"/>
        <w:gridCol w:w="1276"/>
        <w:gridCol w:w="1276"/>
        <w:gridCol w:w="1842"/>
        <w:gridCol w:w="4356"/>
      </w:tblGrid>
      <w:tr>
        <w:trPr>
          <w:trHeight w:val="402"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5"/>
              <w:jc w:val="right"/>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4"/>
              <w:jc w:val="right"/>
              <w:rPr>
                <w:rFonts w:ascii="宋体" w:hAnsi="宋体" w:cs="宋体" w:eastAsia="宋体" w:hint="default"/>
                <w:sz w:val="18"/>
                <w:szCs w:val="18"/>
              </w:rPr>
            </w:pPr>
            <w:r>
              <w:rPr>
                <w:rFonts w:ascii="宋体" w:hAnsi="宋体" w:cs="宋体" w:eastAsia="宋体" w:hint="default"/>
                <w:sz w:val="18"/>
                <w:szCs w:val="18"/>
              </w:rPr>
              <w:t>付景林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任免（辞去）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工作调整原因</w:t>
            </w:r>
          </w:p>
        </w:tc>
      </w:tr>
      <w:tr>
        <w:trPr>
          <w:trHeight w:val="402" w:hRule="exact"/>
        </w:trPr>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任免（选举）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股东大会选举产生</w:t>
            </w:r>
          </w:p>
        </w:tc>
      </w:tr>
      <w:tr>
        <w:trPr>
          <w:trHeight w:val="402" w:hRule="exact"/>
        </w:trPr>
        <w:tc>
          <w:tcPr>
            <w:tcW w:w="819"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任免（选举）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董事会选举产生</w:t>
            </w:r>
          </w:p>
        </w:tc>
      </w:tr>
      <w:tr>
        <w:trPr>
          <w:trHeight w:val="402" w:hRule="exact"/>
        </w:trPr>
        <w:tc>
          <w:tcPr>
            <w:tcW w:w="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任免（聘任）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第八届第二十二次董事会聘任</w:t>
            </w:r>
          </w:p>
        </w:tc>
      </w:tr>
      <w:tr>
        <w:trPr>
          <w:trHeight w:val="402" w:hRule="exact"/>
        </w:trPr>
        <w:tc>
          <w:tcPr>
            <w:tcW w:w="819" w:type="dxa"/>
            <w:vMerge/>
            <w:tcBorders>
              <w:left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任免（辞去）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工作调整原因</w:t>
            </w:r>
          </w:p>
        </w:tc>
      </w:tr>
      <w:tr>
        <w:trPr>
          <w:trHeight w:val="402" w:hRule="exact"/>
        </w:trPr>
        <w:tc>
          <w:tcPr>
            <w:tcW w:w="819"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任免（辞去）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工作调整原因</w:t>
            </w:r>
          </w:p>
        </w:tc>
      </w:tr>
      <w:tr>
        <w:trPr>
          <w:trHeight w:val="402"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4"/>
              <w:jc w:val="right"/>
              <w:rPr>
                <w:rFonts w:ascii="宋体" w:hAnsi="宋体" w:cs="宋体" w:eastAsia="宋体" w:hint="default"/>
                <w:sz w:val="18"/>
                <w:szCs w:val="18"/>
              </w:rPr>
            </w:pPr>
            <w:r>
              <w:rPr>
                <w:rFonts w:ascii="宋体" w:hAnsi="宋体" w:cs="宋体" w:eastAsia="宋体" w:hint="default"/>
                <w:sz w:val="18"/>
                <w:szCs w:val="18"/>
              </w:rPr>
              <w:t>丁明锋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任免（聘任）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第八届第二十二次董事会聘任</w:t>
            </w:r>
          </w:p>
        </w:tc>
      </w:tr>
      <w:tr>
        <w:trPr>
          <w:trHeight w:val="403"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4"/>
              <w:jc w:val="right"/>
              <w:rPr>
                <w:rFonts w:ascii="宋体" w:hAnsi="宋体" w:cs="宋体" w:eastAsia="宋体" w:hint="default"/>
                <w:sz w:val="18"/>
                <w:szCs w:val="18"/>
              </w:rPr>
            </w:pPr>
            <w:r>
              <w:rPr>
                <w:rFonts w:ascii="宋体" w:hAnsi="宋体" w:cs="宋体" w:eastAsia="宋体" w:hint="default"/>
                <w:sz w:val="18"/>
                <w:szCs w:val="18"/>
              </w:rPr>
              <w:t>翁冠男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任免（聘任）</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第八届第二十二次董事会聘任</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32"/>
      <w:bookmarkEnd w:id="13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3"/>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578"/>
        <w:gridCol w:w="994"/>
        <w:gridCol w:w="1064"/>
        <w:gridCol w:w="4465"/>
        <w:gridCol w:w="2558"/>
      </w:tblGrid>
      <w:tr>
        <w:trPr>
          <w:trHeight w:val="347"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4" w:right="0"/>
              <w:jc w:val="left"/>
              <w:rPr>
                <w:rFonts w:ascii="宋体" w:hAnsi="宋体" w:cs="宋体" w:eastAsia="宋体" w:hint="default"/>
                <w:sz w:val="18"/>
                <w:szCs w:val="18"/>
              </w:rPr>
            </w:pPr>
            <w:r>
              <w:rPr>
                <w:rFonts w:ascii="宋体" w:hAnsi="宋体" w:cs="宋体" w:eastAsia="宋体" w:hint="default"/>
                <w:sz w:val="18"/>
                <w:szCs w:val="18"/>
              </w:rPr>
              <w:t>专业背景</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工作经历</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目前职责</w:t>
            </w:r>
          </w:p>
        </w:tc>
      </w:tr>
      <w:tr>
        <w:trPr>
          <w:trHeight w:val="335"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3"/>
              <w:jc w:val="left"/>
              <w:rPr>
                <w:rFonts w:ascii="宋体" w:hAnsi="宋体" w:cs="宋体" w:eastAsia="宋体" w:hint="default"/>
                <w:sz w:val="18"/>
                <w:szCs w:val="18"/>
              </w:rPr>
            </w:pPr>
            <w:r>
              <w:rPr>
                <w:rFonts w:ascii="宋体" w:hAnsi="宋体" w:cs="宋体" w:eastAsia="宋体" w:hint="default"/>
                <w:spacing w:val="28"/>
                <w:sz w:val="18"/>
                <w:szCs w:val="18"/>
              </w:rPr>
              <w:t>东北大学管</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月至今任公司董事长；</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月至今兼任大唐高</w:t>
            </w:r>
          </w:p>
        </w:tc>
        <w:tc>
          <w:tcPr>
            <w:tcW w:w="2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主持党委全面工作，负责干部管</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理工程专业</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新创业投资有限公司执行董事，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月至今兼任高鸿</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z w:val="18"/>
                <w:szCs w:val="18"/>
              </w:rPr>
              <w:t>理、人才管理、重要人事和机构</w:t>
            </w:r>
          </w:p>
        </w:tc>
      </w:tr>
      <w:tr>
        <w:trPr>
          <w:trHeight w:val="307"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6"/>
                <w:sz w:val="18"/>
                <w:szCs w:val="18"/>
              </w:rPr>
              <w:t>硕士；北京大</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新能源科技有限公司董事长。曾任邮电部电信科学技术研</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z w:val="18"/>
                <w:szCs w:val="18"/>
              </w:rPr>
              <w:t>调整、公司改革发展工作。主持</w:t>
            </w:r>
          </w:p>
        </w:tc>
      </w:tr>
      <w:tr>
        <w:trPr>
          <w:trHeight w:val="624"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付景林</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19" w:right="37" w:hanging="180"/>
              <w:jc w:val="left"/>
              <w:rPr>
                <w:rFonts w:ascii="宋体" w:hAnsi="宋体" w:cs="宋体" w:eastAsia="宋体" w:hint="default"/>
                <w:sz w:val="18"/>
                <w:szCs w:val="18"/>
              </w:rPr>
            </w:pPr>
            <w:r>
              <w:rPr>
                <w:rFonts w:ascii="宋体" w:hAnsi="宋体" w:cs="宋体" w:eastAsia="宋体" w:hint="default"/>
                <w:sz w:val="18"/>
                <w:szCs w:val="18"/>
              </w:rPr>
              <w:t>董事长、党 委书记</w:t>
            </w: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 w:right="-33"/>
              <w:jc w:val="left"/>
              <w:rPr>
                <w:rFonts w:ascii="宋体" w:hAnsi="宋体" w:cs="宋体" w:eastAsia="宋体" w:hint="default"/>
                <w:sz w:val="18"/>
                <w:szCs w:val="18"/>
              </w:rPr>
            </w:pPr>
            <w:r>
              <w:rPr>
                <w:rFonts w:ascii="宋体" w:hAnsi="宋体" w:cs="宋体" w:eastAsia="宋体" w:hint="default"/>
                <w:spacing w:val="28"/>
                <w:sz w:val="18"/>
                <w:szCs w:val="18"/>
              </w:rPr>
              <w:t>学高级管理</w:t>
            </w:r>
            <w:r>
              <w:rPr>
                <w:rFonts w:ascii="宋体" w:hAnsi="宋体" w:cs="宋体" w:eastAsia="宋体" w:hint="default"/>
                <w:spacing w:val="-86"/>
                <w:sz w:val="18"/>
                <w:szCs w:val="18"/>
              </w:rPr>
              <w:t> </w:t>
            </w:r>
            <w:r>
              <w:rPr>
                <w:rFonts w:ascii="宋体" w:hAnsi="宋体" w:cs="宋体" w:eastAsia="宋体" w:hint="default"/>
                <w:spacing w:val="28"/>
                <w:sz w:val="18"/>
                <w:szCs w:val="18"/>
              </w:rPr>
              <w:t>人员工商管</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pacing w:val="-3"/>
                <w:sz w:val="18"/>
                <w:szCs w:val="18"/>
              </w:rPr>
              <w:t>究院有限公司计财处主管；大唐电信科技股份有限公司财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务部主管，大唐电信科技股份有限公司投资发展部总经</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z w:val="18"/>
                <w:szCs w:val="18"/>
              </w:rPr>
              <w:t>董事会工作，负责企业发展战略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决策、产业结构调整、重大项目</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33"/>
              <w:jc w:val="left"/>
              <w:rPr>
                <w:rFonts w:ascii="宋体" w:hAnsi="宋体" w:cs="宋体" w:eastAsia="宋体" w:hint="default"/>
                <w:sz w:val="18"/>
                <w:szCs w:val="18"/>
              </w:rPr>
            </w:pPr>
            <w:r>
              <w:rPr>
                <w:rFonts w:ascii="宋体" w:hAnsi="宋体" w:cs="宋体" w:eastAsia="宋体" w:hint="default"/>
                <w:sz w:val="18"/>
                <w:szCs w:val="18"/>
              </w:rPr>
              <w:t>理硕士学位；</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理，董事会秘书；</w:t>
            </w:r>
            <w:r>
              <w:rPr>
                <w:rFonts w:ascii="宋体" w:hAnsi="宋体" w:cs="宋体" w:eastAsia="宋体" w:hint="default"/>
                <w:sz w:val="18"/>
                <w:szCs w:val="18"/>
              </w:rPr>
              <w:t>2003</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月至</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月任公司董事长</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hAnsi="宋体" w:cs="宋体" w:eastAsia="宋体" w:hint="default"/>
                <w:sz w:val="18"/>
                <w:szCs w:val="18"/>
              </w:rPr>
              <w:t>建设、重大投融资、审计工作。</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高级经济师</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兼总经理。</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3"/>
              <w:jc w:val="right"/>
              <w:rPr>
                <w:rFonts w:ascii="宋体" w:hAnsi="宋体" w:cs="宋体" w:eastAsia="宋体" w:hint="default"/>
                <w:sz w:val="18"/>
                <w:szCs w:val="18"/>
              </w:rPr>
            </w:pPr>
            <w:r>
              <w:rPr>
                <w:rFonts w:ascii="宋体" w:hAnsi="宋体" w:cs="宋体" w:eastAsia="宋体" w:hint="default"/>
                <w:sz w:val="18"/>
                <w:szCs w:val="18"/>
              </w:rPr>
              <w:t>分管党委办公室、资产管理部、</w:t>
            </w:r>
          </w:p>
        </w:tc>
      </w:tr>
      <w:tr>
        <w:trPr>
          <w:trHeight w:val="329"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
        </w:tc>
        <w:tc>
          <w:tcPr>
            <w:tcW w:w="4465" w:type="dxa"/>
            <w:tcBorders>
              <w:top w:val="nil" w:sz="6" w:space="0" w:color="auto"/>
              <w:left w:val="single" w:sz="6" w:space="0" w:color="000000"/>
              <w:bottom w:val="single" w:sz="6" w:space="0" w:color="000000"/>
              <w:right w:val="single" w:sz="6" w:space="0" w:color="000000"/>
            </w:tcBorders>
          </w:tcPr>
          <w:p>
            <w:pPr/>
          </w:p>
        </w:tc>
        <w:tc>
          <w:tcPr>
            <w:tcW w:w="25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人力资源部。</w:t>
            </w:r>
          </w:p>
        </w:tc>
      </w:tr>
      <w:tr>
        <w:trPr>
          <w:trHeight w:val="335"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3"/>
              <w:jc w:val="left"/>
              <w:rPr>
                <w:rFonts w:ascii="宋体" w:hAnsi="宋体" w:cs="宋体" w:eastAsia="宋体" w:hint="default"/>
                <w:sz w:val="18"/>
                <w:szCs w:val="18"/>
              </w:rPr>
            </w:pPr>
            <w:r>
              <w:rPr>
                <w:rFonts w:ascii="宋体" w:hAnsi="宋体" w:cs="宋体" w:eastAsia="宋体" w:hint="default"/>
                <w:spacing w:val="28"/>
                <w:sz w:val="18"/>
                <w:szCs w:val="18"/>
              </w:rPr>
              <w:t>北京机械工</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月至今兼任大唐高鸿数据网络技术股份有限公司</w:t>
            </w:r>
          </w:p>
        </w:tc>
        <w:tc>
          <w:tcPr>
            <w:tcW w:w="255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业学院工业</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副董事长。</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月至今任中国信息通信科技集团有限</w:t>
            </w:r>
          </w:p>
        </w:tc>
        <w:tc>
          <w:tcPr>
            <w:tcW w:w="2558" w:type="dxa"/>
            <w:vMerge/>
            <w:tcBorders>
              <w:left w:val="single" w:sz="6" w:space="0" w:color="000000"/>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会计专业本</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公司人力资源部副主任。</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月兼任电</w:t>
            </w:r>
          </w:p>
        </w:tc>
        <w:tc>
          <w:tcPr>
            <w:tcW w:w="2558" w:type="dxa"/>
            <w:vMerge/>
            <w:tcBorders>
              <w:left w:val="single" w:sz="6" w:space="0" w:color="000000"/>
              <w:right w:val="single" w:sz="6" w:space="0" w:color="000000"/>
            </w:tcBorders>
          </w:tcPr>
          <w:p>
            <w:pPr/>
          </w:p>
        </w:tc>
      </w:tr>
      <w:tr>
        <w:trPr>
          <w:trHeight w:val="307"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6"/>
                <w:sz w:val="18"/>
                <w:szCs w:val="18"/>
              </w:rPr>
              <w:t>科；高级会计</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信科学技术研究院有限公司离退休人员管理办公室主任</w:t>
            </w:r>
          </w:p>
        </w:tc>
        <w:tc>
          <w:tcPr>
            <w:tcW w:w="2558" w:type="dxa"/>
            <w:vMerge/>
            <w:tcBorders>
              <w:left w:val="single" w:sz="6" w:space="0" w:color="000000"/>
              <w:right w:val="single" w:sz="6" w:space="0" w:color="000000"/>
            </w:tcBorders>
          </w:tcPr>
          <w:p>
            <w:pPr/>
          </w:p>
        </w:tc>
      </w:tr>
      <w:tr>
        <w:trPr>
          <w:trHeight w:val="317"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陈蕾</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师</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2009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月至今兼任电信科学技术半导体研究所所长，</w:t>
            </w:r>
          </w:p>
        </w:tc>
        <w:tc>
          <w:tcPr>
            <w:tcW w:w="2558" w:type="dxa"/>
            <w:vMerge/>
            <w:tcBorders>
              <w:left w:val="single" w:sz="6" w:space="0" w:color="000000"/>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2008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月至今兼任大唐联诚信息系统技术有限公司监</w:t>
            </w:r>
          </w:p>
        </w:tc>
        <w:tc>
          <w:tcPr>
            <w:tcW w:w="2558" w:type="dxa"/>
            <w:vMerge/>
            <w:tcBorders>
              <w:left w:val="single" w:sz="6" w:space="0" w:color="000000"/>
              <w:right w:val="single" w:sz="6" w:space="0" w:color="000000"/>
            </w:tcBorders>
          </w:tcPr>
          <w:p>
            <w:pPr/>
          </w:p>
        </w:tc>
      </w:tr>
      <w:tr>
        <w:trPr>
          <w:trHeight w:val="307"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事</w:t>
            </w:r>
            <w:r>
              <w:rPr>
                <w:rFonts w:ascii="宋体" w:hAnsi="宋体" w:cs="宋体" w:eastAsia="宋体" w:hint="default"/>
                <w:spacing w:val="-74"/>
                <w:sz w:val="18"/>
                <w:szCs w:val="18"/>
              </w:rPr>
              <w:t>。</w:t>
            </w:r>
            <w:r>
              <w:rPr>
                <w:rFonts w:ascii="宋体" w:hAnsi="宋体" w:cs="宋体" w:eastAsia="宋体" w:hint="default"/>
                <w:sz w:val="18"/>
                <w:szCs w:val="18"/>
              </w:rPr>
              <w:t>曾任电信科学技术研究院计财处会计</w:t>
            </w:r>
            <w:r>
              <w:rPr>
                <w:rFonts w:ascii="宋体" w:hAnsi="宋体" w:cs="宋体" w:eastAsia="宋体" w:hint="default"/>
                <w:spacing w:val="-74"/>
                <w:sz w:val="18"/>
                <w:szCs w:val="18"/>
              </w:rPr>
              <w:t>、</w:t>
            </w:r>
            <w:r>
              <w:rPr>
                <w:rFonts w:ascii="宋体" w:hAnsi="宋体" w:cs="宋体" w:eastAsia="宋体" w:hint="default"/>
                <w:sz w:val="18"/>
                <w:szCs w:val="18"/>
              </w:rPr>
              <w:t>计财处副处长</w:t>
            </w:r>
          </w:p>
        </w:tc>
        <w:tc>
          <w:tcPr>
            <w:tcW w:w="2558" w:type="dxa"/>
            <w:vMerge/>
            <w:tcBorders>
              <w:left w:val="single" w:sz="6" w:space="0" w:color="000000"/>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财务部副总经理、经济发展事业部副总经理、企业发展部</w:t>
            </w:r>
          </w:p>
        </w:tc>
        <w:tc>
          <w:tcPr>
            <w:tcW w:w="2558" w:type="dxa"/>
            <w:vMerge/>
            <w:tcBorders>
              <w:left w:val="single" w:sz="6" w:space="0" w:color="000000"/>
              <w:right w:val="single" w:sz="6" w:space="0" w:color="000000"/>
            </w:tcBorders>
          </w:tcPr>
          <w:p>
            <w:pPr/>
          </w:p>
        </w:tc>
      </w:tr>
      <w:tr>
        <w:trPr>
          <w:trHeight w:val="330"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
        </w:tc>
        <w:tc>
          <w:tcPr>
            <w:tcW w:w="44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2558" w:type="dxa"/>
            <w:vMerge/>
            <w:tcBorders>
              <w:left w:val="single" w:sz="6" w:space="0" w:color="000000"/>
              <w:bottom w:val="single" w:sz="6" w:space="0" w:color="000000"/>
              <w:right w:val="single" w:sz="6" w:space="0" w:color="000000"/>
            </w:tcBorders>
          </w:tcPr>
          <w:p>
            <w:pPr/>
          </w:p>
        </w:tc>
      </w:tr>
      <w:tr>
        <w:trPr>
          <w:trHeight w:val="334"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33"/>
              <w:jc w:val="left"/>
              <w:rPr>
                <w:rFonts w:ascii="宋体" w:hAnsi="宋体" w:cs="宋体" w:eastAsia="宋体" w:hint="default"/>
                <w:sz w:val="18"/>
                <w:szCs w:val="18"/>
              </w:rPr>
            </w:pPr>
            <w:r>
              <w:rPr>
                <w:rFonts w:ascii="宋体" w:hAnsi="宋体" w:cs="宋体" w:eastAsia="宋体" w:hint="default"/>
                <w:spacing w:val="28"/>
                <w:sz w:val="18"/>
                <w:szCs w:val="18"/>
              </w:rPr>
              <w:t>华南农业大</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月至今任常州大学中国财税法治战略研究院执行</w:t>
            </w:r>
          </w:p>
        </w:tc>
        <w:tc>
          <w:tcPr>
            <w:tcW w:w="2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公司独立董事，董事会薪酬与考</w:t>
            </w:r>
          </w:p>
        </w:tc>
      </w:tr>
      <w:tr>
        <w:trPr>
          <w:trHeight w:val="307"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学经贸学院</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3"/>
                <w:sz w:val="18"/>
                <w:szCs w:val="18"/>
              </w:rPr>
              <w:t>院长、中葡法学院执行院长、史良法学院副院长，法学硕</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z w:val="18"/>
                <w:szCs w:val="18"/>
              </w:rPr>
              <w:t>核委员会委员，董事会提名委员</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33"/>
              <w:jc w:val="left"/>
              <w:rPr>
                <w:rFonts w:ascii="宋体" w:hAnsi="宋体" w:cs="宋体" w:eastAsia="宋体" w:hint="default"/>
                <w:sz w:val="18"/>
                <w:szCs w:val="18"/>
              </w:rPr>
            </w:pPr>
            <w:r>
              <w:rPr>
                <w:rFonts w:ascii="宋体" w:hAnsi="宋体" w:cs="宋体" w:eastAsia="宋体" w:hint="default"/>
                <w:spacing w:val="28"/>
                <w:sz w:val="18"/>
                <w:szCs w:val="18"/>
              </w:rPr>
              <w:t>农业经济管</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17"/>
              <w:jc w:val="left"/>
              <w:rPr>
                <w:rFonts w:ascii="宋体" w:hAnsi="宋体" w:cs="宋体" w:eastAsia="宋体" w:hint="default"/>
                <w:sz w:val="18"/>
                <w:szCs w:val="18"/>
              </w:rPr>
            </w:pPr>
            <w:r>
              <w:rPr>
                <w:rFonts w:ascii="宋体" w:hAnsi="宋体" w:cs="宋体" w:eastAsia="宋体" w:hint="default"/>
                <w:sz w:val="18"/>
                <w:szCs w:val="18"/>
              </w:rPr>
              <w:t>士</w:t>
            </w:r>
            <w:r>
              <w:rPr>
                <w:rFonts w:ascii="宋体" w:hAnsi="宋体" w:cs="宋体" w:eastAsia="宋体" w:hint="default"/>
                <w:spacing w:val="-74"/>
                <w:sz w:val="18"/>
                <w:szCs w:val="18"/>
              </w:rPr>
              <w:t>、</w:t>
            </w:r>
            <w:r>
              <w:rPr>
                <w:rFonts w:ascii="宋体" w:hAnsi="宋体" w:cs="宋体" w:eastAsia="宋体" w:hint="default"/>
                <w:sz w:val="18"/>
                <w:szCs w:val="18"/>
              </w:rPr>
              <w:t>管理学博士</w:t>
            </w:r>
            <w:r>
              <w:rPr>
                <w:rFonts w:ascii="宋体" w:hAnsi="宋体" w:cs="宋体" w:eastAsia="宋体" w:hint="default"/>
                <w:spacing w:val="-74"/>
                <w:sz w:val="18"/>
                <w:szCs w:val="18"/>
              </w:rPr>
              <w:t>，</w:t>
            </w:r>
            <w:r>
              <w:rPr>
                <w:rFonts w:ascii="宋体" w:hAnsi="宋体" w:cs="宋体" w:eastAsia="宋体" w:hint="default"/>
                <w:sz w:val="18"/>
                <w:szCs w:val="18"/>
              </w:rPr>
              <w:t>中国社会科学院法学研究所法学博士后</w:t>
            </w:r>
            <w:r>
              <w:rPr>
                <w:rFonts w:ascii="宋体" w:hAnsi="宋体" w:cs="宋体" w:eastAsia="宋体" w:hint="default"/>
                <w:spacing w:val="-69"/>
                <w:sz w:val="18"/>
                <w:szCs w:val="18"/>
              </w:rPr>
              <w:t>、</w:t>
            </w:r>
            <w:r>
              <w:rPr>
                <w:rFonts w:ascii="宋体" w:hAnsi="宋体" w:cs="宋体" w:eastAsia="宋体" w:hint="default"/>
                <w:sz w:val="18"/>
                <w:szCs w:val="18"/>
              </w:rPr>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会主任委员</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梁文永</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6"/>
                <w:sz w:val="18"/>
                <w:szCs w:val="18"/>
              </w:rPr>
              <w:t>理学博士、中</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财政部财政科学研究所财政学博士后</w:t>
            </w:r>
            <w:r>
              <w:rPr>
                <w:rFonts w:ascii="宋体" w:hAnsi="宋体" w:cs="宋体" w:eastAsia="宋体" w:hint="default"/>
                <w:spacing w:val="-74"/>
                <w:sz w:val="18"/>
                <w:szCs w:val="18"/>
              </w:rPr>
              <w:t>，</w:t>
            </w:r>
            <w:r>
              <w:rPr>
                <w:rFonts w:ascii="宋体" w:hAnsi="宋体" w:cs="宋体" w:eastAsia="宋体" w:hint="default"/>
                <w:sz w:val="18"/>
                <w:szCs w:val="18"/>
              </w:rPr>
              <w:t>教授</w:t>
            </w:r>
            <w:r>
              <w:rPr>
                <w:rFonts w:ascii="宋体" w:hAnsi="宋体" w:cs="宋体" w:eastAsia="宋体" w:hint="default"/>
                <w:spacing w:val="-74"/>
                <w:sz w:val="18"/>
                <w:szCs w:val="18"/>
              </w:rPr>
              <w:t>，</w:t>
            </w:r>
            <w:r>
              <w:rPr>
                <w:rFonts w:ascii="宋体" w:hAnsi="宋体" w:cs="宋体" w:eastAsia="宋体" w:hint="default"/>
                <w:sz w:val="18"/>
                <w:szCs w:val="18"/>
              </w:rPr>
              <w:t>博士生导师</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7"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33"/>
              <w:jc w:val="left"/>
              <w:rPr>
                <w:rFonts w:ascii="宋体" w:hAnsi="宋体" w:cs="宋体" w:eastAsia="宋体" w:hint="default"/>
                <w:sz w:val="18"/>
                <w:szCs w:val="18"/>
              </w:rPr>
            </w:pPr>
            <w:r>
              <w:rPr>
                <w:rFonts w:ascii="宋体" w:hAnsi="宋体" w:cs="宋体" w:eastAsia="宋体" w:hint="default"/>
                <w:spacing w:val="28"/>
                <w:sz w:val="18"/>
                <w:szCs w:val="18"/>
              </w:rPr>
              <w:t>国社会科学</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月至今兼任民盟中央法制委员会副主任。</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07"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院法学研究</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4"/>
                <w:sz w:val="18"/>
                <w:szCs w:val="18"/>
              </w:rPr>
              <w:t>月至今兼任大唐高鸿数据网络技术股份有限公司独立董</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30"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33"/>
              <w:jc w:val="left"/>
              <w:rPr>
                <w:rFonts w:ascii="宋体" w:hAnsi="宋体" w:cs="宋体" w:eastAsia="宋体" w:hint="default"/>
                <w:sz w:val="18"/>
                <w:szCs w:val="18"/>
              </w:rPr>
            </w:pPr>
            <w:r>
              <w:rPr>
                <w:rFonts w:ascii="宋体" w:hAnsi="宋体" w:cs="宋体" w:eastAsia="宋体" w:hint="default"/>
                <w:spacing w:val="28"/>
                <w:sz w:val="18"/>
                <w:szCs w:val="18"/>
              </w:rPr>
              <w:t>所法学博士</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事。学术及社会兼职有中央纪委监察部杭州培训中心特聘</w:t>
            </w:r>
          </w:p>
        </w:tc>
        <w:tc>
          <w:tcPr>
            <w:tcW w:w="2558"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5.860001pt;margin-top:71.999985pt;width:484.05pt;height:685.65pt;mso-position-horizontal-relative:page;mso-position-vertical-relative:page;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994"/>
                    <w:gridCol w:w="1064"/>
                    <w:gridCol w:w="4465"/>
                    <w:gridCol w:w="2558"/>
                  </w:tblGrid>
                  <w:tr>
                    <w:trPr>
                      <w:trHeight w:val="330" w:hRule="exact"/>
                    </w:trPr>
                    <w:tc>
                      <w:tcPr>
                        <w:tcW w:w="578" w:type="dxa"/>
                        <w:vMerge w:val="restart"/>
                        <w:tcBorders>
                          <w:top w:val="single" w:sz="6" w:space="0" w:color="000000"/>
                          <w:left w:val="single" w:sz="6" w:space="0" w:color="000000"/>
                          <w:right w:val="single" w:sz="6" w:space="0" w:color="000000"/>
                        </w:tcBorders>
                      </w:tcPr>
                      <w:p>
                        <w:pPr/>
                      </w:p>
                    </w:tc>
                    <w:tc>
                      <w:tcPr>
                        <w:tcW w:w="994" w:type="dxa"/>
                        <w:vMerge w:val="restart"/>
                        <w:tcBorders>
                          <w:top w:val="single" w:sz="6" w:space="0" w:color="000000"/>
                          <w:left w:val="single" w:sz="6" w:space="0" w:color="000000"/>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6"/>
                            <w:sz w:val="18"/>
                            <w:szCs w:val="18"/>
                          </w:rPr>
                          <w:t>后、财政部财</w:t>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教授，中国法学会财税法学研究会常务理事，中国仲裁法</w:t>
                        </w:r>
                      </w:p>
                    </w:tc>
                    <w:tc>
                      <w:tcPr>
                        <w:tcW w:w="2558"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578"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33"/>
                          <w:jc w:val="left"/>
                          <w:rPr>
                            <w:rFonts w:ascii="宋体" w:hAnsi="宋体" w:cs="宋体" w:eastAsia="宋体" w:hint="default"/>
                            <w:sz w:val="18"/>
                            <w:szCs w:val="18"/>
                          </w:rPr>
                        </w:pPr>
                        <w:r>
                          <w:rPr>
                            <w:rFonts w:ascii="宋体" w:hAnsi="宋体" w:cs="宋体" w:eastAsia="宋体" w:hint="default"/>
                            <w:spacing w:val="28"/>
                            <w:sz w:val="18"/>
                            <w:szCs w:val="18"/>
                          </w:rPr>
                          <w:t>政科学研究</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学研究会仲裁与调解专业委员会主任委员，常州市人民政</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33"/>
                          <w:jc w:val="left"/>
                          <w:rPr>
                            <w:rFonts w:ascii="宋体" w:hAnsi="宋体" w:cs="宋体" w:eastAsia="宋体" w:hint="default"/>
                            <w:sz w:val="18"/>
                            <w:szCs w:val="18"/>
                          </w:rPr>
                        </w:pPr>
                        <w:r>
                          <w:rPr>
                            <w:rFonts w:ascii="宋体" w:hAnsi="宋体" w:cs="宋体" w:eastAsia="宋体" w:hint="default"/>
                            <w:spacing w:val="28"/>
                            <w:sz w:val="18"/>
                            <w:szCs w:val="18"/>
                          </w:rPr>
                          <w:t>所应用经济</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府立法咨询专家，北京华税律师事务所兼职律师，九江仲</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学博士后</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裁委委员会仲裁员、赣江新区国际仲裁院仲裁员、常州仲</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裁委员会仲裁员、吉尔吉斯斯坦工商会国际仲裁院外籍仲</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6"/>
                            <w:sz w:val="18"/>
                            <w:szCs w:val="18"/>
                          </w:rPr>
                          <w:t>裁员等。持有《独立董事资格证书》和《律师资格证书》</w:t>
                        </w:r>
                        <w:r>
                          <w:rPr>
                            <w:rFonts w:ascii="宋体" w:hAnsi="宋体" w:cs="宋体" w:eastAsia="宋体" w:hint="default"/>
                            <w:sz w:val="18"/>
                            <w:szCs w:val="18"/>
                          </w:rPr>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9"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578"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曾任华南理工大学法学院讲师，中国政法大学法学教育研</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vMerge/>
                        <w:tcBorders>
                          <w:left w:val="single" w:sz="6" w:space="0" w:color="000000"/>
                          <w:right w:val="single" w:sz="6" w:space="0" w:color="000000"/>
                        </w:tcBorders>
                      </w:tcPr>
                      <w:p>
                        <w:pPr/>
                      </w:p>
                    </w:tc>
                    <w:tc>
                      <w:tcPr>
                        <w:tcW w:w="994" w:type="dxa"/>
                        <w:vMerge/>
                        <w:tcBorders>
                          <w:left w:val="single" w:sz="6" w:space="0" w:color="000000"/>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3"/>
                            <w:sz w:val="18"/>
                            <w:szCs w:val="18"/>
                          </w:rPr>
                          <w:t>究与评估中心副主任、副教授、研究员，民盟中国政法大</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29" w:hRule="exact"/>
                    </w:trPr>
                    <w:tc>
                      <w:tcPr>
                        <w:tcW w:w="578"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
                    </w:tc>
                    <w:tc>
                      <w:tcPr>
                        <w:tcW w:w="44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学支部主委、民盟北京市昌平区工委副主委等。</w:t>
                        </w:r>
                      </w:p>
                    </w:tc>
                    <w:tc>
                      <w:tcPr>
                        <w:tcW w:w="2558"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3"/>
                          <w:jc w:val="left"/>
                          <w:rPr>
                            <w:rFonts w:ascii="宋体" w:hAnsi="宋体" w:cs="宋体" w:eastAsia="宋体" w:hint="default"/>
                            <w:sz w:val="18"/>
                            <w:szCs w:val="18"/>
                          </w:rPr>
                        </w:pPr>
                        <w:r>
                          <w:rPr>
                            <w:rFonts w:ascii="宋体" w:hAnsi="宋体" w:cs="宋体" w:eastAsia="宋体" w:hint="default"/>
                            <w:spacing w:val="28"/>
                            <w:sz w:val="18"/>
                            <w:szCs w:val="18"/>
                          </w:rPr>
                          <w:t>北京邮电大</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年至今任北京邮电大学经济管理学院教授、博士生导</w:t>
                        </w:r>
                      </w:p>
                    </w:tc>
                    <w:tc>
                      <w:tcPr>
                        <w:tcW w:w="2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公司独立董事，董事会战略委员</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学管理工程</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师，</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月至今兼任大唐高鸿数据网络技术股份有限</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z w:val="18"/>
                            <w:szCs w:val="18"/>
                          </w:rPr>
                          <w:t>会主任委员，董事会薪酬与考核</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6"/>
                            <w:sz w:val="18"/>
                            <w:szCs w:val="18"/>
                          </w:rPr>
                          <w:t>硕士；日本京</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公司独立董事、</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月至今兼任京东方科技集团股份</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委员会委员</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吕廷杰</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都大学应用</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月至今兼任深圳市爱施德股份有限公</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系统工程博</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司独立董事，</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月至今兼任中国通信服务股份有限</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士</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公司独立董事、</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月至今兼任中国联合网络通信股</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24"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
                    </w:tc>
                    <w:tc>
                      <w:tcPr>
                        <w:tcW w:w="44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份有限公司独立董事。</w:t>
                        </w:r>
                      </w:p>
                    </w:tc>
                    <w:tc>
                      <w:tcPr>
                        <w:tcW w:w="2558" w:type="dxa"/>
                        <w:tcBorders>
                          <w:top w:val="nil" w:sz="6" w:space="0" w:color="auto"/>
                          <w:left w:val="single" w:sz="6" w:space="0" w:color="000000"/>
                          <w:bottom w:val="single" w:sz="6" w:space="0" w:color="000000"/>
                          <w:right w:val="single" w:sz="6" w:space="0" w:color="000000"/>
                        </w:tcBorders>
                      </w:tcPr>
                      <w:p>
                        <w:pPr/>
                      </w:p>
                    </w:tc>
                  </w:tr>
                  <w:tr>
                    <w:trPr>
                      <w:trHeight w:val="335"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3"/>
                          <w:jc w:val="left"/>
                          <w:rPr>
                            <w:rFonts w:ascii="宋体" w:hAnsi="宋体" w:cs="宋体" w:eastAsia="宋体" w:hint="default"/>
                            <w:sz w:val="18"/>
                            <w:szCs w:val="18"/>
                          </w:rPr>
                        </w:pPr>
                        <w:r>
                          <w:rPr>
                            <w:rFonts w:ascii="宋体" w:hAnsi="宋体" w:cs="宋体" w:eastAsia="宋体" w:hint="default"/>
                            <w:spacing w:val="28"/>
                            <w:sz w:val="18"/>
                            <w:szCs w:val="18"/>
                          </w:rPr>
                          <w:t>中国政法大</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宋体" w:hAnsi="宋体" w:cs="宋体" w:eastAsia="宋体" w:hint="default"/>
                            <w:sz w:val="18"/>
                            <w:szCs w:val="18"/>
                          </w:rPr>
                          <w:t>年至今任北京纵横律师事务所律师，</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w:t>
                        </w:r>
                      </w:p>
                    </w:tc>
                    <w:tc>
                      <w:tcPr>
                        <w:tcW w:w="2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公司独立董事，董事会薪酬与考</w:t>
                        </w:r>
                      </w:p>
                    </w:tc>
                  </w:tr>
                  <w:tr>
                    <w:trPr>
                      <w:trHeight w:val="619"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孙琪</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316"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学法律学硕</w:t>
                        </w:r>
                        <w:r>
                          <w:rPr>
                            <w:rFonts w:ascii="宋体" w:hAnsi="宋体" w:cs="宋体" w:eastAsia="宋体" w:hint="default"/>
                            <w:spacing w:val="-86"/>
                            <w:sz w:val="18"/>
                            <w:szCs w:val="18"/>
                          </w:rPr>
                          <w:t> </w:t>
                        </w:r>
                        <w:r>
                          <w:rPr>
                            <w:rFonts w:ascii="宋体" w:hAnsi="宋体" w:cs="宋体" w:eastAsia="宋体" w:hint="default"/>
                            <w:sz w:val="18"/>
                            <w:szCs w:val="18"/>
                          </w:rPr>
                          <w:t>士</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兼任大唐高鸿数据网络技术股份有限公司独立董事。</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316" w:lineRule="auto" w:before="5"/>
                          <w:ind w:left="2" w:right="3"/>
                          <w:jc w:val="left"/>
                          <w:rPr>
                            <w:rFonts w:ascii="宋体" w:hAnsi="宋体" w:cs="宋体" w:eastAsia="宋体" w:hint="default"/>
                            <w:sz w:val="18"/>
                            <w:szCs w:val="18"/>
                          </w:rPr>
                        </w:pPr>
                        <w:r>
                          <w:rPr>
                            <w:rFonts w:ascii="宋体" w:hAnsi="宋体" w:cs="宋体" w:eastAsia="宋体" w:hint="default"/>
                            <w:sz w:val="18"/>
                            <w:szCs w:val="18"/>
                          </w:rPr>
                          <w:t>核委员会主任委员，董事会审计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委员会委员，董事会提名委员会</w:t>
                        </w:r>
                      </w:p>
                    </w:tc>
                  </w:tr>
                  <w:tr>
                    <w:trPr>
                      <w:trHeight w:val="329"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
                    </w:tc>
                    <w:tc>
                      <w:tcPr>
                        <w:tcW w:w="4465" w:type="dxa"/>
                        <w:tcBorders>
                          <w:top w:val="nil" w:sz="6" w:space="0" w:color="auto"/>
                          <w:left w:val="single" w:sz="6" w:space="0" w:color="000000"/>
                          <w:bottom w:val="single" w:sz="6" w:space="0" w:color="000000"/>
                          <w:right w:val="single" w:sz="6" w:space="0" w:color="000000"/>
                        </w:tcBorders>
                      </w:tcPr>
                      <w:p>
                        <w:pPr/>
                      </w:p>
                    </w:tc>
                    <w:tc>
                      <w:tcPr>
                        <w:tcW w:w="25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委员</w:t>
                        </w:r>
                      </w:p>
                    </w:tc>
                  </w:tr>
                  <w:tr>
                    <w:trPr>
                      <w:trHeight w:val="335"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3"/>
                          <w:jc w:val="left"/>
                          <w:rPr>
                            <w:rFonts w:ascii="宋体" w:hAnsi="宋体" w:cs="宋体" w:eastAsia="宋体" w:hint="default"/>
                            <w:sz w:val="18"/>
                            <w:szCs w:val="18"/>
                          </w:rPr>
                        </w:pPr>
                        <w:r>
                          <w:rPr>
                            <w:rFonts w:ascii="宋体" w:hAnsi="宋体" w:cs="宋体" w:eastAsia="宋体" w:hint="default"/>
                            <w:spacing w:val="28"/>
                            <w:sz w:val="18"/>
                            <w:szCs w:val="18"/>
                          </w:rPr>
                          <w:t>陕西财经学</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月至今兼任大唐高鸿数据网络技术股份有限公司</w:t>
                        </w:r>
                      </w:p>
                    </w:tc>
                    <w:tc>
                      <w:tcPr>
                        <w:tcW w:w="2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公司独立董事，董事会审计委员</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张晓岚</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院会计学硕</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独立董事，</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月至今兼任上海光大嘉宝实业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集团</w:t>
                        </w:r>
                        <w:r>
                          <w:rPr>
                            <w:rFonts w:ascii="Times New Roman" w:hAnsi="Times New Roman" w:cs="Times New Roman" w:eastAsia="Times New Roman" w:hint="default"/>
                            <w:spacing w:val="2"/>
                            <w:sz w:val="18"/>
                            <w:szCs w:val="18"/>
                          </w:rPr>
                          <w:t>)</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z w:val="18"/>
                            <w:szCs w:val="18"/>
                          </w:rPr>
                          <w:t>会主任委员，董事会提名委员会</w:t>
                        </w:r>
                      </w:p>
                    </w:tc>
                  </w:tr>
                  <w:tr>
                    <w:trPr>
                      <w:trHeight w:val="325"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士</w:t>
                        </w:r>
                      </w:p>
                    </w:tc>
                    <w:tc>
                      <w:tcPr>
                        <w:tcW w:w="44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股份有限公司独立董事。</w:t>
                        </w:r>
                      </w:p>
                    </w:tc>
                    <w:tc>
                      <w:tcPr>
                        <w:tcW w:w="25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委员。</w:t>
                        </w:r>
                      </w:p>
                    </w:tc>
                  </w:tr>
                  <w:tr>
                    <w:trPr>
                      <w:trHeight w:val="334"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33"/>
                          <w:jc w:val="left"/>
                          <w:rPr>
                            <w:rFonts w:ascii="宋体" w:hAnsi="宋体" w:cs="宋体" w:eastAsia="宋体" w:hint="default"/>
                            <w:sz w:val="18"/>
                            <w:szCs w:val="18"/>
                          </w:rPr>
                        </w:pPr>
                        <w:r>
                          <w:rPr>
                            <w:rFonts w:ascii="宋体" w:hAnsi="宋体" w:cs="宋体" w:eastAsia="宋体" w:hint="default"/>
                            <w:spacing w:val="28"/>
                            <w:sz w:val="18"/>
                            <w:szCs w:val="18"/>
                          </w:rPr>
                          <w:t>西安军事电</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1970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1975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月任西北电讯工程学院助教，</w:t>
                        </w:r>
                        <w:r>
                          <w:rPr>
                            <w:rFonts w:ascii="Times New Roman" w:hAnsi="Times New Roman" w:cs="Times New Roman" w:eastAsia="Times New Roman" w:hint="default"/>
                            <w:spacing w:val="3"/>
                            <w:sz w:val="18"/>
                            <w:szCs w:val="18"/>
                          </w:rPr>
                          <w:t>1975</w:t>
                        </w:r>
                      </w:p>
                    </w:tc>
                    <w:tc>
                      <w:tcPr>
                        <w:tcW w:w="2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公司独立董事，董事会战略委员</w:t>
                        </w:r>
                      </w:p>
                    </w:tc>
                  </w:tr>
                  <w:tr>
                    <w:trPr>
                      <w:trHeight w:val="624"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张焕国</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316"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信工程学院</w:t>
                        </w:r>
                        <w:r>
                          <w:rPr>
                            <w:rFonts w:ascii="宋体" w:hAnsi="宋体" w:cs="宋体" w:eastAsia="宋体" w:hint="default"/>
                            <w:spacing w:val="-86"/>
                            <w:sz w:val="18"/>
                            <w:szCs w:val="18"/>
                          </w:rPr>
                          <w:t> </w:t>
                        </w:r>
                        <w:r>
                          <w:rPr>
                            <w:rFonts w:ascii="宋体" w:hAnsi="宋体" w:cs="宋体" w:eastAsia="宋体" w:hint="default"/>
                            <w:spacing w:val="28"/>
                            <w:sz w:val="18"/>
                            <w:szCs w:val="18"/>
                          </w:rPr>
                          <w:t>通信工程专</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300" w:lineRule="auto" w:before="5"/>
                          <w:ind w:left="2" w:right="4"/>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月至今任武汉大学计算机学院教授，长期从事信息安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全、可信计算、容错计算等教学与科研工作，</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6"/>
                            <w:sz w:val="18"/>
                            <w:szCs w:val="18"/>
                          </w:rPr>
                          <w:t>会委员，董事会审计委员会委员</w:t>
                        </w:r>
                      </w:p>
                    </w:tc>
                  </w:tr>
                  <w:tr>
                    <w:trPr>
                      <w:trHeight w:val="325"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业本科</w:t>
                        </w:r>
                      </w:p>
                    </w:tc>
                    <w:tc>
                      <w:tcPr>
                        <w:tcW w:w="44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至今兼任大唐高鸿数据网络技术股份有限公司独立董事</w:t>
                        </w:r>
                      </w:p>
                    </w:tc>
                    <w:tc>
                      <w:tcPr>
                        <w:tcW w:w="25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4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35"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vMerge w:val="restart"/>
                        <w:tcBorders>
                          <w:top w:val="single" w:sz="6" w:space="0" w:color="000000"/>
                          <w:left w:val="single" w:sz="6" w:space="0" w:color="000000"/>
                          <w:right w:val="single" w:sz="6" w:space="0" w:color="000000"/>
                        </w:tcBorders>
                      </w:tcPr>
                      <w:p>
                        <w:pP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月至今任南京庆亚贸易有限公司执行董事；</w:t>
                        </w:r>
                        <w:r>
                          <w:rPr>
                            <w:rFonts w:ascii="Times New Roman" w:hAnsi="Times New Roman" w:cs="Times New Roman" w:eastAsia="Times New Roman" w:hint="default"/>
                            <w:sz w:val="18"/>
                            <w:szCs w:val="18"/>
                          </w:rPr>
                          <w:t>2013</w:t>
                        </w:r>
                      </w:p>
                    </w:tc>
                    <w:tc>
                      <w:tcPr>
                        <w:tcW w:w="2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协助高鸿鼎恒公司总经理管理鼎</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曹秉蛟</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64" w:type="dxa"/>
                        <w:vMerge/>
                        <w:tcBorders>
                          <w:left w:val="single" w:sz="6" w:space="0" w:color="000000"/>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月至今任江苏高鸿鼎恒信息技术有限公司董事；</w:t>
                        </w:r>
                        <w:r>
                          <w:rPr>
                            <w:rFonts w:ascii="Times New Roman" w:hAnsi="Times New Roman" w:cs="Times New Roman" w:eastAsia="Times New Roman" w:hint="default"/>
                            <w:sz w:val="18"/>
                            <w:szCs w:val="18"/>
                          </w:rPr>
                          <w:t>2017</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z w:val="18"/>
                            <w:szCs w:val="18"/>
                          </w:rPr>
                          <w:t>恒公司，分管人事行政部和总经</w:t>
                        </w:r>
                      </w:p>
                    </w:tc>
                  </w:tr>
                  <w:tr>
                    <w:trPr>
                      <w:trHeight w:val="324"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44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月兼任大唐高鸿数据网络技术股份有限公司董事。</w:t>
                        </w:r>
                      </w:p>
                    </w:tc>
                    <w:tc>
                      <w:tcPr>
                        <w:tcW w:w="2558"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办。</w:t>
                        </w:r>
                      </w:p>
                    </w:tc>
                  </w:tr>
                  <w:tr>
                    <w:trPr>
                      <w:trHeight w:val="335" w:hRule="exact"/>
                    </w:trPr>
                    <w:tc>
                      <w:tcPr>
                        <w:tcW w:w="578" w:type="dxa"/>
                        <w:tcBorders>
                          <w:top w:val="single" w:sz="6" w:space="0" w:color="000000"/>
                          <w:left w:val="single" w:sz="6" w:space="0" w:color="000000"/>
                          <w:bottom w:val="nil" w:sz="6" w:space="0" w:color="auto"/>
                          <w:right w:val="single" w:sz="6" w:space="0" w:color="000000"/>
                        </w:tcBorders>
                      </w:tcPr>
                      <w:p>
                        <w:pPr/>
                      </w:p>
                    </w:tc>
                    <w:tc>
                      <w:tcPr>
                        <w:tcW w:w="994" w:type="dxa"/>
                        <w:tcBorders>
                          <w:top w:val="single" w:sz="6" w:space="0" w:color="000000"/>
                          <w:left w:val="single" w:sz="6" w:space="0" w:color="000000"/>
                          <w:bottom w:val="nil" w:sz="6" w:space="0" w:color="auto"/>
                          <w:right w:val="single" w:sz="6" w:space="0" w:color="000000"/>
                        </w:tcBorders>
                      </w:tcPr>
                      <w:p>
                        <w:pPr/>
                      </w:p>
                    </w:tc>
                    <w:tc>
                      <w:tcPr>
                        <w:tcW w:w="10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33"/>
                          <w:jc w:val="left"/>
                          <w:rPr>
                            <w:rFonts w:ascii="宋体" w:hAnsi="宋体" w:cs="宋体" w:eastAsia="宋体" w:hint="default"/>
                            <w:sz w:val="18"/>
                            <w:szCs w:val="18"/>
                          </w:rPr>
                        </w:pPr>
                        <w:r>
                          <w:rPr>
                            <w:rFonts w:ascii="宋体" w:hAnsi="宋体" w:cs="宋体" w:eastAsia="宋体" w:hint="default"/>
                            <w:spacing w:val="28"/>
                            <w:sz w:val="18"/>
                            <w:szCs w:val="18"/>
                          </w:rPr>
                          <w:t>北京大学经</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w:t>
                        </w:r>
                        <w:r>
                          <w:rPr>
                            <w:rFonts w:ascii="宋体" w:hAnsi="宋体" w:cs="宋体" w:eastAsia="宋体" w:hint="default"/>
                            <w:spacing w:val="24"/>
                            <w:sz w:val="18"/>
                            <w:szCs w:val="18"/>
                          </w:rPr>
                          <w:t> </w:t>
                        </w:r>
                        <w:r>
                          <w:rPr>
                            <w:rFonts w:ascii="Times New Roman" w:hAnsi="Times New Roman" w:cs="Times New Roman" w:eastAsia="Times New Roman" w:hint="default"/>
                            <w:spacing w:val="2"/>
                            <w:sz w:val="18"/>
                            <w:szCs w:val="18"/>
                          </w:rPr>
                          <w:t>LG</w:t>
                        </w:r>
                        <w:r>
                          <w:rPr>
                            <w:rFonts w:ascii="宋体" w:hAnsi="宋体" w:cs="宋体" w:eastAsia="宋体" w:hint="default"/>
                            <w:spacing w:val="2"/>
                            <w:sz w:val="18"/>
                            <w:szCs w:val="18"/>
                          </w:rPr>
                          <w:t>电子（中国）有限公司企</w:t>
                        </w:r>
                      </w:p>
                    </w:tc>
                    <w:tc>
                      <w:tcPr>
                        <w:tcW w:w="255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hAnsi="宋体" w:cs="宋体" w:eastAsia="宋体" w:hint="default"/>
                            <w:sz w:val="18"/>
                            <w:szCs w:val="18"/>
                          </w:rPr>
                          <w:t>协助高阳捷迅公司总经理负责石</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33"/>
                          <w:jc w:val="left"/>
                          <w:rPr>
                            <w:rFonts w:ascii="宋体" w:hAnsi="宋体" w:cs="宋体" w:eastAsia="宋体" w:hint="default"/>
                            <w:sz w:val="18"/>
                            <w:szCs w:val="18"/>
                          </w:rPr>
                        </w:pPr>
                        <w:r>
                          <w:rPr>
                            <w:rFonts w:ascii="宋体" w:hAnsi="宋体" w:cs="宋体" w:eastAsia="宋体" w:hint="default"/>
                            <w:spacing w:val="28"/>
                            <w:sz w:val="18"/>
                            <w:szCs w:val="18"/>
                          </w:rPr>
                          <w:t>济学院经济</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1"/>
                            <w:sz w:val="18"/>
                            <w:szCs w:val="18"/>
                          </w:rPr>
                          <w:t>划部职员；</w:t>
                        </w:r>
                        <w:r>
                          <w:rPr>
                            <w:rFonts w:ascii="Times New Roman" w:hAnsi="Times New Roman" w:cs="Times New Roman" w:eastAsia="Times New Roman" w:hint="default"/>
                            <w:spacing w:val="-1"/>
                            <w:sz w:val="18"/>
                            <w:szCs w:val="18"/>
                          </w:rPr>
                          <w:t>1996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1999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月任</w:t>
                        </w:r>
                        <w:r>
                          <w:rPr>
                            <w:rFonts w:ascii="Times New Roman" w:hAnsi="Times New Roman" w:cs="Times New Roman" w:eastAsia="Times New Roman" w:hint="default"/>
                            <w:spacing w:val="-1"/>
                            <w:sz w:val="18"/>
                            <w:szCs w:val="18"/>
                          </w:rPr>
                          <w:t>LG</w:t>
                        </w:r>
                        <w:r>
                          <w:rPr>
                            <w:rFonts w:ascii="宋体" w:hAnsi="宋体" w:cs="宋体" w:eastAsia="宋体" w:hint="default"/>
                            <w:spacing w:val="-1"/>
                            <w:sz w:val="18"/>
                            <w:szCs w:val="18"/>
                          </w:rPr>
                          <w:t>电子（中国）有</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3"/>
                          <w:jc w:val="right"/>
                          <w:rPr>
                            <w:rFonts w:ascii="宋体" w:hAnsi="宋体" w:cs="宋体" w:eastAsia="宋体" w:hint="default"/>
                            <w:sz w:val="18"/>
                            <w:szCs w:val="18"/>
                          </w:rPr>
                        </w:pPr>
                        <w:r>
                          <w:rPr>
                            <w:rFonts w:ascii="宋体" w:hAnsi="宋体" w:cs="宋体" w:eastAsia="宋体" w:hint="default"/>
                            <w:sz w:val="18"/>
                            <w:szCs w:val="18"/>
                          </w:rPr>
                          <w:t>油行业、互联网金融行业的市场</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学专业本科</w:t>
                        </w: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限公司西安办事处首席代表；</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月任北</w:t>
                        </w:r>
                      </w:p>
                    </w:tc>
                    <w:tc>
                      <w:tcPr>
                        <w:tcW w:w="255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拓展工作。</w:t>
                        </w: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京恒一视线影视策划有限公司执行总经理；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月任汉王科技股份有限公司副总裁助理兼全国渠</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李群</w:t>
                        </w:r>
                      </w:p>
                    </w:tc>
                    <w:tc>
                      <w:tcPr>
                        <w:tcW w:w="994"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道业务部常务副总经理；</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月任北京</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华瑞富达科技有限公司总经理；</w:t>
                        </w:r>
                        <w:r>
                          <w:rPr>
                            <w:rFonts w:ascii="Times New Roman" w:hAnsi="Times New Roman" w:cs="Times New Roman" w:eastAsia="Times New Roman" w:hint="default"/>
                            <w:spacing w:val="4"/>
                            <w:sz w:val="18"/>
                            <w:szCs w:val="18"/>
                          </w:rPr>
                          <w:t>2013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2"/>
                            <w:sz w:val="18"/>
                            <w:szCs w:val="18"/>
                          </w:rPr>
                          <w:t>月任北京永超源支付科技有限公司总经理；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月至</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今担任北京高阳捷迅信息技术有限公司副总经理；</w:t>
                        </w:r>
                        <w:r>
                          <w:rPr>
                            <w:rFonts w:ascii="Times New Roman" w:hAnsi="Times New Roman" w:cs="Times New Roman" w:eastAsia="Times New Roman" w:hint="default"/>
                            <w:spacing w:val="4"/>
                            <w:sz w:val="18"/>
                            <w:szCs w:val="18"/>
                          </w:rPr>
                          <w:t>2017</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578" w:type="dxa"/>
                        <w:tcBorders>
                          <w:top w:val="nil" w:sz="6" w:space="0" w:color="auto"/>
                          <w:left w:val="single" w:sz="6" w:space="0" w:color="000000"/>
                          <w:bottom w:val="nil" w:sz="6" w:space="0" w:color="auto"/>
                          <w:right w:val="single" w:sz="6" w:space="0" w:color="000000"/>
                        </w:tcBorders>
                      </w:tcPr>
                      <w:p>
                        <w:pPr/>
                      </w:p>
                    </w:tc>
                    <w:tc>
                      <w:tcPr>
                        <w:tcW w:w="994" w:type="dxa"/>
                        <w:tcBorders>
                          <w:top w:val="nil" w:sz="6" w:space="0" w:color="auto"/>
                          <w:left w:val="single" w:sz="6" w:space="0" w:color="000000"/>
                          <w:bottom w:val="nil" w:sz="6" w:space="0" w:color="auto"/>
                          <w:right w:val="single" w:sz="6" w:space="0" w:color="000000"/>
                        </w:tcBorders>
                      </w:tcPr>
                      <w:p>
                        <w:pPr/>
                      </w:p>
                    </w:tc>
                    <w:tc>
                      <w:tcPr>
                        <w:tcW w:w="1064" w:type="dxa"/>
                        <w:tcBorders>
                          <w:top w:val="nil" w:sz="6" w:space="0" w:color="auto"/>
                          <w:left w:val="single" w:sz="6" w:space="0" w:color="000000"/>
                          <w:bottom w:val="nil" w:sz="6" w:space="0" w:color="auto"/>
                          <w:right w:val="single" w:sz="6" w:space="0" w:color="000000"/>
                        </w:tcBorders>
                      </w:tcPr>
                      <w:p>
                        <w:pPr/>
                      </w:p>
                    </w:tc>
                    <w:tc>
                      <w:tcPr>
                        <w:tcW w:w="446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9</w:t>
                        </w:r>
                        <w:r>
                          <w:rPr>
                            <w:rFonts w:ascii="宋体" w:hAnsi="宋体" w:cs="宋体" w:eastAsia="宋体" w:hint="default"/>
                            <w:spacing w:val="8"/>
                            <w:sz w:val="18"/>
                            <w:szCs w:val="18"/>
                          </w:rPr>
                          <w:t>月至今兼任大唐高鸿数据网络技术股份有限公司董</w:t>
                        </w:r>
                      </w:p>
                    </w:tc>
                    <w:tc>
                      <w:tcPr>
                        <w:tcW w:w="2558" w:type="dxa"/>
                        <w:tcBorders>
                          <w:top w:val="nil" w:sz="6" w:space="0" w:color="auto"/>
                          <w:left w:val="single" w:sz="6" w:space="0" w:color="000000"/>
                          <w:bottom w:val="nil" w:sz="6" w:space="0" w:color="auto"/>
                          <w:right w:val="single" w:sz="6" w:space="0" w:color="000000"/>
                        </w:tcBorders>
                      </w:tcPr>
                      <w:p>
                        <w:pPr/>
                      </w:p>
                    </w:tc>
                  </w:tr>
                  <w:tr>
                    <w:trPr>
                      <w:trHeight w:val="324" w:hRule="exact"/>
                    </w:trPr>
                    <w:tc>
                      <w:tcPr>
                        <w:tcW w:w="578" w:type="dxa"/>
                        <w:tcBorders>
                          <w:top w:val="nil" w:sz="6" w:space="0" w:color="auto"/>
                          <w:left w:val="single" w:sz="6" w:space="0" w:color="000000"/>
                          <w:bottom w:val="single" w:sz="6" w:space="0" w:color="000000"/>
                          <w:right w:val="single" w:sz="6" w:space="0" w:color="000000"/>
                        </w:tcBorders>
                      </w:tcPr>
                      <w:p>
                        <w:pPr/>
                      </w:p>
                    </w:tc>
                    <w:tc>
                      <w:tcPr>
                        <w:tcW w:w="994" w:type="dxa"/>
                        <w:tcBorders>
                          <w:top w:val="nil" w:sz="6" w:space="0" w:color="auto"/>
                          <w:left w:val="single" w:sz="6" w:space="0" w:color="000000"/>
                          <w:bottom w:val="single" w:sz="6" w:space="0" w:color="000000"/>
                          <w:right w:val="single" w:sz="6" w:space="0" w:color="000000"/>
                        </w:tcBorders>
                      </w:tcPr>
                      <w:p>
                        <w:pPr/>
                      </w:p>
                    </w:tc>
                    <w:tc>
                      <w:tcPr>
                        <w:tcW w:w="1064" w:type="dxa"/>
                        <w:tcBorders>
                          <w:top w:val="nil" w:sz="6" w:space="0" w:color="auto"/>
                          <w:left w:val="single" w:sz="6" w:space="0" w:color="000000"/>
                          <w:bottom w:val="single" w:sz="6" w:space="0" w:color="000000"/>
                          <w:right w:val="single" w:sz="6" w:space="0" w:color="000000"/>
                        </w:tcBorders>
                      </w:tcPr>
                      <w:p>
                        <w:pPr/>
                      </w:p>
                    </w:tc>
                    <w:tc>
                      <w:tcPr>
                        <w:tcW w:w="446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事。</w:t>
                        </w:r>
                      </w:p>
                    </w:tc>
                    <w:tc>
                      <w:tcPr>
                        <w:tcW w:w="2558" w:type="dxa"/>
                        <w:tcBorders>
                          <w:top w:val="nil" w:sz="6" w:space="0" w:color="auto"/>
                          <w:left w:val="single" w:sz="6" w:space="0" w:color="000000"/>
                          <w:bottom w:val="single" w:sz="6" w:space="0" w:color="000000"/>
                          <w:right w:val="single" w:sz="6" w:space="0" w:color="000000"/>
                        </w:tcBorders>
                      </w:tcPr>
                      <w:p>
                        <w:pPr/>
                      </w:p>
                    </w:tc>
                  </w:tr>
                  <w:tr>
                    <w:trPr>
                      <w:trHeight w:val="660"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段茂忠</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left"/>
                          <w:rPr>
                            <w:rFonts w:ascii="宋体" w:hAnsi="宋体" w:cs="宋体" w:eastAsia="宋体" w:hint="default"/>
                            <w:sz w:val="18"/>
                            <w:szCs w:val="18"/>
                          </w:rPr>
                        </w:pPr>
                        <w:r>
                          <w:rPr>
                            <w:rFonts w:ascii="宋体" w:hAnsi="宋体" w:cs="宋体" w:eastAsia="宋体" w:hint="default"/>
                            <w:spacing w:val="28"/>
                            <w:sz w:val="18"/>
                            <w:szCs w:val="18"/>
                          </w:rPr>
                          <w:t>天津财经大</w:t>
                        </w:r>
                        <w:r>
                          <w:rPr>
                            <w:rFonts w:ascii="宋体" w:hAnsi="宋体" w:cs="宋体" w:eastAsia="宋体" w:hint="default"/>
                            <w:spacing w:val="-86"/>
                            <w:sz w:val="18"/>
                            <w:szCs w:val="18"/>
                          </w:rPr>
                          <w:t> </w:t>
                        </w:r>
                        <w:r>
                          <w:rPr>
                            <w:rFonts w:ascii="宋体" w:hAnsi="宋体" w:cs="宋体" w:eastAsia="宋体" w:hint="default"/>
                            <w:spacing w:val="28"/>
                            <w:sz w:val="18"/>
                            <w:szCs w:val="18"/>
                          </w:rPr>
                          <w:t>学会计学硕</w:t>
                        </w:r>
                        <w:r>
                          <w:rPr>
                            <w:rFonts w:ascii="宋体" w:hAnsi="宋体" w:cs="宋体" w:eastAsia="宋体" w:hint="default"/>
                            <w:spacing w:val="-54"/>
                            <w:sz w:val="18"/>
                            <w:szCs w:val="18"/>
                          </w:rPr>
                          <w:t> </w:t>
                        </w:r>
                        <w:r>
                          <w:rPr>
                            <w:rFonts w:ascii="宋体" w:hAnsi="宋体" w:cs="宋体" w:eastAsia="宋体" w:hint="default"/>
                            <w:sz w:val="18"/>
                            <w:szCs w:val="18"/>
                          </w:rPr>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月至今任中国信息通信科技集团有限公司审计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与法务部副主任。曾任大唐电信科技产业控股有限公司审</w:t>
                        </w:r>
                      </w:p>
                    </w:tc>
                    <w:tc>
                      <w:tcPr>
                        <w:tcW w:w="2558"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spacing w:before="44"/>
        <w:ind w:left="154"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5.860001pt;margin-top:71.999985pt;width:484.05pt;height:694.2pt;mso-position-horizontal-relative:page;mso-position-vertical-relative:page;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994"/>
                    <w:gridCol w:w="1064"/>
                    <w:gridCol w:w="4465"/>
                    <w:gridCol w:w="2558"/>
                  </w:tblGrid>
                  <w:tr>
                    <w:trPr>
                      <w:trHeight w:val="2531"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6"/>
                            <w:sz w:val="18"/>
                            <w:szCs w:val="18"/>
                          </w:rPr>
                          <w:t>士；助理研究</w:t>
                        </w:r>
                        <w:r>
                          <w:rPr>
                            <w:rFonts w:ascii="宋体" w:hAnsi="宋体" w:cs="宋体" w:eastAsia="宋体" w:hint="default"/>
                            <w:sz w:val="18"/>
                            <w:szCs w:val="18"/>
                          </w:rPr>
                          <w:t> </w:t>
                        </w:r>
                        <w:r>
                          <w:rPr>
                            <w:rFonts w:ascii="宋体" w:hAnsi="宋体" w:cs="宋体" w:eastAsia="宋体" w:hint="default"/>
                            <w:spacing w:val="-6"/>
                            <w:sz w:val="18"/>
                            <w:szCs w:val="18"/>
                          </w:rPr>
                          <w:t>员；注册会计</w:t>
                        </w:r>
                        <w:r>
                          <w:rPr>
                            <w:rFonts w:ascii="宋体" w:hAnsi="宋体" w:cs="宋体" w:eastAsia="宋体" w:hint="default"/>
                            <w:sz w:val="18"/>
                            <w:szCs w:val="18"/>
                          </w:rPr>
                          <w:t> 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1"/>
                          <w:ind w:left="2" w:right="3"/>
                          <w:jc w:val="both"/>
                          <w:rPr>
                            <w:rFonts w:ascii="宋体" w:hAnsi="宋体" w:cs="宋体" w:eastAsia="宋体" w:hint="default"/>
                            <w:sz w:val="18"/>
                            <w:szCs w:val="18"/>
                          </w:rPr>
                        </w:pPr>
                        <w:r>
                          <w:rPr>
                            <w:rFonts w:ascii="宋体" w:hAnsi="宋体" w:cs="宋体" w:eastAsia="宋体" w:hint="default"/>
                            <w:spacing w:val="-3"/>
                            <w:sz w:val="18"/>
                            <w:szCs w:val="18"/>
                          </w:rPr>
                          <w:t>计事务部副总经理，大唐电信科技产业控股有限公司运营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管理部副总经理并兼任大唐电信科技产业控股有限公司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审计事务部总经理。同时，</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月兼任</w:t>
                        </w:r>
                        <w:r>
                          <w:rPr>
                            <w:rFonts w:ascii="宋体" w:hAnsi="宋体" w:cs="宋体" w:eastAsia="宋体" w:hint="default"/>
                            <w:spacing w:val="-61"/>
                            <w:sz w:val="18"/>
                            <w:szCs w:val="18"/>
                          </w:rPr>
                          <w:t> </w:t>
                        </w:r>
                        <w:r>
                          <w:rPr>
                            <w:rFonts w:ascii="宋体" w:hAnsi="宋体" w:cs="宋体" w:eastAsia="宋体" w:hint="default"/>
                            <w:sz w:val="18"/>
                            <w:szCs w:val="18"/>
                          </w:rPr>
                          <w:t>大唐电信集团财务有限责任公司监事、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月至今兼</w:t>
                        </w:r>
                        <w:r>
                          <w:rPr>
                            <w:rFonts w:ascii="宋体" w:hAnsi="宋体" w:cs="宋体" w:eastAsia="宋体" w:hint="default"/>
                            <w:spacing w:val="-62"/>
                            <w:sz w:val="18"/>
                            <w:szCs w:val="18"/>
                          </w:rPr>
                          <w:t> </w:t>
                        </w:r>
                        <w:r>
                          <w:rPr>
                            <w:rFonts w:ascii="宋体" w:hAnsi="宋体" w:cs="宋体" w:eastAsia="宋体" w:hint="default"/>
                            <w:sz w:val="18"/>
                            <w:szCs w:val="18"/>
                          </w:rPr>
                          <w:t>任大唐电信科技股份有限公司监事会主席、</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w:t>
                        </w:r>
                        <w:r>
                          <w:rPr>
                            <w:rFonts w:ascii="宋体" w:hAnsi="宋体" w:cs="宋体" w:eastAsia="宋体" w:hint="default"/>
                            <w:spacing w:val="-61"/>
                            <w:sz w:val="18"/>
                            <w:szCs w:val="18"/>
                          </w:rPr>
                          <w:t> </w:t>
                        </w:r>
                        <w:r>
                          <w:rPr>
                            <w:rFonts w:ascii="宋体" w:hAnsi="宋体" w:cs="宋体" w:eastAsia="宋体" w:hint="default"/>
                            <w:sz w:val="18"/>
                            <w:szCs w:val="18"/>
                          </w:rPr>
                          <w:t>今兼任北京信威通信技术股份有限公司监事。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pacing w:val="4"/>
                            <w:sz w:val="18"/>
                            <w:szCs w:val="18"/>
                          </w:rPr>
                          <w:t>至今兼任大唐高鸿数据网络技术股份有限公司监事会主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席。</w:t>
                        </w:r>
                      </w:p>
                    </w:tc>
                    <w:tc>
                      <w:tcPr>
                        <w:tcW w:w="2558" w:type="dxa"/>
                        <w:tcBorders>
                          <w:top w:val="single" w:sz="6" w:space="0" w:color="000000"/>
                          <w:left w:val="single" w:sz="6" w:space="0" w:color="000000"/>
                          <w:bottom w:val="single" w:sz="6" w:space="0" w:color="000000"/>
                          <w:right w:val="single" w:sz="6" w:space="0" w:color="000000"/>
                        </w:tcBorders>
                      </w:tcPr>
                      <w:p>
                        <w:pPr/>
                      </w:p>
                    </w:tc>
                  </w:tr>
                  <w:tr>
                    <w:trPr>
                      <w:trHeight w:val="5027"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孙绍利</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长春邮电大</w:t>
                        </w:r>
                        <w:r>
                          <w:rPr>
                            <w:rFonts w:ascii="宋体" w:hAnsi="宋体" w:cs="宋体" w:eastAsia="宋体" w:hint="default"/>
                            <w:spacing w:val="-86"/>
                            <w:sz w:val="18"/>
                            <w:szCs w:val="18"/>
                          </w:rPr>
                          <w:t> </w:t>
                        </w:r>
                        <w:r>
                          <w:rPr>
                            <w:rFonts w:ascii="宋体" w:hAnsi="宋体" w:cs="宋体" w:eastAsia="宋体" w:hint="default"/>
                            <w:spacing w:val="28"/>
                            <w:sz w:val="18"/>
                            <w:szCs w:val="18"/>
                          </w:rPr>
                          <w:t>学通信工程</w:t>
                        </w:r>
                        <w:r>
                          <w:rPr>
                            <w:rFonts w:ascii="宋体" w:hAnsi="宋体" w:cs="宋体" w:eastAsia="宋体" w:hint="default"/>
                            <w:spacing w:val="-86"/>
                            <w:sz w:val="18"/>
                            <w:szCs w:val="18"/>
                          </w:rPr>
                          <w:t> </w:t>
                        </w:r>
                        <w:r>
                          <w:rPr>
                            <w:rFonts w:ascii="宋体" w:hAnsi="宋体" w:cs="宋体" w:eastAsia="宋体" w:hint="default"/>
                            <w:spacing w:val="-6"/>
                            <w:sz w:val="18"/>
                            <w:szCs w:val="18"/>
                          </w:rPr>
                          <w:t>专业学士，北</w:t>
                        </w:r>
                        <w:r>
                          <w:rPr>
                            <w:rFonts w:ascii="宋体" w:hAnsi="宋体" w:cs="宋体" w:eastAsia="宋体" w:hint="default"/>
                            <w:sz w:val="18"/>
                            <w:szCs w:val="18"/>
                          </w:rPr>
                          <w:t> </w:t>
                        </w:r>
                        <w:r>
                          <w:rPr>
                            <w:rFonts w:ascii="宋体" w:hAnsi="宋体" w:cs="宋体" w:eastAsia="宋体" w:hint="default"/>
                            <w:spacing w:val="28"/>
                            <w:sz w:val="18"/>
                            <w:szCs w:val="18"/>
                          </w:rPr>
                          <w:t>京邮电大学</w:t>
                        </w:r>
                        <w:r>
                          <w:rPr>
                            <w:rFonts w:ascii="宋体" w:hAnsi="宋体" w:cs="宋体" w:eastAsia="宋体" w:hint="default"/>
                            <w:spacing w:val="-86"/>
                            <w:sz w:val="18"/>
                            <w:szCs w:val="18"/>
                          </w:rPr>
                          <w:t> </w:t>
                        </w:r>
                        <w:r>
                          <w:rPr>
                            <w:rFonts w:ascii="宋体" w:hAnsi="宋体" w:cs="宋体" w:eastAsia="宋体" w:hint="default"/>
                            <w:spacing w:val="28"/>
                            <w:sz w:val="18"/>
                            <w:szCs w:val="18"/>
                          </w:rPr>
                          <w:t>工商管理专</w:t>
                        </w:r>
                        <w:r>
                          <w:rPr>
                            <w:rFonts w:ascii="宋体" w:hAnsi="宋体" w:cs="宋体" w:eastAsia="宋体" w:hint="default"/>
                            <w:spacing w:val="-86"/>
                            <w:sz w:val="18"/>
                            <w:szCs w:val="18"/>
                          </w:rPr>
                          <w:t> </w:t>
                        </w:r>
                        <w:r>
                          <w:rPr>
                            <w:rFonts w:ascii="宋体" w:hAnsi="宋体" w:cs="宋体" w:eastAsia="宋体" w:hint="default"/>
                            <w:spacing w:val="-6"/>
                            <w:sz w:val="18"/>
                            <w:szCs w:val="18"/>
                          </w:rPr>
                          <w:t>业，获工商管</w:t>
                        </w:r>
                        <w:r>
                          <w:rPr>
                            <w:rFonts w:ascii="宋体" w:hAnsi="宋体" w:cs="宋体" w:eastAsia="宋体" w:hint="default"/>
                            <w:sz w:val="18"/>
                            <w:szCs w:val="18"/>
                          </w:rPr>
                          <w:t> 理硕士学位</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7"/>
                          <w:jc w:val="both"/>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月任电信科学技术研究院软件研发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中心软件工程师；</w:t>
                        </w:r>
                        <w:r>
                          <w:rPr>
                            <w:rFonts w:ascii="Times New Roman" w:hAnsi="Times New Roman" w:cs="Times New Roman" w:eastAsia="Times New Roman" w:hint="default"/>
                            <w:spacing w:val="-2"/>
                            <w:sz w:val="18"/>
                            <w:szCs w:val="18"/>
                          </w:rPr>
                          <w:t>1996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月任电信科学技术</w:t>
                        </w:r>
                        <w:r>
                          <w:rPr>
                            <w:rFonts w:ascii="宋体" w:hAnsi="宋体" w:cs="宋体" w:eastAsia="宋体" w:hint="default"/>
                            <w:spacing w:val="-86"/>
                            <w:sz w:val="18"/>
                            <w:szCs w:val="18"/>
                          </w:rPr>
                          <w:t> </w:t>
                        </w:r>
                        <w:r>
                          <w:rPr>
                            <w:rFonts w:ascii="宋体" w:hAnsi="宋体" w:cs="宋体" w:eastAsia="宋体" w:hint="default"/>
                            <w:spacing w:val="8"/>
                            <w:sz w:val="18"/>
                            <w:szCs w:val="18"/>
                          </w:rPr>
                          <w:t>研究院软件研发中心电信系统部副经理；</w:t>
                        </w:r>
                        <w:r>
                          <w:rPr>
                            <w:rFonts w:ascii="Times New Roman" w:hAnsi="Times New Roman" w:cs="Times New Roman" w:eastAsia="Times New Roman" w:hint="default"/>
                            <w:spacing w:val="8"/>
                            <w:sz w:val="18"/>
                            <w:szCs w:val="18"/>
                          </w:rPr>
                          <w:t>1998</w:t>
                        </w:r>
                        <w:r>
                          <w:rPr>
                            <w:rFonts w:ascii="宋体" w:hAnsi="宋体" w:cs="宋体" w:eastAsia="宋体" w:hint="default"/>
                            <w:spacing w:val="8"/>
                            <w:sz w:val="18"/>
                            <w:szCs w:val="18"/>
                          </w:rPr>
                          <w:t>年</w:t>
                        </w:r>
                        <w:r>
                          <w:rPr>
                            <w:rFonts w:ascii="Times New Roman" w:hAnsi="Times New Roman" w:cs="Times New Roman" w:eastAsia="Times New Roman" w:hint="default"/>
                            <w:spacing w:val="8"/>
                            <w:sz w:val="18"/>
                            <w:szCs w:val="18"/>
                          </w:rPr>
                          <w:t>7</w:t>
                        </w:r>
                        <w:r>
                          <w:rPr>
                            <w:rFonts w:ascii="宋体" w:hAnsi="宋体" w:cs="宋体" w:eastAsia="宋体" w:hint="default"/>
                            <w:spacing w:val="8"/>
                            <w:sz w:val="18"/>
                            <w:szCs w:val="18"/>
                          </w:rPr>
                          <w:t>月至</w:t>
                        </w:r>
                        <w:r>
                          <w:rPr>
                            <w:rFonts w:ascii="宋体" w:hAnsi="宋体" w:cs="宋体" w:eastAsia="宋体" w:hint="default"/>
                            <w:spacing w:val="-84"/>
                            <w:sz w:val="18"/>
                            <w:szCs w:val="18"/>
                          </w:rPr>
                          <w:t> </w:t>
                        </w:r>
                        <w:r>
                          <w:rPr>
                            <w:rFonts w:ascii="Times New Roman" w:hAnsi="Times New Roman" w:cs="Times New Roman" w:eastAsia="Times New Roman" w:hint="default"/>
                            <w:spacing w:val="3"/>
                            <w:sz w:val="18"/>
                            <w:szCs w:val="18"/>
                          </w:rPr>
                          <w:t>1999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月任大唐电信科技股份有限公司软件分公司计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费部经理；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月历任北京大唐中联系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统集成有限公司副总经理、总经理；</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41"/>
                            <w:sz w:val="18"/>
                            <w:szCs w:val="18"/>
                          </w:rPr>
                          <w:t> </w:t>
                        </w:r>
                        <w:r>
                          <w:rPr>
                            <w:rFonts w:ascii="宋体" w:hAnsi="宋体" w:cs="宋体" w:eastAsia="宋体" w:hint="default"/>
                            <w:spacing w:val="-3"/>
                            <w:sz w:val="18"/>
                            <w:szCs w:val="18"/>
                          </w:rPr>
                          <w:t>月任北京大唐融合通信技术有限公司董事、总经理，其中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月起兼任大唐融合通信技术无锡有限公司董事，</w:t>
                        </w:r>
                      </w:p>
                      <w:p>
                        <w:pPr>
                          <w:pStyle w:val="TableParagraph"/>
                          <w:spacing w:line="240" w:lineRule="auto" w:before="11"/>
                          <w:ind w:left="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月起兼任大唐融合信息服务有限公司执行董事，</w:t>
                        </w:r>
                      </w:p>
                      <w:p>
                        <w:pPr>
                          <w:pStyle w:val="TableParagraph"/>
                          <w:spacing w:line="300" w:lineRule="auto" w:before="63"/>
                          <w:ind w:left="2"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月起兼任大唐融合通信股份有限公司北京分公司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负责人，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月起兼任康融道（北京）投资控股有限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公司执行董事，</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月兼任高鸿股份公司</w:t>
                        </w:r>
                        <w:r>
                          <w:rPr>
                            <w:rFonts w:ascii="宋体" w:hAnsi="宋体" w:cs="宋体" w:eastAsia="宋体" w:hint="default"/>
                            <w:spacing w:val="-86"/>
                            <w:sz w:val="18"/>
                            <w:szCs w:val="18"/>
                          </w:rPr>
                          <w:t> </w:t>
                        </w:r>
                        <w:r>
                          <w:rPr>
                            <w:rFonts w:ascii="宋体" w:hAnsi="宋体" w:cs="宋体" w:eastAsia="宋体" w:hint="default"/>
                            <w:sz w:val="18"/>
                            <w:szCs w:val="18"/>
                          </w:rPr>
                          <w:t>职工董事。</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月兼任大唐高鸿股份公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司总经理助理，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月起至今担任大唐融合通信股份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有限公司董事长、总经理，</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月兼任大唐高鸿数据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网络技术股份有限公司监事。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99"/>
                          <w:jc w:val="left"/>
                          <w:rPr>
                            <w:rFonts w:ascii="宋体" w:hAnsi="宋体" w:cs="宋体" w:eastAsia="宋体" w:hint="default"/>
                            <w:sz w:val="18"/>
                            <w:szCs w:val="18"/>
                          </w:rPr>
                        </w:pPr>
                        <w:r>
                          <w:rPr>
                            <w:rFonts w:ascii="宋体" w:hAnsi="宋体" w:cs="宋体" w:eastAsia="宋体" w:hint="default"/>
                            <w:sz w:val="18"/>
                            <w:szCs w:val="18"/>
                          </w:rPr>
                          <w:t>主持大唐融合公司全面经营工 作。</w:t>
                        </w:r>
                      </w:p>
                    </w:tc>
                  </w:tr>
                  <w:tr>
                    <w:trPr>
                      <w:trHeight w:val="1907"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黄霈霖</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中国人民大</w:t>
                        </w:r>
                        <w:r>
                          <w:rPr>
                            <w:rFonts w:ascii="宋体" w:hAnsi="宋体" w:cs="宋体" w:eastAsia="宋体" w:hint="default"/>
                            <w:spacing w:val="-86"/>
                            <w:sz w:val="18"/>
                            <w:szCs w:val="18"/>
                          </w:rPr>
                          <w:t> </w:t>
                        </w:r>
                        <w:r>
                          <w:rPr>
                            <w:rFonts w:ascii="宋体" w:hAnsi="宋体" w:cs="宋体" w:eastAsia="宋体" w:hint="default"/>
                            <w:spacing w:val="28"/>
                            <w:sz w:val="18"/>
                            <w:szCs w:val="18"/>
                          </w:rPr>
                          <w:t>学经济学硕</w:t>
                        </w:r>
                        <w:r>
                          <w:rPr>
                            <w:rFonts w:ascii="宋体" w:hAnsi="宋体" w:cs="宋体" w:eastAsia="宋体" w:hint="default"/>
                            <w:spacing w:val="-86"/>
                            <w:sz w:val="18"/>
                            <w:szCs w:val="18"/>
                          </w:rPr>
                          <w:t> </w:t>
                        </w:r>
                        <w:r>
                          <w:rPr>
                            <w:rFonts w:ascii="宋体" w:hAnsi="宋体" w:cs="宋体" w:eastAsia="宋体" w:hint="default"/>
                            <w:sz w:val="18"/>
                            <w:szCs w:val="18"/>
                          </w:rPr>
                          <w:t>士</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年曾先后任高鸿股份商务部总经理助理、业</w:t>
                        </w:r>
                        <w:r>
                          <w:rPr>
                            <w:rFonts w:ascii="宋体" w:hAnsi="宋体" w:cs="宋体" w:eastAsia="宋体" w:hint="default"/>
                            <w:sz w:val="18"/>
                            <w:szCs w:val="18"/>
                          </w:rPr>
                          <w:t> </w:t>
                        </w:r>
                        <w:r>
                          <w:rPr>
                            <w:rFonts w:ascii="宋体" w:hAnsi="宋体" w:cs="宋体" w:eastAsia="宋体" w:hint="default"/>
                            <w:spacing w:val="-3"/>
                            <w:sz w:val="18"/>
                            <w:szCs w:val="18"/>
                          </w:rPr>
                          <w:t>务合作规划部总经理助理、资产管理部总经理助理。</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月至今担任经营支持部副总经理。曾任大唐融合通信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技术无锡有限公司监事，</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年至今任大唐融合通信股份</w:t>
                        </w:r>
                        <w:r>
                          <w:rPr>
                            <w:rFonts w:ascii="宋体" w:hAnsi="宋体" w:cs="宋体" w:eastAsia="宋体" w:hint="default"/>
                            <w:spacing w:val="-65"/>
                            <w:sz w:val="18"/>
                            <w:szCs w:val="18"/>
                          </w:rPr>
                          <w:t> </w:t>
                        </w:r>
                        <w:r>
                          <w:rPr>
                            <w:rFonts w:ascii="宋体" w:hAnsi="宋体" w:cs="宋体" w:eastAsia="宋体" w:hint="default"/>
                            <w:sz w:val="18"/>
                            <w:szCs w:val="18"/>
                          </w:rPr>
                          <w:t>有限公司监事。</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月兼任大唐高鸿数据网络技术股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份有限公司监事。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4"/>
                            <w:sz w:val="18"/>
                            <w:szCs w:val="18"/>
                          </w:rPr>
                          <w:t>全面负责总部行政综合管理工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作。</w:t>
                        </w:r>
                      </w:p>
                    </w:tc>
                  </w:tr>
                  <w:tr>
                    <w:trPr>
                      <w:trHeight w:val="4404"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王芊</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中国人民大</w:t>
                        </w:r>
                        <w:r>
                          <w:rPr>
                            <w:rFonts w:ascii="宋体" w:hAnsi="宋体" w:cs="宋体" w:eastAsia="宋体" w:hint="default"/>
                            <w:spacing w:val="-86"/>
                            <w:sz w:val="18"/>
                            <w:szCs w:val="18"/>
                          </w:rPr>
                          <w:t> </w:t>
                        </w:r>
                        <w:r>
                          <w:rPr>
                            <w:rFonts w:ascii="宋体" w:hAnsi="宋体" w:cs="宋体" w:eastAsia="宋体" w:hint="default"/>
                            <w:spacing w:val="28"/>
                            <w:sz w:val="18"/>
                            <w:szCs w:val="18"/>
                          </w:rPr>
                          <w:t>学金融学专</w:t>
                        </w:r>
                        <w:r>
                          <w:rPr>
                            <w:rFonts w:ascii="宋体" w:hAnsi="宋体" w:cs="宋体" w:eastAsia="宋体" w:hint="default"/>
                            <w:spacing w:val="-86"/>
                            <w:sz w:val="18"/>
                            <w:szCs w:val="18"/>
                          </w:rPr>
                          <w:t> </w:t>
                        </w:r>
                        <w:r>
                          <w:rPr>
                            <w:rFonts w:ascii="宋体" w:hAnsi="宋体" w:cs="宋体" w:eastAsia="宋体" w:hint="default"/>
                            <w:spacing w:val="-6"/>
                            <w:sz w:val="18"/>
                            <w:szCs w:val="18"/>
                          </w:rPr>
                          <w:t>业，经济学硕</w:t>
                        </w:r>
                        <w:r>
                          <w:rPr>
                            <w:rFonts w:ascii="宋体" w:hAnsi="宋体" w:cs="宋体" w:eastAsia="宋体" w:hint="default"/>
                            <w:sz w:val="18"/>
                            <w:szCs w:val="18"/>
                          </w:rPr>
                          <w:t> 士学位</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月至今任公司总经理。</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年任大唐电</w:t>
                        </w:r>
                        <w:r>
                          <w:rPr>
                            <w:rFonts w:ascii="宋体" w:hAnsi="宋体" w:cs="宋体" w:eastAsia="宋体" w:hint="default"/>
                            <w:spacing w:val="-82"/>
                            <w:sz w:val="18"/>
                            <w:szCs w:val="18"/>
                          </w:rPr>
                          <w:t> </w:t>
                        </w:r>
                        <w:r>
                          <w:rPr>
                            <w:rFonts w:ascii="宋体" w:hAnsi="宋体" w:cs="宋体" w:eastAsia="宋体" w:hint="default"/>
                            <w:spacing w:val="-3"/>
                            <w:sz w:val="18"/>
                            <w:szCs w:val="18"/>
                          </w:rPr>
                          <w:t>信科技股份有限公司投资部经理；</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年任公司投资发展</w:t>
                        </w:r>
                        <w:r>
                          <w:rPr>
                            <w:rFonts w:ascii="宋体" w:hAnsi="宋体" w:cs="宋体" w:eastAsia="宋体" w:hint="default"/>
                            <w:spacing w:val="-65"/>
                            <w:sz w:val="18"/>
                            <w:szCs w:val="18"/>
                          </w:rPr>
                          <w:t> </w:t>
                        </w:r>
                        <w:r>
                          <w:rPr>
                            <w:rFonts w:ascii="宋体" w:hAnsi="宋体" w:cs="宋体" w:eastAsia="宋体" w:hint="default"/>
                            <w:spacing w:val="-2"/>
                            <w:sz w:val="18"/>
                            <w:szCs w:val="18"/>
                          </w:rPr>
                          <w:t>部总经理；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年任公司董事会秘书兼投资发展</w:t>
                        </w:r>
                        <w:r>
                          <w:rPr>
                            <w:rFonts w:ascii="宋体" w:hAnsi="宋体" w:cs="宋体" w:eastAsia="宋体" w:hint="default"/>
                            <w:sz w:val="18"/>
                            <w:szCs w:val="18"/>
                          </w:rPr>
                          <w:t> 部总经理；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月任公司董事会秘书；</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8"/>
                            <w:sz w:val="18"/>
                            <w:szCs w:val="18"/>
                          </w:rPr>
                          <w:t>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月至</w:t>
                        </w:r>
                        <w:r>
                          <w:rPr>
                            <w:rFonts w:ascii="Times New Roman" w:hAnsi="Times New Roman" w:cs="Times New Roman" w:eastAsia="Times New Roman" w:hint="default"/>
                            <w:spacing w:val="7"/>
                            <w:sz w:val="18"/>
                            <w:szCs w:val="18"/>
                          </w:rPr>
                          <w:t>2010</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12</w:t>
                        </w:r>
                        <w:r>
                          <w:rPr>
                            <w:rFonts w:ascii="宋体" w:hAnsi="宋体" w:cs="宋体" w:eastAsia="宋体" w:hint="default"/>
                            <w:spacing w:val="7"/>
                            <w:sz w:val="18"/>
                            <w:szCs w:val="18"/>
                          </w:rPr>
                          <w:t>月任公司董事会秘书兼财务负责人；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月任公司副总经理、董事会秘书兼财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务负责人；</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日任公司副总经理兼</w:t>
                        </w:r>
                        <w:r>
                          <w:rPr>
                            <w:rFonts w:ascii="宋体" w:hAnsi="宋体" w:cs="宋体" w:eastAsia="宋体" w:hint="default"/>
                            <w:spacing w:val="-85"/>
                            <w:sz w:val="18"/>
                            <w:szCs w:val="18"/>
                          </w:rPr>
                          <w:t> </w:t>
                        </w:r>
                        <w:r>
                          <w:rPr>
                            <w:rFonts w:ascii="宋体" w:hAnsi="宋体" w:cs="宋体" w:eastAsia="宋体" w:hint="default"/>
                            <w:spacing w:val="-3"/>
                            <w:sz w:val="18"/>
                            <w:szCs w:val="18"/>
                          </w:rPr>
                          <w:t>董事会秘书；兼任控股子公司大唐投资管理（北京）有限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公司董事长兼总经理，贵州大唐高鸿置业有限公司执行董</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事兼总经理。</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主持经理层全面工作，负责公司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战略与规划的组织、推动和实施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负责科研与技术规划、科研项目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管理、项目申报及成果管理、研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发技术资源的协调共享、知识产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权、商标、标准及专利等管理；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负责公司经济运行及考核。协助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董事长负责法务管理、全面风险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管理、产业布局的落地实施、产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业园区建设及监督管理。分管战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略与科研管理部（产品中心）、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义乌研究院、浙江高鸿、济宁高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鸿公司、恒昌公司、投资公司，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并负责组织贵州高鸿置业公司重</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154"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r>
        <w:rPr/>
        <w:pict>
          <v:shape style="position:absolute;margin-left:55.860001pt;margin-top:71.999985pt;width:484.05pt;height:695.95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994"/>
                    <w:gridCol w:w="1064"/>
                    <w:gridCol w:w="4465"/>
                    <w:gridCol w:w="2558"/>
                  </w:tblGrid>
                  <w:tr>
                    <w:trPr>
                      <w:trHeight w:val="347"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4465" w:type="dxa"/>
                        <w:tcBorders>
                          <w:top w:val="single" w:sz="6" w:space="0" w:color="000000"/>
                          <w:left w:val="single" w:sz="6" w:space="0" w:color="000000"/>
                          <w:bottom w:val="single" w:sz="6" w:space="0" w:color="000000"/>
                          <w:right w:val="single" w:sz="6" w:space="0" w:color="000000"/>
                        </w:tcBorders>
                      </w:tcPr>
                      <w:p>
                        <w:pP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大事项决策。</w:t>
                        </w:r>
                      </w:p>
                    </w:tc>
                  </w:tr>
                  <w:tr>
                    <w:trPr>
                      <w:trHeight w:val="3155"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赵德胜</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清华大学计</w:t>
                        </w:r>
                        <w:r>
                          <w:rPr>
                            <w:rFonts w:ascii="宋体" w:hAnsi="宋体" w:cs="宋体" w:eastAsia="宋体" w:hint="default"/>
                            <w:spacing w:val="-86"/>
                            <w:sz w:val="18"/>
                            <w:szCs w:val="18"/>
                          </w:rPr>
                          <w:t> </w:t>
                        </w:r>
                        <w:r>
                          <w:rPr>
                            <w:rFonts w:ascii="宋体" w:hAnsi="宋体" w:cs="宋体" w:eastAsia="宋体" w:hint="default"/>
                            <w:spacing w:val="28"/>
                            <w:sz w:val="18"/>
                            <w:szCs w:val="18"/>
                          </w:rPr>
                          <w:t>算机科学与</w:t>
                        </w:r>
                        <w:r>
                          <w:rPr>
                            <w:rFonts w:ascii="宋体" w:hAnsi="宋体" w:cs="宋体" w:eastAsia="宋体" w:hint="default"/>
                            <w:spacing w:val="-86"/>
                            <w:sz w:val="18"/>
                            <w:szCs w:val="18"/>
                          </w:rPr>
                          <w:t> </w:t>
                        </w:r>
                        <w:r>
                          <w:rPr>
                            <w:rFonts w:ascii="宋体" w:hAnsi="宋体" w:cs="宋体" w:eastAsia="宋体" w:hint="default"/>
                            <w:spacing w:val="-6"/>
                            <w:sz w:val="18"/>
                            <w:szCs w:val="18"/>
                          </w:rPr>
                          <w:t>技术专业，工</w:t>
                        </w:r>
                        <w:r>
                          <w:rPr>
                            <w:rFonts w:ascii="宋体" w:hAnsi="宋体" w:cs="宋体" w:eastAsia="宋体" w:hint="default"/>
                            <w:sz w:val="18"/>
                            <w:szCs w:val="18"/>
                          </w:rPr>
                          <w:t> 学学士学位， 高级工程师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both"/>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月至今任公司副总经理。</w:t>
                        </w:r>
                        <w:r>
                          <w:rPr>
                            <w:rFonts w:ascii="Times New Roman" w:hAnsi="Times New Roman" w:cs="Times New Roman" w:eastAsia="Times New Roman" w:hint="default"/>
                            <w:sz w:val="18"/>
                            <w:szCs w:val="18"/>
                          </w:rPr>
                          <w:t>1989</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月航天工业总公司二院</w:t>
                        </w:r>
                        <w:r>
                          <w:rPr>
                            <w:rFonts w:ascii="Times New Roman" w:hAnsi="Times New Roman" w:cs="Times New Roman" w:eastAsia="Times New Roman" w:hint="default"/>
                            <w:sz w:val="18"/>
                            <w:szCs w:val="18"/>
                          </w:rPr>
                          <w:t>706</w:t>
                        </w:r>
                        <w:r>
                          <w:rPr>
                            <w:rFonts w:ascii="宋体" w:hAnsi="宋体" w:cs="宋体" w:eastAsia="宋体" w:hint="default"/>
                            <w:sz w:val="18"/>
                            <w:szCs w:val="18"/>
                          </w:rPr>
                          <w:t>所工作；</w:t>
                        </w:r>
                        <w:r>
                          <w:rPr>
                            <w:rFonts w:ascii="Times New Roman" w:hAnsi="Times New Roman" w:cs="Times New Roman" w:eastAsia="Times New Roman" w:hint="default"/>
                            <w:sz w:val="18"/>
                            <w:szCs w:val="18"/>
                          </w:rPr>
                          <w:t>1995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2"/>
                            <w:sz w:val="18"/>
                            <w:szCs w:val="18"/>
                          </w:rPr>
                          <w:t>03</w:t>
                        </w:r>
                        <w:r>
                          <w:rPr>
                            <w:rFonts w:ascii="宋体" w:hAnsi="宋体" w:cs="宋体" w:eastAsia="宋体" w:hint="default"/>
                            <w:spacing w:val="-2"/>
                            <w:sz w:val="18"/>
                            <w:szCs w:val="18"/>
                          </w:rPr>
                          <w:t>月任北京高鸿通信技术有限公司硬件部经理；</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03</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09</w:t>
                        </w:r>
                        <w:r>
                          <w:rPr>
                            <w:rFonts w:ascii="宋体" w:hAnsi="宋体" w:cs="宋体" w:eastAsia="宋体" w:hint="default"/>
                            <w:spacing w:val="3"/>
                            <w:sz w:val="18"/>
                            <w:szCs w:val="18"/>
                          </w:rPr>
                          <w:t>月任北京高鸿通信技术有限公司研发部副</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总工程师；</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至</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月任北京高鸿通信技术有</w:t>
                        </w:r>
                        <w:r>
                          <w:rPr>
                            <w:rFonts w:ascii="宋体" w:hAnsi="宋体" w:cs="宋体" w:eastAsia="宋体" w:hint="default"/>
                            <w:spacing w:val="-85"/>
                            <w:sz w:val="18"/>
                            <w:szCs w:val="18"/>
                          </w:rPr>
                          <w:t> </w:t>
                        </w:r>
                        <w:r>
                          <w:rPr>
                            <w:rFonts w:ascii="宋体" w:hAnsi="宋体" w:cs="宋体" w:eastAsia="宋体" w:hint="default"/>
                            <w:spacing w:val="-2"/>
                            <w:sz w:val="18"/>
                            <w:szCs w:val="18"/>
                          </w:rPr>
                          <w:t>限公司研发中心主任；</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月任北京高</w:t>
                        </w:r>
                        <w:r>
                          <w:rPr>
                            <w:rFonts w:ascii="宋体" w:hAnsi="宋体" w:cs="宋体" w:eastAsia="宋体" w:hint="default"/>
                            <w:spacing w:val="-84"/>
                            <w:sz w:val="18"/>
                            <w:szCs w:val="18"/>
                          </w:rPr>
                          <w:t> </w:t>
                        </w:r>
                        <w:r>
                          <w:rPr>
                            <w:rFonts w:ascii="宋体" w:hAnsi="宋体" w:cs="宋体" w:eastAsia="宋体" w:hint="default"/>
                            <w:spacing w:val="-2"/>
                            <w:sz w:val="18"/>
                            <w:szCs w:val="18"/>
                          </w:rPr>
                          <w:t>鸿通信技术有限公司总体预研部经理；</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月任高鸿数据副总经理；</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月兼</w:t>
                        </w:r>
                        <w:r>
                          <w:rPr>
                            <w:rFonts w:ascii="宋体" w:hAnsi="宋体" w:cs="宋体" w:eastAsia="宋体" w:hint="default"/>
                            <w:spacing w:val="-61"/>
                            <w:sz w:val="18"/>
                            <w:szCs w:val="18"/>
                          </w:rPr>
                          <w:t> </w:t>
                        </w:r>
                        <w:r>
                          <w:rPr>
                            <w:rFonts w:ascii="宋体" w:hAnsi="宋体" w:cs="宋体" w:eastAsia="宋体" w:hint="default"/>
                            <w:spacing w:val="-2"/>
                            <w:sz w:val="18"/>
                            <w:szCs w:val="18"/>
                          </w:rPr>
                          <w:t>任高鸿恒昌科技有限公司董事长；</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04</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月兼任大唐同威投资管理（深圳）有限公司董事。</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协助总经理推进和落地实 施车联网业务规划工作，全面负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责车联网业务的经营管理工作，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包括车联网业务的战略规划、技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术研究、产品开发、专利管理、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科研项目申报等管理工作；分管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车联网事业部。</w:t>
                        </w:r>
                      </w:p>
                    </w:tc>
                  </w:tr>
                  <w:tr>
                    <w:trPr>
                      <w:trHeight w:val="3779"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刘雪峰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北京理工大</w:t>
                        </w:r>
                        <w:r>
                          <w:rPr>
                            <w:rFonts w:ascii="宋体" w:hAnsi="宋体" w:cs="宋体" w:eastAsia="宋体" w:hint="default"/>
                            <w:spacing w:val="-86"/>
                            <w:sz w:val="18"/>
                            <w:szCs w:val="18"/>
                          </w:rPr>
                          <w:t> </w:t>
                        </w:r>
                        <w:r>
                          <w:rPr>
                            <w:rFonts w:ascii="宋体" w:hAnsi="宋体" w:cs="宋体" w:eastAsia="宋体" w:hint="default"/>
                            <w:spacing w:val="28"/>
                            <w:sz w:val="18"/>
                            <w:szCs w:val="18"/>
                          </w:rPr>
                          <w:t>学光学仪器</w:t>
                        </w:r>
                        <w:r>
                          <w:rPr>
                            <w:rFonts w:ascii="宋体" w:hAnsi="宋体" w:cs="宋体" w:eastAsia="宋体" w:hint="default"/>
                            <w:spacing w:val="-86"/>
                            <w:sz w:val="18"/>
                            <w:szCs w:val="18"/>
                          </w:rPr>
                          <w:t> </w:t>
                        </w:r>
                        <w:r>
                          <w:rPr>
                            <w:rFonts w:ascii="宋体" w:hAnsi="宋体" w:cs="宋体" w:eastAsia="宋体" w:hint="default"/>
                            <w:spacing w:val="-6"/>
                            <w:sz w:val="18"/>
                            <w:szCs w:val="18"/>
                          </w:rPr>
                          <w:t>专业，工学硕</w:t>
                        </w:r>
                        <w:r>
                          <w:rPr>
                            <w:rFonts w:ascii="宋体" w:hAnsi="宋体" w:cs="宋体" w:eastAsia="宋体" w:hint="default"/>
                            <w:sz w:val="18"/>
                            <w:szCs w:val="18"/>
                          </w:rPr>
                          <w:t> </w:t>
                        </w:r>
                        <w:r>
                          <w:rPr>
                            <w:rFonts w:ascii="宋体" w:hAnsi="宋体" w:cs="宋体" w:eastAsia="宋体" w:hint="default"/>
                            <w:spacing w:val="-6"/>
                            <w:sz w:val="18"/>
                            <w:szCs w:val="18"/>
                          </w:rPr>
                          <w:t>士学位，高级</w:t>
                        </w:r>
                        <w:r>
                          <w:rPr>
                            <w:rFonts w:ascii="宋体" w:hAnsi="宋体" w:cs="宋体" w:eastAsia="宋体" w:hint="default"/>
                            <w:sz w:val="18"/>
                            <w:szCs w:val="18"/>
                          </w:rPr>
                          <w:t> 工程师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月至今任公司副总经理。</w:t>
                        </w:r>
                        <w:r>
                          <w:rPr>
                            <w:rFonts w:ascii="Times New Roman" w:hAnsi="Times New Roman" w:cs="Times New Roman" w:eastAsia="Times New Roman" w:hint="default"/>
                            <w:spacing w:val="-2"/>
                            <w:sz w:val="18"/>
                            <w:szCs w:val="18"/>
                          </w:rPr>
                          <w:t>1994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08</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月任北京理工大学教师；</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月北京理</w:t>
                        </w:r>
                        <w:r>
                          <w:rPr>
                            <w:rFonts w:ascii="宋体" w:hAnsi="宋体" w:cs="宋体" w:eastAsia="宋体" w:hint="default"/>
                            <w:spacing w:val="-84"/>
                            <w:sz w:val="18"/>
                            <w:szCs w:val="18"/>
                          </w:rPr>
                          <w:t> </w:t>
                        </w:r>
                        <w:r>
                          <w:rPr>
                            <w:rFonts w:ascii="宋体" w:hAnsi="宋体" w:cs="宋体" w:eastAsia="宋体" w:hint="default"/>
                            <w:spacing w:val="-2"/>
                            <w:sz w:val="18"/>
                            <w:szCs w:val="18"/>
                          </w:rPr>
                          <w:t>工大学光电学院光学仪器专业研究生学习；</w:t>
                        </w:r>
                        <w:r>
                          <w:rPr>
                            <w:rFonts w:ascii="Times New Roman" w:hAnsi="Times New Roman" w:cs="Times New Roman" w:eastAsia="Times New Roman" w:hint="default"/>
                            <w:spacing w:val="-2"/>
                            <w:sz w:val="18"/>
                            <w:szCs w:val="18"/>
                          </w:rPr>
                          <w:t>1998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1999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月任大唐电信科技股份有限公司市场部技术部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经理；</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月任大唐电信科技股份有限</w:t>
                        </w:r>
                        <w:r>
                          <w:rPr>
                            <w:rFonts w:ascii="宋体" w:hAnsi="宋体" w:cs="宋体" w:eastAsia="宋体" w:hint="default"/>
                            <w:spacing w:val="-85"/>
                            <w:sz w:val="18"/>
                            <w:szCs w:val="18"/>
                          </w:rPr>
                          <w:t> </w:t>
                        </w:r>
                        <w:r>
                          <w:rPr>
                            <w:rFonts w:ascii="宋体" w:hAnsi="宋体" w:cs="宋体" w:eastAsia="宋体" w:hint="default"/>
                            <w:sz w:val="18"/>
                            <w:szCs w:val="18"/>
                          </w:rPr>
                          <w:t>公司市场部总经理助理；</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宋体" w:hAnsi="宋体" w:cs="宋体" w:eastAsia="宋体" w:hint="default"/>
                            <w:sz w:val="18"/>
                            <w:szCs w:val="18"/>
                          </w:rPr>
                          <w:t>大唐</w:t>
                        </w:r>
                        <w:r>
                          <w:rPr>
                            <w:rFonts w:ascii="宋体" w:hAnsi="宋体" w:cs="宋体" w:eastAsia="宋体" w:hint="default"/>
                            <w:sz w:val="18"/>
                            <w:szCs w:val="18"/>
                          </w:rPr>
                          <w:t> </w:t>
                        </w:r>
                        <w:r>
                          <w:rPr>
                            <w:rFonts w:ascii="宋体" w:hAnsi="宋体" w:cs="宋体" w:eastAsia="宋体" w:hint="default"/>
                            <w:spacing w:val="4"/>
                            <w:sz w:val="18"/>
                            <w:szCs w:val="18"/>
                          </w:rPr>
                          <w:t>电信科技股份有限公司公司市场部副总经理；</w:t>
                        </w:r>
                        <w:r>
                          <w:rPr>
                            <w:rFonts w:ascii="Times New Roman" w:hAnsi="Times New Roman" w:cs="Times New Roman" w:eastAsia="Times New Roman" w:hint="default"/>
                            <w:spacing w:val="4"/>
                            <w:sz w:val="18"/>
                            <w:szCs w:val="18"/>
                          </w:rPr>
                          <w:t>2003</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04</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09</w:t>
                        </w:r>
                        <w:r>
                          <w:rPr>
                            <w:rFonts w:ascii="宋体" w:hAnsi="宋体" w:cs="宋体" w:eastAsia="宋体" w:hint="default"/>
                            <w:spacing w:val="3"/>
                            <w:sz w:val="18"/>
                            <w:szCs w:val="18"/>
                          </w:rPr>
                          <w:t>月任大唐高鸿数据网络技术股份有限公司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总经理助理；</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06</w:t>
                        </w:r>
                        <w:r>
                          <w:rPr>
                            <w:rFonts w:ascii="宋体" w:hAnsi="宋体" w:cs="宋体" w:eastAsia="宋体" w:hint="default"/>
                            <w:spacing w:val="-2"/>
                            <w:sz w:val="18"/>
                            <w:szCs w:val="18"/>
                          </w:rPr>
                          <w:t>月兼任大唐高鸿信息技</w:t>
                        </w:r>
                        <w:r>
                          <w:rPr>
                            <w:rFonts w:ascii="宋体" w:hAnsi="宋体" w:cs="宋体" w:eastAsia="宋体" w:hint="default"/>
                            <w:spacing w:val="-85"/>
                            <w:sz w:val="18"/>
                            <w:szCs w:val="18"/>
                          </w:rPr>
                          <w:t> </w:t>
                        </w:r>
                        <w:r>
                          <w:rPr>
                            <w:rFonts w:ascii="宋体" w:hAnsi="宋体" w:cs="宋体" w:eastAsia="宋体" w:hint="default"/>
                            <w:spacing w:val="-2"/>
                            <w:sz w:val="18"/>
                            <w:szCs w:val="18"/>
                          </w:rPr>
                          <w:t>术有限公司总经理；</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月兼任北京大</w:t>
                        </w:r>
                        <w:r>
                          <w:rPr>
                            <w:rFonts w:ascii="宋体" w:hAnsi="宋体" w:cs="宋体" w:eastAsia="宋体" w:hint="default"/>
                            <w:spacing w:val="-84"/>
                            <w:sz w:val="18"/>
                            <w:szCs w:val="18"/>
                          </w:rPr>
                          <w:t> </w:t>
                        </w:r>
                        <w:r>
                          <w:rPr>
                            <w:rFonts w:ascii="宋体" w:hAnsi="宋体" w:cs="宋体" w:eastAsia="宋体" w:hint="default"/>
                            <w:spacing w:val="-2"/>
                            <w:sz w:val="18"/>
                            <w:szCs w:val="18"/>
                          </w:rPr>
                          <w:t>唐高鸿科技发展有限公司董事长；</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04</w:t>
                        </w:r>
                        <w:r>
                          <w:rPr>
                            <w:rFonts w:ascii="宋体" w:hAnsi="宋体" w:cs="宋体" w:eastAsia="宋体" w:hint="default"/>
                            <w:spacing w:val="-2"/>
                            <w:sz w:val="18"/>
                            <w:szCs w:val="18"/>
                          </w:rPr>
                          <w:t>至今兼任大唐</w:t>
                        </w:r>
                        <w:r>
                          <w:rPr>
                            <w:rFonts w:ascii="宋体" w:hAnsi="宋体" w:cs="宋体" w:eastAsia="宋体" w:hint="default"/>
                            <w:sz w:val="18"/>
                            <w:szCs w:val="18"/>
                          </w:rPr>
                          <w:t> 高鸿济宁电子信息技术有限公司董事长。</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协助总经理负责推进和落地实施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可信计算、云计算产业规划工作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包括专业化的产品和解决方案的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提供，产品软硬件供应链平台建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设，供应商资源库建设以及供应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链管理体系建设等工作；分管可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信计算事业部、云计算事业部。</w:t>
                        </w:r>
                      </w:p>
                    </w:tc>
                  </w:tr>
                  <w:tr>
                    <w:trPr>
                      <w:trHeight w:val="5028"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侯玉成</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长春邮电学</w:t>
                        </w:r>
                        <w:r>
                          <w:rPr>
                            <w:rFonts w:ascii="宋体" w:hAnsi="宋体" w:cs="宋体" w:eastAsia="宋体" w:hint="default"/>
                            <w:spacing w:val="-86"/>
                            <w:sz w:val="18"/>
                            <w:szCs w:val="18"/>
                          </w:rPr>
                          <w:t> </w:t>
                        </w:r>
                        <w:r>
                          <w:rPr>
                            <w:rFonts w:ascii="宋体" w:hAnsi="宋体" w:cs="宋体" w:eastAsia="宋体" w:hint="default"/>
                            <w:spacing w:val="28"/>
                            <w:sz w:val="18"/>
                            <w:szCs w:val="18"/>
                          </w:rPr>
                          <w:t>院电信工程</w:t>
                        </w:r>
                        <w:r>
                          <w:rPr>
                            <w:rFonts w:ascii="宋体" w:hAnsi="宋体" w:cs="宋体" w:eastAsia="宋体" w:hint="default"/>
                            <w:spacing w:val="-86"/>
                            <w:sz w:val="18"/>
                            <w:szCs w:val="18"/>
                          </w:rPr>
                          <w:t> </w:t>
                        </w:r>
                        <w:r>
                          <w:rPr>
                            <w:rFonts w:ascii="宋体" w:hAnsi="宋体" w:cs="宋体" w:eastAsia="宋体" w:hint="default"/>
                            <w:spacing w:val="-6"/>
                            <w:sz w:val="18"/>
                            <w:szCs w:val="18"/>
                          </w:rPr>
                          <w:t>专业，工学学</w:t>
                        </w:r>
                        <w:r>
                          <w:rPr>
                            <w:rFonts w:ascii="宋体" w:hAnsi="宋体" w:cs="宋体" w:eastAsia="宋体" w:hint="default"/>
                            <w:sz w:val="18"/>
                            <w:szCs w:val="18"/>
                          </w:rPr>
                          <w:t> </w:t>
                        </w:r>
                        <w:r>
                          <w:rPr>
                            <w:rFonts w:ascii="宋体" w:hAnsi="宋体" w:cs="宋体" w:eastAsia="宋体" w:hint="default"/>
                            <w:spacing w:val="-6"/>
                            <w:sz w:val="18"/>
                            <w:szCs w:val="18"/>
                          </w:rPr>
                          <w:t>士学位，教授</w:t>
                        </w:r>
                        <w:r>
                          <w:rPr>
                            <w:rFonts w:ascii="宋体" w:hAnsi="宋体" w:cs="宋体" w:eastAsia="宋体" w:hint="default"/>
                            <w:sz w:val="18"/>
                            <w:szCs w:val="18"/>
                          </w:rPr>
                          <w:t> </w:t>
                        </w:r>
                        <w:r>
                          <w:rPr>
                            <w:rFonts w:ascii="宋体" w:hAnsi="宋体" w:cs="宋体" w:eastAsia="宋体" w:hint="default"/>
                            <w:spacing w:val="28"/>
                            <w:sz w:val="18"/>
                            <w:szCs w:val="18"/>
                          </w:rPr>
                          <w:t>级高级工程</w:t>
                        </w:r>
                        <w:r>
                          <w:rPr>
                            <w:rFonts w:ascii="宋体" w:hAnsi="宋体" w:cs="宋体" w:eastAsia="宋体" w:hint="default"/>
                            <w:spacing w:val="-86"/>
                            <w:sz w:val="18"/>
                            <w:szCs w:val="18"/>
                          </w:rPr>
                          <w:t> </w:t>
                        </w:r>
                        <w:r>
                          <w:rPr>
                            <w:rFonts w:ascii="宋体" w:hAnsi="宋体" w:cs="宋体" w:eastAsia="宋体" w:hint="default"/>
                            <w:sz w:val="18"/>
                            <w:szCs w:val="18"/>
                          </w:rPr>
                          <w:t>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月至今任公司副总经理。</w:t>
                        </w:r>
                        <w:r>
                          <w:rPr>
                            <w:rFonts w:ascii="Times New Roman" w:hAnsi="Times New Roman" w:cs="Times New Roman" w:eastAsia="Times New Roman" w:hint="default"/>
                            <w:spacing w:val="-2"/>
                            <w:sz w:val="18"/>
                            <w:szCs w:val="18"/>
                          </w:rPr>
                          <w:t>1985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08</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pacing w:val="-33"/>
                            <w:sz w:val="18"/>
                            <w:szCs w:val="18"/>
                          </w:rPr>
                          <w:t> </w:t>
                        </w:r>
                        <w:r>
                          <w:rPr>
                            <w:rFonts w:ascii="宋体" w:hAnsi="宋体" w:cs="宋体" w:eastAsia="宋体" w:hint="default"/>
                            <w:spacing w:val="-2"/>
                            <w:sz w:val="18"/>
                            <w:szCs w:val="18"/>
                          </w:rPr>
                          <w:t>月任邮电部邮电科学研究院科技处高级工程师；</w:t>
                        </w:r>
                        <w:r>
                          <w:rPr>
                            <w:rFonts w:ascii="Times New Roman" w:hAnsi="Times New Roman" w:cs="Times New Roman" w:eastAsia="Times New Roman" w:hint="default"/>
                            <w:spacing w:val="-2"/>
                            <w:sz w:val="18"/>
                            <w:szCs w:val="18"/>
                          </w:rPr>
                          <w:t>1994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1999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月任西安大唐公司北京办事处副主任；</w:t>
                        </w:r>
                        <w:r>
                          <w:rPr>
                            <w:rFonts w:ascii="Times New Roman" w:hAnsi="Times New Roman" w:cs="Times New Roman" w:eastAsia="Times New Roman" w:hint="default"/>
                            <w:spacing w:val="-2"/>
                            <w:sz w:val="18"/>
                            <w:szCs w:val="18"/>
                          </w:rPr>
                          <w:t>1999</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08</w:t>
                        </w:r>
                        <w:r>
                          <w:rPr>
                            <w:rFonts w:ascii="宋体" w:hAnsi="宋体" w:cs="宋体" w:eastAsia="宋体" w:hint="default"/>
                            <w:spacing w:val="4"/>
                            <w:sz w:val="18"/>
                            <w:szCs w:val="18"/>
                          </w:rPr>
                          <w:t>月至</w:t>
                        </w:r>
                        <w:r>
                          <w:rPr>
                            <w:rFonts w:ascii="Times New Roman" w:hAnsi="Times New Roman" w:cs="Times New Roman" w:eastAsia="Times New Roman" w:hint="default"/>
                            <w:spacing w:val="4"/>
                            <w:sz w:val="18"/>
                            <w:szCs w:val="18"/>
                          </w:rPr>
                          <w:t>2000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06</w:t>
                        </w:r>
                        <w:r>
                          <w:rPr>
                            <w:rFonts w:ascii="宋体" w:hAnsi="宋体" w:cs="宋体" w:eastAsia="宋体" w:hint="default"/>
                            <w:spacing w:val="4"/>
                            <w:sz w:val="18"/>
                            <w:szCs w:val="18"/>
                          </w:rPr>
                          <w:t>月任大唐电信科技股份有限公司产品</w:t>
                        </w:r>
                        <w:r>
                          <w:rPr>
                            <w:rFonts w:ascii="宋体" w:hAnsi="宋体" w:cs="宋体" w:eastAsia="宋体" w:hint="default"/>
                            <w:sz w:val="18"/>
                            <w:szCs w:val="18"/>
                          </w:rPr>
                          <w:t> </w:t>
                        </w:r>
                        <w:r>
                          <w:rPr>
                            <w:rFonts w:ascii="宋体" w:hAnsi="宋体" w:cs="宋体" w:eastAsia="宋体" w:hint="default"/>
                            <w:spacing w:val="-2"/>
                            <w:sz w:val="18"/>
                            <w:szCs w:val="18"/>
                          </w:rPr>
                          <w:t>管理部副总经理；</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月任大唐电信科</w:t>
                        </w:r>
                        <w:r>
                          <w:rPr>
                            <w:rFonts w:ascii="宋体" w:hAnsi="宋体" w:cs="宋体" w:eastAsia="宋体" w:hint="default"/>
                            <w:spacing w:val="-84"/>
                            <w:sz w:val="18"/>
                            <w:szCs w:val="18"/>
                          </w:rPr>
                          <w:t> </w:t>
                        </w:r>
                        <w:r>
                          <w:rPr>
                            <w:rFonts w:ascii="宋体" w:hAnsi="宋体" w:cs="宋体" w:eastAsia="宋体" w:hint="default"/>
                            <w:spacing w:val="4"/>
                            <w:sz w:val="18"/>
                            <w:szCs w:val="18"/>
                          </w:rPr>
                          <w:t>技股份有限公司投资与技术发展部副总经理；</w:t>
                        </w:r>
                        <w:r>
                          <w:rPr>
                            <w:rFonts w:ascii="Times New Roman" w:hAnsi="Times New Roman" w:cs="Times New Roman" w:eastAsia="Times New Roman" w:hint="default"/>
                            <w:spacing w:val="4"/>
                            <w:sz w:val="18"/>
                            <w:szCs w:val="18"/>
                          </w:rPr>
                          <w:t>2002</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01</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月任大唐电信科技股份有限公司产品规划</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与技术管理部副总经理；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月任大唐</w:t>
                        </w:r>
                        <w:r>
                          <w:rPr>
                            <w:rFonts w:ascii="宋体" w:hAnsi="宋体" w:cs="宋体" w:eastAsia="宋体" w:hint="default"/>
                            <w:spacing w:val="-84"/>
                            <w:sz w:val="18"/>
                            <w:szCs w:val="18"/>
                          </w:rPr>
                          <w:t> </w:t>
                        </w:r>
                        <w:r>
                          <w:rPr>
                            <w:rFonts w:ascii="宋体" w:hAnsi="宋体" w:cs="宋体" w:eastAsia="宋体" w:hint="default"/>
                            <w:spacing w:val="-2"/>
                            <w:sz w:val="18"/>
                            <w:szCs w:val="18"/>
                          </w:rPr>
                          <w:t>电信科技股份有限公司技术管理部总经理；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月任大唐电信科技股份有限公司运营管理部副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总经理；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04</w:t>
                        </w:r>
                        <w:r>
                          <w:rPr>
                            <w:rFonts w:ascii="宋体" w:hAnsi="宋体" w:cs="宋体" w:eastAsia="宋体" w:hint="default"/>
                            <w:spacing w:val="-2"/>
                            <w:sz w:val="18"/>
                            <w:szCs w:val="18"/>
                          </w:rPr>
                          <w:t>月任大唐高鸿数据网络技</w:t>
                        </w:r>
                        <w:r>
                          <w:rPr>
                            <w:rFonts w:ascii="宋体" w:hAnsi="宋体" w:cs="宋体" w:eastAsia="宋体" w:hint="default"/>
                            <w:spacing w:val="-85"/>
                            <w:sz w:val="18"/>
                            <w:szCs w:val="18"/>
                          </w:rPr>
                          <w:t> </w:t>
                        </w:r>
                        <w:r>
                          <w:rPr>
                            <w:rFonts w:ascii="宋体" w:hAnsi="宋体" w:cs="宋体" w:eastAsia="宋体" w:hint="default"/>
                            <w:spacing w:val="-2"/>
                            <w:sz w:val="18"/>
                            <w:szCs w:val="18"/>
                          </w:rPr>
                          <w:t>术股份有限公司总经理助理；</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月兼</w:t>
                        </w:r>
                        <w:r>
                          <w:rPr>
                            <w:rFonts w:ascii="宋体" w:hAnsi="宋体" w:cs="宋体" w:eastAsia="宋体" w:hint="default"/>
                            <w:spacing w:val="-84"/>
                            <w:sz w:val="18"/>
                            <w:szCs w:val="18"/>
                          </w:rPr>
                          <w:t> </w:t>
                        </w:r>
                        <w:r>
                          <w:rPr>
                            <w:rFonts w:ascii="宋体" w:hAnsi="宋体" w:cs="宋体" w:eastAsia="宋体" w:hint="default"/>
                            <w:spacing w:val="-2"/>
                            <w:sz w:val="18"/>
                            <w:szCs w:val="18"/>
                          </w:rPr>
                          <w:t>任北京大唐高鸿软件技术有限公司董事长；</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月兼任大唐融合通信技术有限公司董事长；</w:t>
                        </w:r>
                        <w:r>
                          <w:rPr>
                            <w:rFonts w:ascii="Times New Roman" w:hAnsi="Times New Roman" w:cs="Times New Roman" w:eastAsia="Times New Roman" w:hint="default"/>
                            <w:spacing w:val="-2"/>
                            <w:sz w:val="18"/>
                            <w:szCs w:val="18"/>
                          </w:rPr>
                          <w:t>2013</w:t>
                        </w:r>
                        <w:r>
                          <w:rPr>
                            <w:rFonts w:ascii="Times New Roman" w:hAnsi="Times New Roman" w:cs="Times New Roman" w:eastAsia="Times New Roman" w:hint="default"/>
                            <w:spacing w:val="-41"/>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07</w:t>
                        </w:r>
                        <w:r>
                          <w:rPr>
                            <w:rFonts w:ascii="宋体" w:hAnsi="宋体" w:cs="宋体" w:eastAsia="宋体" w:hint="default"/>
                            <w:spacing w:val="4"/>
                            <w:sz w:val="18"/>
                            <w:szCs w:val="18"/>
                          </w:rPr>
                          <w:t>月至今兼任北京大唐高鸿数据网络技术有限公司董</w:t>
                        </w:r>
                        <w:r>
                          <w:rPr>
                            <w:rFonts w:ascii="宋体" w:hAnsi="宋体" w:cs="宋体" w:eastAsia="宋体" w:hint="default"/>
                            <w:sz w:val="18"/>
                            <w:szCs w:val="18"/>
                          </w:rPr>
                          <w:t> 事长。</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协助总经理负责公司保密工作，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质量管理及资质建设与管理；负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责网络信息安全、信息系统规划</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与建设、内部网络运维管理工作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分管资质与信息管理部、数据公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司，并负责联系大唐融合。</w:t>
                        </w:r>
                      </w:p>
                    </w:tc>
                  </w:tr>
                  <w:tr>
                    <w:trPr>
                      <w:trHeight w:val="1595"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张新中</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33"/>
                          <w:jc w:val="both"/>
                          <w:rPr>
                            <w:rFonts w:ascii="宋体" w:hAnsi="宋体" w:cs="宋体" w:eastAsia="宋体" w:hint="default"/>
                            <w:sz w:val="18"/>
                            <w:szCs w:val="18"/>
                          </w:rPr>
                        </w:pPr>
                        <w:r>
                          <w:rPr>
                            <w:rFonts w:ascii="宋体" w:hAnsi="宋体" w:cs="宋体" w:eastAsia="宋体" w:hint="default"/>
                            <w:spacing w:val="28"/>
                            <w:sz w:val="18"/>
                            <w:szCs w:val="18"/>
                          </w:rPr>
                          <w:t>长春理工大</w:t>
                        </w:r>
                        <w:r>
                          <w:rPr>
                            <w:rFonts w:ascii="宋体" w:hAnsi="宋体" w:cs="宋体" w:eastAsia="宋体" w:hint="default"/>
                            <w:spacing w:val="-86"/>
                            <w:sz w:val="18"/>
                            <w:szCs w:val="18"/>
                          </w:rPr>
                          <w:t> </w:t>
                        </w:r>
                        <w:r>
                          <w:rPr>
                            <w:rFonts w:ascii="宋体" w:hAnsi="宋体" w:cs="宋体" w:eastAsia="宋体" w:hint="default"/>
                            <w:spacing w:val="28"/>
                            <w:sz w:val="18"/>
                            <w:szCs w:val="18"/>
                          </w:rPr>
                          <w:t>学计算机应</w:t>
                        </w:r>
                        <w:r>
                          <w:rPr>
                            <w:rFonts w:ascii="宋体" w:hAnsi="宋体" w:cs="宋体" w:eastAsia="宋体" w:hint="default"/>
                            <w:spacing w:val="-86"/>
                            <w:sz w:val="18"/>
                            <w:szCs w:val="18"/>
                          </w:rPr>
                          <w:t> </w:t>
                        </w:r>
                        <w:r>
                          <w:rPr>
                            <w:rFonts w:ascii="宋体" w:hAnsi="宋体" w:cs="宋体" w:eastAsia="宋体" w:hint="default"/>
                            <w:sz w:val="18"/>
                            <w:szCs w:val="18"/>
                          </w:rPr>
                          <w:t>用技术专业，</w:t>
                        </w:r>
                        <w:r>
                          <w:rPr>
                            <w:rFonts w:ascii="宋体" w:hAnsi="宋体" w:cs="宋体" w:eastAsia="宋体" w:hint="default"/>
                            <w:sz w:val="18"/>
                            <w:szCs w:val="18"/>
                          </w:rPr>
                          <w:t> </w:t>
                        </w:r>
                        <w:r>
                          <w:rPr>
                            <w:rFonts w:ascii="宋体" w:hAnsi="宋体" w:cs="宋体" w:eastAsia="宋体" w:hint="default"/>
                            <w:spacing w:val="-6"/>
                            <w:sz w:val="18"/>
                            <w:szCs w:val="18"/>
                          </w:rPr>
                          <w:t>工学硕士，高</w:t>
                        </w:r>
                        <w:r>
                          <w:rPr>
                            <w:rFonts w:ascii="宋体" w:hAnsi="宋体" w:cs="宋体" w:eastAsia="宋体" w:hint="default"/>
                            <w:sz w:val="18"/>
                            <w:szCs w:val="18"/>
                          </w:rPr>
                          <w:t> 级工程师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月至今任公司副总经理。</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月任北京高鸿通信技术有限公司测试部测试工程师；</w:t>
                        </w:r>
                        <w:r>
                          <w:rPr>
                            <w:rFonts w:ascii="Times New Roman" w:hAnsi="Times New Roman" w:cs="Times New Roman" w:eastAsia="Times New Roman" w:hint="default"/>
                            <w:spacing w:val="-3"/>
                            <w:sz w:val="18"/>
                            <w:szCs w:val="18"/>
                          </w:rPr>
                          <w:t>2002</w:t>
                        </w:r>
                        <w:r>
                          <w:rPr>
                            <w:rFonts w:ascii="Times New Roman" w:hAnsi="Times New Roman" w:cs="Times New Roman" w:eastAsia="Times New Roman" w:hint="default"/>
                            <w:spacing w:val="-20"/>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月任公司测试部部门总经理；</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pacing w:val="-38"/>
                            <w:sz w:val="18"/>
                            <w:szCs w:val="18"/>
                          </w:rPr>
                          <w:t> </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月任公司工程服务部部门总经理；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2005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07</w:t>
                        </w:r>
                        <w:r>
                          <w:rPr>
                            <w:rFonts w:ascii="宋体" w:hAnsi="宋体" w:cs="宋体" w:eastAsia="宋体" w:hint="default"/>
                            <w:spacing w:val="3"/>
                            <w:sz w:val="18"/>
                            <w:szCs w:val="18"/>
                          </w:rPr>
                          <w:t>月任公司宽带产品事业部副总经理；</w:t>
                        </w:r>
                        <w:r>
                          <w:rPr>
                            <w:rFonts w:ascii="Times New Roman" w:hAnsi="Times New Roman" w:cs="Times New Roman" w:eastAsia="Times New Roman" w:hint="default"/>
                            <w:spacing w:val="3"/>
                            <w:sz w:val="18"/>
                            <w:szCs w:val="18"/>
                          </w:rPr>
                          <w:t>2005</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3"/>
                          <w:jc w:val="both"/>
                          <w:rPr>
                            <w:rFonts w:ascii="宋体" w:hAnsi="宋体" w:cs="宋体" w:eastAsia="宋体" w:hint="default"/>
                            <w:sz w:val="18"/>
                            <w:szCs w:val="18"/>
                          </w:rPr>
                        </w:pPr>
                        <w:r>
                          <w:rPr>
                            <w:rFonts w:ascii="宋体" w:hAnsi="宋体" w:cs="宋体" w:eastAsia="宋体" w:hint="default"/>
                            <w:sz w:val="18"/>
                            <w:szCs w:val="18"/>
                          </w:rPr>
                          <w:t>协助党委书记负责人才队伍与人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才机制建设、绩效管理；负责外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事管理、经营支撑管理、后勤服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务、安全保障、安全生产及安保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维稳等工作；负责主持团组织及</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44"/>
        <w:ind w:left="154"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44"/>
        <w:ind w:left="154" w:right="10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44"/>
        <w:ind w:left="154" w:right="1042" w:firstLine="0"/>
        <w:jc w:val="right"/>
        <w:rPr>
          <w:rFonts w:ascii="宋体" w:hAnsi="宋体" w:cs="宋体" w:eastAsia="宋体" w:hint="default"/>
          <w:sz w:val="18"/>
          <w:szCs w:val="18"/>
        </w:rPr>
      </w:pPr>
      <w:r>
        <w:rPr/>
        <w:pict>
          <v:shape style="position:absolute;margin-left:55.860001pt;margin-top:-204.148285pt;width:484.05pt;height:505.2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78"/>
                    <w:gridCol w:w="994"/>
                    <w:gridCol w:w="1064"/>
                    <w:gridCol w:w="4465"/>
                    <w:gridCol w:w="2558"/>
                  </w:tblGrid>
                  <w:tr>
                    <w:trPr>
                      <w:trHeight w:val="2219" w:hRule="exact"/>
                    </w:trPr>
                    <w:tc>
                      <w:tcPr>
                        <w:tcW w:w="578"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21"/>
                          <w:ind w:left="2" w:right="-17"/>
                          <w:jc w:val="both"/>
                          <w:rPr>
                            <w:rFonts w:ascii="宋体" w:hAnsi="宋体" w:cs="宋体" w:eastAsia="宋体" w:hint="default"/>
                            <w:sz w:val="18"/>
                            <w:szCs w:val="18"/>
                          </w:rPr>
                        </w:pP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07</w:t>
                        </w:r>
                        <w:r>
                          <w:rPr>
                            <w:rFonts w:ascii="宋体" w:hAnsi="宋体" w:cs="宋体" w:eastAsia="宋体" w:hint="default"/>
                            <w:spacing w:val="3"/>
                            <w:sz w:val="18"/>
                            <w:szCs w:val="18"/>
                          </w:rPr>
                          <w:t>月至至</w:t>
                        </w:r>
                        <w:r>
                          <w:rPr>
                            <w:rFonts w:ascii="Times New Roman" w:hAnsi="Times New Roman" w:cs="Times New Roman" w:eastAsia="Times New Roman" w:hint="default"/>
                            <w:spacing w:val="3"/>
                            <w:sz w:val="18"/>
                            <w:szCs w:val="18"/>
                          </w:rPr>
                          <w:t>2006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月任公司宽带产品事业部执行总经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月任公司宽带产品事业部总经</w:t>
                        </w:r>
                        <w:r>
                          <w:rPr>
                            <w:rFonts w:ascii="宋体" w:hAnsi="宋体" w:cs="宋体" w:eastAsia="宋体" w:hint="default"/>
                            <w:spacing w:val="-85"/>
                            <w:sz w:val="18"/>
                            <w:szCs w:val="18"/>
                          </w:rPr>
                          <w:t> </w:t>
                        </w:r>
                        <w:r>
                          <w:rPr>
                            <w:rFonts w:ascii="宋体" w:hAnsi="宋体" w:cs="宋体" w:eastAsia="宋体" w:hint="default"/>
                            <w:spacing w:val="-2"/>
                            <w:sz w:val="18"/>
                            <w:szCs w:val="18"/>
                          </w:rPr>
                          <w:t>理；</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月任公司市场营销部执行总经</w:t>
                        </w:r>
                        <w:r>
                          <w:rPr>
                            <w:rFonts w:ascii="宋体" w:hAnsi="宋体" w:cs="宋体" w:eastAsia="宋体" w:hint="default"/>
                            <w:spacing w:val="-85"/>
                            <w:sz w:val="18"/>
                            <w:szCs w:val="18"/>
                          </w:rPr>
                          <w:t> </w:t>
                        </w:r>
                        <w:r>
                          <w:rPr>
                            <w:rFonts w:ascii="宋体" w:hAnsi="宋体" w:cs="宋体" w:eastAsia="宋体" w:hint="default"/>
                            <w:spacing w:val="-2"/>
                            <w:sz w:val="18"/>
                            <w:szCs w:val="18"/>
                          </w:rPr>
                          <w:t>理；</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月任公司市场营销部总经理；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月任公司总经理助理；</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27"/>
                            <w:sz w:val="18"/>
                            <w:szCs w:val="18"/>
                          </w:rPr>
                          <w:t> </w:t>
                        </w:r>
                        <w:r>
                          <w:rPr>
                            <w:rFonts w:ascii="宋体" w:hAnsi="宋体" w:cs="宋体" w:eastAsia="宋体" w:hint="default"/>
                            <w:spacing w:val="4"/>
                            <w:sz w:val="18"/>
                            <w:szCs w:val="18"/>
                          </w:rPr>
                          <w:t>月至今兼任北京大唐高鸿电子商贸有限公司执行董事；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月至今兼任高鸿恒昌科技有限公司董事长。</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both"/>
                          <w:rPr>
                            <w:rFonts w:ascii="宋体" w:hAnsi="宋体" w:cs="宋体" w:eastAsia="宋体" w:hint="default"/>
                            <w:sz w:val="18"/>
                            <w:szCs w:val="18"/>
                          </w:rPr>
                        </w:pPr>
                        <w:r>
                          <w:rPr>
                            <w:rFonts w:ascii="宋体" w:hAnsi="宋体" w:cs="宋体" w:eastAsia="宋体" w:hint="default"/>
                            <w:sz w:val="18"/>
                            <w:szCs w:val="18"/>
                          </w:rPr>
                          <w:t>青联工作，组织青年员工积极创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新创业；协助党委书记分管人力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资源部；分管经营支撑部、行业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应用事业部；推动新能源汽车产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业发展。</w:t>
                        </w:r>
                      </w:p>
                    </w:tc>
                  </w:tr>
                  <w:tr>
                    <w:trPr>
                      <w:trHeight w:val="3155"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丁明锋</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9" w:right="37"/>
                          <w:jc w:val="both"/>
                          <w:rPr>
                            <w:rFonts w:ascii="宋体" w:hAnsi="宋体" w:cs="宋体" w:eastAsia="宋体" w:hint="default"/>
                            <w:sz w:val="18"/>
                            <w:szCs w:val="18"/>
                          </w:rPr>
                        </w:pPr>
                        <w:r>
                          <w:rPr>
                            <w:rFonts w:ascii="宋体" w:hAnsi="宋体" w:cs="宋体" w:eastAsia="宋体" w:hint="default"/>
                            <w:sz w:val="18"/>
                            <w:szCs w:val="18"/>
                          </w:rPr>
                          <w:t>副总经理兼 财务总监兼 董事会秘书</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jc w:val="both"/>
                          <w:rPr>
                            <w:rFonts w:ascii="宋体" w:hAnsi="宋体" w:cs="宋体" w:eastAsia="宋体" w:hint="default"/>
                            <w:sz w:val="18"/>
                            <w:szCs w:val="18"/>
                          </w:rPr>
                        </w:pPr>
                        <w:r>
                          <w:rPr>
                            <w:rFonts w:ascii="宋体" w:hAnsi="宋体" w:cs="宋体" w:eastAsia="宋体" w:hint="default"/>
                            <w:spacing w:val="28"/>
                            <w:sz w:val="18"/>
                            <w:szCs w:val="18"/>
                          </w:rPr>
                          <w:t>北京机械工</w:t>
                        </w:r>
                        <w:r>
                          <w:rPr>
                            <w:rFonts w:ascii="宋体" w:hAnsi="宋体" w:cs="宋体" w:eastAsia="宋体" w:hint="default"/>
                            <w:spacing w:val="-86"/>
                            <w:sz w:val="18"/>
                            <w:szCs w:val="18"/>
                          </w:rPr>
                          <w:t> </w:t>
                        </w:r>
                        <w:r>
                          <w:rPr>
                            <w:rFonts w:ascii="宋体" w:hAnsi="宋体" w:cs="宋体" w:eastAsia="宋体" w:hint="default"/>
                            <w:spacing w:val="28"/>
                            <w:sz w:val="18"/>
                            <w:szCs w:val="18"/>
                          </w:rPr>
                          <w:t>业学院会计</w:t>
                        </w:r>
                        <w:r>
                          <w:rPr>
                            <w:rFonts w:ascii="宋体" w:hAnsi="宋体" w:cs="宋体" w:eastAsia="宋体" w:hint="default"/>
                            <w:spacing w:val="-86"/>
                            <w:sz w:val="18"/>
                            <w:szCs w:val="18"/>
                          </w:rPr>
                          <w:t> </w:t>
                        </w:r>
                        <w:r>
                          <w:rPr>
                            <w:rFonts w:ascii="宋体" w:hAnsi="宋体" w:cs="宋体" w:eastAsia="宋体" w:hint="default"/>
                            <w:spacing w:val="-6"/>
                            <w:sz w:val="18"/>
                            <w:szCs w:val="18"/>
                          </w:rPr>
                          <w:t>学专业，管理</w:t>
                        </w:r>
                        <w:r>
                          <w:rPr>
                            <w:rFonts w:ascii="宋体" w:hAnsi="宋体" w:cs="宋体" w:eastAsia="宋体" w:hint="default"/>
                            <w:sz w:val="18"/>
                            <w:szCs w:val="18"/>
                          </w:rPr>
                          <w:t> </w:t>
                        </w:r>
                        <w:r>
                          <w:rPr>
                            <w:rFonts w:ascii="宋体" w:hAnsi="宋体" w:cs="宋体" w:eastAsia="宋体" w:hint="default"/>
                            <w:spacing w:val="-6"/>
                            <w:sz w:val="18"/>
                            <w:szCs w:val="18"/>
                          </w:rPr>
                          <w:t>学学士；对外</w:t>
                        </w:r>
                        <w:r>
                          <w:rPr>
                            <w:rFonts w:ascii="宋体" w:hAnsi="宋体" w:cs="宋体" w:eastAsia="宋体" w:hint="default"/>
                            <w:sz w:val="18"/>
                            <w:szCs w:val="18"/>
                          </w:rPr>
                          <w:t> </w:t>
                        </w:r>
                        <w:r>
                          <w:rPr>
                            <w:rFonts w:ascii="宋体" w:hAnsi="宋体" w:cs="宋体" w:eastAsia="宋体" w:hint="default"/>
                            <w:spacing w:val="28"/>
                            <w:sz w:val="18"/>
                            <w:szCs w:val="18"/>
                          </w:rPr>
                          <w:t>经贸大学高</w:t>
                        </w:r>
                        <w:r>
                          <w:rPr>
                            <w:rFonts w:ascii="宋体" w:hAnsi="宋体" w:cs="宋体" w:eastAsia="宋体" w:hint="default"/>
                            <w:spacing w:val="-86"/>
                            <w:sz w:val="18"/>
                            <w:szCs w:val="18"/>
                          </w:rPr>
                          <w:t> </w:t>
                        </w:r>
                        <w:r>
                          <w:rPr>
                            <w:rFonts w:ascii="宋体" w:hAnsi="宋体" w:cs="宋体" w:eastAsia="宋体" w:hint="default"/>
                            <w:spacing w:val="28"/>
                            <w:sz w:val="18"/>
                            <w:szCs w:val="18"/>
                          </w:rPr>
                          <w:t>级管理人员</w:t>
                        </w:r>
                        <w:r>
                          <w:rPr>
                            <w:rFonts w:ascii="宋体" w:hAnsi="宋体" w:cs="宋体" w:eastAsia="宋体" w:hint="default"/>
                            <w:spacing w:val="-86"/>
                            <w:sz w:val="18"/>
                            <w:szCs w:val="18"/>
                          </w:rPr>
                          <w:t> </w:t>
                        </w:r>
                        <w:r>
                          <w:rPr>
                            <w:rFonts w:ascii="宋体" w:hAnsi="宋体" w:cs="宋体" w:eastAsia="宋体" w:hint="default"/>
                            <w:spacing w:val="28"/>
                            <w:sz w:val="18"/>
                            <w:szCs w:val="18"/>
                          </w:rPr>
                          <w:t>工商管理硕</w:t>
                        </w:r>
                        <w:r>
                          <w:rPr>
                            <w:rFonts w:ascii="宋体" w:hAnsi="宋体" w:cs="宋体" w:eastAsia="宋体" w:hint="default"/>
                            <w:spacing w:val="-86"/>
                            <w:sz w:val="18"/>
                            <w:szCs w:val="18"/>
                          </w:rPr>
                          <w:t> </w:t>
                        </w:r>
                        <w:r>
                          <w:rPr>
                            <w:rFonts w:ascii="宋体" w:hAnsi="宋体" w:cs="宋体" w:eastAsia="宋体" w:hint="default"/>
                            <w:spacing w:val="-6"/>
                            <w:sz w:val="18"/>
                            <w:szCs w:val="18"/>
                          </w:rPr>
                          <w:t>士。高级会计</w:t>
                        </w:r>
                        <w:r>
                          <w:rPr>
                            <w:rFonts w:ascii="宋体" w:hAnsi="宋体" w:cs="宋体" w:eastAsia="宋体" w:hint="default"/>
                            <w:sz w:val="18"/>
                            <w:szCs w:val="18"/>
                          </w:rPr>
                          <w:t> 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07</w:t>
                        </w:r>
                        <w:r>
                          <w:rPr>
                            <w:rFonts w:ascii="宋体" w:hAnsi="宋体" w:cs="宋体" w:eastAsia="宋体" w:hint="default"/>
                            <w:spacing w:val="3"/>
                            <w:sz w:val="18"/>
                            <w:szCs w:val="18"/>
                          </w:rPr>
                          <w:t>月至今任公司副总经理兼财务总监，</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月至今兼任公司董事会秘书。</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06</w:t>
                        </w:r>
                        <w:r>
                          <w:rPr>
                            <w:rFonts w:ascii="宋体" w:hAnsi="宋体" w:cs="宋体" w:eastAsia="宋体" w:hint="default"/>
                            <w:spacing w:val="-2"/>
                            <w:sz w:val="18"/>
                            <w:szCs w:val="18"/>
                          </w:rPr>
                          <w:t>任北</w:t>
                        </w:r>
                        <w:r>
                          <w:rPr>
                            <w:rFonts w:ascii="宋体" w:hAnsi="宋体" w:cs="宋体" w:eastAsia="宋体" w:hint="default"/>
                            <w:spacing w:val="-84"/>
                            <w:sz w:val="18"/>
                            <w:szCs w:val="18"/>
                          </w:rPr>
                          <w:t> </w:t>
                        </w:r>
                        <w:r>
                          <w:rPr>
                            <w:rFonts w:ascii="宋体" w:hAnsi="宋体" w:cs="宋体" w:eastAsia="宋体" w:hint="default"/>
                            <w:spacing w:val="-2"/>
                            <w:sz w:val="18"/>
                            <w:szCs w:val="18"/>
                          </w:rPr>
                          <w:t>京大唐物业管理有限公司财务部会计；</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06</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2004</w:t>
                        </w:r>
                        <w:r>
                          <w:rPr>
                            <w:rFonts w:ascii="Times New Roman" w:hAnsi="Times New Roman" w:cs="Times New Roman" w:eastAsia="Times New Roman" w:hint="default"/>
                            <w:spacing w:val="-41"/>
                            <w:sz w:val="18"/>
                            <w:szCs w:val="18"/>
                          </w:rPr>
                          <w:t> </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月任公司财务部会计；</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月任公</w:t>
                        </w:r>
                        <w:r>
                          <w:rPr>
                            <w:rFonts w:ascii="宋体" w:hAnsi="宋体" w:cs="宋体" w:eastAsia="宋体" w:hint="default"/>
                            <w:spacing w:val="-82"/>
                            <w:sz w:val="18"/>
                            <w:szCs w:val="18"/>
                          </w:rPr>
                          <w:t> </w:t>
                        </w:r>
                        <w:r>
                          <w:rPr>
                            <w:rFonts w:ascii="宋体" w:hAnsi="宋体" w:cs="宋体" w:eastAsia="宋体" w:hint="default"/>
                            <w:spacing w:val="-2"/>
                            <w:sz w:val="18"/>
                            <w:szCs w:val="18"/>
                          </w:rPr>
                          <w:t>司商务部总经助理；</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月任公司财务</w:t>
                        </w:r>
                        <w:r>
                          <w:rPr>
                            <w:rFonts w:ascii="宋体" w:hAnsi="宋体" w:cs="宋体" w:eastAsia="宋体" w:hint="default"/>
                            <w:spacing w:val="-84"/>
                            <w:sz w:val="18"/>
                            <w:szCs w:val="18"/>
                          </w:rPr>
                          <w:t> </w:t>
                        </w:r>
                        <w:r>
                          <w:rPr>
                            <w:rFonts w:ascii="宋体" w:hAnsi="宋体" w:cs="宋体" w:eastAsia="宋体" w:hint="default"/>
                            <w:spacing w:val="-2"/>
                            <w:sz w:val="18"/>
                            <w:szCs w:val="18"/>
                          </w:rPr>
                          <w:t>部总经理助理；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月任高鸿股份公司</w:t>
                        </w:r>
                        <w:r>
                          <w:rPr>
                            <w:rFonts w:ascii="宋体" w:hAnsi="宋体" w:cs="宋体" w:eastAsia="宋体" w:hint="default"/>
                            <w:spacing w:val="-84"/>
                            <w:sz w:val="18"/>
                            <w:szCs w:val="18"/>
                          </w:rPr>
                          <w:t> </w:t>
                        </w:r>
                        <w:r>
                          <w:rPr>
                            <w:rFonts w:ascii="宋体" w:hAnsi="宋体" w:cs="宋体" w:eastAsia="宋体" w:hint="default"/>
                            <w:spacing w:val="-2"/>
                            <w:sz w:val="18"/>
                            <w:szCs w:val="18"/>
                          </w:rPr>
                          <w:t>财务部副总经理；</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月任公司财务部</w:t>
                        </w:r>
                        <w:r>
                          <w:rPr>
                            <w:rFonts w:ascii="宋体" w:hAnsi="宋体" w:cs="宋体" w:eastAsia="宋体" w:hint="default"/>
                            <w:spacing w:val="-84"/>
                            <w:sz w:val="18"/>
                            <w:szCs w:val="18"/>
                          </w:rPr>
                          <w:t> </w:t>
                        </w:r>
                        <w:r>
                          <w:rPr>
                            <w:rFonts w:ascii="宋体" w:hAnsi="宋体" w:cs="宋体" w:eastAsia="宋体" w:hint="default"/>
                            <w:spacing w:val="-2"/>
                            <w:sz w:val="18"/>
                            <w:szCs w:val="18"/>
                          </w:rPr>
                          <w:t>总经理；</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02</w:t>
                        </w:r>
                        <w:r>
                          <w:rPr>
                            <w:rFonts w:ascii="宋体" w:hAnsi="宋体" w:cs="宋体" w:eastAsia="宋体" w:hint="default"/>
                            <w:spacing w:val="-2"/>
                            <w:sz w:val="18"/>
                            <w:szCs w:val="18"/>
                          </w:rPr>
                          <w:t>月任公司总经理助理兼财</w:t>
                        </w:r>
                        <w:r>
                          <w:rPr>
                            <w:rFonts w:ascii="宋体" w:hAnsi="宋体" w:cs="宋体" w:eastAsia="宋体" w:hint="default"/>
                            <w:spacing w:val="-85"/>
                            <w:sz w:val="18"/>
                            <w:szCs w:val="18"/>
                          </w:rPr>
                          <w:t> </w:t>
                        </w:r>
                        <w:r>
                          <w:rPr>
                            <w:rFonts w:ascii="宋体" w:hAnsi="宋体" w:cs="宋体" w:eastAsia="宋体" w:hint="default"/>
                            <w:spacing w:val="3"/>
                            <w:sz w:val="18"/>
                            <w:szCs w:val="18"/>
                          </w:rPr>
                          <w:t>务部总经理；</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02</w:t>
                        </w:r>
                        <w:r>
                          <w:rPr>
                            <w:rFonts w:ascii="宋体" w:hAnsi="宋体" w:cs="宋体" w:eastAsia="宋体" w:hint="default"/>
                            <w:spacing w:val="3"/>
                            <w:sz w:val="18"/>
                            <w:szCs w:val="18"/>
                          </w:rPr>
                          <w:t>月至</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07</w:t>
                        </w:r>
                        <w:r>
                          <w:rPr>
                            <w:rFonts w:ascii="宋体" w:hAnsi="宋体" w:cs="宋体" w:eastAsia="宋体" w:hint="default"/>
                            <w:spacing w:val="3"/>
                            <w:sz w:val="18"/>
                            <w:szCs w:val="18"/>
                          </w:rPr>
                          <w:t>月任公司财务负责</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人。</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4"/>
                            <w:sz w:val="18"/>
                            <w:szCs w:val="18"/>
                          </w:rPr>
                          <w:t>协助董事长负责投资和产权管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理、资本运作、三会（股东会、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董事会、监事会）业务组织与投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资者关系管理；协助总经理负责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公司全面预算管理及执行监控、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财务管理、资金管理；分管财务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部、董事会办公室、贵阳分公司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贵阳经营部；负责组织高鸿鼎恒</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公司重大事项决策。</w:t>
                        </w:r>
                      </w:p>
                    </w:tc>
                  </w:tr>
                  <w:tr>
                    <w:trPr>
                      <w:trHeight w:val="4716" w:hRule="exact"/>
                    </w:trPr>
                    <w:tc>
                      <w:tcPr>
                        <w:tcW w:w="5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翁冠男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3" w:hanging="36"/>
                          <w:jc w:val="center"/>
                          <w:rPr>
                            <w:rFonts w:ascii="宋体" w:hAnsi="宋体" w:cs="宋体" w:eastAsia="宋体" w:hint="default"/>
                            <w:sz w:val="18"/>
                            <w:szCs w:val="18"/>
                          </w:rPr>
                        </w:pPr>
                        <w:r>
                          <w:rPr>
                            <w:rFonts w:ascii="宋体" w:hAnsi="宋体" w:cs="宋体" w:eastAsia="宋体" w:hint="default"/>
                            <w:sz w:val="18"/>
                            <w:szCs w:val="18"/>
                          </w:rPr>
                          <w:t>哈尔滨工程 大学计算机 </w:t>
                        </w:r>
                        <w:r>
                          <w:rPr>
                            <w:rFonts w:ascii="宋体" w:hAnsi="宋体" w:cs="宋体" w:eastAsia="宋体" w:hint="default"/>
                            <w:spacing w:val="-6"/>
                            <w:sz w:val="18"/>
                            <w:szCs w:val="18"/>
                          </w:rPr>
                          <w:t>应用专业，工</w:t>
                        </w:r>
                        <w:r>
                          <w:rPr>
                            <w:rFonts w:ascii="宋体" w:hAnsi="宋体" w:cs="宋体" w:eastAsia="宋体" w:hint="default"/>
                            <w:sz w:val="18"/>
                            <w:szCs w:val="18"/>
                          </w:rPr>
                          <w:t> 学硕士学位， 高级工程师</w:t>
                        </w:r>
                      </w:p>
                    </w:tc>
                    <w:tc>
                      <w:tcPr>
                        <w:tcW w:w="4465"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1"/>
                          <w:ind w:left="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月至今任公司副总经理。</w:t>
                        </w:r>
                        <w:r>
                          <w:rPr>
                            <w:rFonts w:ascii="Times New Roman" w:hAnsi="Times New Roman" w:cs="Times New Roman" w:eastAsia="Times New Roman" w:hint="default"/>
                            <w:sz w:val="18"/>
                            <w:szCs w:val="18"/>
                          </w:rPr>
                          <w:t>2000</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至</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08 </w:t>
                        </w:r>
                        <w:r>
                          <w:rPr>
                            <w:rFonts w:ascii="宋体" w:hAnsi="宋体" w:cs="宋体" w:eastAsia="宋体" w:hint="default"/>
                            <w:sz w:val="18"/>
                            <w:szCs w:val="18"/>
                          </w:rPr>
                          <w:t>月任北京高鸿通信技术有限公司软件工程师；</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08 </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任北京大唐高鸿数据网络技术有限公司网 </w:t>
                        </w:r>
                        <w:r>
                          <w:rPr>
                            <w:rFonts w:ascii="宋体" w:hAnsi="宋体" w:cs="宋体" w:eastAsia="宋体" w:hint="default"/>
                            <w:spacing w:val="-2"/>
                            <w:sz w:val="18"/>
                            <w:szCs w:val="18"/>
                          </w:rPr>
                          <w:t>管部经理；</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08</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09</w:t>
                        </w:r>
                        <w:r>
                          <w:rPr>
                            <w:rFonts w:ascii="宋体" w:hAnsi="宋体" w:cs="宋体" w:eastAsia="宋体" w:hint="default"/>
                            <w:spacing w:val="-2"/>
                            <w:sz w:val="18"/>
                            <w:szCs w:val="18"/>
                          </w:rPr>
                          <w:t>月任北京大唐高鸿数据</w:t>
                        </w:r>
                        <w:r>
                          <w:rPr>
                            <w:rFonts w:ascii="宋体" w:hAnsi="宋体" w:cs="宋体" w:eastAsia="宋体" w:hint="default"/>
                            <w:spacing w:val="-85"/>
                            <w:sz w:val="18"/>
                            <w:szCs w:val="18"/>
                          </w:rPr>
                          <w:t> </w:t>
                        </w:r>
                        <w:r>
                          <w:rPr>
                            <w:rFonts w:ascii="宋体" w:hAnsi="宋体" w:cs="宋体" w:eastAsia="宋体" w:hint="default"/>
                            <w:sz w:val="18"/>
                            <w:szCs w:val="18"/>
                          </w:rPr>
                          <w:t>网络技术有限公司副总工程师兼任产品开发部副总经理； </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月任公司产品发展部副总经理</w:t>
                        </w:r>
                      </w:p>
                      <w:p>
                        <w:pPr>
                          <w:pStyle w:val="TableParagraph"/>
                          <w:spacing w:line="302" w:lineRule="auto" w:before="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月任公司视讯通信项目部副总经 </w:t>
                        </w:r>
                        <w:r>
                          <w:rPr>
                            <w:rFonts w:ascii="宋体" w:hAnsi="宋体" w:cs="宋体" w:eastAsia="宋体" w:hint="default"/>
                            <w:spacing w:val="-2"/>
                            <w:sz w:val="18"/>
                            <w:szCs w:val="18"/>
                          </w:rPr>
                          <w:t>理兼任产品发展部副总经理；</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w:t>
                        </w:r>
                        <w:r>
                          <w:rPr>
                            <w:rFonts w:ascii="宋体" w:hAnsi="宋体" w:cs="宋体" w:eastAsia="宋体" w:hint="default"/>
                            <w:spacing w:val="-84"/>
                            <w:sz w:val="18"/>
                            <w:szCs w:val="18"/>
                          </w:rPr>
                          <w:t> </w:t>
                        </w:r>
                        <w:r>
                          <w:rPr>
                            <w:rFonts w:ascii="宋体" w:hAnsi="宋体" w:cs="宋体" w:eastAsia="宋体" w:hint="default"/>
                            <w:sz w:val="18"/>
                            <w:szCs w:val="18"/>
                          </w:rPr>
                          <w:t>公司宽带产品事业部副总经理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 </w:t>
                        </w:r>
                        <w:r>
                          <w:rPr>
                            <w:rFonts w:ascii="宋体" w:hAnsi="宋体" w:cs="宋体" w:eastAsia="宋体" w:hint="default"/>
                            <w:spacing w:val="-2"/>
                            <w:sz w:val="18"/>
                            <w:szCs w:val="18"/>
                          </w:rPr>
                          <w:t>任公司国际部总经理；</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07</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06</w:t>
                        </w:r>
                        <w:r>
                          <w:rPr>
                            <w:rFonts w:ascii="宋体" w:hAnsi="宋体" w:cs="宋体" w:eastAsia="宋体" w:hint="default"/>
                            <w:spacing w:val="-2"/>
                            <w:sz w:val="18"/>
                            <w:szCs w:val="18"/>
                          </w:rPr>
                          <w:t>月任大唐高</w:t>
                        </w:r>
                        <w:r>
                          <w:rPr>
                            <w:rFonts w:ascii="宋体" w:hAnsi="宋体" w:cs="宋体" w:eastAsia="宋体" w:hint="default"/>
                            <w:spacing w:val="-84"/>
                            <w:sz w:val="18"/>
                            <w:szCs w:val="18"/>
                          </w:rPr>
                          <w:t> </w:t>
                        </w:r>
                        <w:r>
                          <w:rPr>
                            <w:rFonts w:ascii="宋体" w:hAnsi="宋体" w:cs="宋体" w:eastAsia="宋体" w:hint="default"/>
                            <w:sz w:val="18"/>
                            <w:szCs w:val="18"/>
                          </w:rPr>
                          <w:t>鸿数据网络技术股份有限公司电子商务事业部总经理； </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月任大唐高鸿通信技术有限公司 </w:t>
                        </w:r>
                        <w:r>
                          <w:rPr>
                            <w:rFonts w:ascii="宋体" w:hAnsi="宋体" w:cs="宋体" w:eastAsia="宋体" w:hint="default"/>
                            <w:spacing w:val="-2"/>
                            <w:sz w:val="18"/>
                            <w:szCs w:val="18"/>
                          </w:rPr>
                          <w:t>总经理；</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05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月任公司总经理助理兼任</w:t>
                        </w:r>
                        <w:r>
                          <w:rPr>
                            <w:rFonts w:ascii="宋体" w:hAnsi="宋体" w:cs="宋体" w:eastAsia="宋体" w:hint="default"/>
                            <w:spacing w:val="-85"/>
                            <w:sz w:val="18"/>
                            <w:szCs w:val="18"/>
                          </w:rPr>
                          <w:t> </w:t>
                        </w:r>
                        <w:r>
                          <w:rPr>
                            <w:rFonts w:ascii="宋体" w:hAnsi="宋体" w:cs="宋体" w:eastAsia="宋体" w:hint="default"/>
                            <w:spacing w:val="-2"/>
                            <w:sz w:val="18"/>
                            <w:szCs w:val="18"/>
                          </w:rPr>
                          <w:t>高鸿通信公司执行董事、总经理；</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月至今任公司</w:t>
                        </w:r>
                        <w:r>
                          <w:rPr>
                            <w:rFonts w:ascii="宋体" w:hAnsi="宋体" w:cs="宋体" w:eastAsia="宋体" w:hint="default"/>
                            <w:sz w:val="18"/>
                            <w:szCs w:val="18"/>
                          </w:rPr>
                          <w:t> 移动互联网事业部总经理。</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9"/>
                          <w:jc w:val="both"/>
                          <w:rPr>
                            <w:rFonts w:ascii="宋体" w:hAnsi="宋体" w:cs="宋体" w:eastAsia="宋体" w:hint="default"/>
                            <w:sz w:val="18"/>
                            <w:szCs w:val="18"/>
                          </w:rPr>
                        </w:pPr>
                        <w:r>
                          <w:rPr>
                            <w:rFonts w:ascii="宋体" w:hAnsi="宋体" w:cs="宋体" w:eastAsia="宋体" w:hint="default"/>
                            <w:sz w:val="18"/>
                            <w:szCs w:val="18"/>
                          </w:rPr>
                          <w:t>协助总经理负责信息服务业务， 分管移动互联网事业部、信息公 司；负责联系河南融合公司；协 助总经理联系高阳捷迅。</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2720"/>
        <w:gridCol w:w="1702"/>
        <w:gridCol w:w="1560"/>
        <w:gridCol w:w="991"/>
        <w:gridCol w:w="1379"/>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4" w:right="35" w:hanging="720"/>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0" w:right="38"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3" w:right="53"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中国信息通信科技集团有限公司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人力资源部副主任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中国信息通信科技集团有限公司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审计与法务部副主任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19"/>
        <w:gridCol w:w="2978"/>
        <w:gridCol w:w="1806"/>
        <w:gridCol w:w="1878"/>
        <w:gridCol w:w="712"/>
        <w:gridCol w:w="1376"/>
      </w:tblGrid>
      <w:tr>
        <w:trPr>
          <w:trHeight w:val="714"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3" w:right="45"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7" w:right="86"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3"/>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7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北京邮电大学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5"/>
                <w:sz w:val="18"/>
                <w:szCs w:val="18"/>
              </w:rPr>
              <w:t>教授、博士生导师；电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子商务研究中心主任</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vMerge/>
            <w:tcBorders>
              <w:left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京东方科技集团股份有限公司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vMerge/>
            <w:tcBorders>
              <w:left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vMerge/>
            <w:tcBorders>
              <w:left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中国联合网络通信股份有限公司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vMerge/>
            <w:tcBorders>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中国通信服务股份有限公司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北京纵横律师事务所</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专职律师</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上海对外贸易学院</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819" w:type="dxa"/>
            <w:vMerge/>
            <w:tcBorders>
              <w:left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西安交通大学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会计学教授博士生导 师</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vMerge/>
            <w:tcBorders>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上海嘉宝实业（集团）股份有限公司</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计算机学院教授</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1975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8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常州大学</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5"/>
                <w:sz w:val="18"/>
                <w:szCs w:val="18"/>
              </w:rPr>
              <w:t>史良法学院副院长；中</w:t>
            </w:r>
            <w:r>
              <w:rPr>
                <w:rFonts w:ascii="宋体" w:hAnsi="宋体" w:cs="宋体" w:eastAsia="宋体" w:hint="default"/>
                <w:sz w:val="18"/>
                <w:szCs w:val="18"/>
              </w:rPr>
              <w:t> </w:t>
            </w:r>
            <w:r>
              <w:rPr>
                <w:rFonts w:ascii="宋体" w:hAnsi="宋体" w:cs="宋体" w:eastAsia="宋体" w:hint="default"/>
                <w:spacing w:val="-5"/>
                <w:sz w:val="18"/>
                <w:szCs w:val="18"/>
              </w:rPr>
              <w:t>葡法学院执行院长；法</w:t>
            </w:r>
            <w:r>
              <w:rPr>
                <w:rFonts w:ascii="宋体" w:hAnsi="宋体" w:cs="宋体" w:eastAsia="宋体" w:hint="default"/>
                <w:sz w:val="18"/>
                <w:szCs w:val="18"/>
              </w:rPr>
              <w:t> </w:t>
            </w:r>
            <w:r>
              <w:rPr>
                <w:rFonts w:ascii="宋体" w:hAnsi="宋体" w:cs="宋体" w:eastAsia="宋体" w:hint="default"/>
                <w:spacing w:val="-5"/>
                <w:sz w:val="18"/>
                <w:szCs w:val="18"/>
              </w:rPr>
              <w:t>学院教授、硕士研究生</w:t>
            </w:r>
            <w:r>
              <w:rPr>
                <w:rFonts w:ascii="宋体" w:hAnsi="宋体" w:cs="宋体" w:eastAsia="宋体" w:hint="default"/>
                <w:sz w:val="18"/>
                <w:szCs w:val="18"/>
              </w:rPr>
              <w:t> 导师</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19" w:type="dxa"/>
            <w:vMerge/>
            <w:tcBorders>
              <w:left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中国财税法治战略研究院</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执行院长</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19" w:type="dxa"/>
            <w:vMerge/>
            <w:tcBorders>
              <w:left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中央纪委监察部杭州培训中心</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特聘教授</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19" w:type="dxa"/>
            <w:vMerge/>
            <w:tcBorders>
              <w:left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民盟中央法制委员会</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19" w:type="dxa"/>
            <w:vMerge/>
            <w:tcBorders>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北京华税律师事务所</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12"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在其他单 位任职情 况的说明</w:t>
            </w:r>
          </w:p>
        </w:tc>
        <w:tc>
          <w:tcPr>
            <w:tcW w:w="875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85" w:lineRule="auto" w:before="98"/>
        <w:ind w:left="154" w:right="1164" w:firstLine="404"/>
        <w:jc w:val="both"/>
        <w:rPr>
          <w:rFonts w:ascii="宋体" w:hAnsi="宋体" w:cs="宋体" w:eastAsia="宋体" w:hint="default"/>
          <w:sz w:val="20"/>
          <w:szCs w:val="20"/>
        </w:rPr>
      </w:pPr>
      <w:r>
        <w:rPr>
          <w:rFonts w:ascii="宋体" w:hAnsi="宋体" w:cs="宋体" w:eastAsia="宋体" w:hint="default"/>
          <w:spacing w:val="-1"/>
          <w:sz w:val="20"/>
          <w:szCs w:val="20"/>
        </w:rPr>
        <w:t>公司员工薪酬设计基于岗位价值、员工技能与员工业绩，遵循按劳分配、效率优先、兼顾公平及可持续发</w:t>
      </w:r>
      <w:r>
        <w:rPr>
          <w:rFonts w:ascii="宋体" w:hAnsi="宋体" w:cs="宋体" w:eastAsia="宋体" w:hint="default"/>
          <w:w w:val="100"/>
          <w:sz w:val="20"/>
          <w:szCs w:val="20"/>
        </w:rPr>
        <w:t> </w:t>
      </w:r>
      <w:r>
        <w:rPr>
          <w:rFonts w:ascii="宋体" w:hAnsi="宋体" w:cs="宋体" w:eastAsia="宋体" w:hint="default"/>
          <w:spacing w:val="-1"/>
          <w:sz w:val="20"/>
          <w:szCs w:val="20"/>
        </w:rPr>
        <w:t>展的原则，强调员工收入分配的激励性，体现收入分配与价值、贡献的一致性和规范性，工资增量向企业核心</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技术人才、管理骨干倾斜，适当考虑一线员工。</w:t>
      </w:r>
    </w:p>
    <w:p>
      <w:pPr>
        <w:spacing w:after="0" w:line="285" w:lineRule="auto"/>
        <w:jc w:val="both"/>
        <w:rPr>
          <w:rFonts w:ascii="宋体" w:hAnsi="宋体" w:cs="宋体" w:eastAsia="宋体" w:hint="default"/>
          <w:sz w:val="20"/>
          <w:szCs w:val="20"/>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388"/>
        <w:gridCol w:w="1385"/>
        <w:gridCol w:w="1385"/>
        <w:gridCol w:w="1385"/>
        <w:gridCol w:w="1384"/>
        <w:gridCol w:w="1434"/>
        <w:gridCol w:w="1715"/>
      </w:tblGrid>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3" w:right="7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1" w:right="41" w:hanging="540"/>
              <w:jc w:val="left"/>
              <w:rPr>
                <w:rFonts w:ascii="宋体" w:hAnsi="宋体" w:cs="宋体" w:eastAsia="宋体" w:hint="default"/>
                <w:sz w:val="18"/>
                <w:szCs w:val="18"/>
              </w:rPr>
            </w:pPr>
            <w:r>
              <w:rPr>
                <w:rFonts w:ascii="宋体" w:hAnsi="宋体" w:cs="宋体" w:eastAsia="宋体" w:hint="default"/>
                <w:sz w:val="18"/>
                <w:szCs w:val="18"/>
              </w:rPr>
              <w:t>是否在公司关联方获 取报酬</w:t>
            </w:r>
          </w:p>
        </w:tc>
      </w:tr>
      <w:tr>
        <w:trPr>
          <w:trHeight w:val="341" w:hRule="exact"/>
        </w:trPr>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付景林</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83.65</w:t>
            </w:r>
          </w:p>
        </w:tc>
        <w:tc>
          <w:tcPr>
            <w:tcW w:w="171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85"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34" w:type="dxa"/>
            <w:vMerge/>
            <w:tcBorders>
              <w:left w:val="single" w:sz="4" w:space="0" w:color="000000"/>
              <w:bottom w:val="single" w:sz="4" w:space="0" w:color="000000"/>
              <w:right w:val="single" w:sz="4" w:space="0" w:color="000000"/>
            </w:tcBorders>
          </w:tcPr>
          <w:p>
            <w:pPr/>
          </w:p>
        </w:tc>
        <w:tc>
          <w:tcPr>
            <w:tcW w:w="1715" w:type="dxa"/>
            <w:vMerge/>
            <w:tcBorders>
              <w:left w:val="single" w:sz="4" w:space="0" w:color="000000"/>
              <w:bottom w:val="single" w:sz="4" w:space="0" w:color="000000"/>
              <w:right w:val="single" w:sz="4" w:space="0" w:color="000000"/>
            </w:tcBorders>
          </w:tcPr>
          <w:p>
            <w:pP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陈蕾</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74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曹秉蛟</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48.44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李群</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100.66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段茂忠</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孙绍利</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黄霈霖</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35</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45.45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王芊</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71.33</w:t>
            </w:r>
          </w:p>
        </w:tc>
        <w:tc>
          <w:tcPr>
            <w:tcW w:w="17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vMerge/>
            <w:tcBorders>
              <w:left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85" w:type="dxa"/>
            <w:vMerge/>
            <w:tcBorders>
              <w:left w:val="single" w:sz="4" w:space="0" w:color="000000"/>
              <w:right w:val="single" w:sz="4" w:space="0" w:color="000000"/>
            </w:tcBorders>
          </w:tcPr>
          <w:p>
            <w:pPr/>
          </w:p>
        </w:tc>
        <w:tc>
          <w:tcPr>
            <w:tcW w:w="1385" w:type="dxa"/>
            <w:vMerge/>
            <w:tcBorders>
              <w:left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34" w:type="dxa"/>
            <w:vMerge/>
            <w:tcBorders>
              <w:left w:val="single" w:sz="4" w:space="0" w:color="000000"/>
              <w:right w:val="single" w:sz="4" w:space="0" w:color="000000"/>
            </w:tcBorders>
          </w:tcPr>
          <w:p>
            <w:pPr/>
          </w:p>
        </w:tc>
        <w:tc>
          <w:tcPr>
            <w:tcW w:w="1715" w:type="dxa"/>
            <w:vMerge/>
            <w:tcBorders>
              <w:left w:val="single" w:sz="4" w:space="0" w:color="000000"/>
              <w:right w:val="single" w:sz="4" w:space="0" w:color="000000"/>
            </w:tcBorders>
          </w:tcPr>
          <w:p>
            <w:pPr/>
          </w:p>
        </w:tc>
      </w:tr>
      <w:tr>
        <w:trPr>
          <w:trHeight w:val="341" w:hRule="exact"/>
        </w:trPr>
        <w:tc>
          <w:tcPr>
            <w:tcW w:w="1388"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34" w:type="dxa"/>
            <w:vMerge/>
            <w:tcBorders>
              <w:left w:val="single" w:sz="4" w:space="0" w:color="000000"/>
              <w:bottom w:val="single" w:sz="4" w:space="0" w:color="000000"/>
              <w:right w:val="single" w:sz="4" w:space="0" w:color="000000"/>
            </w:tcBorders>
          </w:tcPr>
          <w:p>
            <w:pPr/>
          </w:p>
        </w:tc>
        <w:tc>
          <w:tcPr>
            <w:tcW w:w="1715" w:type="dxa"/>
            <w:vMerge/>
            <w:tcBorders>
              <w:left w:val="single" w:sz="4" w:space="0" w:color="000000"/>
              <w:bottom w:val="single" w:sz="4" w:space="0" w:color="000000"/>
              <w:right w:val="single" w:sz="4" w:space="0" w:color="000000"/>
            </w:tcBorders>
          </w:tcPr>
          <w:p>
            <w:pP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赵德胜</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刘雪峰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侯玉成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56</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71.33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张新中</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38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丁明锋</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71.33</w:t>
            </w:r>
          </w:p>
        </w:tc>
        <w:tc>
          <w:tcPr>
            <w:tcW w:w="17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388" w:type="dxa"/>
            <w:vMerge/>
            <w:tcBorders>
              <w:left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5" w:type="dxa"/>
            <w:vMerge/>
            <w:tcBorders>
              <w:left w:val="single" w:sz="4" w:space="0" w:color="000000"/>
              <w:right w:val="single" w:sz="4" w:space="0" w:color="000000"/>
            </w:tcBorders>
          </w:tcPr>
          <w:p>
            <w:pPr/>
          </w:p>
        </w:tc>
        <w:tc>
          <w:tcPr>
            <w:tcW w:w="1385" w:type="dxa"/>
            <w:vMerge/>
            <w:tcBorders>
              <w:left w:val="single" w:sz="4" w:space="0" w:color="000000"/>
              <w:right w:val="single" w:sz="4" w:space="0" w:color="000000"/>
            </w:tcBorders>
          </w:tcPr>
          <w:p>
            <w:pPr/>
          </w:p>
        </w:tc>
        <w:tc>
          <w:tcPr>
            <w:tcW w:w="1384" w:type="dxa"/>
            <w:vMerge/>
            <w:tcBorders>
              <w:left w:val="single" w:sz="4" w:space="0" w:color="000000"/>
              <w:right w:val="single" w:sz="4" w:space="0" w:color="000000"/>
            </w:tcBorders>
          </w:tcPr>
          <w:p>
            <w:pPr/>
          </w:p>
        </w:tc>
        <w:tc>
          <w:tcPr>
            <w:tcW w:w="1434" w:type="dxa"/>
            <w:vMerge/>
            <w:tcBorders>
              <w:left w:val="single" w:sz="4" w:space="0" w:color="000000"/>
              <w:right w:val="single" w:sz="4" w:space="0" w:color="000000"/>
            </w:tcBorders>
          </w:tcPr>
          <w:p>
            <w:pPr/>
          </w:p>
        </w:tc>
        <w:tc>
          <w:tcPr>
            <w:tcW w:w="1715" w:type="dxa"/>
            <w:vMerge/>
            <w:tcBorders>
              <w:left w:val="single" w:sz="4" w:space="0" w:color="000000"/>
              <w:right w:val="single" w:sz="4" w:space="0" w:color="000000"/>
            </w:tcBorders>
          </w:tcPr>
          <w:p>
            <w:pPr/>
          </w:p>
        </w:tc>
      </w:tr>
      <w:tr>
        <w:trPr>
          <w:trHeight w:val="340" w:hRule="exact"/>
        </w:trPr>
        <w:tc>
          <w:tcPr>
            <w:tcW w:w="1388"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85"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c>
          <w:tcPr>
            <w:tcW w:w="1384" w:type="dxa"/>
            <w:vMerge/>
            <w:tcBorders>
              <w:left w:val="single" w:sz="4" w:space="0" w:color="000000"/>
              <w:bottom w:val="single" w:sz="4" w:space="0" w:color="000000"/>
              <w:right w:val="single" w:sz="4" w:space="0" w:color="000000"/>
            </w:tcBorders>
          </w:tcPr>
          <w:p>
            <w:pPr/>
          </w:p>
        </w:tc>
        <w:tc>
          <w:tcPr>
            <w:tcW w:w="1434" w:type="dxa"/>
            <w:vMerge/>
            <w:tcBorders>
              <w:left w:val="single" w:sz="4" w:space="0" w:color="000000"/>
              <w:bottom w:val="single" w:sz="4" w:space="0" w:color="000000"/>
              <w:right w:val="single" w:sz="4" w:space="0" w:color="000000"/>
            </w:tcBorders>
          </w:tcPr>
          <w:p>
            <w:pPr/>
          </w:p>
        </w:tc>
        <w:tc>
          <w:tcPr>
            <w:tcW w:w="1715" w:type="dxa"/>
            <w:vMerge/>
            <w:tcBorders>
              <w:left w:val="single" w:sz="4" w:space="0" w:color="000000"/>
              <w:bottom w:val="single" w:sz="4" w:space="0" w:color="000000"/>
              <w:right w:val="single" w:sz="4" w:space="0" w:color="000000"/>
            </w:tcBorders>
          </w:tcPr>
          <w:p>
            <w:pPr/>
          </w:p>
        </w:tc>
      </w:tr>
      <w:tr>
        <w:trPr>
          <w:trHeight w:val="340"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翁冠男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86.87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43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896</w:t>
            </w:r>
          </w:p>
        </w:tc>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77"/>
        <w:gridCol w:w="4792"/>
      </w:tblGrid>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1,797</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1" w:firstLine="423"/>
        <w:jc w:val="both"/>
      </w:pPr>
      <w:r>
        <w:rPr>
          <w:spacing w:val="-1"/>
        </w:rPr>
        <w:t>我公司员工薪酬设计基于岗位价值、员工技能与员工业绩，遵循按劳分配、效率优先、兼顾公平及可</w:t>
      </w:r>
      <w:r>
        <w:rPr/>
        <w:t> </w:t>
      </w:r>
      <w:r>
        <w:rPr>
          <w:spacing w:val="-1"/>
        </w:rPr>
        <w:t>持续发展的原则，强调员工收入分配的激励性，体现收入分配与价值、贡献的一致性和规范性，工资增量</w:t>
      </w:r>
      <w:r>
        <w:rPr>
          <w:spacing w:val="-86"/>
        </w:rPr>
        <w:t> </w:t>
      </w:r>
      <w:r>
        <w:rPr>
          <w:spacing w:val="-86"/>
        </w:rPr>
      </w:r>
      <w:r>
        <w:rPr/>
        <w:t>向企业核心技术人才、管理骨干倾斜，适当考虑一线员工。</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912"/>
        <w:gridCol w:w="1693"/>
        <w:gridCol w:w="7053"/>
      </w:tblGrid>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主题</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一月份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集团管理公开课</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before="167"/>
              <w:ind w:left="526" w:right="0"/>
              <w:jc w:val="left"/>
              <w:rPr>
                <w:rFonts w:ascii="宋体" w:hAnsi="宋体" w:cs="宋体" w:eastAsia="宋体" w:hint="default"/>
                <w:sz w:val="21"/>
                <w:szCs w:val="21"/>
              </w:rPr>
            </w:pPr>
            <w:r>
              <w:rPr>
                <w:rFonts w:ascii="宋体" w:hAnsi="宋体" w:cs="宋体" w:eastAsia="宋体" w:hint="default"/>
                <w:sz w:val="21"/>
                <w:szCs w:val="21"/>
              </w:rPr>
              <w:t>三月份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高鸿公司“学习园地”第一期培训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年上半年软考培训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4</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before="167"/>
              <w:ind w:left="526" w:right="0"/>
              <w:jc w:val="left"/>
              <w:rPr>
                <w:rFonts w:ascii="宋体" w:hAnsi="宋体" w:cs="宋体" w:eastAsia="宋体" w:hint="default"/>
                <w:sz w:val="21"/>
                <w:szCs w:val="21"/>
              </w:rPr>
            </w:pPr>
            <w:r>
              <w:rPr>
                <w:rFonts w:ascii="宋体" w:hAnsi="宋体" w:cs="宋体" w:eastAsia="宋体" w:hint="default"/>
                <w:sz w:val="21"/>
                <w:szCs w:val="21"/>
              </w:rPr>
              <w:t>四月份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集团通用管理能力培训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五月份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高鸿公司“学习园地”培训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7</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集团大数据相关培训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9</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六月份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年骨干员工卓越加速训练营</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集团国学智慧与卓越领导力培训</w:t>
            </w:r>
          </w:p>
        </w:tc>
      </w:tr>
      <w:tr>
        <w:trPr>
          <w:trHeight w:val="343"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11</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bl>
    <w:p>
      <w:pPr>
        <w:spacing w:after="0" w:line="271"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39" w:type="dxa"/>
        <w:tblLayout w:type="fixed"/>
        <w:tblCellMar>
          <w:top w:w="0" w:type="dxa"/>
          <w:left w:w="0" w:type="dxa"/>
          <w:bottom w:w="0" w:type="dxa"/>
          <w:right w:w="0" w:type="dxa"/>
        </w:tblCellMar>
        <w:tblLook w:val="01E0"/>
      </w:tblPr>
      <w:tblGrid>
        <w:gridCol w:w="912"/>
        <w:gridCol w:w="1693"/>
        <w:gridCol w:w="7053"/>
      </w:tblGrid>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12</w:t>
            </w:r>
          </w:p>
        </w:tc>
        <w:tc>
          <w:tcPr>
            <w:tcW w:w="1693" w:type="dxa"/>
            <w:tcBorders>
              <w:top w:val="single" w:sz="4" w:space="0" w:color="000000"/>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集团无界营销培训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13</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6"/>
              <w:ind w:left="526" w:right="0"/>
              <w:jc w:val="left"/>
              <w:rPr>
                <w:rFonts w:ascii="宋体" w:hAnsi="宋体" w:cs="宋体" w:eastAsia="宋体" w:hint="default"/>
                <w:sz w:val="21"/>
                <w:szCs w:val="21"/>
              </w:rPr>
            </w:pPr>
            <w:r>
              <w:rPr>
                <w:rFonts w:ascii="宋体" w:hAnsi="宋体" w:cs="宋体" w:eastAsia="宋体" w:hint="default"/>
                <w:sz w:val="21"/>
                <w:szCs w:val="21"/>
              </w:rPr>
              <w:t>七月份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14</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年度中青年后备干部培训班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15</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年度高鸿新员工培训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16</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年下半年软考培训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17</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中层管理者管理能力培训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19</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20</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人力资源管理专项培训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21</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八月份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年大唐电信集团京内单位新员工培训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22</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高鸿公司“学习园地”培训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23</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法务专项培训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24</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九月份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人力资源管理专项培训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25</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PMP</w:t>
            </w:r>
            <w:r>
              <w:rPr>
                <w:rFonts w:ascii="宋体" w:hAnsi="宋体" w:cs="宋体" w:eastAsia="宋体" w:hint="default"/>
                <w:sz w:val="21"/>
                <w:szCs w:val="21"/>
              </w:rPr>
              <w:t>认证培训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26</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27</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研发实务培训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28</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526" w:right="0"/>
              <w:jc w:val="left"/>
              <w:rPr>
                <w:rFonts w:ascii="宋体" w:hAnsi="宋体" w:cs="宋体" w:eastAsia="宋体" w:hint="default"/>
                <w:sz w:val="21"/>
                <w:szCs w:val="21"/>
              </w:rPr>
            </w:pPr>
            <w:r>
              <w:rPr>
                <w:rFonts w:ascii="宋体" w:hAnsi="宋体" w:cs="宋体" w:eastAsia="宋体" w:hint="default"/>
                <w:sz w:val="21"/>
                <w:szCs w:val="21"/>
              </w:rPr>
              <w:t>十月份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年基层管理人员管理技能提升培训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29</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高鸿公司“学习园地”培训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30</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31</w:t>
            </w:r>
          </w:p>
        </w:tc>
        <w:tc>
          <w:tcPr>
            <w:tcW w:w="1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421" w:right="0"/>
              <w:jc w:val="left"/>
              <w:rPr>
                <w:rFonts w:ascii="宋体" w:hAnsi="宋体" w:cs="宋体" w:eastAsia="宋体" w:hint="default"/>
                <w:sz w:val="21"/>
                <w:szCs w:val="21"/>
              </w:rPr>
            </w:pPr>
            <w:r>
              <w:rPr>
                <w:rFonts w:ascii="宋体" w:hAnsi="宋体" w:cs="宋体" w:eastAsia="宋体" w:hint="default"/>
                <w:sz w:val="21"/>
                <w:szCs w:val="21"/>
              </w:rPr>
              <w:t>十一月份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32</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内审培训</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33</w:t>
            </w:r>
          </w:p>
        </w:tc>
        <w:tc>
          <w:tcPr>
            <w:tcW w:w="1693" w:type="dxa"/>
            <w:vMerge/>
            <w:tcBorders>
              <w:left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大唐讲坛系列讲座</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34</w:t>
            </w:r>
          </w:p>
        </w:tc>
        <w:tc>
          <w:tcPr>
            <w:tcW w:w="1693" w:type="dxa"/>
            <w:vMerge/>
            <w:tcBorders>
              <w:left w:val="single" w:sz="4" w:space="0" w:color="000000"/>
              <w:bottom w:val="single" w:sz="4" w:space="0" w:color="000000"/>
              <w:right w:val="single" w:sz="4" w:space="0" w:color="000000"/>
            </w:tcBorders>
          </w:tcPr>
          <w:p>
            <w:pP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OFFICE</w:t>
            </w:r>
            <w:r>
              <w:rPr>
                <w:rFonts w:ascii="宋体" w:hAnsi="宋体" w:cs="宋体" w:eastAsia="宋体" w:hint="default"/>
                <w:sz w:val="21"/>
                <w:szCs w:val="21"/>
              </w:rPr>
              <w:t>办公软件操作技能系列课程》</w:t>
            </w:r>
          </w:p>
        </w:tc>
      </w:tr>
      <w:tr>
        <w:trPr>
          <w:trHeight w:val="342" w:hRule="exact"/>
        </w:trPr>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35</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21" w:right="0"/>
              <w:jc w:val="left"/>
              <w:rPr>
                <w:rFonts w:ascii="宋体" w:hAnsi="宋体" w:cs="宋体" w:eastAsia="宋体" w:hint="default"/>
                <w:sz w:val="21"/>
                <w:szCs w:val="21"/>
              </w:rPr>
            </w:pPr>
            <w:r>
              <w:rPr>
                <w:rFonts w:ascii="宋体" w:hAnsi="宋体" w:cs="宋体" w:eastAsia="宋体" w:hint="default"/>
                <w:sz w:val="21"/>
                <w:szCs w:val="21"/>
              </w:rPr>
              <w:t>十二月份</w:t>
            </w:r>
          </w:p>
        </w:tc>
        <w:tc>
          <w:tcPr>
            <w:tcW w:w="7053"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5" w:right="0"/>
              <w:jc w:val="left"/>
              <w:rPr>
                <w:rFonts w:ascii="宋体" w:hAnsi="宋体" w:cs="宋体" w:eastAsia="宋体" w:hint="default"/>
                <w:sz w:val="21"/>
                <w:szCs w:val="21"/>
              </w:rPr>
            </w:pPr>
            <w:r>
              <w:rPr>
                <w:rFonts w:ascii="宋体" w:hAnsi="宋体" w:cs="宋体" w:eastAsia="宋体" w:hint="default"/>
                <w:sz w:val="21"/>
                <w:szCs w:val="21"/>
              </w:rPr>
              <w:t>高鸿公司“学习园地”培训</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right="0"/>
        <w:jc w:val="left"/>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040"/>
        <w:jc w:val="center"/>
        <w:rPr>
          <w:b w:val="0"/>
          <w:bCs w:val="0"/>
        </w:rPr>
      </w:pPr>
      <w:bookmarkStart w:name="第九节 公司治理" w:id="139"/>
      <w:bookmarkEnd w:id="139"/>
      <w:r>
        <w:rPr>
          <w:b w:val="0"/>
          <w:bCs w:val="0"/>
        </w:rPr>
      </w:r>
      <w:bookmarkStart w:name="_bookmark8" w:id="140"/>
      <w:bookmarkEnd w:id="140"/>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8" w:right="0"/>
        <w:jc w:val="left"/>
      </w:pPr>
      <w:r>
        <w:rPr>
          <w:rFonts w:ascii="宋体" w:hAnsi="宋体" w:cs="宋体" w:eastAsia="宋体" w:hint="default"/>
        </w:rPr>
        <w:t>1.</w:t>
      </w:r>
      <w:r>
        <w:rPr/>
        <w:t>内控工作情况 公司于</w:t>
      </w:r>
      <w:r>
        <w:rPr>
          <w:rFonts w:ascii="宋体" w:hAnsi="宋体" w:cs="宋体" w:eastAsia="宋体" w:hint="default"/>
        </w:rPr>
        <w:t>1998</w:t>
      </w:r>
      <w:r>
        <w:rPr/>
        <w:t>年在深圳证券交易所上市，</w:t>
      </w:r>
      <w:r>
        <w:rPr>
          <w:rFonts w:ascii="宋体" w:hAnsi="宋体" w:cs="宋体" w:eastAsia="宋体" w:hint="default"/>
        </w:rPr>
        <w:t>2003</w:t>
      </w:r>
      <w:r>
        <w:rPr/>
        <w:t>年</w:t>
      </w:r>
      <w:r>
        <w:rPr>
          <w:rFonts w:ascii="宋体" w:hAnsi="宋体" w:cs="宋体" w:eastAsia="宋体" w:hint="default"/>
        </w:rPr>
        <w:t>5</w:t>
      </w:r>
      <w:r>
        <w:rPr/>
        <w:t>月实施完成了以股权转让和资产整体置换为主要内容</w:t>
      </w:r>
    </w:p>
    <w:p>
      <w:pPr>
        <w:pStyle w:val="BodyText"/>
        <w:spacing w:line="273" w:lineRule="auto"/>
        <w:ind w:right="0"/>
        <w:jc w:val="left"/>
      </w:pPr>
      <w:r>
        <w:rPr/>
        <w:t>的重大资产重组，</w:t>
      </w:r>
      <w:r>
        <w:rPr>
          <w:rFonts w:ascii="宋体" w:hAnsi="宋体" w:cs="宋体" w:eastAsia="宋体" w:hint="default"/>
        </w:rPr>
        <w:t>2006</w:t>
      </w:r>
      <w:r>
        <w:rPr/>
        <w:t>年</w:t>
      </w:r>
      <w:r>
        <w:rPr>
          <w:rFonts w:ascii="宋体" w:hAnsi="宋体" w:cs="宋体" w:eastAsia="宋体" w:hint="default"/>
        </w:rPr>
        <w:t>6</w:t>
      </w:r>
      <w:r>
        <w:rPr/>
        <w:t>月实施完成了股权分置改革。公司严格按照《公司法》、《证券法》和中国证</w:t>
      </w:r>
      <w:r>
        <w:rPr>
          <w:spacing w:val="-34"/>
        </w:rPr>
        <w:t> </w:t>
      </w:r>
      <w:r>
        <w:rPr>
          <w:spacing w:val="-34"/>
        </w:rPr>
      </w:r>
      <w:r>
        <w:rPr/>
        <w:t>监会有关规章、规范的要求，完善公司法人治理结构，健全现代企业制度，规范公司运作。</w:t>
      </w:r>
    </w:p>
    <w:p>
      <w:pPr>
        <w:pStyle w:val="BodyText"/>
        <w:spacing w:line="240" w:lineRule="auto"/>
        <w:ind w:left="578" w:right="0"/>
        <w:jc w:val="left"/>
      </w:pPr>
      <w:r>
        <w:rPr/>
        <w:t>公司董事会下设专门委员会正常运作，就公司重大事项进行讨论与研究，为董事会决策提供了专业支</w:t>
      </w:r>
    </w:p>
    <w:p>
      <w:pPr>
        <w:pStyle w:val="BodyText"/>
        <w:spacing w:line="240" w:lineRule="auto" w:before="37"/>
        <w:ind w:right="0"/>
        <w:jc w:val="left"/>
      </w:pPr>
      <w:r>
        <w:rPr/>
        <w:t>持。</w:t>
      </w:r>
    </w:p>
    <w:p>
      <w:pPr>
        <w:pStyle w:val="BodyText"/>
        <w:spacing w:line="240" w:lineRule="auto" w:before="37"/>
        <w:ind w:left="578" w:right="0"/>
        <w:jc w:val="left"/>
      </w:pPr>
      <w:r>
        <w:rPr/>
        <w:t>公司董事会和监事会严格按照法律法规和公司章程履行职权。董事会和监事会历次会议的通知、决议</w:t>
      </w:r>
    </w:p>
    <w:p>
      <w:pPr>
        <w:pStyle w:val="BodyText"/>
        <w:spacing w:line="273" w:lineRule="auto" w:before="37"/>
        <w:ind w:right="1118"/>
        <w:jc w:val="left"/>
      </w:pPr>
      <w:r>
        <w:rPr>
          <w:spacing w:val="-1"/>
        </w:rPr>
        <w:t>和信息披露等工作均按照法定程序完成。公司董事和监事勤勉尽责地履行职责，维护了公司和全体股东的</w:t>
      </w:r>
      <w:r>
        <w:rPr>
          <w:spacing w:val="-81"/>
        </w:rPr>
        <w:t> </w:t>
      </w:r>
      <w:r>
        <w:rPr>
          <w:spacing w:val="-81"/>
        </w:rPr>
      </w:r>
      <w:r>
        <w:rPr/>
        <w:t>合法权益。</w:t>
      </w:r>
    </w:p>
    <w:p>
      <w:pPr>
        <w:pStyle w:val="BodyText"/>
        <w:spacing w:line="307" w:lineRule="auto"/>
        <w:ind w:left="575" w:right="0" w:firstLine="3"/>
        <w:jc w:val="left"/>
      </w:pPr>
      <w:r>
        <w:rPr>
          <w:rFonts w:ascii="宋体" w:hAnsi="宋体" w:cs="宋体" w:eastAsia="宋体" w:hint="default"/>
        </w:rPr>
        <w:t>2.</w:t>
      </w:r>
      <w:r>
        <w:rPr/>
        <w:t>《公司章程》修订情况 </w:t>
      </w:r>
      <w:r>
        <w:rPr>
          <w:spacing w:val="-1"/>
        </w:rPr>
        <w:t>经公司第八届第九次董事会审议通过，并经</w:t>
      </w:r>
      <w:r>
        <w:rPr>
          <w:rFonts w:ascii="宋体" w:hAnsi="宋体" w:cs="宋体" w:eastAsia="宋体" w:hint="default"/>
          <w:spacing w:val="-1"/>
        </w:rPr>
        <w:t>2018</w:t>
      </w:r>
      <w:r>
        <w:rPr>
          <w:spacing w:val="-1"/>
        </w:rPr>
        <w:t>年第二次临时股东大会批准，公司对公司章程进行了</w:t>
      </w:r>
    </w:p>
    <w:p>
      <w:pPr>
        <w:pStyle w:val="BodyText"/>
        <w:spacing w:line="253" w:lineRule="exact" w:before="0"/>
        <w:ind w:right="0"/>
        <w:jc w:val="both"/>
      </w:pPr>
      <w:r>
        <w:rPr/>
        <w:t>修订，具体修订情况见公司于</w:t>
      </w:r>
      <w:r>
        <w:rPr>
          <w:rFonts w:ascii="宋体" w:hAnsi="宋体" w:cs="宋体" w:eastAsia="宋体" w:hint="default"/>
        </w:rPr>
        <w:t>2018</w:t>
      </w:r>
      <w:r>
        <w:rPr/>
        <w:t>年</w:t>
      </w:r>
      <w:r>
        <w:rPr>
          <w:rFonts w:ascii="宋体" w:hAnsi="宋体" w:cs="宋体" w:eastAsia="宋体" w:hint="default"/>
        </w:rPr>
        <w:t>02</w:t>
      </w:r>
      <w:r>
        <w:rPr/>
        <w:t>月</w:t>
      </w:r>
      <w:r>
        <w:rPr>
          <w:rFonts w:ascii="宋体" w:hAnsi="宋体" w:cs="宋体" w:eastAsia="宋体" w:hint="default"/>
        </w:rPr>
        <w:t>08</w:t>
      </w:r>
      <w:r>
        <w:rPr/>
        <w:t>日在巨潮资讯网发布的公告《公司章程修订说明》及于</w:t>
      </w:r>
      <w:r>
        <w:rPr>
          <w:rFonts w:ascii="宋体" w:hAnsi="宋体" w:cs="宋体" w:eastAsia="宋体" w:hint="default"/>
        </w:rPr>
        <w:t>2018</w:t>
      </w:r>
      <w:r>
        <w:rPr/>
        <w:t>年</w:t>
      </w:r>
    </w:p>
    <w:p>
      <w:pPr>
        <w:pStyle w:val="BodyText"/>
        <w:spacing w:line="273" w:lineRule="auto" w:before="37"/>
        <w:ind w:right="1129"/>
        <w:jc w:val="both"/>
      </w:pPr>
      <w:r>
        <w:rPr>
          <w:rFonts w:ascii="宋体" w:hAnsi="宋体" w:cs="宋体" w:eastAsia="宋体" w:hint="default"/>
          <w:spacing w:val="-1"/>
        </w:rPr>
        <w:t>03</w:t>
      </w:r>
      <w:r>
        <w:rPr>
          <w:spacing w:val="-1"/>
        </w:rPr>
        <w:t>月</w:t>
      </w:r>
      <w:r>
        <w:rPr>
          <w:rFonts w:ascii="宋体" w:hAnsi="宋体" w:cs="宋体" w:eastAsia="宋体" w:hint="default"/>
          <w:spacing w:val="-1"/>
        </w:rPr>
        <w:t>02</w:t>
      </w:r>
      <w:r>
        <w:rPr>
          <w:spacing w:val="-1"/>
        </w:rPr>
        <w:t>日发布的经股东大会审议通过的《公司章程》；经公司第八届第十三次董事会审议通过，并经</w:t>
      </w:r>
      <w:r>
        <w:rPr>
          <w:rFonts w:ascii="宋体" w:hAnsi="宋体" w:cs="宋体" w:eastAsia="宋体" w:hint="default"/>
          <w:spacing w:val="-1"/>
        </w:rPr>
        <w:t>2018</w:t>
      </w:r>
      <w:r>
        <w:rPr>
          <w:rFonts w:ascii="宋体" w:hAnsi="宋体" w:cs="宋体" w:eastAsia="宋体" w:hint="default"/>
          <w:spacing w:val="-83"/>
        </w:rPr>
        <w:t> </w:t>
      </w:r>
      <w:r>
        <w:rPr>
          <w:rFonts w:ascii="宋体" w:hAnsi="宋体" w:cs="宋体" w:eastAsia="宋体" w:hint="default"/>
          <w:spacing w:val="-83"/>
        </w:rPr>
      </w:r>
      <w:r>
        <w:rPr>
          <w:spacing w:val="-1"/>
        </w:rPr>
        <w:t>年第三次临时股东大会批准，公司对公司章程进行了修订，具体修订情况见公司于</w:t>
      </w:r>
      <w:r>
        <w:rPr>
          <w:rFonts w:ascii="宋体" w:hAnsi="宋体" w:cs="宋体" w:eastAsia="宋体" w:hint="default"/>
          <w:spacing w:val="-1"/>
        </w:rPr>
        <w:t>2018</w:t>
      </w:r>
      <w:r>
        <w:rPr>
          <w:spacing w:val="-1"/>
        </w:rPr>
        <w:t>年</w:t>
      </w:r>
      <w:r>
        <w:rPr>
          <w:rFonts w:ascii="宋体" w:hAnsi="宋体" w:cs="宋体" w:eastAsia="宋体" w:hint="default"/>
          <w:spacing w:val="-1"/>
        </w:rPr>
        <w:t>06</w:t>
      </w:r>
      <w:r>
        <w:rPr>
          <w:spacing w:val="-1"/>
        </w:rPr>
        <w:t>月</w:t>
      </w:r>
      <w:r>
        <w:rPr>
          <w:rFonts w:ascii="宋体" w:hAnsi="宋体" w:cs="宋体" w:eastAsia="宋体" w:hint="default"/>
          <w:spacing w:val="-1"/>
        </w:rPr>
        <w:t>21</w:t>
      </w:r>
      <w:r>
        <w:rPr>
          <w:spacing w:val="-1"/>
        </w:rPr>
        <w:t>日在巨潮</w:t>
      </w:r>
      <w:r>
        <w:rPr>
          <w:spacing w:val="-80"/>
        </w:rPr>
        <w:t> </w:t>
      </w:r>
      <w:r>
        <w:rPr>
          <w:spacing w:val="-80"/>
        </w:rPr>
      </w:r>
      <w:r>
        <w:rPr>
          <w:spacing w:val="-5"/>
        </w:rPr>
        <w:t>资讯网发布的公告《公司章程修订说明》及于</w:t>
      </w:r>
      <w:r>
        <w:rPr>
          <w:rFonts w:ascii="宋体" w:hAnsi="宋体" w:cs="宋体" w:eastAsia="宋体" w:hint="default"/>
          <w:spacing w:val="-5"/>
        </w:rPr>
        <w:t>2018</w:t>
      </w:r>
      <w:r>
        <w:rPr>
          <w:spacing w:val="-5"/>
        </w:rPr>
        <w:t>年</w:t>
      </w:r>
      <w:r>
        <w:rPr>
          <w:rFonts w:ascii="宋体" w:hAnsi="宋体" w:cs="宋体" w:eastAsia="宋体" w:hint="default"/>
          <w:spacing w:val="-5"/>
        </w:rPr>
        <w:t>07</w:t>
      </w:r>
      <w:r>
        <w:rPr>
          <w:spacing w:val="-5"/>
        </w:rPr>
        <w:t>月</w:t>
      </w:r>
      <w:r>
        <w:rPr>
          <w:rFonts w:ascii="宋体" w:hAnsi="宋体" w:cs="宋体" w:eastAsia="宋体" w:hint="default"/>
          <w:spacing w:val="-5"/>
        </w:rPr>
        <w:t>10</w:t>
      </w:r>
      <w:r>
        <w:rPr>
          <w:spacing w:val="-5"/>
        </w:rPr>
        <w:t>日发布的经股东大会审议通过的《公司章程》。</w:t>
      </w:r>
    </w:p>
    <w:p>
      <w:pPr>
        <w:spacing w:before="73"/>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40" w:lineRule="auto" w:before="116"/>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133" w:firstLine="424"/>
        <w:jc w:val="both"/>
      </w:pPr>
      <w:r>
        <w:rPr>
          <w:spacing w:val="-1"/>
        </w:rPr>
        <w:t>报告期内，公司与控股股东在业务、人员、资产、机构、财务等方面完全分开，具有独立完整的业务</w:t>
      </w:r>
      <w:r>
        <w:rPr/>
        <w:t> 及自主经营能力。</w:t>
      </w:r>
    </w:p>
    <w:p>
      <w:pPr>
        <w:pStyle w:val="BodyText"/>
        <w:spacing w:line="273" w:lineRule="auto"/>
        <w:ind w:right="1133" w:firstLine="424"/>
        <w:jc w:val="both"/>
      </w:pPr>
      <w:r>
        <w:rPr>
          <w:rFonts w:ascii="宋体" w:hAnsi="宋体" w:cs="宋体" w:eastAsia="宋体" w:hint="default"/>
          <w:spacing w:val="-1"/>
        </w:rPr>
        <w:t>1.</w:t>
      </w:r>
      <w:r>
        <w:rPr>
          <w:spacing w:val="-1"/>
        </w:rPr>
        <w:t>业务独立情况：公司独立从事生产经营，对控股股东和其他关联企业不存在依赖关系。公司拥有独</w:t>
      </w:r>
      <w:r>
        <w:rPr/>
        <w:t> 立的原材料采购和产品的生产、销售系统，不依赖控股股东和其它关联企业。</w:t>
      </w:r>
    </w:p>
    <w:p>
      <w:pPr>
        <w:pStyle w:val="BodyText"/>
        <w:spacing w:line="273" w:lineRule="auto"/>
        <w:ind w:right="1131" w:firstLine="424"/>
        <w:jc w:val="both"/>
      </w:pPr>
      <w:r>
        <w:rPr>
          <w:rFonts w:ascii="宋体" w:hAnsi="宋体" w:cs="宋体" w:eastAsia="宋体" w:hint="default"/>
          <w:spacing w:val="-1"/>
        </w:rPr>
        <w:t>2.</w:t>
      </w:r>
      <w:r>
        <w:rPr>
          <w:spacing w:val="-1"/>
        </w:rPr>
        <w:t>人员分开情况：公司设有专门负责公司劳动人事及工资管理的工作部门，并制定了对员工进行考核</w:t>
      </w:r>
      <w:r>
        <w:rPr/>
        <w:t> 管理的有关规章制度。除部分董事、监事以外，公司其它高管人员未在股东单位双重任职。</w:t>
      </w:r>
    </w:p>
    <w:p>
      <w:pPr>
        <w:pStyle w:val="BodyText"/>
        <w:spacing w:line="273" w:lineRule="auto"/>
        <w:ind w:right="1131" w:firstLine="424"/>
        <w:jc w:val="both"/>
      </w:pPr>
      <w:r>
        <w:rPr>
          <w:rFonts w:ascii="宋体" w:hAnsi="宋体" w:cs="宋体" w:eastAsia="宋体" w:hint="default"/>
          <w:spacing w:val="-1"/>
        </w:rPr>
        <w:t>3.</w:t>
      </w:r>
      <w:r>
        <w:rPr>
          <w:spacing w:val="-1"/>
        </w:rPr>
        <w:t>机构独立情况：公司的内设机构完全独立于控股股东，与控股股东的内设机构之间没有直接的隶属</w:t>
      </w:r>
      <w:r>
        <w:rPr/>
        <w:t> 关系。</w:t>
      </w:r>
    </w:p>
    <w:p>
      <w:pPr>
        <w:pStyle w:val="BodyText"/>
        <w:spacing w:line="240" w:lineRule="auto"/>
        <w:ind w:left="578" w:right="0"/>
        <w:jc w:val="left"/>
      </w:pPr>
      <w:r>
        <w:rPr>
          <w:rFonts w:ascii="宋体" w:hAnsi="宋体" w:cs="宋体" w:eastAsia="宋体" w:hint="default"/>
        </w:rPr>
        <w:t>4.</w:t>
      </w:r>
      <w:r>
        <w:rPr/>
        <w:t>资产完整情况：公司拥有独立完整的研究开发支撑系统、配套设施，非专利技术等资产。</w:t>
      </w:r>
    </w:p>
    <w:p>
      <w:pPr>
        <w:pStyle w:val="BodyText"/>
        <w:spacing w:line="273" w:lineRule="auto" w:before="37"/>
        <w:ind w:right="1131" w:firstLine="424"/>
        <w:jc w:val="both"/>
      </w:pPr>
      <w:r>
        <w:rPr>
          <w:rFonts w:ascii="宋体" w:hAnsi="宋体" w:cs="宋体" w:eastAsia="宋体" w:hint="default"/>
          <w:spacing w:val="-1"/>
        </w:rPr>
        <w:t>5.</w:t>
      </w:r>
      <w:r>
        <w:rPr>
          <w:spacing w:val="-1"/>
        </w:rPr>
        <w:t>财务独立情况：公司设立了独立的财务部门作为公司的财务管理机构，建立了独立的会计核算体系</w:t>
      </w:r>
      <w:r>
        <w:rPr/>
        <w:t> </w:t>
      </w:r>
      <w:r>
        <w:rPr>
          <w:spacing w:val="-1"/>
        </w:rPr>
        <w:t>和财务管理制度，并根据上市公司有关会计制度的要求，独立进行财务决策；同时对分、子公司的财务实</w:t>
      </w:r>
      <w:r>
        <w:rPr>
          <w:spacing w:val="-86"/>
        </w:rPr>
        <w:t> </w:t>
      </w:r>
      <w:r>
        <w:rPr>
          <w:spacing w:val="-86"/>
        </w:rPr>
      </w:r>
      <w:r>
        <w:rPr/>
        <w:t>行垂直管理；公司在银行设立了独立账号，依法独立纳税。</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bookmarkStart w:name="三、同业竞争情况" w:id="143"/>
      <w:bookmarkEnd w:id="143"/>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098"/>
        <w:gridCol w:w="1594"/>
        <w:gridCol w:w="1594"/>
        <w:gridCol w:w="1595"/>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63" w:right="92" w:hanging="270"/>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年第七次临时股东大会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5"/>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吕廷杰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梁文永</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孙琪</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张焕国</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4" w:right="0" w:firstLine="0"/>
        <w:jc w:val="both"/>
        <w:rPr>
          <w:rFonts w:ascii="宋体" w:hAnsi="宋体" w:cs="宋体" w:eastAsia="宋体" w:hint="default"/>
          <w:sz w:val="18"/>
          <w:szCs w:val="18"/>
        </w:rPr>
      </w:pPr>
      <w:r>
        <w:rPr>
          <w:rFonts w:ascii="宋体" w:hAnsi="宋体" w:cs="宋体" w:eastAsia="宋体" w:hint="default"/>
          <w:sz w:val="18"/>
          <w:szCs w:val="18"/>
        </w:rPr>
        <w:t>报告期内独立董事对公司有关事项未提出异议。</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6"/>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273" w:lineRule="auto" w:before="14"/>
        <w:ind w:right="1131" w:firstLine="424"/>
        <w:jc w:val="both"/>
      </w:pPr>
      <w:r>
        <w:rPr>
          <w:rFonts w:ascii="宋体" w:hAnsi="宋体" w:cs="宋体" w:eastAsia="宋体" w:hint="default"/>
          <w:spacing w:val="-1"/>
        </w:rPr>
        <w:t>2018</w:t>
      </w:r>
      <w:r>
        <w:rPr>
          <w:spacing w:val="-1"/>
        </w:rPr>
        <w:t>年度，独立董事对公司进行了多次实地现场考察，了解公司的经营情况、财务状况、管理和内部</w:t>
      </w:r>
      <w:r>
        <w:rPr/>
        <w:t> </w:t>
      </w:r>
      <w:r>
        <w:rPr>
          <w:spacing w:val="-1"/>
        </w:rPr>
        <w:t>控制等制度的完善情况；并通过电话和邮件，与公司其他董事、高级管理人员及相关工作人员保持密切联</w:t>
      </w:r>
      <w:r>
        <w:rPr>
          <w:spacing w:val="-83"/>
        </w:rPr>
        <w:t> </w:t>
      </w:r>
      <w:r>
        <w:rPr>
          <w:spacing w:val="-83"/>
        </w:rPr>
      </w:r>
      <w:r>
        <w:rPr>
          <w:spacing w:val="-1"/>
        </w:rPr>
        <w:t>系，时刻关注外部环境及市场变化对公司的影响，关注公司的相关报道，及时获悉公司各重大事项的进展</w:t>
      </w:r>
      <w:r>
        <w:rPr>
          <w:spacing w:val="-83"/>
        </w:rPr>
        <w:t> </w:t>
      </w:r>
      <w:r>
        <w:rPr>
          <w:spacing w:val="-83"/>
        </w:rPr>
      </w:r>
      <w:r>
        <w:rPr>
          <w:spacing w:val="-1"/>
        </w:rPr>
        <w:t>情况，掌握公司的运行动态。报告期内，独立董事就公司业务研发推进、市场开发、人力资源培养、对外</w:t>
      </w:r>
      <w:r>
        <w:rPr>
          <w:spacing w:val="-83"/>
        </w:rPr>
        <w:t> </w:t>
      </w:r>
      <w:r>
        <w:rPr>
          <w:spacing w:val="-83"/>
        </w:rPr>
      </w:r>
      <w:r>
        <w:rPr/>
        <w:t>投资、风险管控等提出了有针对性的建议，使公司运作更加规范，维护了公司和全体股东的合法权益。</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8" w:right="0"/>
        <w:jc w:val="left"/>
      </w:pPr>
      <w:r>
        <w:rPr>
          <w:rFonts w:ascii="宋体" w:hAnsi="宋体" w:cs="宋体" w:eastAsia="宋体" w:hint="default"/>
        </w:rPr>
        <w:t>1.</w:t>
      </w:r>
      <w:r>
        <w:rPr/>
        <w:t>董事会审计委员会工作情况 公司董事会审计委员会成员共</w:t>
      </w:r>
      <w:r>
        <w:rPr>
          <w:rFonts w:ascii="宋体" w:hAnsi="宋体" w:cs="宋体" w:eastAsia="宋体" w:hint="default"/>
        </w:rPr>
        <w:t>3</w:t>
      </w:r>
      <w:r>
        <w:rPr/>
        <w:t>人，全部由独立董事组成，主任委员为专业会计人士担任。根据中国</w:t>
      </w:r>
    </w:p>
    <w:p>
      <w:pPr>
        <w:pStyle w:val="BodyText"/>
        <w:spacing w:line="273" w:lineRule="auto"/>
        <w:ind w:right="0"/>
        <w:jc w:val="left"/>
      </w:pPr>
      <w:r>
        <w:rPr>
          <w:spacing w:val="-1"/>
        </w:rPr>
        <w:t>证监会、深交所有关规定及公司董事会审计委员会工作细则、公司董事会审计委员会年报工作制度，公司</w:t>
      </w:r>
      <w:r>
        <w:rPr>
          <w:spacing w:val="-83"/>
        </w:rPr>
        <w:t> </w:t>
      </w:r>
      <w:r>
        <w:rPr>
          <w:spacing w:val="-83"/>
        </w:rPr>
      </w:r>
      <w:r>
        <w:rPr/>
        <w:t>董事会审计委员会本着勤勉尽责的原则，履行了以下工作职责：</w:t>
      </w:r>
    </w:p>
    <w:p>
      <w:pPr>
        <w:pStyle w:val="BodyText"/>
        <w:spacing w:line="240" w:lineRule="auto"/>
        <w:ind w:left="578" w:right="0"/>
        <w:jc w:val="left"/>
      </w:pPr>
      <w:r>
        <w:rPr/>
        <w:t>（</w:t>
      </w:r>
      <w:r>
        <w:rPr>
          <w:rFonts w:ascii="宋体" w:hAnsi="宋体" w:cs="宋体" w:eastAsia="宋体" w:hint="default"/>
        </w:rPr>
        <w:t>1</w:t>
      </w:r>
      <w:r>
        <w:rPr/>
        <w:t>）审计委员会认真审阅了公司</w:t>
      </w:r>
      <w:r>
        <w:rPr>
          <w:rFonts w:ascii="宋体" w:hAnsi="宋体" w:cs="宋体" w:eastAsia="宋体" w:hint="default"/>
        </w:rPr>
        <w:t>2018</w:t>
      </w:r>
      <w:r>
        <w:rPr/>
        <w:t>年度编制的定期报告；</w:t>
      </w:r>
    </w:p>
    <w:p>
      <w:pPr>
        <w:pStyle w:val="BodyText"/>
        <w:spacing w:line="273" w:lineRule="auto" w:before="37"/>
        <w:ind w:right="1025" w:firstLine="424"/>
        <w:jc w:val="both"/>
      </w:pPr>
      <w:r>
        <w:rPr/>
        <w:t>（</w:t>
      </w:r>
      <w:r>
        <w:rPr>
          <w:rFonts w:ascii="宋体" w:hAnsi="宋体" w:cs="宋体" w:eastAsia="宋体" w:hint="default"/>
        </w:rPr>
        <w:t>2</w:t>
      </w:r>
      <w:r>
        <w:rPr/>
        <w:t>）在年审注册会计师进场前认真审阅了公司初步编制的财务会计报表，并出具了书面审议意见； 我们审阅了公司财务部</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15</w:t>
      </w:r>
      <w:r>
        <w:rPr/>
        <w:t>日提交的财务报表，包括</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日的资产负债表，</w:t>
      </w:r>
      <w:r>
        <w:rPr>
          <w:rFonts w:ascii="宋体" w:hAnsi="宋体" w:cs="宋体" w:eastAsia="宋体" w:hint="default"/>
        </w:rPr>
        <w:t>2018</w:t>
      </w:r>
      <w:r>
        <w:rPr/>
        <w:t>年度的</w:t>
      </w:r>
      <w:r>
        <w:rPr>
          <w:spacing w:val="-30"/>
        </w:rPr>
        <w:t> </w:t>
      </w:r>
      <w:r>
        <w:rPr>
          <w:spacing w:val="-30"/>
        </w:rPr>
      </w:r>
      <w:r>
        <w:rPr>
          <w:spacing w:val="-7"/>
        </w:rPr>
        <w:t>利润表、股东权益变动表和现金流量表以及部分财务报表附注资料。我们按照《企业会计准则</w:t>
      </w:r>
      <w:r>
        <w:rPr>
          <w:rFonts w:ascii="宋体" w:hAnsi="宋体" w:cs="宋体" w:eastAsia="宋体" w:hint="default"/>
          <w:spacing w:val="-7"/>
        </w:rPr>
        <w:t>--</w:t>
      </w:r>
      <w:r>
        <w:rPr>
          <w:spacing w:val="-7"/>
        </w:rPr>
        <w:t>基本准则》、</w:t>
      </w:r>
    </w:p>
    <w:p>
      <w:pPr>
        <w:pStyle w:val="BodyText"/>
        <w:spacing w:line="273" w:lineRule="auto"/>
        <w:ind w:right="1132"/>
        <w:jc w:val="both"/>
      </w:pPr>
      <w:r>
        <w:rPr/>
        <w:t>《企业会计准则第</w:t>
      </w:r>
      <w:r>
        <w:rPr>
          <w:rFonts w:ascii="宋体" w:hAnsi="宋体" w:cs="宋体" w:eastAsia="宋体" w:hint="default"/>
        </w:rPr>
        <w:t>1</w:t>
      </w:r>
      <w:r>
        <w:rPr/>
        <w:t>号</w:t>
      </w:r>
      <w:r>
        <w:rPr>
          <w:rFonts w:ascii="宋体" w:hAnsi="宋体" w:cs="宋体" w:eastAsia="宋体" w:hint="default"/>
        </w:rPr>
        <w:t>--</w:t>
      </w:r>
      <w:r>
        <w:rPr/>
        <w:t>存货》等具体准则以及公司有关财务制度规定，对会计资料的真实性、完整性，</w:t>
      </w:r>
      <w:r>
        <w:rPr>
          <w:spacing w:val="-34"/>
        </w:rPr>
        <w:t> </w:t>
      </w:r>
      <w:r>
        <w:rPr>
          <w:spacing w:val="-34"/>
        </w:rPr>
      </w:r>
      <w:r>
        <w:rPr>
          <w:spacing w:val="-1"/>
        </w:rPr>
        <w:t>财务报表是否严格按照新企业会计准则及公司有关财务制度规定编制予以了重点关注。通过询问公司内部</w:t>
      </w:r>
      <w:r>
        <w:rPr>
          <w:spacing w:val="-81"/>
        </w:rPr>
        <w:t> </w:t>
      </w:r>
      <w:r>
        <w:rPr>
          <w:spacing w:val="-81"/>
        </w:rPr>
      </w:r>
      <w:r>
        <w:rPr>
          <w:spacing w:val="-1"/>
        </w:rPr>
        <w:t>审计人员、财务人员及管理人员、查阅股东大会、监事会、董事会及相关委员会会议纪要、公司相关账册</w:t>
      </w:r>
      <w:r>
        <w:rPr>
          <w:spacing w:val="-83"/>
        </w:rPr>
        <w:t> </w:t>
      </w:r>
      <w:r>
        <w:rPr>
          <w:spacing w:val="-83"/>
        </w:rPr>
      </w:r>
      <w:r>
        <w:rPr>
          <w:spacing w:val="-1"/>
        </w:rPr>
        <w:t>及凭证、以及对重大财务数据实施分析程序，我们认为：公司所有交易均已记录，交易事项真实，资料完</w:t>
      </w:r>
      <w:r>
        <w:rPr>
          <w:spacing w:val="-83"/>
        </w:rPr>
        <w:t> </w:t>
      </w:r>
      <w:r>
        <w:rPr>
          <w:spacing w:val="-83"/>
        </w:rPr>
      </w:r>
      <w:r>
        <w:rPr>
          <w:spacing w:val="-1"/>
        </w:rPr>
        <w:t>整，会计政策选用恰当，会计估计合理，未发现有重大错报、漏报情况；未发现有大股东占用公司资金情</w:t>
      </w:r>
      <w:r>
        <w:rPr>
          <w:spacing w:val="-83"/>
        </w:rPr>
        <w:t> </w:t>
      </w:r>
      <w:r>
        <w:rPr>
          <w:spacing w:val="-83"/>
        </w:rPr>
      </w:r>
      <w:r>
        <w:rPr/>
        <w:t>况；未发现公司有对外违规担保情况及异常关联交易情况。</w:t>
      </w:r>
      <w:r>
        <w:rPr>
          <w:spacing w:val="73"/>
        </w:rPr>
        <w:t> </w:t>
      </w:r>
      <w:r>
        <w:rPr/>
        <w:t>基于本次财务报表的审阅时间距离审计报告</w:t>
      </w:r>
      <w:r>
        <w:rPr>
          <w:spacing w:val="-100"/>
        </w:rPr>
        <w:t> </w:t>
      </w:r>
      <w:r>
        <w:rPr>
          <w:spacing w:val="-100"/>
        </w:rPr>
      </w:r>
      <w:r>
        <w:rPr>
          <w:spacing w:val="-1"/>
        </w:rPr>
        <w:t>日及财务报表报出日尚有一段期间，提请公司财务部重点关注并严格按照新企业会计准则处理好资产负债</w:t>
      </w:r>
      <w:r>
        <w:rPr>
          <w:spacing w:val="-81"/>
        </w:rPr>
        <w:t> </w:t>
      </w:r>
      <w:r>
        <w:rPr>
          <w:spacing w:val="-81"/>
        </w:rPr>
      </w:r>
      <w:r>
        <w:rPr/>
        <w:t>日期后事项，以保证财务报表的公允性、真实性及完整性。</w:t>
      </w:r>
    </w:p>
    <w:p>
      <w:pPr>
        <w:pStyle w:val="BodyText"/>
        <w:spacing w:line="273" w:lineRule="auto"/>
        <w:ind w:right="1023" w:firstLine="424"/>
        <w:jc w:val="left"/>
      </w:pPr>
      <w:r>
        <w:rPr/>
        <w:t>（</w:t>
      </w:r>
      <w:r>
        <w:rPr>
          <w:rFonts w:ascii="宋体" w:hAnsi="宋体" w:cs="宋体" w:eastAsia="宋体" w:hint="default"/>
        </w:rPr>
        <w:t>3</w:t>
      </w:r>
      <w:r>
        <w:rPr/>
        <w:t>）我们审阅了公司财务部</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10</w:t>
      </w:r>
      <w:r>
        <w:rPr/>
        <w:t>日提交的《</w:t>
      </w:r>
      <w:r>
        <w:rPr>
          <w:rFonts w:ascii="宋体" w:hAnsi="宋体" w:cs="宋体" w:eastAsia="宋体" w:hint="default"/>
        </w:rPr>
        <w:t>2018</w:t>
      </w:r>
      <w:r>
        <w:rPr/>
        <w:t>年度审计工作计划》后，于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15</w:t>
      </w:r>
      <w:r>
        <w:rPr>
          <w:rFonts w:ascii="宋体" w:hAnsi="宋体" w:cs="宋体" w:eastAsia="宋体" w:hint="default"/>
          <w:spacing w:val="1"/>
        </w:rPr>
        <w:t> </w:t>
      </w:r>
      <w:r>
        <w:rPr>
          <w:spacing w:val="-5"/>
        </w:rPr>
        <w:t>日就上述审计工作计划与立信会计师事务所（特殊普通合伙）项目负责人作了充分沟通，并达成一致意见，</w:t>
      </w:r>
      <w:r>
        <w:rPr>
          <w:spacing w:val="-101"/>
        </w:rPr>
        <w:t> </w:t>
      </w:r>
      <w:r>
        <w:rPr>
          <w:spacing w:val="-101"/>
        </w:rPr>
      </w:r>
      <w:r>
        <w:rPr/>
        <w:t>认为该计划制订详细、责任到人，可有力保障</w:t>
      </w:r>
      <w:r>
        <w:rPr>
          <w:rFonts w:ascii="宋体" w:hAnsi="宋体" w:cs="宋体" w:eastAsia="宋体" w:hint="default"/>
        </w:rPr>
        <w:t>2018</w:t>
      </w:r>
      <w:r>
        <w:rPr/>
        <w:t>年度审计工作的顺利完成。 立信会计师事务所（特殊</w:t>
      </w:r>
      <w:r>
        <w:rPr>
          <w:spacing w:val="-28"/>
        </w:rPr>
        <w:t> </w:t>
      </w:r>
      <w:r>
        <w:rPr>
          <w:spacing w:val="-28"/>
        </w:rPr>
      </w:r>
      <w:r>
        <w:rPr/>
        <w:t>普通合伙）审计人员共</w:t>
      </w:r>
      <w:r>
        <w:rPr>
          <w:rFonts w:ascii="宋体" w:hAnsi="宋体" w:cs="宋体" w:eastAsia="宋体" w:hint="default"/>
        </w:rPr>
        <w:t>17</w:t>
      </w:r>
      <w:r>
        <w:rPr/>
        <w:t>人（含项目负责人）按照上述审计工作计划约定，于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19</w:t>
      </w:r>
      <w:r>
        <w:rPr/>
        <w:t>日—</w:t>
      </w:r>
      <w:r>
        <w:rPr>
          <w:rFonts w:ascii="宋体" w:hAnsi="宋体" w:cs="宋体" w:eastAsia="宋体" w:hint="default"/>
        </w:rPr>
        <w:t>2018</w:t>
      </w:r>
      <w:r>
        <w:rPr/>
        <w:t>年</w:t>
      </w:r>
      <w:r>
        <w:rPr>
          <w:rFonts w:ascii="宋体" w:hAnsi="宋体" w:cs="宋体" w:eastAsia="宋体" w:hint="default"/>
        </w:rPr>
        <w:t>12</w:t>
      </w:r>
      <w:r>
        <w:rPr>
          <w:rFonts w:ascii="宋体" w:hAnsi="宋体" w:cs="宋体" w:eastAsia="宋体" w:hint="default"/>
          <w:spacing w:val="1"/>
        </w:rPr>
        <w:t> </w:t>
      </w:r>
      <w:r>
        <w:rPr/>
        <w:t>月</w:t>
      </w:r>
      <w:r>
        <w:rPr>
          <w:rFonts w:ascii="宋体" w:hAnsi="宋体" w:cs="宋体" w:eastAsia="宋体" w:hint="default"/>
        </w:rPr>
        <w:t>15</w:t>
      </w:r>
      <w:r>
        <w:rPr/>
        <w:t>日进行现场内控审计，</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w:t>
      </w:r>
      <w:r>
        <w:rPr/>
        <w:t>日—</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29</w:t>
      </w:r>
      <w:r>
        <w:rPr/>
        <w:t>日进场对公司进行现场审计。其中，</w:t>
      </w:r>
      <w:r>
        <w:rPr>
          <w:rFonts w:ascii="宋体" w:hAnsi="宋体" w:cs="宋体" w:eastAsia="宋体" w:hint="default"/>
        </w:rPr>
        <w:t>17</w:t>
      </w:r>
      <w:r>
        <w:rPr/>
        <w:t>位审计人</w:t>
      </w:r>
      <w:r>
        <w:rPr>
          <w:spacing w:val="-30"/>
        </w:rPr>
        <w:t> </w:t>
      </w:r>
      <w:r>
        <w:rPr/>
        <w:t>员于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29</w:t>
      </w:r>
      <w:r>
        <w:rPr/>
        <w:t>日完成纳入合并报表范围的各公司的现场审计工作项目负责人就报表合并、会计政策运</w:t>
      </w:r>
      <w:r>
        <w:rPr>
          <w:spacing w:val="-36"/>
        </w:rPr>
        <w:t> </w:t>
      </w:r>
      <w:r>
        <w:rPr>
          <w:spacing w:val="-36"/>
        </w:rPr>
      </w:r>
      <w:r>
        <w:rPr>
          <w:spacing w:val="-3"/>
        </w:rPr>
        <w:t>用、以及审计中发现的有待完善的会计工作等情况与企业及我们审计委员会各委员作了持续、充分的沟通，</w:t>
      </w:r>
      <w:r>
        <w:rPr>
          <w:spacing w:val="-92"/>
        </w:rPr>
        <w:t> </w:t>
      </w:r>
      <w:r>
        <w:rPr>
          <w:spacing w:val="-92"/>
        </w:rPr>
      </w:r>
      <w:r>
        <w:rPr/>
        <w:t>使得各方对公司经营情况、财务处理情况以及新企业会计准则的运用与实施等方面有了更加深入的了解。</w:t>
      </w:r>
      <w:r>
        <w:rPr>
          <w:spacing w:val="-35"/>
        </w:rPr>
        <w:t> </w:t>
      </w:r>
      <w:r>
        <w:rPr>
          <w:spacing w:val="-35"/>
        </w:rPr>
      </w:r>
      <w:r>
        <w:rPr/>
        <w:t>我们认为，年审注册会计师已严格按照中国注册会计师独立审计准则的规定执行了审计工作，审计人员配</w:t>
      </w:r>
      <w:r>
        <w:rPr/>
        <w:t> 置合理，出具的审计报表反映公司</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2018</w:t>
      </w:r>
      <w:r>
        <w:rPr/>
        <w:t>年度的经营成果和现金流量，出具 的审计结论符合公司的实际情况。</w:t>
      </w:r>
    </w:p>
    <w:p>
      <w:pPr>
        <w:pStyle w:val="BodyText"/>
        <w:spacing w:line="273" w:lineRule="auto"/>
        <w:ind w:left="578" w:right="0"/>
        <w:jc w:val="left"/>
      </w:pPr>
      <w:r>
        <w:rPr>
          <w:rFonts w:ascii="宋体" w:hAnsi="宋体" w:cs="宋体" w:eastAsia="宋体" w:hint="default"/>
        </w:rPr>
        <w:t>2.</w:t>
      </w:r>
      <w:r>
        <w:rPr/>
        <w:t>董事会提名委员会工作情况 </w:t>
      </w:r>
      <w:r>
        <w:rPr>
          <w:spacing w:val="-1"/>
        </w:rPr>
        <w:t>报告期内，公司董事会提名委员会对第八届董事会董事候选人、高级管理人员资格进行了审核，认为</w:t>
      </w:r>
    </w:p>
    <w:p>
      <w:pPr>
        <w:spacing w:after="0" w:line="273"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spacing w:val="-1"/>
        </w:rPr>
        <w:t>相关人员具备担任公司董事、高级管理人员的任职要求，不存在《公司法》、中国证监会、深交所及《公</w:t>
      </w:r>
      <w:r>
        <w:rPr>
          <w:spacing w:val="-85"/>
        </w:rPr>
        <w:t> </w:t>
      </w:r>
      <w:r>
        <w:rPr>
          <w:spacing w:val="-85"/>
        </w:rPr>
      </w:r>
      <w:r>
        <w:rPr/>
        <w:t>司章程》规定的不得任职的情形，同意了相关人员的提名，并形成决议。</w:t>
      </w:r>
    </w:p>
    <w:p>
      <w:pPr>
        <w:pStyle w:val="BodyText"/>
        <w:spacing w:line="273" w:lineRule="auto"/>
        <w:ind w:left="578" w:right="1132"/>
        <w:jc w:val="left"/>
      </w:pPr>
      <w:r>
        <w:rPr>
          <w:rFonts w:ascii="宋体" w:hAnsi="宋体" w:cs="宋体" w:eastAsia="宋体" w:hint="default"/>
        </w:rPr>
        <w:t>3.</w:t>
      </w:r>
      <w:r>
        <w:rPr/>
        <w:t>董事会战略委员会履职情况 </w:t>
      </w:r>
      <w:r>
        <w:rPr>
          <w:spacing w:val="-1"/>
        </w:rPr>
        <w:t>报告期，董事会战略委员会根据有关规定积极开展工作，认真履行职责。报告期内，战略委员会讨论</w:t>
      </w:r>
    </w:p>
    <w:p>
      <w:pPr>
        <w:pStyle w:val="BodyText"/>
        <w:spacing w:line="273" w:lineRule="auto" w:before="8"/>
        <w:ind w:left="578" w:right="5503" w:hanging="425"/>
        <w:jc w:val="left"/>
      </w:pPr>
      <w:r>
        <w:rPr/>
        <w:t>了公司的未来发展，为公司下一步发展做出指示和要求。 </w:t>
      </w:r>
      <w:r>
        <w:rPr>
          <w:rFonts w:ascii="宋体" w:hAnsi="宋体" w:cs="宋体" w:eastAsia="宋体" w:hint="default"/>
        </w:rPr>
        <w:t>4.</w:t>
      </w:r>
      <w:r>
        <w:rPr/>
        <w:t>董事薪酬与考核委员会</w:t>
      </w:r>
    </w:p>
    <w:p>
      <w:pPr>
        <w:pStyle w:val="BodyText"/>
        <w:spacing w:line="273" w:lineRule="auto"/>
        <w:ind w:right="1130" w:firstLine="424"/>
        <w:jc w:val="both"/>
      </w:pPr>
      <w:r>
        <w:rPr>
          <w:spacing w:val="-1"/>
        </w:rPr>
        <w:t>报告期内，董事薪酬与考核委员会根据有关规定积极开展工作，认真履行职责，对公司管理层严格考</w:t>
      </w:r>
      <w:r>
        <w:rPr/>
        <w:t> </w:t>
      </w:r>
      <w:r>
        <w:rPr>
          <w:spacing w:val="-1"/>
        </w:rPr>
        <w:t>核并对薪酬给出指导意见。董事薪酬与考核委员会成员就公司限制性股票激励计划成就情况进行了充分核</w:t>
      </w:r>
      <w:r>
        <w:rPr>
          <w:spacing w:val="-81"/>
        </w:rPr>
        <w:t> </w:t>
      </w:r>
      <w:r>
        <w:rPr>
          <w:spacing w:val="-81"/>
        </w:rPr>
      </w:r>
      <w:r>
        <w:rPr/>
        <w:t>实，并发表核实意见。</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52"/>
      <w:bookmarkEnd w:id="152"/>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037" w:firstLine="423"/>
        <w:jc w:val="both"/>
      </w:pPr>
      <w:r>
        <w:rPr>
          <w:rFonts w:ascii="宋体" w:hAnsi="宋体" w:cs="宋体" w:eastAsia="宋体" w:hint="default"/>
        </w:rPr>
        <w:t>1.</w:t>
      </w:r>
      <w:r>
        <w:rPr/>
        <w:t>根据公司高层管理人员薪酬管理制度，公司对高级管理人员的考评是以经济效益为主要考核指标， 并与绩效工资挂钩，通过董事会（包括董事会专门委员会）、监事会评价的方式进行。</w:t>
      </w:r>
    </w:p>
    <w:p>
      <w:pPr>
        <w:pStyle w:val="BodyText"/>
        <w:spacing w:line="273" w:lineRule="auto"/>
        <w:ind w:right="1131" w:firstLine="423"/>
        <w:jc w:val="both"/>
      </w:pPr>
      <w:r>
        <w:rPr>
          <w:rFonts w:ascii="宋体" w:hAnsi="宋体" w:cs="宋体" w:eastAsia="宋体" w:hint="default"/>
          <w:spacing w:val="-1"/>
        </w:rPr>
        <w:t>2.</w:t>
      </w:r>
      <w:r>
        <w:rPr>
          <w:spacing w:val="-1"/>
        </w:rPr>
        <w:t>为建立、健全更为有效的激励与约束机制，充分调动公司高级管理人员的积极性与创造性，提高经</w:t>
      </w:r>
      <w:r>
        <w:rPr/>
        <w:t> </w:t>
      </w:r>
      <w:r>
        <w:rPr>
          <w:spacing w:val="-1"/>
        </w:rPr>
        <w:t>营效率，公司分别于</w:t>
      </w:r>
      <w:r>
        <w:rPr>
          <w:rFonts w:ascii="宋体" w:hAnsi="宋体" w:cs="宋体" w:eastAsia="宋体" w:hint="default"/>
          <w:spacing w:val="-1"/>
        </w:rPr>
        <w:t>2014</w:t>
      </w:r>
      <w:r>
        <w:rPr>
          <w:spacing w:val="-1"/>
        </w:rPr>
        <w:t>年及</w:t>
      </w:r>
      <w:r>
        <w:rPr>
          <w:rFonts w:ascii="宋体" w:hAnsi="宋体" w:cs="宋体" w:eastAsia="宋体" w:hint="default"/>
          <w:spacing w:val="-1"/>
        </w:rPr>
        <w:t>2017</w:t>
      </w:r>
      <w:r>
        <w:rPr>
          <w:spacing w:val="-1"/>
        </w:rPr>
        <w:t>年实施了限制性股票激励计划，通过实施限制性股票激励计划公司欲实</w:t>
      </w:r>
      <w:r>
        <w:rPr>
          <w:spacing w:val="-79"/>
        </w:rPr>
        <w:t> </w:t>
      </w:r>
      <w:r>
        <w:rPr>
          <w:spacing w:val="-79"/>
        </w:rPr>
      </w:r>
      <w:r>
        <w:rPr/>
        <w:t>现股东、公司、管理层等各方的利益统一，避免过度追求短期利益，利于公司长远健康的发展。</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九、内部控制情况" w:id="154"/>
      <w:bookmarkEnd w:id="154"/>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93.75%</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96.43%</w:t>
            </w:r>
          </w:p>
        </w:tc>
      </w:tr>
      <w:tr>
        <w:trPr>
          <w:trHeight w:val="398"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13" w:space="0" w:color="D2D2D2"/>
              <w:right w:val="single" w:sz="4" w:space="0" w:color="000000"/>
            </w:tcBorders>
          </w:tcPr>
          <w:p>
            <w:pPr>
              <w:pStyle w:val="TableParagraph"/>
              <w:spacing w:line="316" w:lineRule="auto" w:before="51"/>
              <w:ind w:left="16" w:right="24"/>
              <w:jc w:val="left"/>
              <w:rPr>
                <w:rFonts w:ascii="宋体" w:hAnsi="宋体" w:cs="宋体" w:eastAsia="宋体" w:hint="default"/>
                <w:sz w:val="18"/>
                <w:szCs w:val="18"/>
              </w:rPr>
            </w:pPr>
            <w:r>
              <w:rPr>
                <w:rFonts w:ascii="宋体" w:hAnsi="宋体" w:cs="宋体" w:eastAsia="宋体" w:hint="default"/>
                <w:sz w:val="18"/>
                <w:szCs w:val="18"/>
              </w:rPr>
              <w:t>①重大缺陷标准：发现公司管理层存在的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任何程度的舞弊；已经发现并报告给管理</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pacing w:val="-4"/>
                <w:sz w:val="18"/>
                <w:szCs w:val="18"/>
              </w:rPr>
              <w:t>①重大缺陷标准：已经对外正式披露并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对本公司定期报告披露造成负面影响；</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13"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4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13"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0"/>
        <w:ind w:left="154" w:right="1140" w:firstLine="0"/>
        <w:jc w:val="right"/>
        <w:rPr>
          <w:rFonts w:ascii="宋体" w:hAnsi="宋体" w:cs="宋体" w:eastAsia="宋体" w:hint="default"/>
          <w:sz w:val="18"/>
          <w:szCs w:val="18"/>
        </w:rPr>
      </w:pPr>
      <w:r>
        <w:rPr/>
        <w:pict>
          <v:shape style="position:absolute;margin-left:56.459999pt;margin-top:-125.828262pt;width:479.2pt;height:618.3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69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z w:val="18"/>
                            <w:szCs w:val="18"/>
                          </w:rPr>
                          <w:t>层的重大内部控制缺陷在经过合理期限后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未得到改正；控制环境无效；影响收益趋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势的缺陷；影响关联交易总额超过股东批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准的关联交易额度的缺陷；外部审计发现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的重大错报而不是由公司首先发现的；其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他可能影响报表使用者正确判断的缺陷；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违反国家法律法规并受到处罚；董事会及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其委员会、内部审计部门对内部控制的监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督失效；公司更正已发布的财务报告；其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他给公司造成严重影响的内控缺陷。</w:t>
                        </w:r>
                        <w:r>
                          <w:rPr>
                            <w:rFonts w:ascii="宋体" w:hAnsi="宋体" w:cs="宋体" w:eastAsia="宋体" w:hint="default"/>
                            <w:spacing w:val="-62"/>
                            <w:sz w:val="18"/>
                            <w:szCs w:val="18"/>
                          </w:rPr>
                          <w:t> </w:t>
                        </w:r>
                        <w:r>
                          <w:rPr>
                            <w:rFonts w:ascii="宋体" w:hAnsi="宋体" w:cs="宋体" w:eastAsia="宋体" w:hint="default"/>
                            <w:sz w:val="18"/>
                            <w:szCs w:val="18"/>
                          </w:rPr>
                          <w:t>②重</w:t>
                        </w:r>
                        <w:r>
                          <w:rPr>
                            <w:rFonts w:ascii="宋体" w:hAnsi="宋体" w:cs="宋体" w:eastAsia="宋体" w:hint="default"/>
                            <w:sz w:val="18"/>
                            <w:szCs w:val="18"/>
                          </w:rPr>
                          <w:t> 要缺陷标准：已经发现并报告给管理层的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重大内部控制缺陷在经过合理时间后整改</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不全面、不彻底；内部控制环境不完善；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会计计量不及时、不准确，造成信息滞后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或信息错误；财务制度存在严重缺陷；会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计科目确认依据不符合会计准则要求。③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一般缺陷标准：除重大缺陷和重要缺陷外</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与财务报告有关的内部控制缺陷。上述重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大缺陷、重要缺陷与一般缺陷标准只要符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合其中一条即可判定该缺陷的类型。</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43"/>
                          <w:jc w:val="left"/>
                          <w:rPr>
                            <w:rFonts w:ascii="宋体" w:hAnsi="宋体" w:cs="宋体" w:eastAsia="宋体" w:hint="default"/>
                            <w:sz w:val="18"/>
                            <w:szCs w:val="18"/>
                          </w:rPr>
                        </w:pPr>
                        <w:r>
                          <w:rPr>
                            <w:rFonts w:ascii="宋体" w:hAnsi="宋体" w:cs="宋体" w:eastAsia="宋体" w:hint="default"/>
                            <w:spacing w:val="-4"/>
                            <w:sz w:val="18"/>
                            <w:szCs w:val="18"/>
                          </w:rPr>
                          <w:t>缺乏民主决策程序；违反决策程序导致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重大失误；媒体频现负面新闻、涉及面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广；重要业务缺乏制度控制或制度体系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失效；出现集体违规违法案件。②重要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缺陷标准：受到国家政府部门处罚但未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对本公司定期报告披露造成负面影响； </w:t>
                        </w:r>
                        <w:r>
                          <w:rPr>
                            <w:rFonts w:ascii="宋体" w:hAnsi="宋体" w:cs="宋体" w:eastAsia="宋体" w:hint="default"/>
                            <w:spacing w:val="-4"/>
                            <w:sz w:val="18"/>
                            <w:szCs w:val="18"/>
                          </w:rPr>
                          <w:t>民主决策程序存在但不够完善；决策程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序导致出现一般失误；媒体出现负面新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闻、波及局部区域：违反企业内部规章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形成损失；重要业务制度或系统存在缺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陷；内部控制重要或一般缺陷在合理的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期限内未得到整改；已经发现并报告给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管理层的重大内部控制缺陷在经过合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理的时间后，整改不全面，不彻底；内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部控制环境不完善。③一般缺陷标准： </w:t>
                        </w:r>
                        <w:r>
                          <w:rPr>
                            <w:rFonts w:ascii="宋体" w:hAnsi="宋体" w:cs="宋体" w:eastAsia="宋体" w:hint="default"/>
                            <w:spacing w:val="-4"/>
                            <w:sz w:val="18"/>
                            <w:szCs w:val="18"/>
                          </w:rPr>
                          <w:t>受到省级（含省级）以下政府部门处罚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但未对本公司定期报告披露造成负面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影响；决策程序效率不高；违反内部规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章，但未形成损失；媒体出现负面新闻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但影响不大；一般业务制度或系统存在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缺陷；一般缺陷未得到整改；其他非财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务报告缺陷。</w:t>
                        </w:r>
                      </w:p>
                    </w:tc>
                  </w:tr>
                  <w:tr>
                    <w:trPr>
                      <w:trHeight w:val="383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8"/>
                          <w:jc w:val="both"/>
                          <w:rPr>
                            <w:rFonts w:ascii="宋体" w:hAnsi="宋体" w:cs="宋体" w:eastAsia="宋体" w:hint="default"/>
                            <w:sz w:val="18"/>
                            <w:szCs w:val="18"/>
                          </w:rPr>
                        </w:pP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经营收入总额的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 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84"/>
                            <w:sz w:val="18"/>
                            <w:szCs w:val="18"/>
                          </w:rPr>
                          <w:t> </w:t>
                        </w:r>
                        <w:r>
                          <w:rPr>
                            <w:rFonts w:ascii="宋体" w:hAnsi="宋体" w:cs="宋体" w:eastAsia="宋体" w:hint="default"/>
                            <w:sz w:val="18"/>
                            <w:szCs w:val="18"/>
                          </w:rPr>
                          <w:t>的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4"/>
                            <w:sz w:val="18"/>
                            <w:szCs w:val="18"/>
                          </w:rPr>
                          <w:t>重要缺陷：经营收入总额的</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经营收入总额的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；或利润总额的</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3"/>
                            <w:sz w:val="18"/>
                            <w:szCs w:val="18"/>
                          </w:rPr>
                          <w:t>错报</w:t>
                        </w:r>
                        <w:r>
                          <w:rPr>
                            <w:rFonts w:ascii="Times New Roman" w:hAnsi="Times New Roman" w:cs="Times New Roman" w:eastAsia="Times New Roman" w:hint="default"/>
                            <w:spacing w:val="13"/>
                            <w:sz w:val="18"/>
                            <w:szCs w:val="18"/>
                          </w:rPr>
                          <w:t>&lt;</w:t>
                        </w:r>
                        <w:r>
                          <w:rPr>
                            <w:rFonts w:ascii="Times New Roman" w:hAnsi="Times New Roman" w:cs="Times New Roman" w:eastAsia="Times New Roman" w:hint="default"/>
                            <w:spacing w:val="-23"/>
                            <w:sz w:val="18"/>
                            <w:szCs w:val="18"/>
                          </w:rPr>
                          <w:t> </w:t>
                        </w:r>
                        <w:r>
                          <w:rPr>
                            <w:rFonts w:ascii="宋体" w:hAnsi="宋体" w:cs="宋体" w:eastAsia="宋体" w:hint="default"/>
                            <w:spacing w:val="16"/>
                            <w:sz w:val="18"/>
                            <w:szCs w:val="18"/>
                          </w:rPr>
                          <w:t>利润总额的</w:t>
                        </w:r>
                        <w:r>
                          <w:rPr>
                            <w:rFonts w:ascii="宋体" w:hAnsi="宋体" w:cs="宋体" w:eastAsia="宋体" w:hint="default"/>
                            <w:spacing w:val="26"/>
                            <w:sz w:val="18"/>
                            <w:szCs w:val="18"/>
                          </w:rPr>
                          <w:t> </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69"/>
                            <w:sz w:val="18"/>
                            <w:szCs w:val="18"/>
                          </w:rPr>
                          <w:t> </w:t>
                        </w:r>
                        <w:r>
                          <w:rPr>
                            <w:rFonts w:ascii="宋体" w:hAnsi="宋体" w:cs="宋体" w:eastAsia="宋体" w:hint="default"/>
                            <w:spacing w:val="17"/>
                            <w:sz w:val="18"/>
                            <w:szCs w:val="18"/>
                          </w:rPr>
                          <w:t>或资产总额的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；或所有者权</w:t>
                        </w:r>
                        <w:r>
                          <w:rPr>
                            <w:rFonts w:ascii="宋体" w:hAnsi="宋体" w:cs="宋体" w:eastAsia="宋体" w:hint="default"/>
                            <w:spacing w:val="-88"/>
                            <w:sz w:val="18"/>
                            <w:szCs w:val="18"/>
                          </w:rPr>
                          <w:t> </w:t>
                        </w:r>
                        <w:r>
                          <w:rPr>
                            <w:rFonts w:ascii="宋体" w:hAnsi="宋体" w:cs="宋体" w:eastAsia="宋体" w:hint="default"/>
                            <w:spacing w:val="3"/>
                            <w:sz w:val="18"/>
                            <w:szCs w:val="18"/>
                          </w:rPr>
                          <w:t>益总额的</w:t>
                        </w:r>
                        <w:r>
                          <w:rPr>
                            <w:rFonts w:ascii="宋体" w:hAnsi="宋体" w:cs="宋体" w:eastAsia="宋体" w:hint="default"/>
                            <w:spacing w:val="10"/>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所有者权益总额的</w:t>
                        </w:r>
                        <w:r>
                          <w:rPr>
                            <w:rFonts w:ascii="宋体" w:hAnsi="宋体" w:cs="宋体" w:eastAsia="宋体" w:hint="default"/>
                            <w:sz w:val="18"/>
                            <w:szCs w:val="18"/>
                          </w:rPr>
                          <w:t> </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。一般缺陷：错报＜经营收入总额的</w:t>
                        </w:r>
                      </w:p>
                      <w:p>
                        <w:pPr>
                          <w:pStyle w:val="TableParagraph"/>
                          <w:spacing w:line="240" w:lineRule="auto" w:before="1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宋体" w:hAnsi="宋体" w:cs="宋体" w:eastAsia="宋体" w:hint="default"/>
                            <w:sz w:val="18"/>
                            <w:szCs w:val="18"/>
                          </w:rPr>
                          <w:t>；或错报＜利润总额的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w:t>
                        </w:r>
                      </w:p>
                      <w:p>
                        <w:pPr>
                          <w:pStyle w:val="TableParagraph"/>
                          <w:spacing w:line="302" w:lineRule="auto" w:before="63"/>
                          <w:ind w:left="23" w:right="22"/>
                          <w:jc w:val="both"/>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；或错报＜所有者权益</w:t>
                        </w:r>
                        <w:r>
                          <w:rPr>
                            <w:rFonts w:ascii="宋体" w:hAnsi="宋体" w:cs="宋体" w:eastAsia="宋体" w:hint="default"/>
                            <w:sz w:val="18"/>
                            <w:szCs w:val="18"/>
                          </w:rPr>
                          <w:t>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07" w:lineRule="auto"/>
                          <w:ind w:left="22" w:right="20"/>
                          <w:jc w:val="both"/>
                          <w:rPr>
                            <w:rFonts w:ascii="宋体" w:hAnsi="宋体" w:cs="宋体" w:eastAsia="宋体" w:hint="default"/>
                            <w:sz w:val="18"/>
                            <w:szCs w:val="18"/>
                          </w:rPr>
                        </w:pPr>
                        <w:r>
                          <w:rPr>
                            <w:rFonts w:ascii="宋体" w:hAnsi="宋体" w:cs="宋体" w:eastAsia="宋体" w:hint="default"/>
                            <w:sz w:val="18"/>
                            <w:szCs w:val="18"/>
                          </w:rPr>
                          <w:t>重大缺陷：直接财产损失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万元及 </w:t>
                        </w:r>
                        <w:r>
                          <w:rPr>
                            <w:rFonts w:ascii="宋体" w:hAnsi="宋体" w:cs="宋体" w:eastAsia="宋体" w:hint="default"/>
                            <w:spacing w:val="-4"/>
                            <w:sz w:val="18"/>
                            <w:szCs w:val="18"/>
                          </w:rPr>
                          <w:t>以上；或中高级管理人员和高级技术人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员流失超过</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。重要缺陷：直接财产 损失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万元（含）～</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万元；或 </w:t>
                        </w:r>
                        <w:r>
                          <w:rPr>
                            <w:rFonts w:ascii="宋体" w:hAnsi="宋体" w:cs="宋体" w:eastAsia="宋体" w:hint="default"/>
                            <w:spacing w:val="6"/>
                            <w:sz w:val="18"/>
                            <w:szCs w:val="18"/>
                          </w:rPr>
                          <w:t>中高级管理人员和高级技术人员流失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。一般缺陷：直接财产损失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pacing w:val="-4"/>
                            <w:sz w:val="18"/>
                            <w:szCs w:val="18"/>
                          </w:rPr>
                          <w:t>万元以下；或一般岗位业务人员流失比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44"/>
        <w:ind w:left="154"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十、内部控制审计报告" w:id="157"/>
      <w:bookmarkEnd w:id="157"/>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我们认为，贵公司于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日按照《企业内部控制基本规范》和相关规定在所有重大方面保持了有效的财务报 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6"/>
        <w:ind w:left="154" w:right="4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footerReference w:type="default" r:id="rId21"/>
          <w:pgSz w:w="11910" w:h="16840"/>
          <w:pgMar w:footer="979" w:header="877"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8"/>
      <w:bookmarkEnd w:id="158"/>
      <w:r>
        <w:rPr>
          <w:b w:val="0"/>
          <w:bCs w:val="0"/>
        </w:rPr>
      </w:r>
      <w:bookmarkStart w:name="_bookmark9" w:id="159"/>
      <w:bookmarkEnd w:id="159"/>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60"/>
      <w:bookmarkEnd w:id="160"/>
      <w:r>
        <w:rPr>
          <w:b w:val="0"/>
          <w:bCs w:val="0"/>
        </w:rPr>
      </w: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before="44"/>
        <w:ind w:left="154" w:right="1149" w:firstLine="0"/>
        <w:jc w:val="right"/>
        <w:rPr>
          <w:rFonts w:ascii="宋体" w:hAnsi="宋体" w:cs="宋体" w:eastAsia="宋体" w:hint="default"/>
          <w:sz w:val="18"/>
          <w:szCs w:val="18"/>
        </w:rPr>
      </w:pPr>
      <w:r>
        <w:rPr/>
        <w:pict>
          <v:shape style="position:absolute;margin-left:56.459999pt;margin-top:-139.1483pt;width:479.2pt;height:542.3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690"/>
                    <w:gridCol w:w="1196"/>
                    <w:gridCol w:w="1197"/>
                    <w:gridCol w:w="1195"/>
                    <w:gridCol w:w="1197"/>
                    <w:gridCol w:w="762"/>
                    <w:gridCol w:w="1630"/>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9" w:right="68" w:hanging="180"/>
                          <w:jc w:val="left"/>
                          <w:rPr>
                            <w:rFonts w:ascii="宋体" w:hAnsi="宋体" w:cs="宋体" w:eastAsia="宋体" w:hint="default"/>
                            <w:sz w:val="18"/>
                            <w:szCs w:val="18"/>
                          </w:rPr>
                        </w:pPr>
                        <w:r>
                          <w:rPr>
                            <w:rFonts w:ascii="宋体" w:hAnsi="宋体" w:cs="宋体" w:eastAsia="宋体" w:hint="default"/>
                            <w:sz w:val="18"/>
                            <w:szCs w:val="18"/>
                          </w:rPr>
                          <w:t>债券简 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33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大唐高鸿数据网络技 术股份有限公司</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年面向合格投资者公 开发行公司债券</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8"/>
                          <w:ind w:left="22" w:right="71"/>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高鸿 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112324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49,500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4.30%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每年付息一次，到期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一次还本，最后一期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利息随本金的兑付 一起支付</w:t>
                        </w:r>
                        <w:r>
                          <w:rPr>
                            <w:rFonts w:ascii="Times New Roman" w:hAnsi="Times New Roman" w:cs="Times New Roman" w:eastAsia="Times New Roman" w:hint="default"/>
                            <w:sz w:val="18"/>
                            <w:szCs w:val="18"/>
                          </w:rPr>
                          <w:t>.</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1"/>
                          <w:jc w:val="left"/>
                          <w:rPr>
                            <w:rFonts w:ascii="宋体" w:hAnsi="宋体" w:cs="宋体" w:eastAsia="宋体" w:hint="default"/>
                            <w:sz w:val="18"/>
                            <w:szCs w:val="18"/>
                          </w:rPr>
                        </w:pPr>
                        <w:r>
                          <w:rPr>
                            <w:rFonts w:ascii="宋体" w:hAnsi="宋体" w:cs="宋体" w:eastAsia="宋体" w:hint="default"/>
                            <w:sz w:val="18"/>
                            <w:szCs w:val="18"/>
                          </w:rPr>
                          <w:t>符合《深圳证券交易所公司债券上市规则》及中国证监会《公司债券发行与交易管理办法 规定的合格投资者。</w:t>
                        </w:r>
                      </w:p>
                    </w:tc>
                  </w:tr>
                  <w:tr>
                    <w:trPr>
                      <w:trHeight w:val="4146"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年公司发行的公司债，</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日第一次支付利息，债权登记日为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日，除息日，付息日均为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日，债券票面利率为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4.30%</w:t>
                        </w:r>
                        <w:r>
                          <w:rPr>
                            <w:rFonts w:ascii="宋体" w:hAnsi="宋体" w:cs="宋体" w:eastAsia="宋体" w:hint="default"/>
                            <w:sz w:val="18"/>
                            <w:szCs w:val="18"/>
                          </w:rPr>
                          <w:t>。每手面值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的本期债券派发利息为人民币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扣税后个人</w:t>
                        </w:r>
                        <w:r>
                          <w:rPr>
                            <w:rFonts w:ascii="宋体" w:hAnsi="宋体" w:cs="宋体" w:eastAsia="宋体" w:hint="default"/>
                            <w:spacing w:val="-13"/>
                            <w:sz w:val="18"/>
                            <w:szCs w:val="18"/>
                          </w:rPr>
                          <w:t>、</w:t>
                        </w:r>
                        <w:r>
                          <w:rPr>
                            <w:rFonts w:ascii="宋体" w:hAnsi="宋体" w:cs="宋体" w:eastAsia="宋体" w:hint="default"/>
                            <w:sz w:val="18"/>
                            <w:szCs w:val="18"/>
                          </w:rPr>
                          <w:t>证券投资基金债券投资者实际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元派发利息为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元；扣税后非居民企业（包含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）债券投资者实际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元派发利息为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38.70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日第二次支付利息，债券登记日为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9"/>
                            <w:sz w:val="18"/>
                            <w:szCs w:val="18"/>
                          </w:rPr>
                          <w:t>日，除息日，付息日均为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 </w:t>
                        </w:r>
                        <w:r>
                          <w:rPr>
                            <w:rFonts w:ascii="宋体" w:hAnsi="宋体" w:cs="宋体" w:eastAsia="宋体" w:hint="default"/>
                            <w:spacing w:val="-6"/>
                            <w:sz w:val="18"/>
                            <w:szCs w:val="18"/>
                          </w:rPr>
                          <w:t>日，债券票面利率为</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4.30%</w:t>
                        </w:r>
                        <w:r>
                          <w:rPr>
                            <w:rFonts w:ascii="宋体" w:hAnsi="宋体" w:cs="宋体" w:eastAsia="宋体" w:hint="default"/>
                            <w:spacing w:val="-5"/>
                            <w:sz w:val="18"/>
                            <w:szCs w:val="18"/>
                          </w:rPr>
                          <w:t>。每手面值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元的本期债券派发利息为人民币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元</w:t>
                        </w:r>
                        <w:r>
                          <w:rPr>
                            <w:rFonts w:ascii="宋体" w:hAnsi="宋体" w:cs="宋体" w:eastAsia="宋体" w:hint="default"/>
                            <w:spacing w:val="1"/>
                            <w:sz w:val="18"/>
                            <w:szCs w:val="18"/>
                          </w:rPr>
                          <w:t>（</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3"/>
                            <w:sz w:val="18"/>
                            <w:szCs w:val="18"/>
                          </w:rPr>
                          <w:t>。</w:t>
                        </w:r>
                        <w:r>
                          <w:rPr>
                            <w:rFonts w:ascii="宋体" w:hAnsi="宋体" w:cs="宋体" w:eastAsia="宋体" w:hint="default"/>
                            <w:sz w:val="18"/>
                            <w:szCs w:val="18"/>
                          </w:rPr>
                          <w:t>扣税后个人</w:t>
                        </w:r>
                        <w:r>
                          <w:rPr>
                            <w:rFonts w:ascii="宋体" w:hAnsi="宋体" w:cs="宋体" w:eastAsia="宋体" w:hint="default"/>
                            <w:spacing w:val="-13"/>
                            <w:sz w:val="18"/>
                            <w:szCs w:val="18"/>
                          </w:rPr>
                          <w:t>、</w:t>
                        </w:r>
                        <w:r>
                          <w:rPr>
                            <w:rFonts w:ascii="宋体" w:hAnsi="宋体" w:cs="宋体" w:eastAsia="宋体" w:hint="default"/>
                            <w:sz w:val="18"/>
                            <w:szCs w:val="18"/>
                          </w:rPr>
                          <w:t>证券投资基金债券投资者实</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际每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元派发利息为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元；扣税后非居民企业（包含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）债券投资者实</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际每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元派发利息为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日第三次支付利息，债券登记日为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日，除息日，付息日均为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日，债券票面利率为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w:t>
                        </w:r>
                        <w:r>
                          <w:rPr>
                            <w:rFonts w:ascii="宋体" w:hAnsi="宋体" w:cs="宋体" w:eastAsia="宋体" w:hint="default"/>
                            <w:sz w:val="18"/>
                            <w:szCs w:val="18"/>
                          </w:rPr>
                          <w:t>。每手面值</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元的本期债券派发利息为人民币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。扣税后个人、证券投资基金债券投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资者实际每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元派发利息为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元；非居民企业（包含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）债券投资者实</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际每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元派发利息为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210"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17"/>
                            <w:sz w:val="18"/>
                            <w:szCs w:val="18"/>
                          </w:rPr>
                          <w:t>的执行情况（如适用）。</w:t>
                        </w:r>
                        <w:r>
                          <w:rPr>
                            <w:rFonts w:ascii="宋体" w:hAnsi="宋体" w:cs="宋体" w:eastAsia="宋体" w:hint="default"/>
                            <w:sz w:val="18"/>
                            <w:szCs w:val="18"/>
                          </w:rPr>
                        </w:r>
                      </w:p>
                    </w:tc>
                    <w:tc>
                      <w:tcPr>
                        <w:tcW w:w="717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、大唐高鸿数据网络技术股份有限公司（以下简称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日面向合格</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投资者公开发行公司债券（以下简称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w:t>
                        </w:r>
                        <w:r>
                          <w:rPr>
                            <w:rFonts w:ascii="宋体" w:hAnsi="宋体" w:cs="宋体" w:eastAsia="宋体" w:hint="default"/>
                            <w:spacing w:val="1"/>
                            <w:sz w:val="18"/>
                            <w:szCs w:val="18"/>
                          </w:rPr>
                          <w:t>期</w:t>
                        </w:r>
                        <w:r>
                          <w:rPr>
                            <w:rFonts w:ascii="宋体" w:hAnsi="宋体" w:cs="宋体" w:eastAsia="宋体" w:hint="default"/>
                            <w:sz w:val="18"/>
                            <w:szCs w:val="18"/>
                          </w:rPr>
                          <w:t>债券</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，债券期限为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宋体" w:hAnsi="宋体" w:cs="宋体" w:eastAsia="宋体" w:hint="default"/>
                            <w:spacing w:val="1"/>
                            <w:sz w:val="18"/>
                            <w:szCs w:val="18"/>
                          </w:rPr>
                          <w:t>发</w:t>
                        </w:r>
                        <w:r>
                          <w:rPr>
                            <w:rFonts w:ascii="宋体" w:hAnsi="宋体" w:cs="宋体" w:eastAsia="宋体" w:hint="default"/>
                            <w:sz w:val="18"/>
                            <w:szCs w:val="18"/>
                          </w:rPr>
                          <w:t>行人上</w:t>
                        </w:r>
                      </w:p>
                      <w:p>
                        <w:pPr>
                          <w:pStyle w:val="TableParagraph"/>
                          <w:spacing w:line="300" w:lineRule="auto" w:before="63"/>
                          <w:ind w:left="23" w:right="19"/>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调票面利率选择权及投资者回售选择权。《大唐高鸿数据网络技术股份有限公司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年面</w:t>
                        </w:r>
                        <w:r>
                          <w:rPr>
                            <w:rFonts w:ascii="宋体" w:hAnsi="宋体" w:cs="宋体" w:eastAsia="宋体" w:hint="default"/>
                            <w:spacing w:val="-85"/>
                            <w:sz w:val="18"/>
                            <w:szCs w:val="18"/>
                          </w:rPr>
                          <w:t> </w:t>
                        </w:r>
                        <w:r>
                          <w:rPr>
                            <w:rFonts w:ascii="宋体" w:hAnsi="宋体" w:cs="宋体" w:eastAsia="宋体" w:hint="default"/>
                            <w:spacing w:val="-4"/>
                            <w:w w:val="100"/>
                            <w:sz w:val="18"/>
                            <w:szCs w:val="18"/>
                          </w:rPr>
                          <w:t>向合格投资者公开发行公司债券募集说明书》（以下简称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募集说明书</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）中对</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发行人上调票</w:t>
                        </w:r>
                        <w:r>
                          <w:rPr>
                            <w:rFonts w:ascii="宋体" w:hAnsi="宋体" w:cs="宋体" w:eastAsia="宋体" w:hint="default"/>
                            <w:spacing w:val="-65"/>
                            <w:w w:val="100"/>
                            <w:sz w:val="18"/>
                            <w:szCs w:val="18"/>
                          </w:rPr>
                          <w:t> </w:t>
                        </w:r>
                        <w:r>
                          <w:rPr>
                            <w:rFonts w:ascii="宋体" w:hAnsi="宋体" w:cs="宋体" w:eastAsia="宋体" w:hint="default"/>
                            <w:spacing w:val="-65"/>
                            <w:w w:val="100"/>
                            <w:sz w:val="18"/>
                            <w:szCs w:val="18"/>
                          </w:rPr>
                        </w:r>
                        <w:r>
                          <w:rPr>
                            <w:rFonts w:ascii="宋体" w:hAnsi="宋体" w:cs="宋体" w:eastAsia="宋体" w:hint="default"/>
                            <w:sz w:val="18"/>
                            <w:szCs w:val="18"/>
                          </w:rPr>
                          <w:t>面利率选择权</w:t>
                        </w:r>
                        <w:r>
                          <w:rPr>
                            <w:rFonts w:ascii="Times New Roman" w:hAnsi="Times New Roman" w:cs="Times New Roman" w:eastAsia="Times New Roman" w:hint="default"/>
                            <w:sz w:val="18"/>
                            <w:szCs w:val="18"/>
                          </w:rPr>
                          <w:t>”</w:t>
                        </w:r>
                        <w:r>
                          <w:rPr>
                            <w:rFonts w:ascii="宋体" w:hAnsi="宋体" w:cs="宋体" w:eastAsia="宋体" w:hint="default"/>
                            <w:sz w:val="18"/>
                            <w:szCs w:val="18"/>
                          </w:rPr>
                          <w:t>的约定为：</w:t>
                        </w:r>
                        <w:r>
                          <w:rPr>
                            <w:rFonts w:ascii="Times New Roman" w:hAnsi="Times New Roman" w:cs="Times New Roman" w:eastAsia="Times New Roman" w:hint="default"/>
                            <w:sz w:val="18"/>
                            <w:szCs w:val="18"/>
                          </w:rPr>
                          <w:t>“</w:t>
                        </w:r>
                        <w:r>
                          <w:rPr>
                            <w:rFonts w:ascii="宋体" w:hAnsi="宋体" w:cs="宋体" w:eastAsia="宋体" w:hint="default"/>
                            <w:sz w:val="18"/>
                            <w:szCs w:val="18"/>
                          </w:rPr>
                          <w:t>发行有权决定在本期债券存续期间的第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年末上调本期债券后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p>
                      <w:p>
                        <w:pPr>
                          <w:pStyle w:val="TableParagraph"/>
                          <w:spacing w:line="314"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年的票面利率，发行人将于第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个计息年度付息日前的第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个交易日刊登关于是否上调票 </w:t>
                        </w:r>
                        <w:r>
                          <w:rPr>
                            <w:rFonts w:ascii="宋体" w:hAnsi="宋体" w:cs="宋体" w:eastAsia="宋体" w:hint="default"/>
                            <w:spacing w:val="-2"/>
                            <w:sz w:val="18"/>
                            <w:szCs w:val="18"/>
                          </w:rPr>
                          <w:t>面利率以及上调幅度的公告。若发行人未行使上调票面利率选择权，则后续期限票面利率仍</w:t>
                        </w:r>
                        <w:r>
                          <w:rPr>
                            <w:rFonts w:ascii="宋体" w:hAnsi="宋体" w:cs="宋体" w:eastAsia="宋体" w:hint="default"/>
                            <w:sz w:val="18"/>
                            <w:szCs w:val="18"/>
                          </w:rPr>
                          <w:t> 维持原有票面利率不变</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、根据公司《募集说明书》中的约定：发行人发出关于是否调整本期债券的票面利率及调 </w:t>
                        </w:r>
                        <w:r>
                          <w:rPr>
                            <w:rFonts w:ascii="宋体" w:hAnsi="宋体" w:cs="宋体" w:eastAsia="宋体" w:hint="default"/>
                            <w:spacing w:val="-4"/>
                            <w:sz w:val="18"/>
                            <w:szCs w:val="18"/>
                          </w:rPr>
                          <w:t>整幅度的公告后，投资者有权选择在本期债券存续期内第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个计息年度的投资者回售登记期</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22"/>
          <w:pgSz w:w="11910" w:h="16840"/>
          <w:pgMar w:footer="979" w:header="877" w:top="1100" w:bottom="1160" w:left="980" w:right="0"/>
          <w:pgNumType w:start="101"/>
        </w:sectPr>
      </w:pPr>
    </w:p>
    <w:p>
      <w:pPr>
        <w:spacing w:line="240" w:lineRule="auto" w:before="2"/>
        <w:rPr>
          <w:rFonts w:ascii="宋体" w:hAnsi="宋体" w:cs="宋体" w:eastAsia="宋体" w:hint="default"/>
          <w:sz w:val="24"/>
          <w:szCs w:val="24"/>
        </w:rPr>
      </w:pPr>
    </w:p>
    <w:p>
      <w:pPr>
        <w:spacing w:line="1630" w:lineRule="exact"/>
        <w:ind w:left="149"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81.9pt;height:81.5pt;mso-position-horizontal-relative:char;mso-position-vertical-relative:line" coordorigin="0,0" coordsize="9638,1630">
            <v:group style="position:absolute;left:10;top:14;width:2383;height:1602" coordorigin="10,14" coordsize="2383,1602">
              <v:shape style="position:absolute;left:10;top:14;width:2383;height:1602" coordorigin="10,14" coordsize="2383,1602" path="m10,1616l2392,1616,2392,14,10,14,10,1616xe" filled="true" fillcolor="#d2d2d2" stroked="false">
                <v:path arrowok="t"/>
                <v:fill type="solid"/>
              </v:shape>
            </v:group>
            <v:group style="position:absolute;left:10;top:10;width:2383;height:2" coordorigin="10,10" coordsize="2383,2">
              <v:shape style="position:absolute;left:10;top:10;width:2383;height:2" coordorigin="10,10" coordsize="2383,0" path="m10,10l2392,10e" filled="false" stroked="true" strokeweight=".48pt" strokecolor="#000000">
                <v:path arrowok="t"/>
              </v:shape>
            </v:group>
            <v:group style="position:absolute;left:2402;top:10;width:7168;height:2" coordorigin="2402,10" coordsize="7168,2">
              <v:shape style="position:absolute;left:2402;top:10;width:7168;height:2" coordorigin="2402,10" coordsize="7168,0" path="m2402,10l9569,10e" filled="false" stroked="true" strokeweight=".48pt" strokecolor="#000000">
                <v:path arrowok="t"/>
              </v:shape>
            </v:group>
            <v:group style="position:absolute;left:5;top:5;width:2;height:1621" coordorigin="5,5" coordsize="2,1621">
              <v:shape style="position:absolute;left:5;top:5;width:2;height:1621" coordorigin="5,5" coordsize="0,1621" path="m5,5l5,1625e" filled="false" stroked="true" strokeweight=".48pt" strokecolor="#000000">
                <v:path arrowok="t"/>
              </v:shape>
            </v:group>
            <v:group style="position:absolute;left:10;top:1620;width:2383;height:2" coordorigin="10,1620" coordsize="2383,2">
              <v:shape style="position:absolute;left:10;top:1620;width:2383;height:2" coordorigin="10,1620" coordsize="2383,0" path="m10,1620l2392,1620e" filled="false" stroked="true" strokeweight=".48pt" strokecolor="#000000">
                <v:path arrowok="t"/>
              </v:shape>
            </v:group>
            <v:group style="position:absolute;left:2397;top:5;width:2;height:1621" coordorigin="2397,5" coordsize="2,1621">
              <v:shape style="position:absolute;left:2397;top:5;width:2;height:1621" coordorigin="2397,5" coordsize="0,1621" path="m2397,5l2397,1625e" filled="false" stroked="true" strokeweight=".48pt" strokecolor="#000000">
                <v:path arrowok="t"/>
              </v:shape>
            </v:group>
            <v:group style="position:absolute;left:2402;top:1620;width:7168;height:2" coordorigin="2402,1620" coordsize="7168,2">
              <v:shape style="position:absolute;left:2402;top:1620;width:7168;height:2" coordorigin="2402,1620" coordsize="7168,0" path="m2402,1620l9569,1620e" filled="false" stroked="true" strokeweight=".48pt" strokecolor="#000000">
                <v:path arrowok="t"/>
              </v:shape>
            </v:group>
            <v:group style="position:absolute;left:9574;top:5;width:2;height:1621" coordorigin="9574,5" coordsize="2,1621">
              <v:shape style="position:absolute;left:9574;top:5;width:2;height:1621" coordorigin="9574,5" coordsize="0,1621" path="m9574,5l9574,1625e" filled="false" stroked="true" strokeweight=".48004pt" strokecolor="#000000">
                <v:path arrowok="t"/>
              </v:shape>
              <v:shape style="position:absolute;left:0;top:0;width:9638;height:1630" type="#_x0000_t202" filled="false" stroked="false">
                <v:textbox inset="0,0,0,0">
                  <w:txbxContent>
                    <w:p>
                      <w:pPr>
                        <w:spacing w:before="25"/>
                        <w:ind w:left="2425" w:right="0" w:firstLine="0"/>
                        <w:jc w:val="left"/>
                        <w:rPr>
                          <w:rFonts w:ascii="宋体" w:hAnsi="宋体" w:cs="宋体" w:eastAsia="宋体" w:hint="default"/>
                          <w:sz w:val="18"/>
                          <w:szCs w:val="18"/>
                        </w:rPr>
                      </w:pPr>
                      <w:r>
                        <w:rPr>
                          <w:rFonts w:ascii="宋体" w:hAnsi="宋体" w:cs="宋体" w:eastAsia="宋体" w:hint="default"/>
                          <w:sz w:val="18"/>
                          <w:szCs w:val="18"/>
                        </w:rPr>
                        <w:t>内进行登记，将持有的本期债券按面值全部或部分回售给发行人或选择继续持有本期债券。</w:t>
                      </w:r>
                    </w:p>
                    <w:p>
                      <w:pPr>
                        <w:spacing w:before="76"/>
                        <w:ind w:left="2425"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高鸿债</w:t>
                      </w:r>
                      <w:r>
                        <w:rPr>
                          <w:rFonts w:ascii="Times New Roman" w:hAnsi="Times New Roman" w:cs="Times New Roman" w:eastAsia="Times New Roman" w:hint="default"/>
                          <w:sz w:val="18"/>
                          <w:szCs w:val="18"/>
                        </w:rPr>
                        <w:t>”</w:t>
                      </w:r>
                      <w:r>
                        <w:rPr>
                          <w:rFonts w:ascii="宋体" w:hAnsi="宋体" w:cs="宋体" w:eastAsia="宋体" w:hint="default"/>
                          <w:sz w:val="18"/>
                          <w:szCs w:val="18"/>
                        </w:rPr>
                        <w:t>的回售登记日期为：</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spacing w:before="63"/>
                        <w:ind w:left="2425" w:right="0" w:firstLine="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4"/>
                          <w:sz w:val="18"/>
                          <w:szCs w:val="18"/>
                        </w:rPr>
                        <w:t>。</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高鸿</w:t>
                      </w:r>
                      <w:r>
                        <w:rPr>
                          <w:rFonts w:ascii="宋体" w:hAnsi="宋体" w:cs="宋体" w:eastAsia="宋体" w:hint="default"/>
                          <w:spacing w:val="1"/>
                          <w:sz w:val="18"/>
                          <w:szCs w:val="18"/>
                        </w:rPr>
                        <w:t>债</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的回售数量为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4,928,810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张</w:t>
                      </w:r>
                      <w:r>
                        <w:rPr>
                          <w:rFonts w:ascii="宋体" w:hAnsi="宋体" w:cs="宋体" w:eastAsia="宋体" w:hint="default"/>
                          <w:spacing w:val="-5"/>
                          <w:sz w:val="18"/>
                          <w:szCs w:val="18"/>
                        </w:rPr>
                        <w:t>，</w:t>
                      </w:r>
                      <w:r>
                        <w:rPr>
                          <w:rFonts w:ascii="宋体" w:hAnsi="宋体" w:cs="宋体" w:eastAsia="宋体" w:hint="default"/>
                          <w:sz w:val="18"/>
                          <w:szCs w:val="18"/>
                        </w:rPr>
                        <w:t>回售金额为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492,881,000 </w:t>
                      </w:r>
                      <w:r>
                        <w:rPr>
                          <w:rFonts w:ascii="宋体" w:hAnsi="宋体" w:cs="宋体" w:eastAsia="宋体" w:hint="default"/>
                          <w:spacing w:val="-4"/>
                          <w:sz w:val="18"/>
                          <w:szCs w:val="18"/>
                        </w:rPr>
                        <w:t>元</w:t>
                      </w:r>
                      <w:r>
                        <w:rPr>
                          <w:rFonts w:ascii="宋体" w:hAnsi="宋体" w:cs="宋体" w:eastAsia="宋体" w:hint="default"/>
                          <w:sz w:val="18"/>
                          <w:szCs w:val="18"/>
                        </w:rPr>
                        <w:t>（</w:t>
                      </w:r>
                      <w:r>
                        <w:rPr>
                          <w:rFonts w:ascii="宋体" w:hAnsi="宋体" w:cs="宋体" w:eastAsia="宋体" w:hint="default"/>
                          <w:spacing w:val="-2"/>
                          <w:sz w:val="18"/>
                          <w:szCs w:val="18"/>
                        </w:rPr>
                        <w:t>不</w:t>
                      </w:r>
                      <w:r>
                        <w:rPr>
                          <w:rFonts w:ascii="宋体" w:hAnsi="宋体" w:cs="宋体" w:eastAsia="宋体" w:hint="default"/>
                          <w:sz w:val="18"/>
                          <w:szCs w:val="18"/>
                        </w:rPr>
                        <w:t>含利息</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剩余</w:t>
                      </w:r>
                    </w:p>
                    <w:p>
                      <w:pPr>
                        <w:spacing w:before="63"/>
                        <w:ind w:left="2425" w:right="0" w:firstLine="0"/>
                        <w:jc w:val="left"/>
                        <w:rPr>
                          <w:rFonts w:ascii="宋体" w:hAnsi="宋体" w:cs="宋体" w:eastAsia="宋体" w:hint="default"/>
                          <w:sz w:val="18"/>
                          <w:szCs w:val="18"/>
                        </w:rPr>
                      </w:pPr>
                      <w:r>
                        <w:rPr>
                          <w:rFonts w:ascii="宋体" w:hAnsi="宋体" w:cs="宋体" w:eastAsia="宋体" w:hint="default"/>
                          <w:sz w:val="18"/>
                          <w:szCs w:val="18"/>
                        </w:rPr>
                        <w:t>托管量为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张</w:t>
                      </w:r>
                      <w:r>
                        <w:rPr>
                          <w:rFonts w:ascii="宋体" w:hAnsi="宋体" w:cs="宋体" w:eastAsia="宋体" w:hint="default"/>
                          <w:spacing w:val="-90"/>
                          <w:sz w:val="18"/>
                          <w:szCs w:val="18"/>
                        </w:rPr>
                        <w:t>。</w:t>
                      </w:r>
                      <w:r>
                        <w:rPr>
                          <w:rFonts w:ascii="宋体" w:hAnsi="宋体" w:cs="宋体" w:eastAsia="宋体" w:hint="default"/>
                          <w:sz w:val="18"/>
                          <w:szCs w:val="18"/>
                        </w:rPr>
                        <w:t>本次</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高鸿债</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回售部分债券的本金及利息共计人民币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514,074,8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w:t>
                      </w:r>
                    </w:p>
                    <w:p>
                      <w:pPr>
                        <w:spacing w:before="64"/>
                        <w:ind w:left="2425" w:right="0" w:firstLine="0"/>
                        <w:jc w:val="left"/>
                        <w:rPr>
                          <w:rFonts w:ascii="宋体" w:hAnsi="宋体" w:cs="宋体" w:eastAsia="宋体" w:hint="default"/>
                          <w:sz w:val="18"/>
                          <w:szCs w:val="18"/>
                        </w:rPr>
                      </w:pPr>
                      <w:r>
                        <w:rPr>
                          <w:rFonts w:ascii="宋体" w:hAnsi="宋体" w:cs="宋体" w:eastAsia="宋体" w:hint="default"/>
                          <w:sz w:val="18"/>
                          <w:szCs w:val="18"/>
                        </w:rPr>
                        <w:t>于回售资金到账日划付至投资者资金账户，回售资金到账日为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group>
          </v:group>
        </w:pict>
      </w:r>
      <w:r>
        <w:rPr>
          <w:rFonts w:ascii="宋体" w:hAnsi="宋体" w:cs="宋体" w:eastAsia="宋体" w:hint="default"/>
          <w:position w:val="-32"/>
          <w:sz w:val="20"/>
          <w:szCs w:val="20"/>
        </w:rPr>
      </w:r>
    </w:p>
    <w:p>
      <w:pPr>
        <w:spacing w:line="240" w:lineRule="auto" w:before="10"/>
        <w:rPr>
          <w:rFonts w:ascii="宋体" w:hAnsi="宋体" w:cs="宋体" w:eastAsia="宋体" w:hint="default"/>
          <w:sz w:val="17"/>
          <w:szCs w:val="17"/>
        </w:rPr>
      </w:pPr>
    </w:p>
    <w:p>
      <w:pPr>
        <w:pStyle w:val="Heading2"/>
        <w:spacing w:line="240" w:lineRule="auto" w:before="26"/>
        <w:ind w:right="0"/>
        <w:jc w:val="left"/>
        <w:rPr>
          <w:b w:val="0"/>
          <w:bCs w:val="0"/>
        </w:rPr>
      </w:pPr>
      <w:bookmarkStart w:name="二、债券受托管理人和资信评级机构信息" w:id="161"/>
      <w:bookmarkEnd w:id="161"/>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7"/>
        <w:gridCol w:w="1201"/>
        <w:gridCol w:w="785"/>
        <w:gridCol w:w="412"/>
        <w:gridCol w:w="1203"/>
        <w:gridCol w:w="1183"/>
        <w:gridCol w:w="1392"/>
        <w:gridCol w:w="1006"/>
        <w:gridCol w:w="1196"/>
      </w:tblGrid>
      <w:tr>
        <w:trPr>
          <w:trHeight w:val="397"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78"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2"/>
              <w:ind w:left="21" w:right="73"/>
              <w:jc w:val="left"/>
              <w:rPr>
                <w:rFonts w:ascii="宋体" w:hAnsi="宋体" w:cs="宋体" w:eastAsia="宋体" w:hint="default"/>
                <w:sz w:val="18"/>
                <w:szCs w:val="18"/>
              </w:rPr>
            </w:pPr>
            <w:r>
              <w:rPr>
                <w:rFonts w:ascii="宋体" w:hAnsi="宋体" w:cs="宋体" w:eastAsia="宋体" w:hint="default"/>
                <w:sz w:val="18"/>
                <w:szCs w:val="18"/>
              </w:rPr>
              <w:t>西南证券股份 有限公司</w:t>
            </w:r>
          </w:p>
        </w:tc>
        <w:tc>
          <w:tcPr>
            <w:tcW w:w="11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3" w:type="dxa"/>
            <w:vMerge w:val="restart"/>
            <w:tcBorders>
              <w:top w:val="single" w:sz="4" w:space="0" w:color="000000"/>
              <w:left w:val="single" w:sz="9" w:space="0" w:color="D2D2D2"/>
              <w:right w:val="single" w:sz="9" w:space="0" w:color="D2D2D2"/>
            </w:tcBorders>
          </w:tcPr>
          <w:p>
            <w:pPr>
              <w:pStyle w:val="TableParagraph"/>
              <w:spacing w:line="312" w:lineRule="auto" w:before="56"/>
              <w:ind w:left="16" w:right="21"/>
              <w:jc w:val="left"/>
              <w:rPr>
                <w:rFonts w:ascii="宋体" w:hAnsi="宋体" w:cs="宋体" w:eastAsia="宋体" w:hint="default"/>
                <w:sz w:val="18"/>
                <w:szCs w:val="18"/>
              </w:rPr>
            </w:pPr>
            <w:r>
              <w:rPr>
                <w:rFonts w:ascii="宋体" w:hAnsi="宋体" w:cs="宋体" w:eastAsia="宋体" w:hint="default"/>
                <w:sz w:val="18"/>
                <w:szCs w:val="18"/>
              </w:rPr>
              <w:t>北京市西城区 金融大街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 国际企业大厦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2"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李建功、顾形宇</w:t>
            </w:r>
          </w:p>
        </w:tc>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010-57631234</w:t>
            </w:r>
          </w:p>
        </w:tc>
      </w:tr>
      <w:tr>
        <w:trPr>
          <w:trHeight w:val="392"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10" w:space="0" w:color="D2D2D2"/>
              <w:right w:val="single" w:sz="10" w:space="0" w:color="D2D2D2"/>
            </w:tcBorders>
          </w:tcPr>
          <w:p>
            <w:pPr/>
          </w:p>
        </w:tc>
        <w:tc>
          <w:tcPr>
            <w:tcW w:w="119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3" w:type="dxa"/>
            <w:vMerge/>
            <w:tcBorders>
              <w:left w:val="single" w:sz="9" w:space="0" w:color="D2D2D2"/>
              <w:right w:val="single" w:sz="9" w:space="0" w:color="D2D2D2"/>
            </w:tcBorders>
          </w:tcPr>
          <w:p>
            <w:pPr/>
          </w:p>
        </w:tc>
        <w:tc>
          <w:tcPr>
            <w:tcW w:w="1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392" w:type="dxa"/>
            <w:vMerge/>
            <w:tcBorders>
              <w:left w:val="single" w:sz="9" w:space="0" w:color="D2D2D2"/>
              <w:right w:val="single" w:sz="9" w:space="0" w:color="D2D2D2"/>
            </w:tcBorders>
          </w:tcPr>
          <w:p>
            <w:pPr/>
          </w:p>
        </w:tc>
        <w:tc>
          <w:tcPr>
            <w:tcW w:w="1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tcPr>
          <w:p>
            <w:pPr/>
          </w:p>
        </w:tc>
      </w:tr>
      <w:tr>
        <w:trPr>
          <w:trHeight w:val="478"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3" w:type="dxa"/>
            <w:vMerge/>
            <w:tcBorders>
              <w:left w:val="single" w:sz="9" w:space="0" w:color="D2D2D2"/>
              <w:bottom w:val="single" w:sz="4" w:space="0" w:color="000000"/>
              <w:right w:val="single" w:sz="9" w:space="0" w:color="D2D2D2"/>
            </w:tcBorders>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2" w:type="dxa"/>
            <w:vMerge/>
            <w:tcBorders>
              <w:left w:val="single" w:sz="9" w:space="0" w:color="D2D2D2"/>
              <w:bottom w:val="single" w:sz="4" w:space="0" w:color="000000"/>
              <w:right w:val="single" w:sz="9" w:space="0" w:color="D2D2D2"/>
            </w:tcBorders>
          </w:tcPr>
          <w:p>
            <w:pPr/>
          </w:p>
        </w:tc>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7"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3" w:space="0" w:color="D2D2D2"/>
              <w:bottom w:val="single" w:sz="4" w:space="0" w:color="000000"/>
              <w:right w:val="single" w:sz="9" w:space="0" w:color="D2D2D2"/>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中诚信证券评估有限公司</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16" w:right="0"/>
              <w:jc w:val="left"/>
              <w:rPr>
                <w:rFonts w:ascii="宋体" w:hAnsi="宋体" w:cs="宋体" w:eastAsia="宋体" w:hint="default"/>
                <w:sz w:val="18"/>
                <w:szCs w:val="18"/>
              </w:rPr>
            </w:pPr>
            <w:r>
              <w:rPr>
                <w:rFonts w:ascii="宋体" w:hAnsi="宋体" w:cs="宋体" w:eastAsia="宋体" w:hint="default"/>
                <w:sz w:val="18"/>
                <w:szCs w:val="18"/>
              </w:rPr>
              <w:t>上海市黄浦区西藏南路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760 </w:t>
            </w:r>
            <w:r>
              <w:rPr>
                <w:rFonts w:ascii="宋体" w:hAnsi="宋体" w:cs="宋体" w:eastAsia="宋体" w:hint="default"/>
                <w:sz w:val="18"/>
                <w:szCs w:val="18"/>
              </w:rPr>
              <w:t>号安基大厦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楼</w:t>
            </w:r>
          </w:p>
        </w:tc>
      </w:tr>
      <w:tr>
        <w:trPr>
          <w:trHeight w:val="1338" w:hRule="exact"/>
        </w:trPr>
        <w:tc>
          <w:tcPr>
            <w:tcW w:w="31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1614" w:type="dxa"/>
            <w:gridSpan w:val="2"/>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6" w:lineRule="exact" w:before="128"/>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期内不适用</w:t>
            </w:r>
          </w:p>
        </w:tc>
        <w:tc>
          <w:tcPr>
            <w:tcW w:w="1183" w:type="dxa"/>
            <w:tcBorders>
              <w:top w:val="single" w:sz="4" w:space="0" w:color="000000"/>
              <w:left w:val="nil" w:sz="6" w:space="0" w:color="auto"/>
              <w:bottom w:val="single" w:sz="4" w:space="0" w:color="000000"/>
              <w:right w:val="nil" w:sz="6" w:space="0" w:color="auto"/>
            </w:tcBorders>
          </w:tcPr>
          <w:p>
            <w:pPr/>
          </w:p>
        </w:tc>
        <w:tc>
          <w:tcPr>
            <w:tcW w:w="1392" w:type="dxa"/>
            <w:tcBorders>
              <w:top w:val="single" w:sz="4" w:space="0" w:color="000000"/>
              <w:left w:val="nil" w:sz="6" w:space="0" w:color="auto"/>
              <w:bottom w:val="single" w:sz="4" w:space="0" w:color="000000"/>
              <w:right w:val="nil" w:sz="6" w:space="0" w:color="auto"/>
            </w:tcBorders>
          </w:tcPr>
          <w:p>
            <w:pPr/>
          </w:p>
        </w:tc>
        <w:tc>
          <w:tcPr>
            <w:tcW w:w="1006"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pict>
          <v:group style="position:absolute;margin-left:216.679993pt;margin-top:-78.764366pt;width:318.5pt;height:43.6pt;mso-position-horizontal-relative:page;mso-position-vertical-relative:paragraph;z-index:-1545160" coordorigin="4334,-1575" coordsize="6370,872">
            <v:group style="position:absolute;left:4334;top:-1575;width:6370;height:468" coordorigin="4334,-1575" coordsize="6370,468">
              <v:shape style="position:absolute;left:4334;top:-1575;width:6370;height:468" coordorigin="4334,-1575" coordsize="6370,468" path="m4334,-1107l10703,-1107,10703,-1575,4334,-1575,4334,-1107xe" filled="true" fillcolor="#ffffff" stroked="false">
                <v:path arrowok="t"/>
                <v:fill type="solid"/>
              </v:shape>
            </v:group>
            <v:group style="position:absolute;left:4345;top:-1107;width:2;height:393" coordorigin="4345,-1107" coordsize="2,393">
              <v:shape style="position:absolute;left:4345;top:-1107;width:2;height:393" coordorigin="4345,-1107" coordsize="0,393" path="m4345,-1107l4345,-715e" filled="false" stroked="true" strokeweight="1.140pt" strokecolor="#ffffff">
                <v:path arrowok="t"/>
              </v:shape>
            </v:group>
            <v:group style="position:absolute;left:4356;top:-1107;width:6324;height:393" coordorigin="4356,-1107" coordsize="6324,393">
              <v:shape style="position:absolute;left:4356;top:-1107;width:6324;height:393" coordorigin="4356,-1107" coordsize="6324,393" path="m4356,-715l10680,-715,10680,-1107,4356,-1107,4356,-715xe" filled="true" fillcolor="#ffffff" stroked="false">
                <v:path arrowok="t"/>
                <v:fill type="solid"/>
              </v:shape>
            </v:group>
            <w10:wrap type="none"/>
          </v:group>
        </w:pict>
      </w:r>
      <w:bookmarkStart w:name="三、公司债券募集资金使用情况" w:id="162"/>
      <w:bookmarkEnd w:id="162"/>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日，公司债券募集资金全部用于补充公司营运资金，满足公</w:t>
            </w:r>
            <w:r>
              <w:rPr>
                <w:rFonts w:ascii="宋体" w:hAnsi="宋体" w:cs="宋体" w:eastAsia="宋体" w:hint="default"/>
                <w:sz w:val="18"/>
                <w:szCs w:val="18"/>
              </w:rPr>
              <w:t> 司业务运营需要。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63"/>
      <w:bookmarkEnd w:id="163"/>
      <w:r>
        <w:rPr>
          <w:b w:val="0"/>
          <w:bCs w:val="0"/>
        </w:rPr>
      </w:r>
      <w:r>
        <w:rPr/>
        <w:t>四、公司债券信息评级情况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2" w:firstLine="423"/>
        <w:jc w:val="both"/>
      </w:pPr>
      <w:r>
        <w:rPr>
          <w:rFonts w:ascii="宋体" w:hAnsi="宋体" w:cs="宋体" w:eastAsia="宋体" w:hint="default"/>
          <w:spacing w:val="-1"/>
        </w:rPr>
        <w:t>2018</w:t>
      </w:r>
      <w:r>
        <w:rPr>
          <w:spacing w:val="-1"/>
        </w:rPr>
        <w:t>年中诚信证券评估有限公司评定大唐高鸿数据网络技术股份有限公司主体信用等级为</w:t>
      </w:r>
      <w:r>
        <w:rPr>
          <w:rFonts w:ascii="宋体" w:hAnsi="宋体" w:cs="宋体" w:eastAsia="宋体" w:hint="default"/>
          <w:spacing w:val="-1"/>
        </w:rPr>
        <w:t>AA</w:t>
      </w:r>
      <w:r>
        <w:rPr>
          <w:spacing w:val="-1"/>
        </w:rPr>
        <w:t>，评级展</w:t>
      </w:r>
      <w:r>
        <w:rPr/>
        <w:t> 望为稳定；评定“大唐高鸿数据网络技术股份有限公司</w:t>
      </w:r>
      <w:r>
        <w:rPr>
          <w:rFonts w:ascii="宋体" w:hAnsi="宋体" w:cs="宋体" w:eastAsia="宋体" w:hint="default"/>
        </w:rPr>
        <w:t>2018</w:t>
      </w:r>
      <w:r>
        <w:rPr/>
        <w:t>年公司债券”信用等级为</w:t>
      </w:r>
      <w:r>
        <w:rPr>
          <w:rFonts w:ascii="宋体" w:hAnsi="宋体" w:cs="宋体" w:eastAsia="宋体" w:hint="default"/>
        </w:rPr>
        <w:t>AA</w:t>
      </w:r>
      <w:r>
        <w:rPr/>
        <w:t>。</w:t>
      </w:r>
    </w:p>
    <w:p>
      <w:pPr>
        <w:pStyle w:val="BodyText"/>
        <w:spacing w:line="273" w:lineRule="auto"/>
        <w:ind w:right="1130" w:firstLine="423"/>
        <w:jc w:val="both"/>
      </w:pPr>
      <w:r>
        <w:rPr>
          <w:spacing w:val="-1"/>
        </w:rPr>
        <w:t>在跟踪评级期限内，中诚信证券评估有限公司将于本期债券发行主体即大唐高鸿数据网络技术股份有</w:t>
      </w:r>
      <w:r>
        <w:rPr/>
        <w:t> </w:t>
      </w:r>
      <w:r>
        <w:rPr>
          <w:spacing w:val="-1"/>
        </w:rPr>
        <w:t>限公司年度报告公布后两个月内完成该年度的定期跟踪评级，并发布定期跟踪评级结果及报告。待中诚信</w:t>
      </w:r>
      <w:r>
        <w:rPr>
          <w:spacing w:val="-81"/>
        </w:rPr>
        <w:t> </w:t>
      </w:r>
      <w:r>
        <w:rPr>
          <w:spacing w:val="-81"/>
        </w:rPr>
      </w:r>
      <w:r>
        <w:rPr>
          <w:spacing w:val="-3"/>
        </w:rPr>
        <w:t>证券评估有限公司出具年度定期跟踪评级报告后，公司将在深圳证券交易所网站（</w:t>
      </w:r>
      <w:hyperlink r:id="rId23">
        <w:r>
          <w:rPr>
            <w:rFonts w:ascii="宋体" w:hAnsi="宋体" w:cs="宋体" w:eastAsia="宋体" w:hint="default"/>
            <w:spacing w:val="-3"/>
          </w:rPr>
          <w:t>http://www.szse.cn/</w:t>
        </w:r>
      </w:hyperlink>
      <w:r>
        <w:rPr>
          <w:spacing w:val="-3"/>
        </w:rPr>
        <w:t>）</w:t>
      </w:r>
      <w:r>
        <w:rPr>
          <w:spacing w:val="-64"/>
        </w:rPr>
        <w:t> </w:t>
      </w:r>
      <w:r>
        <w:rPr/>
        <w:t>及巨潮资讯网站（</w:t>
      </w:r>
      <w:hyperlink r:id="rId24">
        <w:r>
          <w:rPr>
            <w:rFonts w:ascii="宋体" w:hAnsi="宋体" w:cs="宋体" w:eastAsia="宋体" w:hint="default"/>
          </w:rPr>
          <w:t>http://www.cninfo.com.cn/cninfo-new/index</w:t>
        </w:r>
      </w:hyperlink>
      <w:r>
        <w:rPr/>
        <w:t>）发布最新的信用评级报告，提请投资</w:t>
      </w:r>
      <w:r>
        <w:rPr>
          <w:spacing w:val="-38"/>
        </w:rPr>
        <w:t> </w:t>
      </w:r>
      <w:r>
        <w:rPr>
          <w:spacing w:val="-38"/>
        </w:rPr>
      </w:r>
      <w:r>
        <w:rPr/>
        <w:t>者关注。</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五、公司债券增信机制、偿债计划及其他偿债保障措施" w:id="164"/>
      <w:bookmarkEnd w:id="164"/>
      <w:r>
        <w:rPr>
          <w:b w:val="0"/>
          <w:bCs w:val="0"/>
        </w:rPr>
      </w:r>
      <w:r>
        <w:rPr/>
        <w:t>五、公司债券增信机制、偿债计划及其他偿债保障措施</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7" w:right="0"/>
        <w:jc w:val="left"/>
        <w:rPr>
          <w:rFonts w:ascii="宋体" w:hAnsi="宋体" w:cs="宋体" w:eastAsia="宋体" w:hint="default"/>
        </w:rPr>
      </w:pPr>
      <w:r>
        <w:rPr/>
        <w:t>报告期内</w:t>
      </w:r>
      <w:r>
        <w:rPr>
          <w:spacing w:val="-47"/>
        </w:rPr>
        <w:t>，</w:t>
      </w:r>
      <w:r>
        <w:rPr/>
        <w:t>投资者行使回售选择权</w:t>
      </w:r>
      <w:r>
        <w:rPr>
          <w:spacing w:val="-94"/>
        </w:rPr>
        <w:t>，</w:t>
      </w:r>
      <w:r>
        <w:rPr>
          <w:spacing w:val="-1"/>
        </w:rPr>
        <w:t>“</w:t>
      </w:r>
      <w:r>
        <w:rPr>
          <w:rFonts w:ascii="宋体" w:hAnsi="宋体" w:cs="宋体" w:eastAsia="宋体" w:hint="default"/>
        </w:rPr>
        <w:t>16</w:t>
      </w:r>
      <w:r>
        <w:rPr/>
        <w:t>高鸿债</w:t>
      </w:r>
      <w:r>
        <w:rPr>
          <w:spacing w:val="-47"/>
        </w:rPr>
        <w:t>”</w:t>
      </w:r>
      <w:r>
        <w:rPr>
          <w:spacing w:val="-2"/>
        </w:rPr>
        <w:t>的</w:t>
      </w:r>
      <w:r>
        <w:rPr/>
        <w:t>回售数量为</w:t>
      </w:r>
      <w:r>
        <w:rPr>
          <w:rFonts w:ascii="宋体" w:hAnsi="宋体" w:cs="宋体" w:eastAsia="宋体" w:hint="default"/>
        </w:rPr>
        <w:t>4,928,81</w:t>
      </w:r>
      <w:r>
        <w:rPr>
          <w:rFonts w:ascii="宋体" w:hAnsi="宋体" w:cs="宋体" w:eastAsia="宋体" w:hint="default"/>
          <w:spacing w:val="1"/>
        </w:rPr>
        <w:t>0</w:t>
      </w:r>
      <w:r>
        <w:rPr/>
        <w:t>张</w:t>
      </w:r>
      <w:r>
        <w:rPr>
          <w:spacing w:val="-49"/>
        </w:rPr>
        <w:t>，</w:t>
      </w:r>
      <w:r>
        <w:rPr/>
        <w:t>回售金额为</w:t>
      </w:r>
      <w:r>
        <w:rPr>
          <w:rFonts w:ascii="宋体" w:hAnsi="宋体" w:cs="宋体" w:eastAsia="宋体" w:hint="default"/>
        </w:rPr>
        <w:t>492,881,000</w:t>
      </w:r>
    </w:p>
    <w:p>
      <w:pPr>
        <w:spacing w:after="0" w:line="240" w:lineRule="auto"/>
        <w:jc w:val="left"/>
        <w:rPr>
          <w:rFonts w:ascii="宋体" w:hAnsi="宋体" w:cs="宋体" w:eastAsia="宋体" w:hint="default"/>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t>元（不含利息），剩余托管量为</w:t>
      </w:r>
      <w:r>
        <w:rPr>
          <w:rFonts w:ascii="宋体" w:hAnsi="宋体" w:cs="宋体" w:eastAsia="宋体" w:hint="default"/>
        </w:rPr>
        <w:t>21,190</w:t>
      </w:r>
      <w:r>
        <w:rPr/>
        <w:t>张。回售部分债券的付息日为</w:t>
      </w:r>
      <w:r>
        <w:rPr>
          <w:rFonts w:ascii="宋体" w:hAnsi="宋体" w:cs="宋体" w:eastAsia="宋体" w:hint="default"/>
        </w:rPr>
        <w:t>2017</w:t>
      </w:r>
      <w:r>
        <w:rPr/>
        <w:t>年至</w:t>
      </w:r>
      <w:r>
        <w:rPr>
          <w:rFonts w:ascii="宋体" w:hAnsi="宋体" w:cs="宋体" w:eastAsia="宋体" w:hint="default"/>
        </w:rPr>
        <w:t>2019</w:t>
      </w:r>
      <w:r>
        <w:rPr/>
        <w:t>年每年的</w:t>
      </w:r>
      <w:r>
        <w:rPr>
          <w:rFonts w:ascii="宋体" w:hAnsi="宋体" w:cs="宋体" w:eastAsia="宋体" w:hint="default"/>
        </w:rPr>
        <w:t>1</w:t>
      </w:r>
      <w:r>
        <w:rPr/>
        <w:t>月</w:t>
      </w:r>
      <w:r>
        <w:rPr>
          <w:rFonts w:ascii="宋体" w:hAnsi="宋体" w:cs="宋体" w:eastAsia="宋体" w:hint="default"/>
        </w:rPr>
        <w:t>21</w:t>
      </w:r>
      <w:r>
        <w:rPr/>
        <w:t>日（如</w:t>
      </w:r>
      <w:r>
        <w:rPr>
          <w:spacing w:val="-31"/>
        </w:rPr>
        <w:t> </w:t>
      </w:r>
      <w:r>
        <w:rPr>
          <w:spacing w:val="-31"/>
        </w:rPr>
      </w:r>
      <w:r>
        <w:rPr/>
        <w:t>遇法定及政府指定节假日或休息日，则顺延至其后的第</w:t>
      </w:r>
      <w:r>
        <w:rPr>
          <w:rFonts w:ascii="宋体" w:hAnsi="宋体" w:cs="宋体" w:eastAsia="宋体" w:hint="default"/>
        </w:rPr>
        <w:t>1</w:t>
      </w:r>
      <w:r>
        <w:rPr/>
        <w:t>个交易日；顺延期间付息款项不另计利息），上</w:t>
      </w:r>
      <w:r>
        <w:rPr>
          <w:spacing w:val="-28"/>
        </w:rPr>
        <w:t> </w:t>
      </w:r>
      <w:r>
        <w:rPr>
          <w:spacing w:val="-28"/>
        </w:rPr>
      </w:r>
      <w:r>
        <w:rPr/>
        <w:t>述利息已全部支付。未行使回售选择权的投资者持有的本期债券的兑付日期为</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21</w:t>
      </w:r>
      <w:r>
        <w:rPr/>
        <w:t>日（如遇法定</w:t>
      </w:r>
      <w:r>
        <w:rPr>
          <w:spacing w:val="-29"/>
        </w:rPr>
        <w:t> </w:t>
      </w:r>
      <w:r>
        <w:rPr>
          <w:spacing w:val="-29"/>
        </w:rPr>
      </w:r>
      <w:r>
        <w:rPr/>
        <w:t>及政府指定节假日或休息日，则顺延至其后的第</w:t>
      </w:r>
      <w:r>
        <w:rPr>
          <w:rFonts w:ascii="宋体" w:hAnsi="宋体" w:cs="宋体" w:eastAsia="宋体" w:hint="default"/>
        </w:rPr>
        <w:t>1</w:t>
      </w:r>
      <w:r>
        <w:rPr/>
        <w:t>个交易日；顺延期间兑付款项不另计利息），未回售债</w:t>
      </w:r>
      <w:r>
        <w:rPr>
          <w:spacing w:val="-29"/>
        </w:rPr>
        <w:t> </w:t>
      </w:r>
      <w:r>
        <w:rPr>
          <w:spacing w:val="-29"/>
        </w:rPr>
      </w:r>
      <w:r>
        <w:rPr/>
        <w:t>券的利息支付日期为</w:t>
      </w:r>
      <w:r>
        <w:rPr>
          <w:rFonts w:ascii="宋体" w:hAnsi="宋体" w:cs="宋体" w:eastAsia="宋体" w:hint="default"/>
        </w:rPr>
        <w:t>2020</w:t>
      </w:r>
      <w:r>
        <w:rPr/>
        <w:t>年</w:t>
      </w:r>
      <w:r>
        <w:rPr>
          <w:rFonts w:ascii="宋体" w:hAnsi="宋体" w:cs="宋体" w:eastAsia="宋体" w:hint="default"/>
        </w:rPr>
        <w:t>1</w:t>
      </w:r>
      <w:r>
        <w:rPr/>
        <w:t>月</w:t>
      </w:r>
      <w:r>
        <w:rPr>
          <w:rFonts w:ascii="宋体" w:hAnsi="宋体" w:cs="宋体" w:eastAsia="宋体" w:hint="default"/>
        </w:rPr>
        <w:t>21</w:t>
      </w:r>
      <w:r>
        <w:rPr/>
        <w:t>日至</w:t>
      </w:r>
      <w:r>
        <w:rPr>
          <w:rFonts w:ascii="宋体" w:hAnsi="宋体" w:cs="宋体" w:eastAsia="宋体" w:hint="default"/>
        </w:rPr>
        <w:t>2021</w:t>
      </w:r>
      <w:r>
        <w:rPr/>
        <w:t>年</w:t>
      </w:r>
      <w:r>
        <w:rPr>
          <w:rFonts w:ascii="宋体" w:hAnsi="宋体" w:cs="宋体" w:eastAsia="宋体" w:hint="default"/>
        </w:rPr>
        <w:t>1</w:t>
      </w:r>
      <w:r>
        <w:rPr/>
        <w:t>月</w:t>
      </w:r>
      <w:r>
        <w:rPr>
          <w:rFonts w:ascii="宋体" w:hAnsi="宋体" w:cs="宋体" w:eastAsia="宋体" w:hint="default"/>
        </w:rPr>
        <w:t>21</w:t>
      </w:r>
      <w:r>
        <w:rPr/>
        <w:t>日。公司将按计划按时足额偿付，切实做到专款专用，</w:t>
      </w:r>
      <w:r>
        <w:rPr>
          <w:spacing w:val="-37"/>
        </w:rPr>
        <w:t> </w:t>
      </w:r>
      <w:r>
        <w:rPr>
          <w:spacing w:val="-37"/>
        </w:rPr>
      </w:r>
      <w:r>
        <w:rPr>
          <w:spacing w:val="-5"/>
        </w:rPr>
        <w:t>严格履行信息披露义务、公司承诺等，同时资信评级机构与受托管理人充分发挥作用，确保债券安全付息、</w:t>
      </w:r>
      <w:r>
        <w:rPr>
          <w:spacing w:val="-101"/>
        </w:rPr>
        <w:t> </w:t>
      </w:r>
      <w:r>
        <w:rPr>
          <w:spacing w:val="-101"/>
        </w:rPr>
      </w:r>
      <w:r>
        <w:rPr/>
        <w:t>兑付的保障措施的更好实施。</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六、报告期内债券持有人会议的召开情况" w:id="165"/>
      <w:bookmarkEnd w:id="165"/>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right="1132"/>
        <w:jc w:val="right"/>
      </w:pPr>
      <w:r>
        <w:rPr>
          <w:spacing w:val="-1"/>
        </w:rPr>
        <w:t>根据《大唐高鸿数据网络技术股份有限公司</w:t>
      </w:r>
      <w:r>
        <w:rPr>
          <w:rFonts w:ascii="宋体" w:hAnsi="宋体" w:cs="宋体" w:eastAsia="宋体" w:hint="default"/>
          <w:spacing w:val="-1"/>
        </w:rPr>
        <w:t>2016</w:t>
      </w:r>
      <w:r>
        <w:rPr>
          <w:spacing w:val="-1"/>
        </w:rPr>
        <w:t>年面向合格投资者公开发行公司债券募集说明书》及</w:t>
      </w:r>
    </w:p>
    <w:p>
      <w:pPr>
        <w:pStyle w:val="BodyText"/>
        <w:spacing w:line="273" w:lineRule="auto" w:before="37"/>
        <w:ind w:right="1130"/>
        <w:jc w:val="both"/>
      </w:pPr>
      <w:r>
        <w:rPr/>
        <w:t>《大唐高鸿数据网络技术股份有限公司</w:t>
      </w:r>
      <w:r>
        <w:rPr>
          <w:rFonts w:ascii="宋体" w:hAnsi="宋体" w:cs="宋体" w:eastAsia="宋体" w:hint="default"/>
        </w:rPr>
        <w:t>2016</w:t>
      </w:r>
      <w:r>
        <w:rPr/>
        <w:t>年公司债券之债券持有人会议规则》的规定，公司对</w:t>
      </w:r>
      <w:r>
        <w:rPr>
          <w:rFonts w:ascii="宋体" w:hAnsi="宋体" w:cs="宋体" w:eastAsia="宋体" w:hint="default"/>
        </w:rPr>
        <w:t>&lt;</w:t>
      </w:r>
      <w:r>
        <w:rPr/>
        <w:t>大唐高</w:t>
      </w:r>
      <w:r>
        <w:rPr>
          <w:spacing w:val="-26"/>
        </w:rPr>
        <w:t> </w:t>
      </w:r>
      <w:r>
        <w:rPr>
          <w:spacing w:val="-26"/>
        </w:rPr>
      </w:r>
      <w:r>
        <w:rPr/>
        <w:t>鸿数据网络技术股份有限公司</w:t>
      </w:r>
      <w:r>
        <w:rPr>
          <w:rFonts w:ascii="宋体" w:hAnsi="宋体" w:cs="宋体" w:eastAsia="宋体" w:hint="default"/>
        </w:rPr>
        <w:t>2016</w:t>
      </w:r>
      <w:r>
        <w:rPr/>
        <w:t>年面向合格投资者公开发行公司债券募集说明书</w:t>
      </w:r>
      <w:r>
        <w:rPr>
          <w:rFonts w:ascii="宋体" w:hAnsi="宋体" w:cs="宋体" w:eastAsia="宋体" w:hint="default"/>
        </w:rPr>
        <w:t>&gt;</w:t>
      </w:r>
      <w:r>
        <w:rPr/>
        <w:t>部分条款进行修改，</w:t>
      </w:r>
      <w:r>
        <w:rPr>
          <w:spacing w:val="-27"/>
        </w:rPr>
        <w:t> </w:t>
      </w:r>
      <w:r>
        <w:rPr>
          <w:spacing w:val="-27"/>
        </w:rPr>
      </w:r>
      <w:r>
        <w:rPr>
          <w:spacing w:val="-1"/>
        </w:rPr>
        <w:t>以及第八届董事会第十三次会议审议通过了《关于回购注销部分限制性股票的议案》，同意对尚未解锁的</w:t>
      </w:r>
      <w:r>
        <w:rPr>
          <w:spacing w:val="-83"/>
        </w:rPr>
        <w:t> </w:t>
      </w:r>
      <w:r>
        <w:rPr>
          <w:spacing w:val="-83"/>
        </w:rPr>
      </w:r>
      <w:r>
        <w:rPr>
          <w:rFonts w:ascii="宋体" w:hAnsi="宋体" w:cs="宋体" w:eastAsia="宋体" w:hint="default"/>
          <w:spacing w:val="-1"/>
        </w:rPr>
        <w:t>647,976</w:t>
      </w:r>
      <w:r>
        <w:rPr>
          <w:spacing w:val="-1"/>
        </w:rPr>
        <w:t>股实施回购注销。本次回购注销完成后，公司依法履行减资程序。</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17</w:t>
      </w:r>
      <w:r>
        <w:rPr>
          <w:spacing w:val="-1"/>
        </w:rPr>
        <w:t>日债券受托管理人</w:t>
      </w:r>
      <w:r>
        <w:rPr>
          <w:spacing w:val="-80"/>
        </w:rPr>
        <w:t> </w:t>
      </w:r>
      <w:r>
        <w:rPr>
          <w:spacing w:val="-80"/>
        </w:rPr>
      </w:r>
      <w:r>
        <w:rPr>
          <w:spacing w:val="-1"/>
        </w:rPr>
        <w:t>西南证券于北京市海淀区学院路</w:t>
      </w:r>
      <w:r>
        <w:rPr>
          <w:rFonts w:ascii="宋体" w:hAnsi="宋体" w:cs="宋体" w:eastAsia="宋体" w:hint="default"/>
          <w:spacing w:val="-1"/>
        </w:rPr>
        <w:t>40</w:t>
      </w:r>
      <w:r>
        <w:rPr>
          <w:spacing w:val="-1"/>
        </w:rPr>
        <w:t>号大唐电信集团主楼</w:t>
      </w:r>
      <w:r>
        <w:rPr>
          <w:rFonts w:ascii="宋体" w:hAnsi="宋体" w:cs="宋体" w:eastAsia="宋体" w:hint="default"/>
          <w:spacing w:val="-1"/>
        </w:rPr>
        <w:t>11</w:t>
      </w:r>
      <w:r>
        <w:rPr>
          <w:spacing w:val="-1"/>
        </w:rPr>
        <w:t>层召集召开“</w:t>
      </w:r>
      <w:r>
        <w:rPr>
          <w:rFonts w:ascii="宋体" w:hAnsi="宋体" w:cs="宋体" w:eastAsia="宋体" w:hint="default"/>
          <w:spacing w:val="-1"/>
        </w:rPr>
        <w:t>16</w:t>
      </w:r>
      <w:r>
        <w:rPr>
          <w:spacing w:val="-1"/>
        </w:rPr>
        <w:t>高鸿债”</w:t>
      </w:r>
      <w:r>
        <w:rPr>
          <w:rFonts w:ascii="宋体" w:hAnsi="宋体" w:cs="宋体" w:eastAsia="宋体" w:hint="default"/>
          <w:spacing w:val="-1"/>
        </w:rPr>
        <w:t>2017</w:t>
      </w:r>
      <w:r>
        <w:rPr>
          <w:spacing w:val="-1"/>
        </w:rPr>
        <w:t>年第一次债券持有</w:t>
      </w:r>
      <w:r>
        <w:rPr>
          <w:spacing w:val="-80"/>
        </w:rPr>
        <w:t> </w:t>
      </w:r>
      <w:r>
        <w:rPr>
          <w:spacing w:val="-80"/>
        </w:rPr>
      </w:r>
      <w:r>
        <w:rPr/>
        <w:t>人大会，审议《关于修订</w:t>
      </w:r>
      <w:r>
        <w:rPr>
          <w:rFonts w:ascii="宋体" w:hAnsi="宋体" w:cs="宋体" w:eastAsia="宋体" w:hint="default"/>
        </w:rPr>
        <w:t>&lt;</w:t>
      </w:r>
      <w:r>
        <w:rPr/>
        <w:t>大唐高鸿数据网络技术股份有限公司</w:t>
      </w:r>
      <w:r>
        <w:rPr>
          <w:rFonts w:ascii="宋体" w:hAnsi="宋体" w:cs="宋体" w:eastAsia="宋体" w:hint="default"/>
        </w:rPr>
        <w:t>2016</w:t>
      </w:r>
      <w:r>
        <w:rPr>
          <w:rFonts w:ascii="宋体" w:hAnsi="宋体" w:cs="宋体" w:eastAsia="宋体" w:hint="default"/>
          <w:spacing w:val="-24"/>
        </w:rPr>
        <w:t> </w:t>
      </w:r>
      <w:r>
        <w:rPr/>
        <w:t>年面向合格投资者公开发行公司债券 募集说明书</w:t>
      </w:r>
      <w:r>
        <w:rPr>
          <w:rFonts w:ascii="宋体" w:hAnsi="宋体" w:cs="宋体" w:eastAsia="宋体" w:hint="default"/>
        </w:rPr>
        <w:t>&gt;</w:t>
      </w:r>
      <w:r>
        <w:rPr/>
        <w:t>部分条款的议案》及《关于不要求公司提前清偿债务及提供额外担保的议案》，其中《关于</w:t>
      </w:r>
      <w:r>
        <w:rPr>
          <w:spacing w:val="-34"/>
        </w:rPr>
        <w:t> </w:t>
      </w:r>
      <w:r>
        <w:rPr>
          <w:spacing w:val="-34"/>
        </w:rPr>
      </w:r>
      <w:r>
        <w:rPr/>
        <w:t>不要求公司提前清偿债务及提供额外担保的议案》未审议通过。</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bookmarkStart w:name="七、报告期内债券受托管理人履行职责的情况" w:id="166"/>
      <w:bookmarkEnd w:id="166"/>
      <w:r>
        <w:rPr>
          <w:b w:val="0"/>
          <w:bCs w:val="0"/>
        </w:rPr>
      </w:r>
      <w:r>
        <w:rPr/>
        <w:t>七、报告期内债券受托管理人履行职责的情况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124" w:firstLine="566"/>
        <w:jc w:val="left"/>
      </w:pPr>
      <w:r>
        <w:rPr>
          <w:spacing w:val="-1"/>
        </w:rPr>
        <w:t>公司</w:t>
      </w:r>
      <w:r>
        <w:rPr>
          <w:rFonts w:ascii="Times New Roman" w:hAnsi="Times New Roman" w:cs="Times New Roman" w:eastAsia="Times New Roman" w:hint="default"/>
          <w:spacing w:val="-1"/>
        </w:rPr>
        <w:t>“16</w:t>
      </w:r>
      <w:r>
        <w:rPr>
          <w:spacing w:val="-1"/>
        </w:rPr>
        <w:t>高鸿债</w:t>
      </w:r>
      <w:r>
        <w:rPr>
          <w:rFonts w:ascii="Times New Roman" w:hAnsi="Times New Roman" w:cs="Times New Roman" w:eastAsia="Times New Roman" w:hint="default"/>
          <w:spacing w:val="-1"/>
        </w:rPr>
        <w:t>”</w:t>
      </w:r>
      <w:r>
        <w:rPr>
          <w:spacing w:val="-1"/>
        </w:rPr>
        <w:t>债券受托管理人为西南证券股份有限公司，西南证券股份有限公司于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13</w:t>
      </w:r>
      <w:r>
        <w:rPr>
          <w:spacing w:val="-1"/>
        </w:rPr>
        <w:t>日</w:t>
      </w:r>
      <w:r>
        <w:rPr/>
        <w:t> 出具了《</w:t>
      </w:r>
      <w:r>
        <w:rPr>
          <w:rFonts w:ascii="Times New Roman" w:hAnsi="Times New Roman" w:cs="Times New Roman" w:eastAsia="Times New Roman" w:hint="default"/>
        </w:rPr>
        <w:t>2016</w:t>
      </w:r>
      <w:r>
        <w:rPr/>
        <w:t>年公司债券受托管理事务报告（</w:t>
      </w:r>
      <w:r>
        <w:rPr>
          <w:rFonts w:ascii="Times New Roman" w:hAnsi="Times New Roman" w:cs="Times New Roman" w:eastAsia="Times New Roman" w:hint="default"/>
        </w:rPr>
        <w:t>2017</w:t>
      </w:r>
      <w:r>
        <w:rPr/>
        <w:t>年度）》。</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八、截至报告期末公司近2年的主要会计数据和财务指标" w:id="167"/>
      <w:bookmarkEnd w:id="167"/>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30,837.72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44,568.26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-2.19</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-177.66%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40" w:lineRule="auto" w:before="35"/>
        <w:ind w:left="720" w:right="0"/>
        <w:jc w:val="left"/>
      </w:pPr>
      <w:r>
        <w:rPr>
          <w:rFonts w:ascii="宋体" w:hAnsi="宋体" w:cs="宋体" w:eastAsia="宋体" w:hint="default"/>
        </w:rPr>
        <w:t>1</w:t>
      </w:r>
      <w:r>
        <w:rPr/>
        <w:t>、息税折旧摊销前利润变动原因：本年净利润较上年度降低</w:t>
      </w:r>
      <w:r>
        <w:rPr>
          <w:rFonts w:ascii="宋体" w:hAnsi="宋体" w:cs="宋体" w:eastAsia="宋体" w:hint="default"/>
        </w:rPr>
        <w:t>68.78%</w:t>
      </w:r>
      <w:r>
        <w:rPr/>
        <w:t>。</w:t>
      </w:r>
    </w:p>
    <w:p>
      <w:pPr>
        <w:pStyle w:val="BodyText"/>
        <w:spacing w:line="240" w:lineRule="auto" w:before="37"/>
        <w:ind w:left="720" w:right="0"/>
        <w:jc w:val="left"/>
      </w:pPr>
      <w:r>
        <w:rPr>
          <w:rFonts w:ascii="宋体" w:hAnsi="宋体" w:cs="宋体" w:eastAsia="宋体" w:hint="default"/>
        </w:rPr>
        <w:t>2</w:t>
      </w:r>
      <w:r>
        <w:rPr/>
        <w:t>、利息保障倍数变动原因：本年利润总额较上年度降低</w:t>
      </w:r>
      <w:r>
        <w:rPr>
          <w:rFonts w:ascii="宋体" w:hAnsi="宋体" w:cs="宋体" w:eastAsia="宋体" w:hint="default"/>
        </w:rPr>
        <w:t>61.29%</w:t>
      </w:r>
      <w:r>
        <w:rPr/>
        <w:t>。</w:t>
      </w:r>
    </w:p>
    <w:p>
      <w:pPr>
        <w:pStyle w:val="BodyText"/>
        <w:spacing w:line="240" w:lineRule="auto" w:before="37"/>
        <w:ind w:left="720" w:right="0"/>
        <w:jc w:val="left"/>
      </w:pPr>
      <w:r>
        <w:rPr>
          <w:rFonts w:ascii="宋体" w:hAnsi="宋体" w:cs="宋体" w:eastAsia="宋体" w:hint="default"/>
        </w:rPr>
        <w:t>3</w:t>
      </w:r>
      <w:r>
        <w:rPr/>
        <w:t>、现金利息保障倍数：本年经营活动产生的现金流量净额为负，较上年底降低</w:t>
      </w:r>
      <w:r>
        <w:rPr>
          <w:rFonts w:ascii="宋体" w:hAnsi="宋体" w:cs="宋体" w:eastAsia="宋体" w:hint="default"/>
        </w:rPr>
        <w:t>376.18%</w:t>
      </w:r>
      <w:r>
        <w:rPr/>
        <w:t>。</w:t>
      </w:r>
    </w:p>
    <w:p>
      <w:pPr>
        <w:pStyle w:val="BodyText"/>
        <w:spacing w:line="240" w:lineRule="auto" w:before="37"/>
        <w:ind w:left="720" w:right="0"/>
        <w:jc w:val="left"/>
      </w:pPr>
      <w:r>
        <w:rPr>
          <w:rFonts w:ascii="宋体" w:hAnsi="宋体" w:cs="宋体" w:eastAsia="宋体" w:hint="default"/>
          <w:spacing w:val="-4"/>
        </w:rPr>
        <w:t>4</w:t>
      </w:r>
      <w:r>
        <w:rPr>
          <w:spacing w:val="-4"/>
        </w:rPr>
        <w:t>、</w:t>
      </w:r>
      <w:r>
        <w:rPr>
          <w:rFonts w:ascii="宋体" w:hAnsi="宋体" w:cs="宋体" w:eastAsia="宋体" w:hint="default"/>
          <w:spacing w:val="-4"/>
        </w:rPr>
        <w:t>EBITDA</w:t>
      </w:r>
      <w:r>
        <w:rPr>
          <w:spacing w:val="-4"/>
        </w:rPr>
        <w:t>利息保障倍数：本年资本化利息支出较上年度增长</w:t>
      </w:r>
      <w:r>
        <w:rPr>
          <w:rFonts w:ascii="宋体" w:hAnsi="宋体" w:cs="宋体" w:eastAsia="宋体" w:hint="default"/>
          <w:spacing w:val="-4"/>
        </w:rPr>
        <w:t>120.11%</w:t>
      </w:r>
      <w:r>
        <w:rPr>
          <w:spacing w:val="-4"/>
        </w:rPr>
        <w:t>，净利润较上年度降低</w:t>
      </w:r>
      <w:r>
        <w:rPr>
          <w:rFonts w:ascii="宋体" w:hAnsi="宋体" w:cs="宋体" w:eastAsia="宋体" w:hint="default"/>
          <w:spacing w:val="-4"/>
        </w:rPr>
        <w:t>68.78%</w:t>
      </w:r>
      <w:r>
        <w:rPr>
          <w:spacing w:val="-4"/>
        </w:rPr>
        <w:t>。</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bookmarkStart w:name="九、报告期内对其他债券和债务融资工具的付息兑付情况" w:id="168"/>
      <w:bookmarkEnd w:id="168"/>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right="0"/>
        <w:jc w:val="both"/>
        <w:rPr>
          <w:b w:val="0"/>
          <w:bCs w:val="0"/>
        </w:rPr>
      </w:pPr>
      <w:bookmarkStart w:name="十、报告期内获得的银行授信情况、使用情况以及偿还银行贷款的情况" w:id="169"/>
      <w:bookmarkEnd w:id="169"/>
      <w:r>
        <w:rPr>
          <w:b w:val="0"/>
          <w:bCs w:val="0"/>
        </w:rPr>
      </w:r>
      <w:r>
        <w:rPr/>
        <w:t>十、报告期内获得的银行授信情况、使用情况以及偿还银行贷款的情况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32" w:firstLine="426"/>
        <w:jc w:val="both"/>
      </w:pPr>
      <w:r>
        <w:rPr>
          <w:spacing w:val="-1"/>
        </w:rPr>
        <w:t>公司在各大银行等金融机构的资信情况良好，与国内主要商业银行一直保持长期合作关系，授信额度</w:t>
      </w:r>
      <w:r>
        <w:rPr/>
        <w:t> 稳定。截至本报告期末，公司累计获得银行等金融机构（含财务公司）授信总额为</w:t>
      </w:r>
      <w:r>
        <w:rPr>
          <w:rFonts w:ascii="宋体" w:hAnsi="宋体" w:cs="宋体" w:eastAsia="宋体" w:hint="default"/>
        </w:rPr>
        <w:t>35.37</w:t>
      </w:r>
      <w:r>
        <w:rPr/>
        <w:t>亿元，其中已用</w:t>
      </w:r>
      <w:r>
        <w:rPr>
          <w:spacing w:val="-27"/>
        </w:rPr>
        <w:t> </w:t>
      </w:r>
      <w:r>
        <w:rPr>
          <w:spacing w:val="-27"/>
        </w:rPr>
      </w:r>
      <w:r>
        <w:rPr>
          <w:spacing w:val="-3"/>
        </w:rPr>
        <w:t>授信额度为</w:t>
      </w:r>
      <w:r>
        <w:rPr>
          <w:rFonts w:ascii="宋体" w:hAnsi="宋体" w:cs="宋体" w:eastAsia="宋体" w:hint="default"/>
          <w:spacing w:val="-3"/>
        </w:rPr>
        <w:t>18.56</w:t>
      </w:r>
      <w:r>
        <w:rPr>
          <w:spacing w:val="-3"/>
        </w:rPr>
        <w:t>亿元，剩余可使用授信额度为</w:t>
      </w:r>
      <w:r>
        <w:rPr>
          <w:rFonts w:ascii="宋体" w:hAnsi="宋体" w:cs="宋体" w:eastAsia="宋体" w:hint="default"/>
          <w:spacing w:val="-3"/>
        </w:rPr>
        <w:t>16.81</w:t>
      </w:r>
      <w:r>
        <w:rPr>
          <w:spacing w:val="-3"/>
        </w:rPr>
        <w:t>亿元，公司累计新增银行贷款等带息负债</w:t>
      </w:r>
      <w:r>
        <w:rPr>
          <w:rFonts w:ascii="宋体" w:hAnsi="宋体" w:cs="宋体" w:eastAsia="宋体" w:hint="default"/>
          <w:spacing w:val="-3"/>
        </w:rPr>
        <w:t>22.23</w:t>
      </w:r>
      <w:r>
        <w:rPr>
          <w:spacing w:val="-3"/>
        </w:rPr>
        <w:t>亿元，</w:t>
      </w:r>
      <w:r>
        <w:rPr>
          <w:spacing w:val="-76"/>
        </w:rPr>
        <w:t> </w:t>
      </w:r>
      <w:r>
        <w:rPr>
          <w:spacing w:val="-76"/>
        </w:rPr>
      </w:r>
      <w:r>
        <w:rPr/>
        <w:t>累计偿还银行贷款等带息负债</w:t>
      </w:r>
      <w:r>
        <w:rPr>
          <w:rFonts w:ascii="宋体" w:hAnsi="宋体" w:cs="宋体" w:eastAsia="宋体" w:hint="default"/>
        </w:rPr>
        <w:t>19.55</w:t>
      </w:r>
      <w:r>
        <w:rPr/>
        <w:t>亿元，公司偿债能力保持稳定。本报告期内公司严格按照银行贷款要</w:t>
      </w:r>
      <w:r>
        <w:rPr>
          <w:spacing w:val="-34"/>
        </w:rPr>
        <w:t> </w:t>
      </w:r>
      <w:r>
        <w:rPr>
          <w:spacing w:val="-34"/>
        </w:rPr>
      </w:r>
      <w:r>
        <w:rPr/>
        <w:t>求合规使用资金，按时偿还银行贷款本息，无展期及减免情况。</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十一、报告期内执行公司债券募集说明书相关约定或承诺的情况" w:id="170"/>
      <w:bookmarkEnd w:id="170"/>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566"/>
        <w:jc w:val="left"/>
      </w:pPr>
      <w:r>
        <w:rPr/>
        <w:t>报告期内，公司均严格履行公司债券募集说明书相关约定及承诺，合规使用募集资金，按时兑付公 司债券本息，未有损害债券投资者利益的情况发生。</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bookmarkStart w:name="十二、报告期内发生的重大事项" w:id="171"/>
      <w:bookmarkEnd w:id="171"/>
      <w:r>
        <w:rPr>
          <w:b w:val="0"/>
          <w:bCs w:val="0"/>
        </w:rPr>
      </w:r>
      <w:r>
        <w:rPr/>
        <w:t>十二、报告期内发生的重大事项</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580" w:right="0" w:hanging="426"/>
        <w:jc w:val="left"/>
        <w:rPr>
          <w:rFonts w:ascii="宋体" w:hAnsi="宋体" w:cs="宋体" w:eastAsia="宋体" w:hint="default"/>
        </w:rPr>
      </w:pPr>
      <w:r>
        <w:rPr/>
        <w:t>（一）第一期限制性股票回购注销 </w:t>
      </w:r>
      <w:r>
        <w:rPr>
          <w:rFonts w:ascii="宋体" w:hAnsi="宋体" w:cs="宋体" w:eastAsia="宋体" w:hint="default"/>
          <w:spacing w:val="-6"/>
        </w:rPr>
        <w:t>2016</w:t>
      </w:r>
      <w:r>
        <w:rPr>
          <w:spacing w:val="-6"/>
        </w:rPr>
        <w:t>年度利润总额为</w:t>
      </w:r>
      <w:r>
        <w:rPr>
          <w:rFonts w:ascii="宋体" w:hAnsi="宋体" w:cs="宋体" w:eastAsia="宋体" w:hint="default"/>
          <w:spacing w:val="-6"/>
        </w:rPr>
        <w:t>169,784,455.96</w:t>
      </w:r>
      <w:r>
        <w:rPr>
          <w:spacing w:val="-6"/>
        </w:rPr>
        <w:t>元，较</w:t>
      </w:r>
      <w:r>
        <w:rPr>
          <w:rFonts w:ascii="宋体" w:hAnsi="宋体" w:cs="宋体" w:eastAsia="宋体" w:hint="default"/>
          <w:spacing w:val="-6"/>
        </w:rPr>
        <w:t>2013</w:t>
      </w:r>
      <w:r>
        <w:rPr>
          <w:spacing w:val="-6"/>
        </w:rPr>
        <w:t>年度复合增长率为</w:t>
      </w:r>
      <w:r>
        <w:rPr>
          <w:rFonts w:ascii="宋体" w:hAnsi="宋体" w:cs="宋体" w:eastAsia="宋体" w:hint="default"/>
          <w:spacing w:val="-6"/>
        </w:rPr>
        <w:t>16.81%</w:t>
      </w:r>
      <w:r>
        <w:rPr>
          <w:spacing w:val="-6"/>
        </w:rPr>
        <w:t>；</w:t>
      </w:r>
      <w:r>
        <w:rPr>
          <w:rFonts w:ascii="宋体" w:hAnsi="宋体" w:cs="宋体" w:eastAsia="宋体" w:hint="default"/>
          <w:spacing w:val="-6"/>
        </w:rPr>
        <w:t>2016</w:t>
      </w:r>
      <w:r>
        <w:rPr>
          <w:spacing w:val="-6"/>
        </w:rPr>
        <w:t>年度调整</w:t>
      </w:r>
      <w:r>
        <w:rPr>
          <w:rFonts w:ascii="宋体" w:hAnsi="宋体" w:cs="宋体" w:eastAsia="宋体" w:hint="default"/>
          <w:spacing w:val="-6"/>
        </w:rPr>
        <w:t>EOE</w:t>
      </w:r>
      <w:r>
        <w:rPr>
          <w:spacing w:val="-6"/>
        </w:rPr>
        <w:t>（（</w:t>
      </w:r>
      <w:r>
        <w:rPr>
          <w:rFonts w:ascii="宋体" w:hAnsi="宋体" w:cs="宋体" w:eastAsia="宋体" w:hint="default"/>
          <w:spacing w:val="-6"/>
        </w:rPr>
        <w:t>EBITDA</w:t>
      </w:r>
    </w:p>
    <w:p>
      <w:pPr>
        <w:pStyle w:val="BodyText"/>
        <w:spacing w:line="253" w:lineRule="exact" w:before="0"/>
        <w:ind w:right="0"/>
        <w:jc w:val="both"/>
      </w:pPr>
      <w:r>
        <w:rPr>
          <w:rFonts w:ascii="宋体" w:hAnsi="宋体" w:cs="宋体" w:eastAsia="宋体" w:hint="default"/>
          <w:spacing w:val="3"/>
        </w:rPr>
        <w:t>+</w:t>
      </w:r>
      <w:r>
        <w:rPr>
          <w:spacing w:val="3"/>
        </w:rPr>
        <w:t>研发费用（管理费用列支部分））</w:t>
      </w:r>
      <w:r>
        <w:rPr>
          <w:rFonts w:ascii="宋体" w:hAnsi="宋体" w:cs="宋体" w:eastAsia="宋体" w:hint="default"/>
          <w:spacing w:val="3"/>
        </w:rPr>
        <w:t>/</w:t>
      </w:r>
      <w:r>
        <w:rPr>
          <w:spacing w:val="3"/>
        </w:rPr>
        <w:t>净资产）为</w:t>
      </w:r>
      <w:r>
        <w:rPr>
          <w:rFonts w:ascii="宋体" w:hAnsi="宋体" w:cs="宋体" w:eastAsia="宋体" w:hint="default"/>
          <w:spacing w:val="3"/>
        </w:rPr>
        <w:t>12.49%</w:t>
      </w:r>
      <w:r>
        <w:rPr>
          <w:spacing w:val="3"/>
        </w:rPr>
        <w:t>；</w:t>
      </w:r>
      <w:r>
        <w:rPr>
          <w:rFonts w:ascii="宋体" w:hAnsi="宋体" w:cs="宋体" w:eastAsia="宋体" w:hint="default"/>
          <w:spacing w:val="3"/>
        </w:rPr>
        <w:t>2016</w:t>
      </w:r>
      <w:r>
        <w:rPr>
          <w:spacing w:val="3"/>
        </w:rPr>
        <w:t>年度公司企业信息化及信息服务收入合计</w:t>
      </w:r>
    </w:p>
    <w:p>
      <w:pPr>
        <w:pStyle w:val="BodyText"/>
        <w:spacing w:line="273" w:lineRule="auto" w:before="37"/>
        <w:ind w:right="1131"/>
        <w:jc w:val="both"/>
      </w:pPr>
      <w:r>
        <w:rPr>
          <w:rFonts w:ascii="宋体" w:hAnsi="宋体" w:cs="宋体" w:eastAsia="宋体" w:hint="default"/>
          <w:spacing w:val="-1"/>
        </w:rPr>
        <w:t>2,774,670,987.55</w:t>
      </w:r>
      <w:r>
        <w:rPr>
          <w:spacing w:val="-1"/>
        </w:rPr>
        <w:t>元，较</w:t>
      </w:r>
      <w:r>
        <w:rPr>
          <w:rFonts w:ascii="宋体" w:hAnsi="宋体" w:cs="宋体" w:eastAsia="宋体" w:hint="default"/>
          <w:spacing w:val="-1"/>
        </w:rPr>
        <w:t>2013</w:t>
      </w:r>
      <w:r>
        <w:rPr>
          <w:spacing w:val="-1"/>
        </w:rPr>
        <w:t>年复合增长率为</w:t>
      </w:r>
      <w:r>
        <w:rPr>
          <w:rFonts w:ascii="宋体" w:hAnsi="宋体" w:cs="宋体" w:eastAsia="宋体" w:hint="default"/>
          <w:spacing w:val="-1"/>
        </w:rPr>
        <w:t>33.59%</w:t>
      </w:r>
      <w:r>
        <w:rPr>
          <w:spacing w:val="-1"/>
        </w:rPr>
        <w:t>，公司业绩考核条件未达标，公司拟对已经授予激励</w:t>
      </w:r>
      <w:r>
        <w:rPr>
          <w:spacing w:val="-74"/>
        </w:rPr>
        <w:t> </w:t>
      </w:r>
      <w:r>
        <w:rPr>
          <w:spacing w:val="-74"/>
        </w:rPr>
      </w:r>
      <w:r>
        <w:rPr/>
        <w:t>对象尚未解锁的</w:t>
      </w:r>
      <w:r>
        <w:rPr>
          <w:rFonts w:ascii="宋体" w:hAnsi="宋体" w:cs="宋体" w:eastAsia="宋体" w:hint="default"/>
        </w:rPr>
        <w:t>2,178,000</w:t>
      </w:r>
      <w:r>
        <w:rPr/>
        <w:t>股实施回购注销；根据《激励计划》在激励期内，激励对象主动辞职的，已辞</w:t>
      </w:r>
      <w:r>
        <w:rPr>
          <w:spacing w:val="-35"/>
        </w:rPr>
        <w:t> </w:t>
      </w:r>
      <w:r>
        <w:rPr>
          <w:spacing w:val="-35"/>
        </w:rPr>
      </w:r>
      <w:r>
        <w:rPr>
          <w:spacing w:val="-1"/>
        </w:rPr>
        <w:t>职的激励对象已不符合公司股权激励计划规定的激励条件，其所持尚未解锁的限制性股票应由公司回购注</w:t>
      </w:r>
      <w:r>
        <w:rPr>
          <w:spacing w:val="-81"/>
        </w:rPr>
        <w:t> </w:t>
      </w:r>
      <w:r>
        <w:rPr>
          <w:spacing w:val="-81"/>
        </w:rPr>
      </w:r>
      <w:r>
        <w:rPr/>
        <w:t>销，其中有姜晓伟等</w:t>
      </w:r>
      <w:r>
        <w:rPr>
          <w:rFonts w:ascii="宋体" w:hAnsi="宋体" w:cs="宋体" w:eastAsia="宋体" w:hint="default"/>
        </w:rPr>
        <w:t>14</w:t>
      </w:r>
      <w:r>
        <w:rPr/>
        <w:t>名激励对象因自动辞职，公司拟对其持有尚未解锁的合计</w:t>
      </w:r>
      <w:r>
        <w:rPr>
          <w:rFonts w:ascii="宋体" w:hAnsi="宋体" w:cs="宋体" w:eastAsia="宋体" w:hint="default"/>
        </w:rPr>
        <w:t>328,100</w:t>
      </w:r>
      <w:r>
        <w:rPr/>
        <w:t>股限制性股票应</w:t>
      </w:r>
      <w:r>
        <w:rPr>
          <w:spacing w:val="-29"/>
        </w:rPr>
        <w:t> </w:t>
      </w:r>
      <w:r>
        <w:rPr>
          <w:spacing w:val="-29"/>
        </w:rPr>
      </w:r>
      <w:r>
        <w:rPr>
          <w:spacing w:val="-1"/>
        </w:rPr>
        <w:t>由公司全部回购注销根据《激励计划》根据</w:t>
      </w:r>
      <w:r>
        <w:rPr>
          <w:rFonts w:ascii="宋体" w:hAnsi="宋体" w:cs="宋体" w:eastAsia="宋体" w:hint="default"/>
          <w:spacing w:val="-1"/>
        </w:rPr>
        <w:t>2015</w:t>
      </w:r>
      <w:r>
        <w:rPr>
          <w:spacing w:val="-1"/>
        </w:rPr>
        <w:t>年度考核情况，第一期被授予限制性股票的激励对象张元</w:t>
      </w:r>
      <w:r>
        <w:rPr>
          <w:spacing w:val="-83"/>
        </w:rPr>
        <w:t> </w:t>
      </w:r>
      <w:r>
        <w:rPr>
          <w:spacing w:val="-83"/>
        </w:rPr>
      </w:r>
      <w:r>
        <w:rPr/>
        <w:t>琴等</w:t>
      </w:r>
      <w:r>
        <w:rPr>
          <w:rFonts w:ascii="宋体" w:hAnsi="宋体" w:cs="宋体" w:eastAsia="宋体" w:hint="default"/>
        </w:rPr>
        <w:t>3</w:t>
      </w:r>
      <w:r>
        <w:rPr/>
        <w:t>人解锁了第一期第一批股份的</w:t>
      </w:r>
      <w:r>
        <w:rPr>
          <w:rFonts w:ascii="宋体" w:hAnsi="宋体" w:cs="宋体" w:eastAsia="宋体" w:hint="default"/>
        </w:rPr>
        <w:t>80%</w:t>
      </w:r>
      <w:r>
        <w:rPr/>
        <w:t>，其所持有的第一期第一批股份的</w:t>
      </w:r>
      <w:r>
        <w:rPr>
          <w:rFonts w:ascii="宋体" w:hAnsi="宋体" w:cs="宋体" w:eastAsia="宋体" w:hint="default"/>
        </w:rPr>
        <w:t>20%</w:t>
      </w:r>
      <w:r>
        <w:rPr/>
        <w:t>即</w:t>
      </w:r>
      <w:r>
        <w:rPr>
          <w:rFonts w:ascii="宋体" w:hAnsi="宋体" w:cs="宋体" w:eastAsia="宋体" w:hint="default"/>
        </w:rPr>
        <w:t>11,880</w:t>
      </w:r>
      <w:r>
        <w:rPr/>
        <w:t>股回购注销。公司</w:t>
      </w:r>
      <w:r>
        <w:rPr>
          <w:spacing w:val="-30"/>
        </w:rPr>
        <w:t> </w:t>
      </w:r>
      <w:r>
        <w:rPr>
          <w:spacing w:val="-30"/>
        </w:rPr>
      </w:r>
      <w:r>
        <w:rPr>
          <w:spacing w:val="8"/>
        </w:rPr>
        <w:t>第七届第六十八次董事会审议通过《关于回购注销部分限制性股票的议案》。本次回购注销股份共计</w:t>
      </w:r>
      <w:r>
        <w:rPr>
          <w:spacing w:val="-81"/>
        </w:rPr>
        <w:t> </w:t>
      </w:r>
      <w:r>
        <w:rPr>
          <w:spacing w:val="-81"/>
        </w:rPr>
      </w:r>
      <w:r>
        <w:rPr>
          <w:rFonts w:ascii="宋体" w:hAnsi="宋体" w:cs="宋体" w:eastAsia="宋体" w:hint="default"/>
          <w:spacing w:val="-1"/>
        </w:rPr>
        <w:t>2,517,980</w:t>
      </w:r>
      <w:r>
        <w:rPr>
          <w:spacing w:val="-1"/>
        </w:rPr>
        <w:t>股，回购注销价格为</w:t>
      </w:r>
      <w:r>
        <w:rPr>
          <w:rFonts w:ascii="宋体" w:hAnsi="宋体" w:cs="宋体" w:eastAsia="宋体" w:hint="default"/>
          <w:spacing w:val="-1"/>
        </w:rPr>
        <w:t>5.25</w:t>
      </w:r>
      <w:r>
        <w:rPr>
          <w:spacing w:val="-1"/>
        </w:rPr>
        <w:t>元</w:t>
      </w:r>
      <w:r>
        <w:rPr>
          <w:rFonts w:ascii="宋体" w:hAnsi="宋体" w:cs="宋体" w:eastAsia="宋体" w:hint="default"/>
          <w:spacing w:val="-1"/>
        </w:rPr>
        <w:t>/</w:t>
      </w:r>
      <w:r>
        <w:rPr>
          <w:spacing w:val="-1"/>
        </w:rPr>
        <w:t>股。</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29</w:t>
      </w:r>
      <w:r>
        <w:rPr>
          <w:spacing w:val="-1"/>
        </w:rPr>
        <w:t>日，公司在中国证券登记结算有限责任公司深圳</w:t>
      </w:r>
      <w:r>
        <w:rPr>
          <w:spacing w:val="-78"/>
        </w:rPr>
        <w:t> </w:t>
      </w:r>
      <w:r>
        <w:rPr>
          <w:spacing w:val="-78"/>
        </w:rPr>
      </w:r>
      <w:r>
        <w:rPr>
          <w:spacing w:val="8"/>
        </w:rPr>
        <w:t>分公司完成已回购股票的注销。具体内容详见公司于</w:t>
      </w:r>
      <w:r>
        <w:rPr>
          <w:rFonts w:ascii="宋体" w:hAnsi="宋体" w:cs="宋体" w:eastAsia="宋体" w:hint="default"/>
          <w:spacing w:val="8"/>
        </w:rPr>
        <w:t>2018</w:t>
      </w:r>
      <w:r>
        <w:rPr>
          <w:spacing w:val="8"/>
        </w:rPr>
        <w:t>年</w:t>
      </w:r>
      <w:r>
        <w:rPr>
          <w:rFonts w:ascii="宋体" w:hAnsi="宋体" w:cs="宋体" w:eastAsia="宋体" w:hint="default"/>
          <w:spacing w:val="8"/>
        </w:rPr>
        <w:t>1</w:t>
      </w:r>
      <w:r>
        <w:rPr>
          <w:spacing w:val="8"/>
        </w:rPr>
        <w:t>月</w:t>
      </w:r>
      <w:r>
        <w:rPr>
          <w:rFonts w:ascii="宋体" w:hAnsi="宋体" w:cs="宋体" w:eastAsia="宋体" w:hint="default"/>
          <w:spacing w:val="8"/>
        </w:rPr>
        <w:t>4</w:t>
      </w:r>
      <w:r>
        <w:rPr>
          <w:spacing w:val="8"/>
        </w:rPr>
        <w:t>日刊登在《证券时报》和巨潮资讯网</w:t>
      </w:r>
    </w:p>
    <w:p>
      <w:pPr>
        <w:pStyle w:val="BodyText"/>
        <w:spacing w:line="240" w:lineRule="auto"/>
        <w:ind w:right="0"/>
        <w:jc w:val="both"/>
      </w:pPr>
      <w:r>
        <w:rPr/>
        <w:t>（</w:t>
      </w:r>
      <w:hyperlink r:id="rId13">
        <w:r>
          <w:rPr>
            <w:rFonts w:ascii="宋体" w:hAnsi="宋体" w:cs="宋体" w:eastAsia="宋体" w:hint="default"/>
          </w:rPr>
          <w:t>www.cninfo.com.cn</w:t>
        </w:r>
      </w:hyperlink>
      <w:r>
        <w:rPr/>
        <w:t>）的《关于部分限制性股票回购注销完成的公告》。</w:t>
      </w:r>
    </w:p>
    <w:p>
      <w:pPr>
        <w:pStyle w:val="BodyText"/>
        <w:spacing w:line="307" w:lineRule="auto" w:before="78"/>
        <w:ind w:left="580" w:right="1130" w:hanging="426"/>
        <w:jc w:val="left"/>
      </w:pPr>
      <w:r>
        <w:rPr/>
        <w:t>（二）第一期第三批限制性股票解除限售 </w:t>
      </w:r>
      <w:r>
        <w:rPr>
          <w:spacing w:val="-1"/>
        </w:rPr>
        <w:t>公司第八届第二十次董事会，审议通过了《关于公司第一期限制性股票激励计划第三个解锁期可解除</w:t>
      </w:r>
    </w:p>
    <w:p>
      <w:pPr>
        <w:pStyle w:val="BodyText"/>
        <w:spacing w:line="253" w:lineRule="exact" w:before="0"/>
        <w:ind w:right="0"/>
        <w:jc w:val="both"/>
      </w:pPr>
      <w:r>
        <w:rPr/>
        <w:t>限售的议案》。</w:t>
      </w:r>
      <w:r>
        <w:rPr>
          <w:rFonts w:ascii="宋体" w:hAnsi="宋体" w:cs="宋体" w:eastAsia="宋体" w:hint="default"/>
        </w:rPr>
        <w:t>2017</w:t>
      </w:r>
      <w:r>
        <w:rPr/>
        <w:t>年度利润总额为</w:t>
      </w:r>
      <w:r>
        <w:rPr>
          <w:rFonts w:ascii="宋体" w:hAnsi="宋体" w:cs="宋体" w:eastAsia="宋体" w:hint="default"/>
        </w:rPr>
        <w:t>24,437.61</w:t>
      </w:r>
      <w:r>
        <w:rPr/>
        <w:t>万元，较</w:t>
      </w:r>
      <w:r>
        <w:rPr>
          <w:rFonts w:ascii="宋体" w:hAnsi="宋体" w:cs="宋体" w:eastAsia="宋体" w:hint="default"/>
        </w:rPr>
        <w:t>2013</w:t>
      </w:r>
      <w:r>
        <w:rPr/>
        <w:t>年度复合增长率为</w:t>
      </w:r>
      <w:r>
        <w:rPr>
          <w:rFonts w:ascii="宋体" w:hAnsi="宋体" w:cs="宋体" w:eastAsia="宋体" w:hint="default"/>
        </w:rPr>
        <w:t>23.07%</w:t>
      </w:r>
      <w:r>
        <w:rPr/>
        <w:t>，达到国内对标批</w:t>
      </w:r>
    </w:p>
    <w:p>
      <w:pPr>
        <w:pStyle w:val="BodyText"/>
        <w:spacing w:line="240" w:lineRule="auto" w:before="37"/>
        <w:ind w:right="0"/>
        <w:jc w:val="both"/>
      </w:pPr>
      <w:r>
        <w:rPr>
          <w:spacing w:val="-2"/>
        </w:rPr>
        <w:t>发零售类企业利润总额的</w:t>
      </w:r>
      <w:r>
        <w:rPr>
          <w:rFonts w:ascii="宋体" w:hAnsi="宋体" w:cs="宋体" w:eastAsia="宋体" w:hint="default"/>
          <w:spacing w:val="-2"/>
        </w:rPr>
        <w:t>75</w:t>
      </w:r>
      <w:r>
        <w:rPr>
          <w:spacing w:val="-2"/>
        </w:rPr>
        <w:t>分位值以上，</w:t>
      </w:r>
      <w:r>
        <w:rPr>
          <w:rFonts w:ascii="宋体" w:hAnsi="宋体" w:cs="宋体" w:eastAsia="宋体" w:hint="default"/>
          <w:spacing w:val="-2"/>
        </w:rPr>
        <w:t>2017</w:t>
      </w:r>
      <w:r>
        <w:rPr>
          <w:spacing w:val="-2"/>
        </w:rPr>
        <w:t>年度调整</w:t>
      </w:r>
      <w:r>
        <w:rPr>
          <w:rFonts w:ascii="宋体" w:hAnsi="宋体" w:cs="宋体" w:eastAsia="宋体" w:hint="default"/>
          <w:spacing w:val="-2"/>
        </w:rPr>
        <w:t>EOE</w:t>
      </w:r>
      <w:r>
        <w:rPr>
          <w:spacing w:val="-2"/>
        </w:rPr>
        <w:t>（（</w:t>
      </w:r>
      <w:r>
        <w:rPr>
          <w:rFonts w:ascii="宋体" w:hAnsi="宋体" w:cs="宋体" w:eastAsia="宋体" w:hint="default"/>
          <w:spacing w:val="-2"/>
        </w:rPr>
        <w:t>EBITDA</w:t>
      </w:r>
      <w:r>
        <w:rPr>
          <w:rFonts w:ascii="宋体" w:hAnsi="宋体" w:cs="宋体" w:eastAsia="宋体" w:hint="default"/>
          <w:spacing w:val="-23"/>
        </w:rPr>
        <w:t> </w:t>
      </w:r>
      <w:r>
        <w:rPr>
          <w:rFonts w:ascii="宋体" w:hAnsi="宋体" w:cs="宋体" w:eastAsia="宋体" w:hint="default"/>
          <w:spacing w:val="-2"/>
        </w:rPr>
        <w:t>+</w:t>
      </w:r>
      <w:r>
        <w:rPr>
          <w:spacing w:val="-2"/>
        </w:rPr>
        <w:t>研发费用（管理费用列支部分））</w:t>
      </w:r>
    </w:p>
    <w:p>
      <w:pPr>
        <w:pStyle w:val="BodyText"/>
        <w:spacing w:line="273" w:lineRule="auto" w:before="37"/>
        <w:ind w:right="1128"/>
        <w:jc w:val="both"/>
      </w:pPr>
      <w:r>
        <w:rPr>
          <w:rFonts w:ascii="宋体" w:hAnsi="宋体" w:cs="宋体" w:eastAsia="宋体" w:hint="default"/>
        </w:rPr>
        <w:t>/</w:t>
      </w:r>
      <w:r>
        <w:rPr/>
        <w:t>净资产）为</w:t>
      </w:r>
      <w:r>
        <w:rPr>
          <w:rFonts w:ascii="宋体" w:hAnsi="宋体" w:cs="宋体" w:eastAsia="宋体" w:hint="default"/>
        </w:rPr>
        <w:t>14.96%</w:t>
      </w:r>
      <w:r>
        <w:rPr/>
        <w:t>，达到国内对标信息传输、软件和信息技术服务业的</w:t>
      </w:r>
      <w:r>
        <w:rPr>
          <w:rFonts w:ascii="宋体" w:hAnsi="宋体" w:cs="宋体" w:eastAsia="宋体" w:hint="default"/>
        </w:rPr>
        <w:t>75</w:t>
      </w:r>
      <w:r>
        <w:rPr/>
        <w:t>分位值以上，</w:t>
      </w:r>
      <w:r>
        <w:rPr>
          <w:rFonts w:ascii="宋体" w:hAnsi="宋体" w:cs="宋体" w:eastAsia="宋体" w:hint="default"/>
        </w:rPr>
        <w:t>2017</w:t>
      </w:r>
      <w:r>
        <w:rPr/>
        <w:t>年度公司企</w:t>
      </w:r>
      <w:r>
        <w:rPr>
          <w:spacing w:val="-27"/>
        </w:rPr>
        <w:t> </w:t>
      </w:r>
      <w:r>
        <w:rPr/>
        <w:t>业信息化及信息服务收入合计</w:t>
      </w:r>
      <w:r>
        <w:rPr>
          <w:rFonts w:ascii="宋体" w:hAnsi="宋体" w:cs="宋体" w:eastAsia="宋体" w:hint="default"/>
        </w:rPr>
        <w:t>285,134</w:t>
      </w:r>
      <w:r>
        <w:rPr/>
        <w:t>万元，</w:t>
      </w:r>
      <w:r>
        <w:rPr>
          <w:rFonts w:ascii="宋体" w:hAnsi="宋体" w:cs="宋体" w:eastAsia="宋体" w:hint="default"/>
        </w:rPr>
        <w:t>2013</w:t>
      </w:r>
      <w:r>
        <w:rPr/>
        <w:t>年复合增长率为</w:t>
      </w:r>
      <w:r>
        <w:rPr>
          <w:rFonts w:ascii="宋体" w:hAnsi="宋体" w:cs="宋体" w:eastAsia="宋体" w:hint="default"/>
        </w:rPr>
        <w:t>25.11%</w:t>
      </w:r>
      <w:r>
        <w:rPr/>
        <w:t>，达到国内对标信息传输、软件</w:t>
      </w:r>
      <w:r>
        <w:rPr>
          <w:spacing w:val="-29"/>
        </w:rPr>
        <w:t> </w:t>
      </w:r>
      <w:r>
        <w:rPr>
          <w:spacing w:val="-29"/>
        </w:rPr>
      </w:r>
      <w:r>
        <w:rPr>
          <w:spacing w:val="-1"/>
        </w:rPr>
        <w:t>和信息技术服务业的</w:t>
      </w:r>
      <w:r>
        <w:rPr>
          <w:rFonts w:ascii="宋体" w:hAnsi="宋体" w:cs="宋体" w:eastAsia="宋体" w:hint="default"/>
          <w:spacing w:val="-1"/>
        </w:rPr>
        <w:t>75</w:t>
      </w:r>
      <w:r>
        <w:rPr>
          <w:spacing w:val="-1"/>
        </w:rPr>
        <w:t>分位值以上，</w:t>
      </w:r>
      <w:r>
        <w:rPr>
          <w:rFonts w:ascii="宋体" w:hAnsi="宋体" w:cs="宋体" w:eastAsia="宋体" w:hint="default"/>
          <w:spacing w:val="-1"/>
        </w:rPr>
        <w:t>2014</w:t>
      </w:r>
      <w:r>
        <w:rPr>
          <w:spacing w:val="-1"/>
        </w:rPr>
        <w:t>年归属于股东的净利润为</w:t>
      </w:r>
      <w:r>
        <w:rPr>
          <w:rFonts w:ascii="宋体" w:hAnsi="宋体" w:cs="宋体" w:eastAsia="宋体" w:hint="default"/>
          <w:spacing w:val="-1"/>
        </w:rPr>
        <w:t>5641</w:t>
      </w:r>
      <w:r>
        <w:rPr>
          <w:spacing w:val="-1"/>
        </w:rPr>
        <w:t>万元，</w:t>
      </w:r>
      <w:r>
        <w:rPr>
          <w:rFonts w:ascii="宋体" w:hAnsi="宋体" w:cs="宋体" w:eastAsia="宋体" w:hint="default"/>
          <w:spacing w:val="-1"/>
        </w:rPr>
        <w:t>2015</w:t>
      </w:r>
      <w:r>
        <w:rPr>
          <w:spacing w:val="-1"/>
        </w:rPr>
        <w:t>年度归属于股东的净利</w:t>
      </w:r>
    </w:p>
    <w:p>
      <w:pPr>
        <w:spacing w:after="0" w:line="273" w:lineRule="auto"/>
        <w:jc w:val="both"/>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1130"/>
        <w:jc w:val="both"/>
      </w:pPr>
      <w:r>
        <w:rPr>
          <w:spacing w:val="-1"/>
        </w:rPr>
        <w:t>润为</w:t>
      </w:r>
      <w:r>
        <w:rPr>
          <w:rFonts w:ascii="宋体" w:hAnsi="宋体" w:cs="宋体" w:eastAsia="宋体" w:hint="default"/>
          <w:spacing w:val="-1"/>
        </w:rPr>
        <w:t>8539</w:t>
      </w:r>
      <w:r>
        <w:rPr>
          <w:spacing w:val="-1"/>
        </w:rPr>
        <w:t>万元，授予日前最近三个会计年度的平均水平为</w:t>
      </w:r>
      <w:r>
        <w:rPr>
          <w:rFonts w:ascii="宋体" w:hAnsi="宋体" w:cs="宋体" w:eastAsia="宋体" w:hint="default"/>
          <w:spacing w:val="-1"/>
        </w:rPr>
        <w:t>3355</w:t>
      </w:r>
      <w:r>
        <w:rPr>
          <w:spacing w:val="-1"/>
        </w:rPr>
        <w:t>万元。</w:t>
      </w:r>
      <w:r>
        <w:rPr>
          <w:rFonts w:ascii="宋体" w:hAnsi="宋体" w:cs="宋体" w:eastAsia="宋体" w:hint="default"/>
          <w:spacing w:val="-1"/>
        </w:rPr>
        <w:t>2014</w:t>
      </w:r>
      <w:r>
        <w:rPr>
          <w:spacing w:val="-1"/>
        </w:rPr>
        <w:t>年归属于公司股东的扣除非经常</w:t>
      </w:r>
      <w:r>
        <w:rPr>
          <w:spacing w:val="-79"/>
        </w:rPr>
        <w:t> </w:t>
      </w:r>
      <w:r>
        <w:rPr>
          <w:spacing w:val="-79"/>
        </w:rPr>
      </w:r>
      <w:r>
        <w:rPr>
          <w:spacing w:val="-1"/>
        </w:rPr>
        <w:t>性损益的净利润为</w:t>
      </w:r>
      <w:r>
        <w:rPr>
          <w:rFonts w:ascii="宋体" w:hAnsi="宋体" w:cs="宋体" w:eastAsia="宋体" w:hint="default"/>
          <w:spacing w:val="-1"/>
        </w:rPr>
        <w:t>3871</w:t>
      </w:r>
      <w:r>
        <w:rPr>
          <w:spacing w:val="-1"/>
        </w:rPr>
        <w:t>万元，</w:t>
      </w:r>
      <w:r>
        <w:rPr>
          <w:rFonts w:ascii="宋体" w:hAnsi="宋体" w:cs="宋体" w:eastAsia="宋体" w:hint="default"/>
          <w:spacing w:val="-1"/>
        </w:rPr>
        <w:t>2015</w:t>
      </w:r>
      <w:r>
        <w:rPr>
          <w:spacing w:val="-1"/>
        </w:rPr>
        <w:t>年归属于公司股东的扣除非经常性损益的净利润为</w:t>
      </w:r>
      <w:r>
        <w:rPr>
          <w:rFonts w:ascii="宋体" w:hAnsi="宋体" w:cs="宋体" w:eastAsia="宋体" w:hint="default"/>
          <w:spacing w:val="-1"/>
        </w:rPr>
        <w:t>6525</w:t>
      </w:r>
      <w:r>
        <w:rPr>
          <w:spacing w:val="-1"/>
        </w:rPr>
        <w:t>万元，授予日前</w:t>
      </w:r>
      <w:r>
        <w:rPr>
          <w:spacing w:val="-76"/>
        </w:rPr>
        <w:t> </w:t>
      </w:r>
      <w:r>
        <w:rPr>
          <w:spacing w:val="-76"/>
        </w:rPr>
      </w:r>
      <w:r>
        <w:rPr>
          <w:spacing w:val="-1"/>
        </w:rPr>
        <w:t>最近三个会计年度的平均水平为</w:t>
      </w:r>
      <w:r>
        <w:rPr>
          <w:rFonts w:ascii="宋体" w:hAnsi="宋体" w:cs="宋体" w:eastAsia="宋体" w:hint="default"/>
          <w:spacing w:val="-1"/>
        </w:rPr>
        <w:t>1550</w:t>
      </w:r>
      <w:r>
        <w:rPr>
          <w:spacing w:val="-1"/>
        </w:rPr>
        <w:t>万元。根据公司第一期《股权激励计划方案》设定的第三个解锁期解</w:t>
      </w:r>
      <w:r>
        <w:rPr>
          <w:spacing w:val="-85"/>
        </w:rPr>
        <w:t> </w:t>
      </w:r>
      <w:r>
        <w:rPr>
          <w:spacing w:val="-85"/>
        </w:rPr>
      </w:r>
      <w:r>
        <w:rPr>
          <w:spacing w:val="-1"/>
        </w:rPr>
        <w:t>锁条件已经成就，本次解锁的限制性股票激励对象为</w:t>
      </w:r>
      <w:r>
        <w:rPr>
          <w:rFonts w:ascii="宋体" w:hAnsi="宋体" w:cs="宋体" w:eastAsia="宋体" w:hint="default"/>
          <w:spacing w:val="-1"/>
        </w:rPr>
        <w:t>114</w:t>
      </w:r>
      <w:r>
        <w:rPr>
          <w:spacing w:val="-1"/>
        </w:rPr>
        <w:t>名，解锁的限制性股票数量为</w:t>
      </w:r>
      <w:r>
        <w:rPr>
          <w:rFonts w:ascii="宋体" w:hAnsi="宋体" w:cs="宋体" w:eastAsia="宋体" w:hint="default"/>
          <w:spacing w:val="-1"/>
        </w:rPr>
        <w:t>2,843,624</w:t>
      </w:r>
      <w:r>
        <w:rPr>
          <w:spacing w:val="-1"/>
        </w:rPr>
        <w:t>股，解除</w:t>
      </w:r>
      <w:r>
        <w:rPr>
          <w:spacing w:val="-79"/>
        </w:rPr>
        <w:t> </w:t>
      </w:r>
      <w:r>
        <w:rPr>
          <w:spacing w:val="-79"/>
        </w:rPr>
      </w:r>
      <w:r>
        <w:rPr>
          <w:spacing w:val="-1"/>
        </w:rPr>
        <w:t>限售的股份已于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日在深圳证券交易所上市流通。具体内容详见公司于</w:t>
      </w:r>
      <w:r>
        <w:rPr>
          <w:rFonts w:ascii="宋体" w:hAnsi="宋体" w:cs="宋体" w:eastAsia="宋体" w:hint="default"/>
          <w:spacing w:val="-1"/>
        </w:rPr>
        <w:t>2018</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27</w:t>
      </w:r>
      <w:r>
        <w:rPr>
          <w:spacing w:val="-1"/>
        </w:rPr>
        <w:t>日刊登在</w:t>
      </w:r>
    </w:p>
    <w:p>
      <w:pPr>
        <w:pStyle w:val="BodyText"/>
        <w:spacing w:line="240" w:lineRule="auto"/>
        <w:ind w:right="0"/>
        <w:jc w:val="both"/>
      </w:pPr>
      <w:r>
        <w:rPr/>
        <w:t>《证券时报》和巨潮资讯网（</w:t>
      </w:r>
      <w:hyperlink r:id="rId13">
        <w:r>
          <w:rPr>
            <w:rFonts w:ascii="宋体" w:hAnsi="宋体" w:cs="宋体" w:eastAsia="宋体" w:hint="default"/>
          </w:rPr>
          <w:t>www.cninfo.com.cn</w:t>
        </w:r>
      </w:hyperlink>
      <w:r>
        <w:rPr/>
        <w:t>）的《关于股权激励获得股份解除限售的公告》。</w:t>
      </w:r>
    </w:p>
    <w:p>
      <w:pPr>
        <w:pStyle w:val="BodyText"/>
        <w:spacing w:line="307" w:lineRule="auto" w:before="78"/>
        <w:ind w:left="580" w:right="1130" w:hanging="426"/>
        <w:jc w:val="left"/>
      </w:pPr>
      <w:r>
        <w:rPr/>
        <w:t>（三）对外投资 </w:t>
      </w:r>
      <w:r>
        <w:rPr>
          <w:spacing w:val="-1"/>
        </w:rPr>
        <w:t>公司第八届第十七次董事会，审议通过《关于公司对全资子公司北京大唐高鸿数据网络技术有限公司</w:t>
      </w:r>
    </w:p>
    <w:p>
      <w:pPr>
        <w:pStyle w:val="BodyText"/>
        <w:spacing w:line="253" w:lineRule="exact" w:before="0"/>
        <w:ind w:right="0"/>
        <w:jc w:val="both"/>
      </w:pPr>
      <w:r>
        <w:rPr/>
        <w:t>增资的议案》，拟为全资子公司北京大唐高鸿数据网络技术有限公司增资</w:t>
      </w:r>
      <w:r>
        <w:rPr>
          <w:rFonts w:ascii="宋体" w:hAnsi="宋体" w:cs="宋体" w:eastAsia="宋体" w:hint="default"/>
        </w:rPr>
        <w:t>3.5</w:t>
      </w:r>
      <w:r>
        <w:rPr/>
        <w:t>亿元，本次增资完成高鸿数</w:t>
      </w:r>
    </w:p>
    <w:p>
      <w:pPr>
        <w:pStyle w:val="BodyText"/>
        <w:spacing w:line="240" w:lineRule="auto" w:before="37"/>
        <w:ind w:right="0"/>
        <w:jc w:val="both"/>
      </w:pPr>
      <w:r>
        <w:rPr/>
        <w:t>据注册资本将达到</w:t>
      </w:r>
      <w:r>
        <w:rPr>
          <w:rFonts w:ascii="宋体" w:hAnsi="宋体" w:cs="宋体" w:eastAsia="宋体" w:hint="default"/>
        </w:rPr>
        <w:t>6</w:t>
      </w:r>
      <w:r>
        <w:rPr/>
        <w:t>亿元，公司仍持有其</w:t>
      </w:r>
      <w:r>
        <w:rPr>
          <w:rFonts w:ascii="宋体" w:hAnsi="宋体" w:cs="宋体" w:eastAsia="宋体" w:hint="default"/>
        </w:rPr>
        <w:t>100%</w:t>
      </w:r>
      <w:r>
        <w:rPr/>
        <w:t>股权。</w:t>
      </w:r>
    </w:p>
    <w:p>
      <w:pPr>
        <w:pStyle w:val="BodyText"/>
        <w:spacing w:line="307" w:lineRule="auto" w:before="78"/>
        <w:ind w:left="574" w:right="0" w:hanging="420"/>
        <w:jc w:val="left"/>
      </w:pPr>
      <w:r>
        <w:rPr/>
        <w:t>（四）公司控股股东重组 公司控股股东电信科学技术研究院有限公司于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27</w:t>
      </w:r>
      <w:r>
        <w:rPr/>
        <w:t>日收到国务院国有资产监督管理委员会通</w:t>
      </w:r>
    </w:p>
    <w:p>
      <w:pPr>
        <w:pStyle w:val="BodyText"/>
        <w:spacing w:line="253" w:lineRule="exact" w:before="0"/>
        <w:ind w:right="0"/>
        <w:jc w:val="both"/>
      </w:pPr>
      <w:r>
        <w:rPr/>
        <w:t>知，经国务院批准，同意电信科学技术研究院有限公司与武汉邮电科学研究院有限公司实施联合重组。新</w:t>
      </w:r>
    </w:p>
    <w:p>
      <w:pPr>
        <w:pStyle w:val="BodyText"/>
        <w:spacing w:line="273" w:lineRule="auto" w:before="37"/>
        <w:ind w:right="1131"/>
        <w:jc w:val="both"/>
      </w:pPr>
      <w:r>
        <w:rPr>
          <w:spacing w:val="-1"/>
        </w:rPr>
        <w:t>设公司，由国务院国有资产监督管理委员会代表国务院履行出资人职责，将电信科学技术研究院有限公司</w:t>
      </w:r>
      <w:r>
        <w:rPr>
          <w:spacing w:val="-81"/>
        </w:rPr>
        <w:t> </w:t>
      </w:r>
      <w:r>
        <w:rPr>
          <w:spacing w:val="-81"/>
        </w:rPr>
      </w:r>
      <w:r>
        <w:rPr>
          <w:spacing w:val="-1"/>
        </w:rPr>
        <w:t>和武汉邮电科学研究院有限公司整体无偿划入新公司中国信息通信科技集团有限公司。重组完成后，电信</w:t>
      </w:r>
      <w:r>
        <w:rPr>
          <w:spacing w:val="-81"/>
        </w:rPr>
        <w:t> </w:t>
      </w:r>
      <w:r>
        <w:rPr>
          <w:spacing w:val="-81"/>
        </w:rPr>
      </w:r>
      <w:r>
        <w:rPr>
          <w:spacing w:val="-1"/>
        </w:rPr>
        <w:t>科学技术研究院有限公司持有本公司的股份数量及股权比例未发生变化，最终实际控制人国务院国有资产</w:t>
      </w:r>
      <w:r>
        <w:rPr>
          <w:spacing w:val="-81"/>
        </w:rPr>
        <w:t> </w:t>
      </w:r>
      <w:r>
        <w:rPr>
          <w:spacing w:val="-81"/>
        </w:rPr>
      </w:r>
      <w:r>
        <w:rPr/>
        <w:t>监督管理委员会未发生变化。</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2"/>
        <w:spacing w:line="240" w:lineRule="auto"/>
        <w:ind w:right="0"/>
        <w:jc w:val="both"/>
        <w:rPr>
          <w:b w:val="0"/>
          <w:bCs w:val="0"/>
        </w:rPr>
      </w:pPr>
      <w:bookmarkStart w:name="十三、公司债券是否存在保证人" w:id="172"/>
      <w:bookmarkEnd w:id="172"/>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91" w:right="4569"/>
        <w:jc w:val="center"/>
        <w:rPr>
          <w:b w:val="0"/>
          <w:bCs w:val="0"/>
        </w:rPr>
      </w:pPr>
      <w:bookmarkStart w:name="第十一节 财务报告" w:id="173"/>
      <w:bookmarkEnd w:id="173"/>
      <w:r>
        <w:rPr>
          <w:b w:val="0"/>
          <w:bCs w:val="0"/>
        </w:rPr>
      </w:r>
      <w:bookmarkStart w:name="_bookmark10" w:id="174"/>
      <w:bookmarkEnd w:id="17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254" w:right="317"/>
        <w:jc w:val="left"/>
        <w:rPr>
          <w:b w:val="0"/>
          <w:bCs w:val="0"/>
        </w:rPr>
      </w:pPr>
      <w:bookmarkStart w:name="一、审计报告" w:id="175"/>
      <w:bookmarkEnd w:id="17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2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ZG11256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陈勇波  王晓燕</w:t>
            </w:r>
          </w:p>
        </w:tc>
      </w:tr>
    </w:tbl>
    <w:p>
      <w:pPr>
        <w:spacing w:before="51"/>
        <w:ind w:left="3691" w:right="456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pStyle w:val="Heading4"/>
        <w:spacing w:line="240" w:lineRule="auto" w:before="89"/>
        <w:ind w:left="3691" w:right="4567"/>
        <w:jc w:val="center"/>
        <w:rPr>
          <w:b w:val="0"/>
          <w:bCs w:val="0"/>
        </w:rPr>
      </w:pPr>
      <w:r>
        <w:rPr/>
        <w:t>审计报告</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35"/>
        <w:ind w:left="7128" w:right="317"/>
        <w:jc w:val="left"/>
      </w:pPr>
      <w:r>
        <w:rPr/>
        <w:t>信会师报字</w:t>
      </w:r>
      <w:r>
        <w:rPr>
          <w:rFonts w:ascii="Times New Roman" w:hAnsi="Times New Roman" w:cs="Times New Roman" w:eastAsia="Times New Roman" w:hint="default"/>
        </w:rPr>
        <w:t>[2019]</w:t>
      </w:r>
      <w:r>
        <w:rPr/>
        <w:t>第</w:t>
      </w:r>
      <w:r>
        <w:rPr>
          <w:rFonts w:ascii="宋体" w:hAnsi="宋体" w:cs="宋体" w:eastAsia="宋体" w:hint="default"/>
        </w:rPr>
        <w:t>ZG11256</w:t>
      </w:r>
      <w:r>
        <w:rPr/>
        <w:t>号</w:t>
      </w:r>
    </w:p>
    <w:p>
      <w:pPr>
        <w:spacing w:line="240" w:lineRule="auto" w:before="6"/>
        <w:rPr>
          <w:rFonts w:ascii="宋体" w:hAnsi="宋体" w:cs="宋体" w:eastAsia="宋体" w:hint="default"/>
          <w:sz w:val="25"/>
          <w:szCs w:val="25"/>
        </w:rPr>
      </w:pPr>
    </w:p>
    <w:p>
      <w:pPr>
        <w:pStyle w:val="Heading4"/>
        <w:spacing w:line="273" w:lineRule="auto"/>
        <w:ind w:left="539" w:right="6326" w:hanging="286"/>
        <w:jc w:val="left"/>
        <w:rPr>
          <w:b w:val="0"/>
          <w:bCs w:val="0"/>
        </w:rPr>
      </w:pPr>
      <w:r>
        <w:rPr/>
        <w:t>大唐高鸿数据网络技术股份有限公司全体股东：</w:t>
      </w:r>
      <w:r>
        <w:rPr>
          <w:w w:val="99"/>
        </w:rPr>
        <w:t> </w:t>
      </w:r>
      <w:r>
        <w:rPr>
          <w:rFonts w:ascii="宋体" w:hAnsi="宋体" w:cs="宋体" w:eastAsia="宋体" w:hint="default"/>
        </w:rPr>
        <w:t>1.</w:t>
      </w:r>
      <w:r>
        <w:rPr/>
        <w:t>审计意见</w:t>
      </w:r>
      <w:r>
        <w:rPr>
          <w:b w:val="0"/>
          <w:bCs w:val="0"/>
        </w:rPr>
      </w:r>
    </w:p>
    <w:p>
      <w:pPr>
        <w:pStyle w:val="BodyText"/>
        <w:spacing w:line="273" w:lineRule="auto"/>
        <w:ind w:left="113" w:right="1130" w:firstLine="426"/>
        <w:jc w:val="both"/>
      </w:pPr>
      <w:r>
        <w:rPr>
          <w:spacing w:val="2"/>
        </w:rPr>
        <w:t>我们审计了大唐高鸿数据网络技术股份有限公司（以下简称高鸿股份）财务报表，包括</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rPr>
        <w:t> </w:t>
      </w:r>
      <w:r>
        <w:rPr>
          <w:spacing w:val="-2"/>
        </w:rPr>
        <w:t>日的合并及母公司资产负债表，</w:t>
      </w:r>
      <w:r>
        <w:rPr>
          <w:rFonts w:ascii="宋体" w:hAnsi="宋体" w:cs="宋体" w:eastAsia="宋体" w:hint="default"/>
          <w:spacing w:val="-2"/>
        </w:rPr>
        <w:t>2018</w:t>
      </w:r>
      <w:r>
        <w:rPr>
          <w:spacing w:val="-2"/>
        </w:rPr>
        <w:t>年度的合并及母公司利润表、合并及母公司现金流量表、合并及母公司</w:t>
      </w:r>
      <w:r>
        <w:rPr>
          <w:spacing w:val="-102"/>
        </w:rPr>
        <w:t> </w:t>
      </w:r>
      <w:r>
        <w:rPr>
          <w:spacing w:val="-102"/>
        </w:rPr>
      </w:r>
      <w:r>
        <w:rPr/>
        <w:t>股东权益变动表以及相关财务报表附注。</w:t>
      </w:r>
    </w:p>
    <w:p>
      <w:pPr>
        <w:pStyle w:val="BodyText"/>
        <w:spacing w:line="273" w:lineRule="auto"/>
        <w:ind w:left="113" w:right="1130" w:firstLine="426"/>
        <w:jc w:val="both"/>
      </w:pPr>
      <w:r>
        <w:rPr>
          <w:spacing w:val="2"/>
        </w:rPr>
        <w:t>我们认为，后附的财务报表在所有重大方面按照企业会计准则的规定编制，公允反映了高鸿股份</w:t>
      </w:r>
      <w:r>
        <w:rPr>
          <w:rFonts w:ascii="宋体" w:hAnsi="宋体" w:cs="宋体" w:eastAsia="宋体" w:hint="default"/>
          <w:spacing w:val="2"/>
        </w:rPr>
        <w:t>2018</w:t>
      </w:r>
      <w:r>
        <w:rPr>
          <w:rFonts w:ascii="宋体" w:hAnsi="宋体" w:cs="宋体" w:eastAsia="宋体" w:hint="default"/>
        </w:rPr>
        <w:t> </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2018</w:t>
      </w:r>
      <w:r>
        <w:rPr/>
        <w:t>年度的合并及母公司经营成果和现金流量。</w:t>
      </w:r>
    </w:p>
    <w:p>
      <w:pPr>
        <w:spacing w:line="273" w:lineRule="auto" w:before="7"/>
        <w:ind w:left="539" w:right="317"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形成审计意见的基础</w:t>
      </w:r>
      <w:r>
        <w:rPr>
          <w:rFonts w:ascii="宋体" w:hAnsi="宋体" w:cs="宋体" w:eastAsia="宋体" w:hint="default"/>
          <w:b/>
          <w:bCs/>
          <w:w w:val="99"/>
          <w:sz w:val="21"/>
          <w:szCs w:val="21"/>
        </w:rPr>
        <w:t> </w:t>
      </w:r>
      <w:r>
        <w:rPr>
          <w:rFonts w:ascii="宋体" w:hAnsi="宋体" w:cs="宋体" w:eastAsia="宋体" w:hint="default"/>
          <w:spacing w:val="-3"/>
          <w:sz w:val="21"/>
          <w:szCs w:val="21"/>
        </w:rPr>
        <w:t>我们按照中国注册会计师审计准则的规定执行了审计工作。审计报告的“注册会计师对财务报表审计的</w:t>
      </w:r>
    </w:p>
    <w:p>
      <w:pPr>
        <w:pStyle w:val="BodyText"/>
        <w:spacing w:line="273" w:lineRule="auto"/>
        <w:ind w:left="113" w:right="1132"/>
        <w:jc w:val="both"/>
      </w:pPr>
      <w:r>
        <w:rPr>
          <w:spacing w:val="-2"/>
        </w:rPr>
        <w:t>责任”部分进一步阐述了我们在这些准则下的责任。按照中国注册会计师职业道德守则，我们独立于高鸿股</w:t>
      </w:r>
      <w:r>
        <w:rPr/>
        <w:t> </w:t>
      </w:r>
      <w:r>
        <w:rPr>
          <w:spacing w:val="-3"/>
        </w:rPr>
        <w:t>份，并履行了职业道德方面的其他责任。我们相信，我们获取的审计证据是充分、适当的，为发表审计意见</w:t>
      </w:r>
      <w:r>
        <w:rPr>
          <w:spacing w:val="-61"/>
        </w:rPr>
        <w:t> </w:t>
      </w:r>
      <w:r>
        <w:rPr>
          <w:spacing w:val="-61"/>
        </w:rPr>
      </w:r>
      <w:r>
        <w:rPr/>
        <w:t>提供了基础。</w:t>
      </w:r>
    </w:p>
    <w:p>
      <w:pPr>
        <w:pStyle w:val="BodyText"/>
        <w:spacing w:line="273" w:lineRule="auto"/>
        <w:ind w:left="539" w:right="317"/>
        <w:jc w:val="left"/>
      </w:pPr>
      <w:r>
        <w:rPr>
          <w:rFonts w:ascii="宋体" w:hAnsi="宋体" w:cs="宋体" w:eastAsia="宋体" w:hint="default"/>
          <w:b/>
          <w:bCs/>
        </w:rPr>
        <w:t>3.</w:t>
      </w:r>
      <w:r>
        <w:rPr>
          <w:rFonts w:ascii="宋体" w:hAnsi="宋体" w:cs="宋体" w:eastAsia="宋体" w:hint="default"/>
          <w:b/>
          <w:bCs/>
        </w:rPr>
        <w:t>关键审计事项</w:t>
      </w:r>
      <w:r>
        <w:rPr>
          <w:rFonts w:ascii="宋体" w:hAnsi="宋体" w:cs="宋体" w:eastAsia="宋体" w:hint="default"/>
          <w:b/>
          <w:bCs/>
          <w:w w:val="99"/>
        </w:rPr>
        <w:t> </w:t>
      </w:r>
      <w:r>
        <w:rPr>
          <w:spacing w:val="-3"/>
        </w:rPr>
        <w:t>关键审计事项是我们根据职业判断，认为对本期财务报表审计最为重要的事项。这些事项的应对以对财</w:t>
      </w:r>
    </w:p>
    <w:p>
      <w:pPr>
        <w:pStyle w:val="BodyText"/>
        <w:spacing w:line="273" w:lineRule="auto"/>
        <w:ind w:left="113" w:right="1131"/>
        <w:jc w:val="both"/>
      </w:pPr>
      <w:r>
        <w:rPr>
          <w:spacing w:val="-2"/>
        </w:rPr>
        <w:t>务报表整体进行审计并形成审计意见为背景，我们不对这些事项单独发表意见。我们确定下列事项是需要在</w:t>
      </w:r>
      <w:r>
        <w:rPr>
          <w:spacing w:val="-103"/>
        </w:rPr>
        <w:t> </w:t>
      </w:r>
      <w:r>
        <w:rPr>
          <w:spacing w:val="-103"/>
        </w:rPr>
      </w:r>
      <w:r>
        <w:rPr/>
        <w:t>审计报告中沟通的关键审计事项。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5"/>
        <w:ind w:left="0" w:right="1060"/>
        <w:jc w:val="right"/>
      </w:pPr>
      <w:r>
        <w:rPr/>
        <w:pict>
          <v:shape style="position:absolute;margin-left:55.860001pt;margin-top:-95.866295pt;width:484.05pt;height:162.050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80"/>
                    <w:gridCol w:w="4779"/>
                  </w:tblGrid>
                  <w:tr>
                    <w:trPr>
                      <w:trHeight w:val="347"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该事项在审计中是如何应对的</w:t>
                        </w:r>
                        <w:r>
                          <w:rPr>
                            <w:rFonts w:ascii="宋体" w:hAnsi="宋体" w:cs="宋体" w:eastAsia="宋体" w:hint="default"/>
                            <w:sz w:val="21"/>
                            <w:szCs w:val="21"/>
                          </w:rPr>
                        </w:r>
                      </w:p>
                    </w:tc>
                  </w:tr>
                  <w:tr>
                    <w:trPr>
                      <w:trHeight w:val="348"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（一）商誉减值</w:t>
                        </w:r>
                        <w:r>
                          <w:rPr>
                            <w:rFonts w:ascii="宋体" w:hAnsi="宋体" w:cs="宋体" w:eastAsia="宋体" w:hint="default"/>
                            <w:sz w:val="21"/>
                            <w:szCs w:val="21"/>
                          </w:rPr>
                        </w:r>
                      </w:p>
                    </w:tc>
                  </w:tr>
                  <w:tr>
                    <w:trPr>
                      <w:trHeight w:val="2531"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日，高鸿股份合并财务报表中的商誉余</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额为</w:t>
                        </w:r>
                        <w:r>
                          <w:rPr>
                            <w:rFonts w:ascii="宋体" w:hAnsi="宋体" w:cs="宋体" w:eastAsia="宋体" w:hint="default"/>
                            <w:spacing w:val="-3"/>
                            <w:sz w:val="21"/>
                            <w:szCs w:val="21"/>
                          </w:rPr>
                          <w:t>34,981.40</w:t>
                        </w:r>
                        <w:r>
                          <w:rPr>
                            <w:rFonts w:ascii="宋体" w:hAnsi="宋体" w:cs="宋体" w:eastAsia="宋体" w:hint="default"/>
                            <w:spacing w:val="-3"/>
                            <w:sz w:val="21"/>
                            <w:szCs w:val="21"/>
                          </w:rPr>
                          <w:t>万元，详见附注五、（十四）商誉。管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理层对商誉在资产负债表日进行减值测试。管理层通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过比较被分摊商誉的相关资产组的可收回金额与该资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产组及商誉的账面价值，对商誉进行减值测试。预测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可收回金额涉及对资产组未来现金流量现值的预测，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管理层在预测中需要做出重大判断和假设，特别是未</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来销售收入增长率、销售毛利率、经营费用以及折现</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审计应对：</w:t>
                        </w:r>
                      </w:p>
                      <w:p>
                        <w:pPr>
                          <w:pStyle w:val="TableParagraph"/>
                          <w:spacing w:line="273" w:lineRule="auto" w:before="37"/>
                          <w:ind w:left="2"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）评估并测试资产减值的内部控制设计和执行有</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效性。</w:t>
                        </w:r>
                      </w:p>
                      <w:p>
                        <w:pPr>
                          <w:pStyle w:val="TableParagraph"/>
                          <w:spacing w:line="273" w:lineRule="auto" w:before="7"/>
                          <w:ind w:left="2"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）获取公司商誉减值测试相关资料，判断所依据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的未来销售收入、经营费用以及折现率等是否合理</w:t>
                        </w:r>
                      </w:p>
                      <w:p>
                        <w:pPr>
                          <w:pStyle w:val="TableParagraph"/>
                          <w:spacing w:line="273" w:lineRule="auto" w:before="7"/>
                          <w:ind w:left="2"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）评价外部估值专家银信资产评估有限公司评估</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师的胜任能力、专业素质及客观性。</w:t>
                        </w:r>
                      </w:p>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）与外部专家进行沟通，判断对商誉减值测试所</w:t>
                        </w:r>
                      </w:p>
                    </w:tc>
                  </w:tr>
                </w:tbl>
                <w:p>
                  <w:pPr/>
                </w:p>
              </w:txbxContent>
            </v:textbox>
            <w10:wrap type="none"/>
          </v:shape>
        </w:pict>
      </w:r>
      <w:r>
        <w:rPr/>
        <w:t>。</w:t>
      </w:r>
    </w:p>
    <w:p>
      <w:pPr>
        <w:spacing w:after="0" w:line="240" w:lineRule="auto"/>
        <w:jc w:val="right"/>
        <w:sectPr>
          <w:pgSz w:w="11910" w:h="16840"/>
          <w:pgMar w:header="877" w:footer="979" w:top="1100" w:bottom="1160" w:left="880" w:right="0"/>
        </w:sectPr>
      </w:pPr>
    </w:p>
    <w:p>
      <w:pPr>
        <w:spacing w:line="240" w:lineRule="auto" w:before="6"/>
        <w:rPr>
          <w:rFonts w:ascii="宋体" w:hAnsi="宋体" w:cs="宋体" w:eastAsia="宋体" w:hint="default"/>
          <w:sz w:val="24"/>
          <w:szCs w:val="24"/>
        </w:rPr>
      </w:pPr>
    </w:p>
    <w:tbl>
      <w:tblPr>
        <w:tblW w:w="0" w:type="auto"/>
        <w:jc w:val="left"/>
        <w:tblInd w:w="237" w:type="dxa"/>
        <w:tblLayout w:type="fixed"/>
        <w:tblCellMar>
          <w:top w:w="0" w:type="dxa"/>
          <w:left w:w="0" w:type="dxa"/>
          <w:bottom w:w="0" w:type="dxa"/>
          <w:right w:w="0" w:type="dxa"/>
        </w:tblCellMar>
        <w:tblLook w:val="01E0"/>
      </w:tblPr>
      <w:tblGrid>
        <w:gridCol w:w="4880"/>
        <w:gridCol w:w="4779"/>
      </w:tblGrid>
      <w:tr>
        <w:trPr>
          <w:trHeight w:val="1283"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z w:val="21"/>
                <w:szCs w:val="21"/>
              </w:rPr>
              <w:t>率等。由于商誉减值测试过程较为复杂，同时涉及重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大判断，因此我们将其作为关键审计事项。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4"/>
                <w:sz w:val="21"/>
                <w:szCs w:val="21"/>
              </w:rPr>
              <w:t>依据的评估和预测采用的相关假设是否合理，评估方</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法是否恰当。</w:t>
            </w:r>
          </w:p>
          <w:p>
            <w:pPr>
              <w:pStyle w:val="TableParagraph"/>
              <w:spacing w:line="273" w:lineRule="auto" w:before="7"/>
              <w:ind w:left="2" w:right="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）评价商誉减值的相关测试和披露是否符合相关</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会计准则的规定。</w:t>
            </w:r>
          </w:p>
        </w:tc>
      </w:tr>
      <w:tr>
        <w:trPr>
          <w:trHeight w:val="347" w:hRule="exact"/>
        </w:trPr>
        <w:tc>
          <w:tcPr>
            <w:tcW w:w="96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b/>
                <w:bCs/>
                <w:sz w:val="21"/>
                <w:szCs w:val="21"/>
              </w:rPr>
              <w:t>（二）应收款项的可收回性</w:t>
            </w:r>
            <w:r>
              <w:rPr>
                <w:rFonts w:ascii="宋体" w:hAnsi="宋体" w:cs="宋体" w:eastAsia="宋体" w:hint="default"/>
                <w:sz w:val="21"/>
                <w:szCs w:val="21"/>
              </w:rPr>
            </w:r>
          </w:p>
        </w:tc>
      </w:tr>
      <w:tr>
        <w:trPr>
          <w:trHeight w:val="3780" w:hRule="exact"/>
        </w:trPr>
        <w:tc>
          <w:tcPr>
            <w:tcW w:w="48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both"/>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80"/>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12</w:t>
            </w:r>
            <w:r>
              <w:rPr>
                <w:rFonts w:ascii="宋体" w:hAnsi="宋体" w:cs="宋体" w:eastAsia="宋体" w:hint="default"/>
                <w:spacing w:val="-80"/>
                <w:sz w:val="21"/>
                <w:szCs w:val="21"/>
              </w:rPr>
              <w:t> </w:t>
            </w:r>
            <w:r>
              <w:rPr>
                <w:rFonts w:ascii="宋体" w:hAnsi="宋体" w:cs="宋体" w:eastAsia="宋体" w:hint="default"/>
                <w:sz w:val="21"/>
                <w:szCs w:val="21"/>
              </w:rPr>
              <w:t>月</w:t>
            </w:r>
            <w:r>
              <w:rPr>
                <w:rFonts w:ascii="宋体" w:hAnsi="宋体" w:cs="宋体" w:eastAsia="宋体" w:hint="default"/>
                <w:spacing w:val="-82"/>
                <w:sz w:val="21"/>
                <w:szCs w:val="21"/>
              </w:rPr>
              <w:t> </w:t>
            </w:r>
            <w:r>
              <w:rPr>
                <w:rFonts w:ascii="宋体" w:hAnsi="宋体" w:cs="宋体" w:eastAsia="宋体" w:hint="default"/>
                <w:sz w:val="21"/>
                <w:szCs w:val="21"/>
              </w:rPr>
              <w:t>31</w:t>
            </w:r>
            <w:r>
              <w:rPr>
                <w:rFonts w:ascii="宋体" w:hAnsi="宋体" w:cs="宋体" w:eastAsia="宋体" w:hint="default"/>
                <w:spacing w:val="-81"/>
                <w:sz w:val="21"/>
                <w:szCs w:val="21"/>
              </w:rPr>
              <w:t> </w:t>
            </w:r>
            <w:r>
              <w:rPr>
                <w:rFonts w:ascii="宋体" w:hAnsi="宋体" w:cs="宋体" w:eastAsia="宋体" w:hint="default"/>
                <w:spacing w:val="11"/>
                <w:sz w:val="21"/>
                <w:szCs w:val="21"/>
              </w:rPr>
              <w:t>日，</w:t>
            </w:r>
            <w:r>
              <w:rPr>
                <w:rFonts w:ascii="宋体" w:hAnsi="宋体" w:cs="宋体" w:eastAsia="宋体" w:hint="default"/>
                <w:spacing w:val="-81"/>
                <w:sz w:val="21"/>
                <w:szCs w:val="21"/>
              </w:rPr>
              <w:t> </w:t>
            </w:r>
            <w:r>
              <w:rPr>
                <w:rFonts w:ascii="宋体" w:hAnsi="宋体" w:cs="宋体" w:eastAsia="宋体" w:hint="default"/>
                <w:spacing w:val="20"/>
                <w:sz w:val="21"/>
                <w:szCs w:val="21"/>
              </w:rPr>
              <w:t>高鸿股份应收账款账面余额为</w:t>
            </w:r>
          </w:p>
          <w:p>
            <w:pPr>
              <w:pStyle w:val="TableParagraph"/>
              <w:spacing w:line="240" w:lineRule="auto" w:before="37"/>
              <w:ind w:left="2" w:right="0"/>
              <w:jc w:val="both"/>
              <w:rPr>
                <w:rFonts w:ascii="宋体" w:hAnsi="宋体" w:cs="宋体" w:eastAsia="宋体" w:hint="default"/>
                <w:sz w:val="21"/>
                <w:szCs w:val="21"/>
              </w:rPr>
            </w:pPr>
            <w:r>
              <w:rPr>
                <w:rFonts w:ascii="宋体" w:hAnsi="宋体" w:cs="宋体" w:eastAsia="宋体" w:hint="default"/>
                <w:spacing w:val="-2"/>
                <w:sz w:val="21"/>
                <w:szCs w:val="21"/>
              </w:rPr>
              <w:t>1,709,513,180.22</w:t>
            </w:r>
            <w:r>
              <w:rPr>
                <w:rFonts w:ascii="宋体" w:hAnsi="宋体" w:cs="宋体" w:eastAsia="宋体" w:hint="default"/>
                <w:spacing w:val="-2"/>
                <w:sz w:val="21"/>
                <w:szCs w:val="21"/>
              </w:rPr>
              <w:t>元，坏账准备为</w:t>
            </w:r>
            <w:r>
              <w:rPr>
                <w:rFonts w:ascii="宋体" w:hAnsi="宋体" w:cs="宋体" w:eastAsia="宋体" w:hint="default"/>
                <w:spacing w:val="-2"/>
                <w:sz w:val="21"/>
                <w:szCs w:val="21"/>
              </w:rPr>
              <w:t>70,738,259.50</w:t>
            </w:r>
            <w:r>
              <w:rPr>
                <w:rFonts w:ascii="宋体" w:hAnsi="宋体" w:cs="宋体" w:eastAsia="宋体" w:hint="default"/>
                <w:spacing w:val="-2"/>
                <w:sz w:val="21"/>
                <w:szCs w:val="21"/>
              </w:rPr>
              <w:t>元。</w:t>
            </w:r>
            <w:r>
              <w:rPr>
                <w:rFonts w:ascii="宋体" w:hAnsi="宋体" w:cs="宋体" w:eastAsia="宋体" w:hint="default"/>
                <w:sz w:val="21"/>
                <w:szCs w:val="21"/>
              </w:rPr>
            </w:r>
          </w:p>
          <w:p>
            <w:pPr>
              <w:pStyle w:val="TableParagraph"/>
              <w:spacing w:line="273" w:lineRule="auto" w:before="37"/>
              <w:ind w:left="2" w:right="3"/>
              <w:jc w:val="both"/>
              <w:rPr>
                <w:rFonts w:ascii="宋体" w:hAnsi="宋体" w:cs="宋体" w:eastAsia="宋体" w:hint="default"/>
                <w:sz w:val="21"/>
                <w:szCs w:val="21"/>
              </w:rPr>
            </w:pPr>
            <w:r>
              <w:rPr>
                <w:rFonts w:ascii="宋体" w:hAnsi="宋体" w:cs="宋体" w:eastAsia="宋体" w:hint="default"/>
                <w:sz w:val="21"/>
                <w:szCs w:val="21"/>
              </w:rPr>
              <w:t>管理层在对应收账款的可回收性进行评估时，需要综</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合考虑应收账款的账龄、债务人的还款记录等。由于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应收账款余额重大且坏账准备的评估涉及重大复杂的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管理层判断，因此我们将其作为关键审计事项。</w:t>
            </w:r>
          </w:p>
        </w:tc>
        <w:tc>
          <w:tcPr>
            <w:tcW w:w="477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both"/>
              <w:rPr>
                <w:rFonts w:ascii="宋体" w:hAnsi="宋体" w:cs="宋体" w:eastAsia="宋体" w:hint="default"/>
                <w:sz w:val="21"/>
                <w:szCs w:val="21"/>
              </w:rPr>
            </w:pPr>
            <w:r>
              <w:rPr>
                <w:rFonts w:ascii="宋体" w:hAnsi="宋体" w:cs="宋体" w:eastAsia="宋体" w:hint="default"/>
                <w:sz w:val="21"/>
                <w:szCs w:val="21"/>
              </w:rPr>
              <w:t>审计应对：</w:t>
            </w:r>
          </w:p>
          <w:p>
            <w:pPr>
              <w:pStyle w:val="TableParagraph"/>
              <w:spacing w:line="273" w:lineRule="auto" w:before="37"/>
              <w:ind w:left="2" w:right="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）评估并测试应收账款管理的内部控制设计和执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行有效性。</w:t>
            </w:r>
          </w:p>
          <w:p>
            <w:pPr>
              <w:pStyle w:val="TableParagraph"/>
              <w:spacing w:line="273" w:lineRule="auto" w:before="7"/>
              <w:ind w:left="2" w:right="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）分析采用的会计政策的合理性，包括确定应收</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账款组合的依据、金额重大的判断、单独计提坏账准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备的判断等。</w:t>
            </w:r>
          </w:p>
          <w:p>
            <w:pPr>
              <w:pStyle w:val="TableParagraph"/>
              <w:spacing w:line="273" w:lineRule="auto" w:before="7"/>
              <w:ind w:left="2" w:right="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）获取坏账准备计提表，检查计提方法是否按照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坏账政策执行；重新计算坏账计提金额是否准确。</w:t>
            </w:r>
          </w:p>
          <w:p>
            <w:pPr>
              <w:pStyle w:val="TableParagraph"/>
              <w:spacing w:line="273" w:lineRule="auto" w:before="7"/>
              <w:ind w:left="2"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）通过分析应收账款的账龄、客户信誉情况和客</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4"/>
                <w:sz w:val="21"/>
                <w:szCs w:val="21"/>
              </w:rPr>
              <w:t>户的历史回款情况，并执行应收账款函证程序及检查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期后回款情况等，评价应收账款坏账准备计提的合理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性。</w:t>
            </w:r>
          </w:p>
        </w:tc>
      </w:tr>
    </w:tbl>
    <w:p>
      <w:pPr>
        <w:pStyle w:val="Heading4"/>
        <w:spacing w:line="260" w:lineRule="exact"/>
        <w:ind w:left="535" w:right="317"/>
        <w:jc w:val="left"/>
        <w:rPr>
          <w:b w:val="0"/>
          <w:bCs w:val="0"/>
        </w:rPr>
      </w:pPr>
      <w:r>
        <w:rPr>
          <w:rFonts w:ascii="宋体" w:hAnsi="宋体" w:cs="宋体" w:eastAsia="宋体" w:hint="default"/>
        </w:rPr>
        <w:t>4.</w:t>
      </w:r>
      <w:r>
        <w:rPr/>
        <w:t>其他信息</w:t>
      </w:r>
      <w:r>
        <w:rPr>
          <w:b w:val="0"/>
          <w:bCs w:val="0"/>
        </w:rPr>
      </w:r>
    </w:p>
    <w:p>
      <w:pPr>
        <w:pStyle w:val="BodyText"/>
        <w:spacing w:line="273" w:lineRule="auto" w:before="37"/>
        <w:ind w:left="113" w:right="1130" w:firstLine="426"/>
        <w:jc w:val="both"/>
      </w:pPr>
      <w:r>
        <w:rPr>
          <w:spacing w:val="-3"/>
        </w:rPr>
        <w:t>高鸿股份管理层（以下简称管理层）对其他信息负责。其他信息包括高鸿股份</w:t>
      </w:r>
      <w:r>
        <w:rPr>
          <w:rFonts w:ascii="宋体" w:hAnsi="宋体" w:cs="宋体" w:eastAsia="宋体" w:hint="default"/>
          <w:spacing w:val="-3"/>
        </w:rPr>
        <w:t>2018</w:t>
      </w:r>
      <w:r>
        <w:rPr>
          <w:spacing w:val="-3"/>
        </w:rPr>
        <w:t>年年度报告中涵盖的</w:t>
      </w:r>
      <w:r>
        <w:rPr/>
        <w:t> 信息，但不包括财务报表和我们的审计报告。</w:t>
      </w:r>
    </w:p>
    <w:p>
      <w:pPr>
        <w:pStyle w:val="BodyText"/>
        <w:spacing w:line="273" w:lineRule="auto"/>
        <w:ind w:left="539" w:right="317"/>
        <w:jc w:val="left"/>
      </w:pPr>
      <w:r>
        <w:rPr/>
        <w:t>我们对财务报表发表的审计意见不涵盖其他信息，我们也不对其他信息发表任何形式的鉴证结论。 </w:t>
      </w:r>
      <w:r>
        <w:rPr>
          <w:spacing w:val="-3"/>
        </w:rPr>
        <w:t>结合我们对财务报表的审计，我们的责任是阅读其他信息，在此过程中，考虑其他信息是否与财务报表</w:t>
      </w:r>
    </w:p>
    <w:p>
      <w:pPr>
        <w:pStyle w:val="BodyText"/>
        <w:spacing w:line="273" w:lineRule="auto" w:before="8"/>
        <w:ind w:left="539" w:right="317" w:hanging="426"/>
        <w:jc w:val="left"/>
      </w:pPr>
      <w:r>
        <w:rPr/>
        <w:t>或我们在审计过程中了解到的情况存在重大不一致或者似乎存在重大错报。 </w:t>
      </w:r>
      <w:r>
        <w:rPr>
          <w:spacing w:val="-3"/>
        </w:rPr>
        <w:t>基于我们已执行的工作，如果我们确定其他信息存在重大错报，我们应当报告该事实。在这方面，我们</w:t>
      </w:r>
    </w:p>
    <w:p>
      <w:pPr>
        <w:spacing w:line="273" w:lineRule="auto" w:before="7"/>
        <w:ind w:left="535" w:right="7097" w:hanging="423"/>
        <w:jc w:val="left"/>
        <w:rPr>
          <w:rFonts w:ascii="宋体" w:hAnsi="宋体" w:cs="宋体" w:eastAsia="宋体" w:hint="default"/>
          <w:sz w:val="21"/>
          <w:szCs w:val="21"/>
        </w:rPr>
      </w:pPr>
      <w:r>
        <w:rPr>
          <w:rFonts w:ascii="宋体" w:hAnsi="宋体" w:cs="宋体" w:eastAsia="宋体" w:hint="default"/>
          <w:sz w:val="21"/>
          <w:szCs w:val="21"/>
        </w:rPr>
        <w:t>无任何事项需要报告。 </w:t>
      </w:r>
      <w:r>
        <w:rPr>
          <w:rFonts w:ascii="宋体" w:hAnsi="宋体" w:cs="宋体" w:eastAsia="宋体" w:hint="default"/>
          <w:b/>
          <w:bCs/>
          <w:sz w:val="21"/>
          <w:szCs w:val="21"/>
        </w:rPr>
        <w:t>5.</w:t>
      </w:r>
      <w:r>
        <w:rPr>
          <w:rFonts w:ascii="宋体" w:hAnsi="宋体" w:cs="宋体" w:eastAsia="宋体" w:hint="default"/>
          <w:b/>
          <w:bCs/>
          <w:sz w:val="21"/>
          <w:szCs w:val="21"/>
        </w:rPr>
        <w:t>管理层和治理层对财务报表的责任</w:t>
      </w:r>
      <w:r>
        <w:rPr>
          <w:rFonts w:ascii="宋体" w:hAnsi="宋体" w:cs="宋体" w:eastAsia="宋体" w:hint="default"/>
          <w:sz w:val="21"/>
          <w:szCs w:val="21"/>
        </w:rPr>
      </w:r>
    </w:p>
    <w:p>
      <w:pPr>
        <w:pStyle w:val="BodyText"/>
        <w:spacing w:line="273" w:lineRule="auto"/>
        <w:ind w:left="113" w:right="1131" w:firstLine="426"/>
        <w:jc w:val="both"/>
      </w:pPr>
      <w:r>
        <w:rPr>
          <w:spacing w:val="-3"/>
        </w:rPr>
        <w:t>管理层负责按照企业会计准则的规定编制财务报表，使其实现公允反映，并设计、执行和维护必要的内</w:t>
      </w:r>
      <w:r>
        <w:rPr/>
        <w:t> 部控制，以使财务报表不存在由于舞弊或错误导致的重大错报。</w:t>
      </w:r>
    </w:p>
    <w:p>
      <w:pPr>
        <w:pStyle w:val="BodyText"/>
        <w:spacing w:line="273" w:lineRule="auto"/>
        <w:ind w:left="113" w:right="1131" w:firstLine="426"/>
        <w:jc w:val="both"/>
      </w:pPr>
      <w:r>
        <w:rPr>
          <w:spacing w:val="-7"/>
        </w:rPr>
        <w:t>在编制财务报表时，管理层负责评估高鸿股份的持续经营能力，披露与持续经营相关的事项（如适用），</w:t>
      </w:r>
      <w:r>
        <w:rPr/>
        <w:t> 并运用持续经营假设，除非计划进行清算、终止运营或别无其他现实的选择。</w:t>
      </w:r>
    </w:p>
    <w:p>
      <w:pPr>
        <w:spacing w:line="273" w:lineRule="auto" w:before="7"/>
        <w:ind w:left="535" w:right="6478" w:firstLine="3"/>
        <w:jc w:val="left"/>
        <w:rPr>
          <w:rFonts w:ascii="宋体" w:hAnsi="宋体" w:cs="宋体" w:eastAsia="宋体" w:hint="default"/>
          <w:sz w:val="21"/>
          <w:szCs w:val="21"/>
        </w:rPr>
      </w:pPr>
      <w:r>
        <w:rPr>
          <w:rFonts w:ascii="宋体" w:hAnsi="宋体" w:cs="宋体" w:eastAsia="宋体" w:hint="default"/>
          <w:sz w:val="21"/>
          <w:szCs w:val="21"/>
        </w:rPr>
        <w:t>治理层负责监督高鸿股份的财务报告过程。 </w:t>
      </w:r>
      <w:r>
        <w:rPr>
          <w:rFonts w:ascii="宋体" w:hAnsi="宋体" w:cs="宋体" w:eastAsia="宋体" w:hint="default"/>
          <w:b/>
          <w:bCs/>
          <w:sz w:val="21"/>
          <w:szCs w:val="21"/>
        </w:rPr>
        <w:t>6.</w:t>
      </w:r>
      <w:r>
        <w:rPr>
          <w:rFonts w:ascii="宋体" w:hAnsi="宋体" w:cs="宋体" w:eastAsia="宋体" w:hint="default"/>
          <w:b/>
          <w:bCs/>
          <w:sz w:val="21"/>
          <w:szCs w:val="21"/>
        </w:rPr>
        <w:t>注册会计师对财务报表审计的责任</w:t>
      </w:r>
      <w:r>
        <w:rPr>
          <w:rFonts w:ascii="宋体" w:hAnsi="宋体" w:cs="宋体" w:eastAsia="宋体" w:hint="default"/>
          <w:sz w:val="21"/>
          <w:szCs w:val="21"/>
        </w:rPr>
      </w:r>
    </w:p>
    <w:p>
      <w:pPr>
        <w:pStyle w:val="BodyText"/>
        <w:spacing w:line="273" w:lineRule="auto"/>
        <w:ind w:left="113" w:right="1131" w:firstLine="426"/>
        <w:jc w:val="both"/>
      </w:pPr>
      <w:r>
        <w:rPr>
          <w:spacing w:val="-3"/>
        </w:rPr>
        <w:t>我们的目标是对财务报表整体是否不存在由于舞弊或错误导致的重大错报获取合理保证，并出具包含审</w:t>
      </w:r>
      <w:r>
        <w:rPr/>
        <w:t> </w:t>
      </w:r>
      <w:r>
        <w:rPr>
          <w:spacing w:val="-2"/>
        </w:rPr>
        <w:t>计意见的审计报告。合理保证是高水平的保证，但并不能保证按照审计准则执行的审计在某一重大错报存在</w:t>
      </w:r>
      <w:r>
        <w:rPr>
          <w:spacing w:val="-103"/>
        </w:rPr>
        <w:t> </w:t>
      </w:r>
      <w:r>
        <w:rPr>
          <w:spacing w:val="-103"/>
        </w:rPr>
      </w:r>
      <w:r>
        <w:rPr>
          <w:spacing w:val="-2"/>
        </w:rPr>
        <w:t>时总能发现。错报可能由于舞弊或错误导致，如果合理预期错报单独或汇总起来可能影响财务报表使用者依</w:t>
      </w:r>
      <w:r>
        <w:rPr>
          <w:spacing w:val="-103"/>
        </w:rPr>
        <w:t> </w:t>
      </w:r>
      <w:r>
        <w:rPr>
          <w:spacing w:val="-103"/>
        </w:rPr>
      </w:r>
      <w:r>
        <w:rPr/>
        <w:t>据财务报表作出的经济决策，则通常认为错报是重大的。</w:t>
      </w:r>
    </w:p>
    <w:p>
      <w:pPr>
        <w:pStyle w:val="BodyText"/>
        <w:spacing w:line="273" w:lineRule="auto"/>
        <w:ind w:left="113" w:right="1130" w:firstLine="426"/>
        <w:jc w:val="both"/>
      </w:pPr>
      <w:r>
        <w:rPr>
          <w:spacing w:val="-3"/>
        </w:rPr>
        <w:t>在按照审计准则执行审计工作的过程中，我们运用职业判断，并保持职业怀疑。同时，我们也执行以下</w:t>
      </w:r>
      <w:r>
        <w:rPr/>
        <w:t> 工作：</w:t>
      </w:r>
    </w:p>
    <w:p>
      <w:pPr>
        <w:pStyle w:val="BodyText"/>
        <w:spacing w:line="273" w:lineRule="auto"/>
        <w:ind w:left="113" w:right="1132" w:firstLine="426"/>
        <w:jc w:val="both"/>
      </w:pPr>
      <w:r>
        <w:rPr>
          <w:spacing w:val="-5"/>
        </w:rPr>
        <w:t>（</w:t>
      </w:r>
      <w:r>
        <w:rPr>
          <w:rFonts w:ascii="宋体" w:hAnsi="宋体" w:cs="宋体" w:eastAsia="宋体" w:hint="default"/>
          <w:spacing w:val="-5"/>
        </w:rPr>
        <w:t>1</w:t>
      </w:r>
      <w:r>
        <w:rPr>
          <w:spacing w:val="-5"/>
        </w:rPr>
        <w:t>）识别和评估由于舞弊或错误导致的财务报表重大错报风险，设计和实施审计程序以应对这些风险，</w:t>
      </w:r>
      <w:r>
        <w:rPr/>
        <w:t> </w:t>
      </w:r>
      <w:r>
        <w:rPr>
          <w:spacing w:val="-3"/>
        </w:rPr>
        <w:t>并获取充分、适当的审计证据，作为发表审计意见的基础。由于舞弊可能涉及串通、伪造、故意遗漏、虚假</w:t>
      </w:r>
      <w:r>
        <w:rPr>
          <w:spacing w:val="-59"/>
        </w:rPr>
        <w:t> </w:t>
      </w:r>
      <w:r>
        <w:rPr>
          <w:spacing w:val="-59"/>
        </w:rPr>
      </w:r>
      <w:r>
        <w:rPr>
          <w:spacing w:val="-2"/>
        </w:rPr>
        <w:t>陈述或凌驾于内部控制之上，未能发现由于舞弊导致的重大错报的风险高于未能发现由于错误导致的重大错</w:t>
      </w:r>
      <w:r>
        <w:rPr/>
        <w:t> 报的风险。</w:t>
      </w:r>
    </w:p>
    <w:p>
      <w:pPr>
        <w:pStyle w:val="BodyText"/>
        <w:spacing w:line="240" w:lineRule="auto"/>
        <w:ind w:left="539" w:right="317"/>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37"/>
        <w:ind w:left="539" w:right="317"/>
        <w:jc w:val="left"/>
      </w:pPr>
      <w:r>
        <w:rPr/>
        <w:t>（</w:t>
      </w:r>
      <w:r>
        <w:rPr>
          <w:rFonts w:ascii="宋体" w:hAnsi="宋体" w:cs="宋体" w:eastAsia="宋体" w:hint="default"/>
        </w:rPr>
        <w:t>3</w:t>
      </w:r>
      <w:r>
        <w:rPr/>
        <w:t>）评价管理层选用会计政策的恰当性和作出会计估计及相关披露的合理性。</w:t>
      </w:r>
    </w:p>
    <w:p>
      <w:pPr>
        <w:spacing w:after="0" w:line="240" w:lineRule="auto"/>
        <w:jc w:val="left"/>
        <w:sectPr>
          <w:pgSz w:w="11910" w:h="16840"/>
          <w:pgMar w:header="877" w:footer="979" w:top="1100" w:bottom="1160" w:left="880" w:right="0"/>
        </w:sectPr>
      </w:pPr>
    </w:p>
    <w:p>
      <w:pPr>
        <w:spacing w:line="240" w:lineRule="auto" w:before="9"/>
        <w:rPr>
          <w:rFonts w:ascii="宋体" w:hAnsi="宋体" w:cs="宋体" w:eastAsia="宋体" w:hint="default"/>
          <w:sz w:val="20"/>
          <w:szCs w:val="20"/>
        </w:rPr>
      </w:pPr>
    </w:p>
    <w:p>
      <w:pPr>
        <w:pStyle w:val="BodyText"/>
        <w:spacing w:line="273" w:lineRule="auto" w:before="35"/>
        <w:ind w:left="113" w:right="1131" w:firstLine="426"/>
        <w:jc w:val="both"/>
      </w:pPr>
      <w:r>
        <w:rPr/>
        <w:t>（</w:t>
      </w:r>
      <w:r>
        <w:rPr>
          <w:rFonts w:ascii="宋体" w:hAnsi="宋体" w:cs="宋体" w:eastAsia="宋体" w:hint="default"/>
        </w:rPr>
        <w:t>4</w:t>
      </w:r>
      <w:r>
        <w:rPr/>
        <w:t>）对管理层使用持续经营假设的恰当性得出结论。同时，根据获取的审计证据，就可能导致对高鸿 </w:t>
      </w:r>
      <w:r>
        <w:rPr>
          <w:spacing w:val="-2"/>
        </w:rPr>
        <w:t>股份持续经营能力产生重大疑虑的事项或情况是否存在重大不确定性得出结论。如果我们得出结论认为存在</w:t>
      </w:r>
      <w:r>
        <w:rPr/>
        <w:t> </w:t>
      </w:r>
      <w:r>
        <w:rPr>
          <w:spacing w:val="-2"/>
        </w:rPr>
        <w:t>重大不确定性，审计准则要求我们在审计报告中提请报表使用者注意财务报表中的相关披露；如果披露不充</w:t>
      </w:r>
      <w:r>
        <w:rPr>
          <w:spacing w:val="-103"/>
        </w:rPr>
        <w:t> </w:t>
      </w:r>
      <w:r>
        <w:rPr>
          <w:spacing w:val="-103"/>
        </w:rPr>
      </w:r>
      <w:r>
        <w:rPr>
          <w:spacing w:val="-2"/>
        </w:rPr>
        <w:t>分，我们应当发表非无保留意见。我们的结论基于截至审计报告日可获得的信息。然而，未来的事项或情况</w:t>
      </w:r>
      <w:r>
        <w:rPr>
          <w:spacing w:val="-103"/>
        </w:rPr>
        <w:t> </w:t>
      </w:r>
      <w:r>
        <w:rPr>
          <w:spacing w:val="-103"/>
        </w:rPr>
      </w:r>
      <w:r>
        <w:rPr/>
        <w:t>可能导致高鸿股份不能持续经营。</w:t>
      </w:r>
    </w:p>
    <w:p>
      <w:pPr>
        <w:pStyle w:val="BodyText"/>
        <w:spacing w:line="273" w:lineRule="auto"/>
        <w:ind w:left="113" w:right="1122" w:firstLine="426"/>
        <w:jc w:val="left"/>
      </w:pPr>
      <w:r>
        <w:rPr/>
        <w:t>（</w:t>
      </w:r>
      <w:r>
        <w:rPr>
          <w:rFonts w:ascii="宋体" w:hAnsi="宋体" w:cs="宋体" w:eastAsia="宋体" w:hint="default"/>
        </w:rPr>
        <w:t>5</w:t>
      </w:r>
      <w:r>
        <w:rPr/>
        <w:t>）评价财务报表的总体列报、结构和内容（包括披露），并评价财务报表是否公允反映相关交易和 事项。</w:t>
      </w:r>
    </w:p>
    <w:p>
      <w:pPr>
        <w:pStyle w:val="BodyText"/>
        <w:spacing w:line="273" w:lineRule="auto"/>
        <w:ind w:left="113" w:right="1122" w:firstLine="426"/>
        <w:jc w:val="left"/>
      </w:pPr>
      <w:r>
        <w:rPr/>
        <w:t>（</w:t>
      </w:r>
      <w:r>
        <w:rPr>
          <w:rFonts w:ascii="宋体" w:hAnsi="宋体" w:cs="宋体" w:eastAsia="宋体" w:hint="default"/>
        </w:rPr>
        <w:t>6</w:t>
      </w:r>
      <w:r>
        <w:rPr/>
        <w:t>）就高鸿股份中实体或业务活动的财务信息获取充分、适当的审计证据，以对财务报表发表审计意 见。我们负责指导、监督和执行集团审计，并对审计意见承担全部责任。</w:t>
      </w:r>
    </w:p>
    <w:p>
      <w:pPr>
        <w:pStyle w:val="BodyText"/>
        <w:spacing w:line="273" w:lineRule="auto"/>
        <w:ind w:left="113" w:right="317" w:firstLine="426"/>
        <w:jc w:val="left"/>
      </w:pPr>
      <w:r>
        <w:rPr>
          <w:spacing w:val="-3"/>
        </w:rPr>
        <w:t>我们与治理层就计划的审计范围、时间安排和重大审计发现等事项进行沟通，包括沟通我们在审计中识</w:t>
      </w:r>
      <w:r>
        <w:rPr/>
        <w:t> 别出的值得关注的内部控制缺陷。</w:t>
      </w:r>
    </w:p>
    <w:p>
      <w:pPr>
        <w:pStyle w:val="BodyText"/>
        <w:spacing w:line="273" w:lineRule="auto"/>
        <w:ind w:left="113" w:right="317" w:firstLine="426"/>
        <w:jc w:val="left"/>
      </w:pPr>
      <w:r>
        <w:rPr>
          <w:spacing w:val="-3"/>
        </w:rPr>
        <w:t>我们还就已遵守与独立性相关的职业道德要求向治理层提供声明，并与治理层沟通可能被合理认为影响</w:t>
      </w:r>
      <w:r>
        <w:rPr/>
        <w:t> 我们独立性的所有关系和其他事项，以及相关的防范措施（如适用）。</w:t>
      </w:r>
    </w:p>
    <w:p>
      <w:pPr>
        <w:pStyle w:val="BodyText"/>
        <w:spacing w:line="273" w:lineRule="auto"/>
        <w:ind w:left="113" w:right="317" w:firstLine="426"/>
        <w:jc w:val="left"/>
      </w:pPr>
      <w:r>
        <w:rPr>
          <w:spacing w:val="-5"/>
        </w:rPr>
        <w:t>从与治理层沟通过的事项中，我们确定哪些事项对本期财务报表审计最为重要，因而构成关键审计事项。</w:t>
      </w:r>
      <w:r>
        <w:rPr/>
        <w:t> </w:t>
      </w:r>
      <w:r>
        <w:rPr>
          <w:spacing w:val="-3"/>
        </w:rPr>
        <w:t>我们在审计报告中描述这些事项，除非法律法规禁止公开披露这些事项，或在极少数情形下，如果合理预期</w:t>
      </w:r>
      <w:r>
        <w:rPr>
          <w:spacing w:val="-59"/>
        </w:rPr>
        <w:t> </w:t>
      </w:r>
      <w:r>
        <w:rPr>
          <w:spacing w:val="-59"/>
        </w:rPr>
      </w:r>
      <w:r>
        <w:rPr>
          <w:spacing w:val="-2"/>
        </w:rPr>
        <w:t>在审计报告中沟通某事项造成的负面后果超过在公众利益方面产生的益处，我们确定不应在审计报告中沟通</w:t>
      </w:r>
      <w:r>
        <w:rPr/>
        <w:t> 该事项。</w:t>
      </w:r>
    </w:p>
    <w:p>
      <w:pPr>
        <w:spacing w:line="240" w:lineRule="auto" w:before="6"/>
        <w:rPr>
          <w:rFonts w:ascii="宋体" w:hAnsi="宋体" w:cs="宋体" w:eastAsia="宋体" w:hint="default"/>
          <w:sz w:val="24"/>
          <w:szCs w:val="24"/>
        </w:rPr>
      </w:pPr>
    </w:p>
    <w:p>
      <w:pPr>
        <w:pStyle w:val="Heading4"/>
        <w:tabs>
          <w:tab w:pos="5933" w:val="left" w:leader="none"/>
        </w:tabs>
        <w:spacing w:line="240" w:lineRule="auto"/>
        <w:ind w:left="528" w:right="317"/>
        <w:jc w:val="left"/>
        <w:rPr>
          <w:b w:val="0"/>
          <w:bCs w:val="0"/>
        </w:rPr>
      </w:pPr>
      <w:r>
        <w:rPr>
          <w:w w:val="95"/>
        </w:rPr>
        <w:t>立信会计师事务所</w:t>
        <w:tab/>
      </w:r>
      <w:r>
        <w:rPr/>
        <w:t>中国注册会计师：</w:t>
      </w:r>
      <w:r>
        <w:rPr>
          <w:spacing w:val="-3"/>
        </w:rPr>
        <w:t> </w:t>
      </w:r>
      <w:r>
        <w:rPr/>
        <w:t>陈勇波</w:t>
      </w:r>
      <w:r>
        <w:rPr>
          <w:b w:val="0"/>
          <w:bCs w:val="0"/>
        </w:rPr>
      </w:r>
    </w:p>
    <w:p>
      <w:pPr>
        <w:pStyle w:val="Heading4"/>
        <w:spacing w:line="240" w:lineRule="auto" w:before="37"/>
        <w:ind w:left="528" w:right="317"/>
        <w:jc w:val="left"/>
        <w:rPr>
          <w:b w:val="0"/>
          <w:bCs w:val="0"/>
        </w:rPr>
      </w:pPr>
      <w:r>
        <w:rPr/>
        <w:t>（特殊普通合伙）</w:t>
      </w:r>
      <w:r>
        <w:rPr>
          <w:b w:val="0"/>
          <w:bCs w:val="0"/>
        </w:rPr>
      </w:r>
    </w:p>
    <w:p>
      <w:pPr>
        <w:pStyle w:val="Heading4"/>
        <w:spacing w:line="240" w:lineRule="auto" w:before="37"/>
        <w:ind w:left="5933" w:right="317"/>
        <w:jc w:val="left"/>
        <w:rPr>
          <w:b w:val="0"/>
          <w:bCs w:val="0"/>
        </w:rPr>
      </w:pPr>
      <w:r>
        <w:rPr/>
        <w:t>中国注册会计师：</w:t>
      </w:r>
      <w:r>
        <w:rPr>
          <w:spacing w:val="-3"/>
        </w:rPr>
        <w:t> </w:t>
      </w:r>
      <w:r>
        <w:rPr/>
        <w:t>王晓燕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tabs>
          <w:tab w:pos="8470" w:val="left" w:leader="none"/>
        </w:tabs>
        <w:spacing w:line="240" w:lineRule="auto" w:before="138"/>
        <w:ind w:left="528" w:right="317"/>
        <w:jc w:val="left"/>
        <w:rPr>
          <w:b w:val="0"/>
          <w:bCs w:val="0"/>
        </w:rPr>
      </w:pPr>
      <w:r>
        <w:rPr>
          <w:w w:val="95"/>
        </w:rPr>
        <w:t>中国•上海</w:t>
        <w:tab/>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22</w:t>
      </w:r>
      <w:r>
        <w:rPr/>
        <w:t>日</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pStyle w:val="Heading2"/>
        <w:spacing w:line="240" w:lineRule="auto"/>
        <w:ind w:left="254" w:right="317"/>
        <w:jc w:val="left"/>
        <w:rPr>
          <w:b w:val="0"/>
          <w:bCs w:val="0"/>
        </w:rPr>
      </w:pPr>
      <w:bookmarkStart w:name="二、财务报表" w:id="176"/>
      <w:bookmarkEnd w:id="17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254" w:right="31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left="254" w:right="317"/>
        <w:jc w:val="left"/>
        <w:rPr>
          <w:b w:val="0"/>
          <w:bCs w:val="0"/>
        </w:rPr>
      </w:pPr>
      <w:bookmarkStart w:name="1、合并资产负债表" w:id="177"/>
      <w:bookmarkEnd w:id="17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880" w:right="0"/>
        </w:sectPr>
      </w:pPr>
    </w:p>
    <w:p>
      <w:pPr>
        <w:spacing w:before="44"/>
        <w:ind w:left="254" w:right="-20" w:firstLine="0"/>
        <w:jc w:val="left"/>
        <w:rPr>
          <w:rFonts w:ascii="宋体" w:hAnsi="宋体" w:cs="宋体" w:eastAsia="宋体" w:hint="default"/>
          <w:sz w:val="18"/>
          <w:szCs w:val="18"/>
        </w:rPr>
      </w:pPr>
      <w:r>
        <w:rPr>
          <w:rFonts w:ascii="宋体" w:hAnsi="宋体" w:cs="宋体" w:eastAsia="宋体" w:hint="default"/>
          <w:sz w:val="18"/>
          <w:szCs w:val="18"/>
        </w:rPr>
        <w:t>编制单位：大唐高鸿数据网络技术股份有限公司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2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2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880" w:right="0"/>
          <w:cols w:num="3" w:equalWidth="0">
            <w:col w:w="4035" w:space="43"/>
            <w:col w:w="1739" w:space="3103"/>
            <w:col w:w="2110"/>
          </w:cols>
        </w:sectPr>
      </w:pPr>
    </w:p>
    <w:p>
      <w:pPr>
        <w:spacing w:line="240" w:lineRule="auto" w:before="13"/>
        <w:rPr>
          <w:rFonts w:ascii="宋体" w:hAnsi="宋体" w:cs="宋体" w:eastAsia="宋体" w:hint="default"/>
          <w:sz w:val="7"/>
          <w:szCs w:val="7"/>
        </w:rPr>
      </w:pPr>
    </w:p>
    <w:tbl>
      <w:tblPr>
        <w:tblW w:w="0" w:type="auto"/>
        <w:jc w:val="left"/>
        <w:tblInd w:w="2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13" w:right="0"/>
              <w:jc w:val="left"/>
              <w:rPr>
                <w:rFonts w:ascii="Times New Roman" w:hAnsi="Times New Roman" w:cs="Times New Roman" w:eastAsia="Times New Roman" w:hint="default"/>
                <w:sz w:val="18"/>
                <w:szCs w:val="18"/>
              </w:rPr>
            </w:pPr>
            <w:r>
              <w:rPr>
                <w:rFonts w:ascii="Times New Roman"/>
                <w:sz w:val="18"/>
              </w:rPr>
              <w:t>1,709,028,756.25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5" w:right="0"/>
              <w:jc w:val="left"/>
              <w:rPr>
                <w:rFonts w:ascii="Times New Roman" w:hAnsi="Times New Roman" w:cs="Times New Roman" w:eastAsia="Times New Roman" w:hint="default"/>
                <w:sz w:val="18"/>
                <w:szCs w:val="18"/>
              </w:rPr>
            </w:pPr>
            <w:r>
              <w:rPr>
                <w:rFonts w:ascii="Times New Roman"/>
                <w:sz w:val="18"/>
              </w:rPr>
              <w:t>1,985,147,259.33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8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1,783,906,854.35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1,002,484,168.19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145,131,933.63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9,949,443.00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1,638,774,920.72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992,534,725.19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931,922,428.14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1,096,905,734.37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217,587,807.69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330,407,343.62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820,016.36</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1,300,006,179.48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773,569,671.71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420,244,168.30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392,384,976.50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6,362,696,194.21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5,580,899,153.72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60,772,292.67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60,772,292.67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152,280,569.33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91,946,393.51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354,979,201.83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300,017,210.17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109,022,664.53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102,543,604.40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512,481.99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212,656,275.71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400,505,093.82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356,545,670.60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91,497,710.69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73,339,037.87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85,198,505.47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91,764,137.32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31,696,328.57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18,356,690.88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741,134,559.14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929,295,648.24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2,377,413,390.66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2,587,050,943.99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8,740,109,584.87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8,167,950,097.71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1,436,997,650.00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1,421,602,627.04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1,199,382,744.03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1,129,798,014.44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285,914,702.13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399,344,159.13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18,255,767.38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17,749,055.61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111,031,845.59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74,314,171.76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876,068,173.87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968,017,010.74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19,747,750.00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286,135.07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286,135.07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537,327,255.90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4,464,978,138.90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4,010,825,038.72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2,112,751.00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492,840,996.10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44,071,700.00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43,321,700.00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19,365,833.56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24,545,833.56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360,550,284.56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697,708,529.66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4,825,528,423.46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4,708,533,568.38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907,629,867.00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648,307,048.00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1,957,698,156.42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2,192,804,105.42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87,791,010.00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98,454,600.00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37,929.15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2,858.13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29,835,972.64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29,835,972.64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515,061,648.29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481,096,732.66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3,322,472,563.50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3,253,592,116.85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592,108,597.91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205,824,412.48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3,914,581,161.41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3,459,416,529.33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8,740,109,584.87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8,167,950,097.71</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法定代表人：付景林</w:t>
        <w:tab/>
        <w:t>主管会计工作负责人：丁明锋</w:t>
        <w:tab/>
        <w:t>会计机构负责人：张锐</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78"/>
      <w:bookmarkEnd w:id="17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73,557,590.16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431,540,065.85</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18,980,877.38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4,028,286.10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18,980,877.38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4,028,286.10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675,032,904.15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907,873,045.97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820,016.36</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4,526,375.58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3,233,209.49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1,777,679.53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781,754,581.18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1,349,745,453.03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69,294,792.67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69,294,792.67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3,141,263,390.71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2,783,329,421.68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771,787.82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859,005.63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11,045,970.89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7,159,562.52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76,484.74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683,884,788.83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661,606,835.43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3,906,260,730.92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3,522,326,102.67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4,688,015,312.10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4,872,071,555.70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2,223,630.84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2,231,082.97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1,503,991.10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1,598,232.30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566,221.81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561,680.86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1,319,489.58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1,293,556.95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797,493,315.51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778,676,847.08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19,747,750.00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236,135.07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236,135.07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492,881,000.00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1,545,987,648.84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1,184,361,400.16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2,112,751.00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492,840,996.10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41,000,500.00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41,000,500.00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1,187,500.61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5,487,500.53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79,300,751.61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574,328,996.63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1,625,288,400.45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1,758,690,396.79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907,629,867.00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648,307,048.00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2,166,040,450.76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2,425,165,497.72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87,791,010.00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98,454,600.00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29,835,972.64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29,835,972.64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47,011,631.25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108,527,240.55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3,062,726,911.65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3,113,381,158.91</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4,688,015,312.10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4,872,071,555.70</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78"/>
        <w:ind w:right="0"/>
        <w:jc w:val="left"/>
        <w:rPr>
          <w:b w:val="0"/>
          <w:bCs w:val="0"/>
        </w:rPr>
      </w:pPr>
      <w:bookmarkStart w:name="3、合并利润表" w:id="179"/>
      <w:bookmarkEnd w:id="17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9,264,669,159.73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8,975,733,165.21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9,264,669,159.73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8,975,733,165.21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9,229,360,101.59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9,027,704,391.76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8,653,279,383.88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8,482,419,746.59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24,932,647.22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14,033,619.08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177,301,118.64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145,299,781.59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163,086,100.97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151,684,264.23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23,710,226.79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71,983,983.88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112,992,997.92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113,583,861.97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127,037,848.55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118,774,454.76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16,017,756.36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6,743,986.29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74,057,626.17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48,699,134.42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40,631,425.16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58,312,173.06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9,301,608.95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229,478,429.31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1,043,005.66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1,556,482.15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1"/>
              <w:jc w:val="right"/>
              <w:rPr>
                <w:rFonts w:ascii="宋体" w:hAnsi="宋体" w:cs="宋体" w:eastAsia="宋体" w:hint="default"/>
                <w:sz w:val="18"/>
                <w:szCs w:val="18"/>
              </w:rPr>
            </w:pPr>
            <w:r>
              <w:rPr>
                <w:rFonts w:ascii="宋体" w:hAnsi="宋体" w:cs="宋体" w:eastAsia="宋体" w:hint="default"/>
                <w:sz w:val="18"/>
                <w:szCs w:val="18"/>
              </w:rPr>
              <w:t>公允价值变动收益（损失以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-932,574.84</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92,643.01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84,309,517.41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235,912,018.83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13,283,152.79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8,816,318.86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3,001,640.48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352,205.88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94,591,029.72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244,376,131.81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36,350,202.03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57,835,076.11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58,240,827.69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186,541,055.70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58,240,827.69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186,541,055.70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33,964,915.63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179,308,287.39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24,275,912.06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7,232,768.31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58,275,898.71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186,512,355.48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33,999,986.65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179,279,587.17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24,275,912.06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7,232,768.31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0.1998</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法定代表人：付景林</w:t>
        <w:tab/>
        <w:t>主管会计工作负责人：丁明锋</w:t>
        <w:tab/>
        <w:t>会计机构负责人：张锐</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母公司利润表" w:id="180"/>
      <w:bookmarkEnd w:id="18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13,680,297.76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70,699.66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4,526,375.58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186,224.94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28,419.81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29,834.73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38,203,050.85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15,672,689.04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3,000,272.80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54,001,807.23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63,252,263.92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70,318,148.97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71,117,292.67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6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16,457,496.83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8,251,423.03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36,084,779.09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18,096,059.11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4,299,999.92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8,999,999.92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53,306,209.65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99,336,202.68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-1,513,806.71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-2,513,908.08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-61,560,097.64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8,169,557.72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115,434.33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70,945.99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-61,515,609.30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8,169,020.69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-61,515,609.30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8,169,020.69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-61,515,609.30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8,169,020.69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-61,515,609.30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8,169,020.69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-0.0698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-0.0678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0.0091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81"/>
      <w:bookmarkEnd w:id="18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10,063,004,010.27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10,967,335,976.59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11,164,211.97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7,193,452.19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15,664,115,873.43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26,075,696,908.03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25,738,284,095.67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37,050,226,336.81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9,968,256,494.97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10,220,811,981.17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224,385,018.44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213,207,907.33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148,232,534.12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132,756,078.66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15,862,278,258.72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26,315,127,130.60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26,203,152,306.25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36,881,903,097.76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-464,868,210.58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168,323,239.05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2,849,243.33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6,737,369.80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2,827,550.86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107,253.52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52,377,820.60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31,197,789.09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262,428,669.21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390,608,800.00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428,651,212.41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320,483,284.00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130,477,556.22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303,735,876.98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71,295,353.40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51,410,919.77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644,001,920.11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8,242,502.25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845,774,829.73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363,389,299.00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-417,123,617.32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-42,906,015.00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119,493,600.00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32,820,000.00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1,822,923,905.90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1,982,851,635.25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2,684,723,905.90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2,452,345,235.25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1,555,082,627.04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1,488,249,008.21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130,365,190.89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128,126,655.63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1,910,166.69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405,783,032.82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665,720,685.88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2,091,230,850.75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2,282,096,349.72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593,493,055.15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170,248,885.53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34,712.13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-51,735.42</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-288,464,060.62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295,614,374.16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1,973,969,561.29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1,678,355,187.13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1,685,505,500.67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1,973,969,561.29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pStyle w:val="Heading4"/>
        <w:spacing w:line="240" w:lineRule="auto" w:before="35"/>
        <w:ind w:right="0"/>
        <w:jc w:val="left"/>
        <w:rPr>
          <w:b w:val="0"/>
          <w:bCs w:val="0"/>
        </w:rPr>
      </w:pPr>
      <w:bookmarkStart w:name="6、母公司现金流量表" w:id="182"/>
      <w:bookmarkEnd w:id="18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29,800,828.07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7,586,339.42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315,174,154.24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102,779,539.07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344,974,982.31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110,365,878.49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42,378,326.30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769,395.10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1,447,872.33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4,702,282.33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28,504.80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165,750.56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67,449,666.79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33,924,869.23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111,304,370.22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39,562,297.22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233,670,612.09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70,803,581.27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2,849,243.33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268,538,882.56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1,913,300.00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312,413,792.51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70,936,396.69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366,413,792.51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347,237,822.58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1,968,533.41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446,295,353.40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51,410,919.77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290,591,400.00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737,017,253.40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301,879,453.18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-370,603,460.89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45,358,369.40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86,673,600.00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946,673,600.00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235,000,000.00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68,165,394.07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82,617,325.24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402,884,232.82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565,720,685.88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871,049,626.89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883,338,011.12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-221,049,626.89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63,335,588.88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-357,982,475.69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179,497,539.55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431,540,065.85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252,042,526.30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73,557,590.16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431,540,065.85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40" w:right="0"/>
        <w:jc w:val="left"/>
        <w:rPr>
          <w:b w:val="0"/>
          <w:bCs w:val="0"/>
        </w:rPr>
      </w:pPr>
      <w:bookmarkStart w:name="7、合并所有者权益变动表" w:id="183"/>
      <w:bookmarkEnd w:id="18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30"/>
        <w:gridCol w:w="1192"/>
        <w:gridCol w:w="526"/>
        <w:gridCol w:w="524"/>
        <w:gridCol w:w="528"/>
        <w:gridCol w:w="1316"/>
        <w:gridCol w:w="1151"/>
        <w:gridCol w:w="776"/>
        <w:gridCol w:w="667"/>
        <w:gridCol w:w="1091"/>
        <w:gridCol w:w="722"/>
        <w:gridCol w:w="1181"/>
        <w:gridCol w:w="1181"/>
        <w:gridCol w:w="1316"/>
      </w:tblGrid>
      <w:tr>
        <w:trPr>
          <w:trHeight w:val="402"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1217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96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316"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2" w:type="dxa"/>
            <w:vMerge w:val="restart"/>
            <w:tcBorders>
              <w:top w:val="single" w:sz="4" w:space="0" w:color="000000"/>
              <w:left w:val="single" w:sz="4" w:space="0" w:color="000000"/>
              <w:right w:val="single" w:sz="4" w:space="0" w:color="000000"/>
            </w:tcBorders>
            <w:shd w:val="clear" w:color="auto" w:fill="D2D2D2"/>
          </w:tcPr>
          <w:p>
            <w:pPr/>
          </w:p>
        </w:tc>
        <w:tc>
          <w:tcPr>
            <w:tcW w:w="15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2D2D2"/>
          </w:tcPr>
          <w:p>
            <w:pPr/>
          </w:p>
        </w:tc>
        <w:tc>
          <w:tcPr>
            <w:tcW w:w="1151" w:type="dxa"/>
            <w:vMerge w:val="restart"/>
            <w:tcBorders>
              <w:top w:val="single" w:sz="4" w:space="0" w:color="000000"/>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FFFFFF"/>
            </w:tcBorders>
            <w:shd w:val="clear" w:color="auto" w:fill="D2D2D2"/>
          </w:tcPr>
          <w:p>
            <w:pPr/>
          </w:p>
        </w:tc>
        <w:tc>
          <w:tcPr>
            <w:tcW w:w="722" w:type="dxa"/>
            <w:tcBorders>
              <w:top w:val="single" w:sz="4" w:space="0" w:color="000000"/>
              <w:left w:val="single" w:sz="4" w:space="0" w:color="FFFFFF"/>
              <w:bottom w:val="nil" w:sz="6" w:space="0" w:color="auto"/>
              <w:right w:val="single" w:sz="4" w:space="0" w:color="000000"/>
            </w:tcBorders>
            <w:shd w:val="clear" w:color="auto" w:fill="D2D2D2"/>
          </w:tcPr>
          <w:p>
            <w:pPr/>
          </w:p>
        </w:tc>
        <w:tc>
          <w:tcPr>
            <w:tcW w:w="1181" w:type="dxa"/>
            <w:vMerge w:val="restart"/>
            <w:tcBorders>
              <w:top w:val="single" w:sz="4" w:space="0" w:color="000000"/>
              <w:left w:val="single" w:sz="4" w:space="0" w:color="000000"/>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192" w:type="dxa"/>
            <w:vMerge/>
            <w:tcBorders>
              <w:left w:val="single" w:sz="4" w:space="0" w:color="000000"/>
              <w:bottom w:val="single" w:sz="4" w:space="0" w:color="FFFFFF"/>
              <w:right w:val="single" w:sz="4" w:space="0" w:color="000000"/>
            </w:tcBorders>
            <w:shd w:val="clear" w:color="auto" w:fill="D2D2D2"/>
          </w:tcPr>
          <w:p>
            <w:pPr/>
          </w:p>
        </w:tc>
        <w:tc>
          <w:tcPr>
            <w:tcW w:w="1578" w:type="dxa"/>
            <w:gridSpan w:val="3"/>
            <w:vMerge/>
            <w:tcBorders>
              <w:left w:val="single" w:sz="4" w:space="0" w:color="000000"/>
              <w:bottom w:val="single" w:sz="4" w:space="0" w:color="FFFFFF"/>
              <w:right w:val="single" w:sz="4" w:space="0" w:color="000000"/>
            </w:tcBorders>
            <w:shd w:val="clear" w:color="auto" w:fill="D2D2D2"/>
          </w:tcPr>
          <w:p>
            <w:pPr/>
          </w:p>
        </w:tc>
        <w:tc>
          <w:tcPr>
            <w:tcW w:w="1316" w:type="dxa"/>
            <w:vMerge/>
            <w:tcBorders>
              <w:left w:val="single" w:sz="4" w:space="0" w:color="000000"/>
              <w:bottom w:val="single" w:sz="4" w:space="0" w:color="FFFFFF"/>
              <w:right w:val="single" w:sz="4" w:space="0" w:color="000000"/>
            </w:tcBorders>
            <w:shd w:val="clear" w:color="auto" w:fill="D2D2D2"/>
          </w:tcPr>
          <w:p>
            <w:pPr/>
          </w:p>
        </w:tc>
        <w:tc>
          <w:tcPr>
            <w:tcW w:w="1151" w:type="dxa"/>
            <w:vMerge/>
            <w:tcBorders>
              <w:left w:val="single" w:sz="4" w:space="0" w:color="000000"/>
              <w:bottom w:val="single" w:sz="4" w:space="0" w:color="FFFFFF"/>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2" w:right="2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8"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FFFFFF"/>
            </w:tcBorders>
            <w:shd w:val="clear" w:color="auto" w:fill="D2D2D2"/>
          </w:tcPr>
          <w:p>
            <w:pPr/>
          </w:p>
        </w:tc>
        <w:tc>
          <w:tcPr>
            <w:tcW w:w="722"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74"/>
              <w:ind w:left="86" w:right="8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1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2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166" w:right="7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4"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3"/>
              <w:ind w:left="166"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28" w:type="dxa"/>
            <w:tcBorders>
              <w:top w:val="single" w:sz="4" w:space="0" w:color="FFFFFF"/>
              <w:left w:val="single" w:sz="4" w:space="0" w:color="000000"/>
              <w:bottom w:val="nil" w:sz="6" w:space="0" w:color="auto"/>
              <w:right w:val="single" w:sz="4" w:space="0" w:color="000000"/>
            </w:tcBorders>
            <w:shd w:val="clear" w:color="auto" w:fill="D2D2D2"/>
          </w:tcPr>
          <w:p>
            <w:pPr/>
          </w:p>
        </w:tc>
        <w:tc>
          <w:tcPr>
            <w:tcW w:w="131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76"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vMerge/>
            <w:tcBorders>
              <w:left w:val="single" w:sz="4" w:space="0" w:color="FFFFFF"/>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4" w:space="0" w:color="000000"/>
              <w:bottom w:val="nil" w:sz="6" w:space="0" w:color="auto"/>
              <w:right w:val="single" w:sz="4" w:space="0" w:color="000000"/>
            </w:tcBorders>
            <w:shd w:val="clear" w:color="auto" w:fill="D2D2D2"/>
          </w:tcPr>
          <w:p>
            <w:pPr/>
          </w:p>
        </w:tc>
        <w:tc>
          <w:tcPr>
            <w:tcW w:w="1316"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830" w:type="dxa"/>
            <w:vMerge/>
            <w:tcBorders>
              <w:left w:val="single" w:sz="4" w:space="0" w:color="000000"/>
              <w:right w:val="single" w:sz="4" w:space="0" w:color="000000"/>
            </w:tcBorders>
            <w:shd w:val="clear" w:color="auto" w:fill="D2D2D2"/>
          </w:tcPr>
          <w:p>
            <w:pPr/>
          </w:p>
        </w:tc>
        <w:tc>
          <w:tcPr>
            <w:tcW w:w="1192" w:type="dxa"/>
            <w:vMerge/>
            <w:tcBorders>
              <w:left w:val="single" w:sz="4" w:space="0" w:color="000000"/>
              <w:bottom w:val="nil" w:sz="6" w:space="0" w:color="auto"/>
              <w:right w:val="single" w:sz="4" w:space="0" w:color="000000"/>
            </w:tcBorders>
            <w:shd w:val="clear" w:color="auto" w:fill="D2D2D2"/>
          </w:tcPr>
          <w:p>
            <w:pPr/>
          </w:p>
        </w:tc>
        <w:tc>
          <w:tcPr>
            <w:tcW w:w="526"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5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6"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776"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FFFFFF"/>
            </w:tcBorders>
            <w:shd w:val="clear" w:color="auto" w:fill="D2D2D2"/>
          </w:tcPr>
          <w:p>
            <w:pPr/>
          </w:p>
        </w:tc>
        <w:tc>
          <w:tcPr>
            <w:tcW w:w="722" w:type="dxa"/>
            <w:vMerge/>
            <w:tcBorders>
              <w:left w:val="single" w:sz="4" w:space="0" w:color="FFFFFF"/>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830" w:type="dxa"/>
            <w:vMerge/>
            <w:tcBorders>
              <w:left w:val="single" w:sz="4" w:space="0" w:color="000000"/>
              <w:right w:val="single" w:sz="4" w:space="0" w:color="000000"/>
            </w:tcBorders>
            <w:shd w:val="clear" w:color="auto" w:fill="D2D2D2"/>
          </w:tcPr>
          <w:p>
            <w:pPr/>
          </w:p>
        </w:tc>
        <w:tc>
          <w:tcPr>
            <w:tcW w:w="1192" w:type="dxa"/>
            <w:vMerge w:val="restart"/>
            <w:tcBorders>
              <w:top w:val="nil" w:sz="6" w:space="0" w:color="auto"/>
              <w:left w:val="single" w:sz="4" w:space="0" w:color="000000"/>
              <w:right w:val="single" w:sz="4" w:space="0" w:color="000000"/>
            </w:tcBorders>
            <w:shd w:val="clear" w:color="auto" w:fill="D2D2D2"/>
          </w:tcPr>
          <w:p>
            <w:pPr/>
          </w:p>
        </w:tc>
        <w:tc>
          <w:tcPr>
            <w:tcW w:w="526" w:type="dxa"/>
            <w:vMerge/>
            <w:tcBorders>
              <w:left w:val="single" w:sz="4" w:space="0" w:color="000000"/>
              <w:right w:val="single" w:sz="4" w:space="0" w:color="000000"/>
            </w:tcBorders>
            <w:shd w:val="clear" w:color="auto" w:fill="D2D2D2"/>
          </w:tcPr>
          <w:p>
            <w:pPr/>
          </w:p>
        </w:tc>
        <w:tc>
          <w:tcPr>
            <w:tcW w:w="524" w:type="dxa"/>
            <w:vMerge/>
            <w:tcBorders>
              <w:left w:val="single" w:sz="4" w:space="0" w:color="000000"/>
              <w:right w:val="single" w:sz="4" w:space="0" w:color="000000"/>
            </w:tcBorders>
            <w:shd w:val="clear" w:color="auto" w:fill="D2D2D2"/>
          </w:tcPr>
          <w:p>
            <w:pPr/>
          </w:p>
        </w:tc>
        <w:tc>
          <w:tcPr>
            <w:tcW w:w="528" w:type="dxa"/>
            <w:vMerge/>
            <w:tcBorders>
              <w:left w:val="single" w:sz="4" w:space="0" w:color="000000"/>
              <w:bottom w:val="nil" w:sz="6" w:space="0" w:color="auto"/>
              <w:right w:val="single" w:sz="4" w:space="0" w:color="000000"/>
            </w:tcBorders>
            <w:shd w:val="clear" w:color="auto" w:fill="D2D2D2"/>
          </w:tcPr>
          <w:p>
            <w:pPr/>
          </w:p>
        </w:tc>
        <w:tc>
          <w:tcPr>
            <w:tcW w:w="1316" w:type="dxa"/>
            <w:vMerge w:val="restart"/>
            <w:tcBorders>
              <w:top w:val="nil" w:sz="6" w:space="0" w:color="auto"/>
              <w:left w:val="single" w:sz="4" w:space="0" w:color="000000"/>
              <w:right w:val="single" w:sz="4" w:space="0" w:color="000000"/>
            </w:tcBorders>
            <w:shd w:val="clear" w:color="auto" w:fill="D2D2D2"/>
          </w:tcPr>
          <w:p>
            <w:pPr/>
          </w:p>
        </w:tc>
        <w:tc>
          <w:tcPr>
            <w:tcW w:w="1151" w:type="dxa"/>
            <w:vMerge w:val="restart"/>
            <w:tcBorders>
              <w:top w:val="nil" w:sz="6" w:space="0" w:color="auto"/>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FFFFFF"/>
            </w:tcBorders>
            <w:shd w:val="clear" w:color="auto" w:fill="D2D2D2"/>
          </w:tcPr>
          <w:p>
            <w:pPr/>
          </w:p>
        </w:tc>
        <w:tc>
          <w:tcPr>
            <w:tcW w:w="722" w:type="dxa"/>
            <w:vMerge/>
            <w:tcBorders>
              <w:left w:val="single" w:sz="4" w:space="0" w:color="FFFFFF"/>
              <w:bottom w:val="nil" w:sz="6" w:space="0" w:color="auto"/>
              <w:right w:val="single" w:sz="4" w:space="0" w:color="000000"/>
            </w:tcBorders>
            <w:shd w:val="clear" w:color="auto" w:fill="D2D2D2"/>
          </w:tcPr>
          <w:p>
            <w:pPr/>
          </w:p>
        </w:tc>
        <w:tc>
          <w:tcPr>
            <w:tcW w:w="1181" w:type="dxa"/>
            <w:vMerge w:val="restart"/>
            <w:tcBorders>
              <w:top w:val="nil" w:sz="6" w:space="0" w:color="auto"/>
              <w:left w:val="single" w:sz="4" w:space="0" w:color="000000"/>
              <w:right w:val="single" w:sz="4" w:space="0" w:color="000000"/>
            </w:tcBorders>
            <w:shd w:val="clear" w:color="auto" w:fill="D2D2D2"/>
          </w:tcPr>
          <w:p>
            <w:pPr/>
          </w:p>
        </w:tc>
        <w:tc>
          <w:tcPr>
            <w:tcW w:w="1181" w:type="dxa"/>
            <w:vMerge/>
            <w:tcBorders>
              <w:left w:val="single" w:sz="4" w:space="0" w:color="000000"/>
              <w:right w:val="single" w:sz="4" w:space="0" w:color="000000"/>
            </w:tcBorders>
            <w:shd w:val="clear" w:color="auto" w:fill="D2D2D2"/>
          </w:tcPr>
          <w:p>
            <w:pPr/>
          </w:p>
        </w:tc>
        <w:tc>
          <w:tcPr>
            <w:tcW w:w="1316" w:type="dxa"/>
            <w:vMerge/>
            <w:tcBorders>
              <w:left w:val="single" w:sz="4" w:space="0" w:color="000000"/>
              <w:right w:val="single" w:sz="4" w:space="0" w:color="000000"/>
            </w:tcBorders>
            <w:shd w:val="clear" w:color="auto" w:fill="D2D2D2"/>
          </w:tcPr>
          <w:p>
            <w:pPr/>
          </w:p>
        </w:tc>
      </w:tr>
      <w:tr>
        <w:trPr>
          <w:trHeight w:val="195" w:hRule="exact"/>
        </w:trPr>
        <w:tc>
          <w:tcPr>
            <w:tcW w:w="1830" w:type="dxa"/>
            <w:vMerge/>
            <w:tcBorders>
              <w:left w:val="single" w:sz="4" w:space="0" w:color="000000"/>
              <w:bottom w:val="single" w:sz="4" w:space="0" w:color="000000"/>
              <w:right w:val="single" w:sz="4" w:space="0" w:color="000000"/>
            </w:tcBorders>
            <w:shd w:val="clear" w:color="auto" w:fill="D2D2D2"/>
          </w:tcPr>
          <w:p>
            <w:pPr/>
          </w:p>
        </w:tc>
        <w:tc>
          <w:tcPr>
            <w:tcW w:w="1192" w:type="dxa"/>
            <w:vMerge/>
            <w:tcBorders>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c>
          <w:tcPr>
            <w:tcW w:w="524"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FFFFFF"/>
            </w:tcBorders>
            <w:shd w:val="clear" w:color="auto" w:fill="D2D2D2"/>
          </w:tcPr>
          <w:p>
            <w:pPr/>
          </w:p>
        </w:tc>
        <w:tc>
          <w:tcPr>
            <w:tcW w:w="722" w:type="dxa"/>
            <w:tcBorders>
              <w:top w:val="nil" w:sz="6" w:space="0" w:color="auto"/>
              <w:left w:val="single" w:sz="4" w:space="0" w:color="FFFFFF"/>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181"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648,307,048.00</w:t>
            </w: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2,192,804,105.42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98,454,600.00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2,858.13</w:t>
            </w: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29,835,972.64</w:t>
            </w: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481,096,732.66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205,824,412.48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3,459,416,529.33</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648,307,048.00</w:t>
            </w: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2,192,804,105.42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98,454,600.00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2,858.13</w:t>
            </w: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29,835,972.64</w:t>
            </w: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481,096,732.66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205,824,412.48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3,459,416,529.33</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259,322,819.00</w:t>
            </w: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-235,105,949.00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-10,663,590.00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35,071.02</w:t>
            </w: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33,964,915.63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386,284,185.43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455,164,632.08</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35,071.02</w:t>
            </w: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33,964,915.63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24,275,912.06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58,275,898.71</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center"/>
              <w:rPr>
                <w:rFonts w:ascii="Times New Roman" w:hAnsi="Times New Roman" w:cs="Times New Roman" w:eastAsia="Times New Roman" w:hint="default"/>
                <w:sz w:val="18"/>
                <w:szCs w:val="18"/>
              </w:rPr>
            </w:pPr>
            <w:r>
              <w:rPr>
                <w:rFonts w:ascii="Times New Roman"/>
                <w:sz w:val="18"/>
              </w:rPr>
              <w:t>24,216,870.00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-10,663,590.00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362,008,273.37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396,888,733.37</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 股</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363,715,938.57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363,715,938.57</w:t>
            </w:r>
          </w:p>
        </w:tc>
      </w:tr>
      <w:tr>
        <w:trPr>
          <w:trHeight w:val="714"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w:t>
            </w:r>
          </w:p>
        </w:tc>
        <w:tc>
          <w:tcPr>
            <w:tcW w:w="1192" w:type="dxa"/>
            <w:tcBorders>
              <w:top w:val="single" w:sz="4" w:space="0" w:color="000000"/>
              <w:left w:val="single" w:sz="9" w:space="0" w:color="D2D2D2"/>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 w:right="0"/>
              <w:jc w:val="center"/>
              <w:rPr>
                <w:rFonts w:ascii="Times New Roman" w:hAnsi="Times New Roman" w:cs="Times New Roman" w:eastAsia="Times New Roman" w:hint="default"/>
                <w:sz w:val="18"/>
                <w:szCs w:val="18"/>
              </w:rPr>
            </w:pPr>
            <w:r>
              <w:rPr>
                <w:rFonts w:ascii="Times New Roman"/>
                <w:sz w:val="18"/>
              </w:rPr>
              <w:t>12,431,608.57</w:t>
            </w: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FFFFFF"/>
            </w:tcBorders>
          </w:tcPr>
          <w:p>
            <w:pPr/>
          </w:p>
        </w:tc>
        <w:tc>
          <w:tcPr>
            <w:tcW w:w="722" w:type="dxa"/>
            <w:tcBorders>
              <w:top w:val="single" w:sz="4" w:space="0" w:color="000000"/>
              <w:left w:val="single" w:sz="4" w:space="0" w:color="FFFFFF"/>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12,431,608.57</w:t>
            </w:r>
          </w:p>
        </w:tc>
      </w:tr>
    </w:tbl>
    <w:p>
      <w:pPr>
        <w:spacing w:after="0" w:line="240" w:lineRule="auto"/>
        <w:jc w:val="right"/>
        <w:rPr>
          <w:rFonts w:ascii="Times New Roman" w:hAnsi="Times New Roman" w:cs="Times New Roman" w:eastAsia="Times New Roman" w:hint="default"/>
          <w:sz w:val="18"/>
          <w:szCs w:val="18"/>
        </w:rPr>
        <w:sectPr>
          <w:headerReference w:type="default" r:id="rId25"/>
          <w:footerReference w:type="default" r:id="rId26"/>
          <w:pgSz w:w="16840" w:h="11910" w:orient="landscape"/>
          <w:pgMar w:header="867" w:footer="979" w:top="1060" w:bottom="1160" w:left="1300" w:right="1300"/>
          <w:pgNumType w:start="122"/>
        </w:sectPr>
      </w:pPr>
    </w:p>
    <w:p>
      <w:pPr>
        <w:spacing w:line="240" w:lineRule="auto" w:before="12"/>
        <w:rPr>
          <w:rFonts w:ascii="宋体" w:hAnsi="宋体" w:cs="宋体" w:eastAsia="宋体" w:hint="default"/>
          <w:sz w:val="2"/>
          <w:szCs w:val="2"/>
        </w:rPr>
      </w:pPr>
      <w:r>
        <w:rPr/>
        <w:pict>
          <v:group style="position:absolute;margin-left:163.520004pt;margin-top:155.720001pt;width:58.6pt;height:28pt;mso-position-horizontal-relative:page;mso-position-vertical-relative:page;z-index:-1545088" coordorigin="3270,3114" coordsize="1172,560">
            <v:group style="position:absolute;left:3270;top:3114;width:1172;height:156" coordorigin="3270,3114" coordsize="1172,156">
              <v:shape style="position:absolute;left:3270;top:3114;width:1172;height:156" coordorigin="3270,3114" coordsize="1172,156" path="m3270,3270l4442,3270,4442,3114,3270,3114,3270,3270xe" filled="true" fillcolor="#ffffff" stroked="false">
                <v:path arrowok="t"/>
                <v:fill type="solid"/>
              </v:shape>
            </v:group>
            <v:group style="position:absolute;left:3282;top:3270;width:2;height:393" coordorigin="3282,3270" coordsize="2,393">
              <v:shape style="position:absolute;left:3282;top:3270;width:2;height:393" coordorigin="3282,3270" coordsize="0,393" path="m3282,3270l3282,3663e" filled="false" stroked="true" strokeweight="1.140pt" strokecolor="#ffffff">
                <v:path arrowok="t"/>
              </v:shape>
            </v:group>
            <v:group style="position:absolute;left:3293;top:3270;width:1126;height:393" coordorigin="3293,3270" coordsize="1126,393">
              <v:shape style="position:absolute;left:3293;top:3270;width:1126;height:393" coordorigin="3293,3270" coordsize="1126,393" path="m3293,3663l4419,3663,4419,3270,3293,3270,3293,3663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853"/>
        <w:gridCol w:w="1181"/>
        <w:gridCol w:w="526"/>
        <w:gridCol w:w="524"/>
        <w:gridCol w:w="528"/>
        <w:gridCol w:w="1316"/>
        <w:gridCol w:w="1151"/>
        <w:gridCol w:w="776"/>
        <w:gridCol w:w="667"/>
        <w:gridCol w:w="1091"/>
        <w:gridCol w:w="722"/>
        <w:gridCol w:w="1181"/>
        <w:gridCol w:w="1181"/>
        <w:gridCol w:w="1316"/>
      </w:tblGrid>
      <w:tr>
        <w:trPr>
          <w:trHeight w:val="377" w:hRule="exact"/>
        </w:trPr>
        <w:tc>
          <w:tcPr>
            <w:tcW w:w="185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1181" w:type="dxa"/>
            <w:tcBorders>
              <w:top w:val="single" w:sz="15" w:space="0" w:color="000000"/>
              <w:left w:val="single" w:sz="4" w:space="0" w:color="000000"/>
              <w:bottom w:val="single" w:sz="4" w:space="0" w:color="000000"/>
              <w:right w:val="single" w:sz="4" w:space="0" w:color="000000"/>
            </w:tcBorders>
          </w:tcPr>
          <w:p>
            <w:pPr/>
          </w:p>
        </w:tc>
        <w:tc>
          <w:tcPr>
            <w:tcW w:w="526" w:type="dxa"/>
            <w:tcBorders>
              <w:top w:val="single" w:sz="15" w:space="0" w:color="000000"/>
              <w:left w:val="single" w:sz="4" w:space="0" w:color="000000"/>
              <w:bottom w:val="single" w:sz="4" w:space="0" w:color="000000"/>
              <w:right w:val="single" w:sz="4" w:space="0" w:color="000000"/>
            </w:tcBorders>
          </w:tcPr>
          <w:p>
            <w:pPr/>
          </w:p>
        </w:tc>
        <w:tc>
          <w:tcPr>
            <w:tcW w:w="524" w:type="dxa"/>
            <w:tcBorders>
              <w:top w:val="single" w:sz="15" w:space="0" w:color="000000"/>
              <w:left w:val="single" w:sz="4" w:space="0" w:color="000000"/>
              <w:bottom w:val="single" w:sz="4" w:space="0" w:color="000000"/>
              <w:right w:val="single" w:sz="4" w:space="0" w:color="000000"/>
            </w:tcBorders>
          </w:tcPr>
          <w:p>
            <w:pPr/>
          </w:p>
        </w:tc>
        <w:tc>
          <w:tcPr>
            <w:tcW w:w="528"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1151" w:type="dxa"/>
            <w:tcBorders>
              <w:top w:val="single" w:sz="15" w:space="0" w:color="000000"/>
              <w:left w:val="single" w:sz="4" w:space="0" w:color="000000"/>
              <w:bottom w:val="single" w:sz="4" w:space="0" w:color="000000"/>
              <w:right w:val="single" w:sz="4" w:space="0" w:color="000000"/>
            </w:tcBorders>
          </w:tcPr>
          <w:p>
            <w:pPr/>
          </w:p>
        </w:tc>
        <w:tc>
          <w:tcPr>
            <w:tcW w:w="776" w:type="dxa"/>
            <w:tcBorders>
              <w:top w:val="single" w:sz="15" w:space="0" w:color="000000"/>
              <w:left w:val="single" w:sz="4" w:space="0" w:color="000000"/>
              <w:bottom w:val="single" w:sz="4" w:space="0" w:color="000000"/>
              <w:right w:val="single" w:sz="4" w:space="0" w:color="000000"/>
            </w:tcBorders>
          </w:tcPr>
          <w:p>
            <w:pPr/>
          </w:p>
        </w:tc>
        <w:tc>
          <w:tcPr>
            <w:tcW w:w="66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722"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0" w:right="0"/>
              <w:jc w:val="center"/>
              <w:rPr>
                <w:rFonts w:ascii="Times New Roman" w:hAnsi="Times New Roman" w:cs="Times New Roman" w:eastAsia="Times New Roman" w:hint="default"/>
                <w:sz w:val="18"/>
                <w:szCs w:val="18"/>
              </w:rPr>
            </w:pPr>
            <w:r>
              <w:rPr>
                <w:rFonts w:ascii="Times New Roman"/>
                <w:sz w:val="18"/>
              </w:rPr>
              <w:t>11,785,261.43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-10,663,590.00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1" w:right="0"/>
              <w:jc w:val="center"/>
              <w:rPr>
                <w:rFonts w:ascii="Times New Roman" w:hAnsi="Times New Roman" w:cs="Times New Roman" w:eastAsia="Times New Roman" w:hint="default"/>
                <w:sz w:val="18"/>
                <w:szCs w:val="18"/>
              </w:rPr>
            </w:pPr>
            <w:r>
              <w:rPr>
                <w:rFonts w:ascii="Times New Roman"/>
                <w:sz w:val="18"/>
              </w:rPr>
              <w:t>-1,707,665.20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20,741,186.23</w:t>
            </w: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259,322,819.00</w:t>
            </w: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-259,322,819.00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259,322,819.00</w:t>
            </w: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-259,322,819.00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 额结转留存收益</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907,629,867.00</w:t>
            </w:r>
          </w:p>
        </w:tc>
        <w:tc>
          <w:tcPr>
            <w:tcW w:w="526"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1,957,698,156.42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87,791,010.00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37,929.15</w:t>
            </w:r>
          </w:p>
        </w:tc>
        <w:tc>
          <w:tcPr>
            <w:tcW w:w="66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29,835,972.64</w:t>
            </w:r>
          </w:p>
        </w:tc>
        <w:tc>
          <w:tcPr>
            <w:tcW w:w="722"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515,061,648.29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592,108,597.91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3,914,581,161.41</w:t>
            </w:r>
          </w:p>
        </w:tc>
      </w:tr>
    </w:tbl>
    <w:p>
      <w:pPr>
        <w:spacing w:line="240" w:lineRule="auto" w:before="6"/>
        <w:rPr>
          <w:rFonts w:ascii="宋体" w:hAnsi="宋体" w:cs="宋体" w:eastAsia="宋体" w:hint="default"/>
          <w:sz w:val="27"/>
          <w:szCs w:val="27"/>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before="20"/>
        <w:ind w:left="0" w:right="1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831"/>
        <w:gridCol w:w="1196"/>
        <w:gridCol w:w="530"/>
        <w:gridCol w:w="530"/>
        <w:gridCol w:w="533"/>
        <w:gridCol w:w="1322"/>
        <w:gridCol w:w="1097"/>
        <w:gridCol w:w="922"/>
        <w:gridCol w:w="527"/>
        <w:gridCol w:w="1096"/>
        <w:gridCol w:w="724"/>
        <w:gridCol w:w="1186"/>
        <w:gridCol w:w="1187"/>
        <w:gridCol w:w="1322"/>
      </w:tblGrid>
      <w:tr>
        <w:trPr>
          <w:trHeight w:val="402" w:hRule="exact"/>
        </w:trPr>
        <w:tc>
          <w:tcPr>
            <w:tcW w:w="1831" w:type="dxa"/>
            <w:vMerge w:val="restart"/>
            <w:tcBorders>
              <w:top w:val="single" w:sz="4" w:space="0" w:color="000000"/>
              <w:left w:val="single" w:sz="4" w:space="0" w:color="000000"/>
              <w:right w:val="single" w:sz="4" w:space="0" w:color="000000"/>
            </w:tcBorders>
            <w:shd w:val="clear" w:color="auto" w:fill="D2D2D2"/>
          </w:tcPr>
          <w:p>
            <w:pPr/>
          </w:p>
        </w:tc>
        <w:tc>
          <w:tcPr>
            <w:tcW w:w="1217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7" w:hRule="exact"/>
        </w:trPr>
        <w:tc>
          <w:tcPr>
            <w:tcW w:w="1831" w:type="dxa"/>
            <w:vMerge/>
            <w:tcBorders>
              <w:left w:val="single" w:sz="4" w:space="0" w:color="000000"/>
              <w:bottom w:val="nil" w:sz="6" w:space="0" w:color="auto"/>
              <w:right w:val="single" w:sz="4" w:space="0" w:color="000000"/>
            </w:tcBorders>
            <w:shd w:val="clear" w:color="auto" w:fill="D2D2D2"/>
          </w:tcPr>
          <w:p>
            <w:pPr/>
          </w:p>
        </w:tc>
        <w:tc>
          <w:tcPr>
            <w:tcW w:w="96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322" w:type="dxa"/>
            <w:vMerge w:val="restart"/>
            <w:tcBorders>
              <w:top w:val="single" w:sz="4" w:space="0" w:color="000000"/>
              <w:left w:val="single" w:sz="4" w:space="0" w:color="000000"/>
              <w:right w:val="single" w:sz="4" w:space="0" w:color="000000"/>
            </w:tcBorders>
            <w:shd w:val="clear" w:color="auto" w:fill="D2D2D2"/>
          </w:tcPr>
          <w:p>
            <w:pPr/>
          </w:p>
        </w:tc>
      </w:tr>
      <w:tr>
        <w:trPr>
          <w:trHeight w:val="211" w:hRule="exact"/>
        </w:trPr>
        <w:tc>
          <w:tcPr>
            <w:tcW w:w="18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22" w:type="dxa"/>
            <w:vMerge w:val="restart"/>
            <w:tcBorders>
              <w:top w:val="single" w:sz="4" w:space="0" w:color="000000"/>
              <w:left w:val="single" w:sz="4" w:space="0" w:color="000000"/>
              <w:right w:val="single" w:sz="4" w:space="0" w:color="000000"/>
            </w:tcBorders>
            <w:shd w:val="clear" w:color="auto" w:fill="D2D2D2"/>
          </w:tcPr>
          <w:p>
            <w:pPr/>
          </w:p>
        </w:tc>
        <w:tc>
          <w:tcPr>
            <w:tcW w:w="1097" w:type="dxa"/>
            <w:vMerge w:val="restart"/>
            <w:tcBorders>
              <w:top w:val="single" w:sz="4" w:space="0" w:color="000000"/>
              <w:left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nil" w:sz="6" w:space="0" w:color="auto"/>
              <w:right w:val="single" w:sz="4" w:space="0" w:color="000000"/>
            </w:tcBorders>
            <w:shd w:val="clear" w:color="auto" w:fill="D2D2D2"/>
          </w:tcPr>
          <w:p>
            <w:pPr/>
          </w:p>
        </w:tc>
        <w:tc>
          <w:tcPr>
            <w:tcW w:w="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6" w:type="dxa"/>
            <w:vMerge w:val="restart"/>
            <w:tcBorders>
              <w:top w:val="single" w:sz="4" w:space="0" w:color="000000"/>
              <w:left w:val="single" w:sz="4" w:space="0" w:color="000000"/>
              <w:right w:val="single" w:sz="4" w:space="0" w:color="000000"/>
            </w:tcBorders>
            <w:shd w:val="clear" w:color="auto" w:fill="D2D2D2"/>
          </w:tcPr>
          <w:p>
            <w:pPr/>
          </w:p>
        </w:tc>
        <w:tc>
          <w:tcPr>
            <w:tcW w:w="7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6" w:type="dxa"/>
            <w:vMerge w:val="restart"/>
            <w:tcBorders>
              <w:top w:val="single" w:sz="4" w:space="0" w:color="000000"/>
              <w:left w:val="single" w:sz="4" w:space="0" w:color="000000"/>
              <w:right w:val="single" w:sz="4" w:space="0" w:color="000000"/>
            </w:tcBorders>
            <w:shd w:val="clear" w:color="auto" w:fill="D2D2D2"/>
          </w:tcPr>
          <w:p>
            <w:pPr/>
          </w:p>
        </w:tc>
        <w:tc>
          <w:tcPr>
            <w:tcW w:w="1187"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83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5" w:right="95"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2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8" w:right="7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6" w:type="dxa"/>
            <w:vMerge/>
            <w:tcBorders>
              <w:left w:val="single" w:sz="4" w:space="0" w:color="000000"/>
              <w:bottom w:val="nil" w:sz="6" w:space="0" w:color="auto"/>
              <w:right w:val="single" w:sz="4" w:space="0" w:color="000000"/>
            </w:tcBorders>
            <w:shd w:val="clear" w:color="auto" w:fill="D2D2D2"/>
          </w:tcPr>
          <w:p>
            <w:pPr/>
          </w:p>
        </w:tc>
        <w:tc>
          <w:tcPr>
            <w:tcW w:w="72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87" w:right="84"/>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186" w:type="dxa"/>
            <w:vMerge/>
            <w:tcBorders>
              <w:left w:val="single" w:sz="4" w:space="0" w:color="000000"/>
              <w:bottom w:val="nil" w:sz="6" w:space="0" w:color="auto"/>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9"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2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83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9" w:right="79"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9"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9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22" w:type="dxa"/>
            <w:vMerge/>
            <w:tcBorders>
              <w:left w:val="single" w:sz="4" w:space="0" w:color="000000"/>
              <w:right w:val="single" w:sz="4" w:space="0" w:color="000000"/>
            </w:tcBorders>
            <w:shd w:val="clear" w:color="auto" w:fill="D2D2D2"/>
          </w:tcPr>
          <w:p>
            <w:pPr/>
          </w:p>
        </w:tc>
        <w:tc>
          <w:tcPr>
            <w:tcW w:w="527" w:type="dxa"/>
            <w:vMerge/>
            <w:tcBorders>
              <w:left w:val="single" w:sz="4" w:space="0" w:color="000000"/>
              <w:right w:val="single" w:sz="4" w:space="0" w:color="000000"/>
            </w:tcBorders>
            <w:shd w:val="clear" w:color="auto" w:fill="D2D2D2"/>
          </w:tcPr>
          <w:p>
            <w:pPr/>
          </w:p>
        </w:tc>
        <w:tc>
          <w:tcPr>
            <w:tcW w:w="10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4" w:type="dxa"/>
            <w:vMerge/>
            <w:tcBorders>
              <w:left w:val="single" w:sz="4" w:space="0" w:color="000000"/>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7" w:type="dxa"/>
            <w:vMerge/>
            <w:tcBorders>
              <w:left w:val="single" w:sz="4" w:space="0" w:color="000000"/>
              <w:bottom w:val="nil" w:sz="6" w:space="0" w:color="auto"/>
              <w:right w:val="single" w:sz="4" w:space="0" w:color="000000"/>
            </w:tcBorders>
            <w:shd w:val="clear" w:color="auto" w:fill="D2D2D2"/>
          </w:tcPr>
          <w:p>
            <w:pPr/>
          </w:p>
        </w:tc>
        <w:tc>
          <w:tcPr>
            <w:tcW w:w="1322"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83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2" w:type="dxa"/>
            <w:vMerge/>
            <w:tcBorders>
              <w:left w:val="single" w:sz="4" w:space="0" w:color="000000"/>
              <w:bottom w:val="nil" w:sz="6" w:space="0" w:color="auto"/>
              <w:right w:val="single" w:sz="4" w:space="0" w:color="000000"/>
            </w:tcBorders>
            <w:shd w:val="clear" w:color="auto" w:fill="D2D2D2"/>
          </w:tcPr>
          <w:p>
            <w:pPr/>
          </w:p>
        </w:tc>
        <w:tc>
          <w:tcPr>
            <w:tcW w:w="1097" w:type="dxa"/>
            <w:vMerge/>
            <w:tcBorders>
              <w:left w:val="single" w:sz="4" w:space="0" w:color="000000"/>
              <w:bottom w:val="nil" w:sz="6" w:space="0" w:color="auto"/>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c>
          <w:tcPr>
            <w:tcW w:w="527" w:type="dxa"/>
            <w:vMerge/>
            <w:tcBorders>
              <w:left w:val="single" w:sz="4" w:space="0" w:color="000000"/>
              <w:right w:val="single" w:sz="4" w:space="0" w:color="000000"/>
            </w:tcBorders>
            <w:shd w:val="clear" w:color="auto" w:fill="D2D2D2"/>
          </w:tcPr>
          <w:p>
            <w:pPr/>
          </w:p>
        </w:tc>
        <w:tc>
          <w:tcPr>
            <w:tcW w:w="1096" w:type="dxa"/>
            <w:vMerge/>
            <w:tcBorders>
              <w:left w:val="single" w:sz="4" w:space="0" w:color="000000"/>
              <w:bottom w:val="nil" w:sz="6" w:space="0" w:color="auto"/>
              <w:right w:val="single" w:sz="4" w:space="0" w:color="000000"/>
            </w:tcBorders>
            <w:shd w:val="clear" w:color="auto" w:fill="D2D2D2"/>
          </w:tcPr>
          <w:p>
            <w:pPr/>
          </w:p>
        </w:tc>
        <w:tc>
          <w:tcPr>
            <w:tcW w:w="724" w:type="dxa"/>
            <w:vMerge/>
            <w:tcBorders>
              <w:left w:val="single" w:sz="4" w:space="0" w:color="000000"/>
              <w:right w:val="single" w:sz="4" w:space="0" w:color="000000"/>
            </w:tcBorders>
            <w:shd w:val="clear" w:color="auto" w:fill="D2D2D2"/>
          </w:tcPr>
          <w:p>
            <w:pPr/>
          </w:p>
        </w:tc>
        <w:tc>
          <w:tcPr>
            <w:tcW w:w="1186" w:type="dxa"/>
            <w:vMerge/>
            <w:tcBorders>
              <w:left w:val="single" w:sz="4" w:space="0" w:color="000000"/>
              <w:bottom w:val="nil" w:sz="6" w:space="0" w:color="auto"/>
              <w:right w:val="single" w:sz="4" w:space="0" w:color="000000"/>
            </w:tcBorders>
            <w:shd w:val="clear" w:color="auto" w:fill="D2D2D2"/>
          </w:tcPr>
          <w:p>
            <w:pPr/>
          </w:p>
        </w:tc>
        <w:tc>
          <w:tcPr>
            <w:tcW w:w="1187" w:type="dxa"/>
            <w:vMerge w:val="restart"/>
            <w:tcBorders>
              <w:top w:val="nil" w:sz="6" w:space="0" w:color="auto"/>
              <w:left w:val="single" w:sz="4" w:space="0" w:color="000000"/>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
        </w:tc>
      </w:tr>
      <w:tr>
        <w:trPr>
          <w:trHeight w:val="178" w:hRule="exact"/>
        </w:trPr>
        <w:tc>
          <w:tcPr>
            <w:tcW w:w="1831"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1322" w:type="dxa"/>
            <w:vMerge w:val="restart"/>
            <w:tcBorders>
              <w:top w:val="nil" w:sz="6" w:space="0" w:color="auto"/>
              <w:left w:val="single" w:sz="4" w:space="0" w:color="000000"/>
              <w:right w:val="single" w:sz="4" w:space="0" w:color="000000"/>
            </w:tcBorders>
            <w:shd w:val="clear" w:color="auto" w:fill="D2D2D2"/>
          </w:tcPr>
          <w:p>
            <w:pPr/>
          </w:p>
        </w:tc>
        <w:tc>
          <w:tcPr>
            <w:tcW w:w="1097" w:type="dxa"/>
            <w:vMerge w:val="restart"/>
            <w:tcBorders>
              <w:top w:val="nil" w:sz="6" w:space="0" w:color="auto"/>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527" w:type="dxa"/>
            <w:vMerge/>
            <w:tcBorders>
              <w:left w:val="single" w:sz="4" w:space="0" w:color="000000"/>
              <w:bottom w:val="nil" w:sz="6" w:space="0" w:color="auto"/>
              <w:right w:val="single" w:sz="4" w:space="0" w:color="000000"/>
            </w:tcBorders>
            <w:shd w:val="clear" w:color="auto" w:fill="D2D2D2"/>
          </w:tcPr>
          <w:p>
            <w:pPr/>
          </w:p>
        </w:tc>
        <w:tc>
          <w:tcPr>
            <w:tcW w:w="1096" w:type="dxa"/>
            <w:vMerge w:val="restart"/>
            <w:tcBorders>
              <w:top w:val="nil" w:sz="6" w:space="0" w:color="auto"/>
              <w:left w:val="single" w:sz="4" w:space="0" w:color="000000"/>
              <w:right w:val="single" w:sz="4" w:space="0" w:color="000000"/>
            </w:tcBorders>
            <w:shd w:val="clear" w:color="auto" w:fill="D2D2D2"/>
          </w:tcPr>
          <w:p>
            <w:pPr/>
          </w:p>
        </w:tc>
        <w:tc>
          <w:tcPr>
            <w:tcW w:w="724" w:type="dxa"/>
            <w:vMerge/>
            <w:tcBorders>
              <w:left w:val="single" w:sz="4" w:space="0" w:color="000000"/>
              <w:bottom w:val="nil" w:sz="6" w:space="0" w:color="auto"/>
              <w:right w:val="single" w:sz="4" w:space="0" w:color="000000"/>
            </w:tcBorders>
            <w:shd w:val="clear" w:color="auto" w:fill="D2D2D2"/>
          </w:tcPr>
          <w:p>
            <w:pPr/>
          </w:p>
        </w:tc>
        <w:tc>
          <w:tcPr>
            <w:tcW w:w="1186" w:type="dxa"/>
            <w:vMerge w:val="restart"/>
            <w:tcBorders>
              <w:top w:val="nil" w:sz="6" w:space="0" w:color="auto"/>
              <w:left w:val="single" w:sz="4" w:space="0" w:color="000000"/>
              <w:right w:val="single" w:sz="4" w:space="0" w:color="000000"/>
            </w:tcBorders>
            <w:shd w:val="clear" w:color="auto" w:fill="D2D2D2"/>
          </w:tcPr>
          <w:p>
            <w:pPr/>
          </w:p>
        </w:tc>
        <w:tc>
          <w:tcPr>
            <w:tcW w:w="1187" w:type="dxa"/>
            <w:vMerge/>
            <w:tcBorders>
              <w:left w:val="single" w:sz="4" w:space="0" w:color="000000"/>
              <w:right w:val="single" w:sz="4" w:space="0" w:color="000000"/>
            </w:tcBorders>
            <w:shd w:val="clear" w:color="auto" w:fill="D2D2D2"/>
          </w:tcPr>
          <w:p>
            <w:pPr/>
          </w:p>
        </w:tc>
        <w:tc>
          <w:tcPr>
            <w:tcW w:w="1322" w:type="dxa"/>
            <w:vMerge/>
            <w:tcBorders>
              <w:left w:val="single" w:sz="4" w:space="0" w:color="000000"/>
              <w:right w:val="single" w:sz="4" w:space="0" w:color="000000"/>
            </w:tcBorders>
            <w:shd w:val="clear" w:color="auto" w:fill="D2D2D2"/>
          </w:tcPr>
          <w:p>
            <w:pPr/>
          </w:p>
        </w:tc>
      </w:tr>
      <w:tr>
        <w:trPr>
          <w:trHeight w:val="194" w:hRule="exact"/>
        </w:trPr>
        <w:tc>
          <w:tcPr>
            <w:tcW w:w="183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single" w:sz="4" w:space="0" w:color="000000"/>
              <w:right w:val="single" w:sz="4" w:space="0" w:color="000000"/>
            </w:tcBorders>
            <w:shd w:val="clear" w:color="auto" w:fill="D2D2D2"/>
          </w:tcPr>
          <w:p>
            <w:pPr/>
          </w:p>
        </w:tc>
        <w:tc>
          <w:tcPr>
            <w:tcW w:w="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7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187" w:type="dxa"/>
            <w:vMerge/>
            <w:tcBorders>
              <w:left w:val="single" w:sz="4" w:space="0" w:color="000000"/>
              <w:bottom w:val="single" w:sz="4" w:space="0" w:color="000000"/>
              <w:right w:val="single" w:sz="4" w:space="0" w:color="000000"/>
            </w:tcBorders>
            <w:shd w:val="clear" w:color="auto" w:fill="D2D2D2"/>
          </w:tcPr>
          <w:p>
            <w:pPr/>
          </w:p>
        </w:tc>
        <w:tc>
          <w:tcPr>
            <w:tcW w:w="132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632,105,028.00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2,122,742,284.48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24,954,234.60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31,558.35</w:t>
            </w: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29,019,070.57</w:t>
            </w: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315,101,848.70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170,131,771.52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3,244,177,327.02</w:t>
            </w:r>
          </w:p>
        </w:tc>
      </w:tr>
      <w:tr>
        <w:trPr>
          <w:trHeight w:val="402"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632,105,028.00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2,122,742,284.48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24,954,234.60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31,558.35</w:t>
            </w: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29,019,070.57</w:t>
            </w: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315,101,848.70</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170,131,771.52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3,244,177,327.02</w:t>
            </w:r>
          </w:p>
        </w:tc>
      </w:tr>
      <w:tr>
        <w:trPr>
          <w:trHeight w:val="714"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16,202,020.00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70,061,820.94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73,500,365.40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816,902.07</w:t>
            </w: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165,994,883.96</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35,692,640.96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215,239,202.31</w:t>
            </w:r>
          </w:p>
        </w:tc>
      </w:tr>
      <w:tr>
        <w:trPr>
          <w:trHeight w:val="402"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-28,700.22</w:t>
            </w:r>
            <w:r>
              <w:rPr>
                <w:rFonts w:ascii="Times New Roman"/>
                <w:sz w:val="18"/>
              </w:rPr>
            </w: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179,308,287.39</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7,232,768.31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186,512,355.48</w:t>
            </w:r>
          </w:p>
        </w:tc>
      </w:tr>
      <w:tr>
        <w:trPr>
          <w:trHeight w:val="714"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1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16,202,020.00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70,061,820.94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73,500,365.40</w:t>
            </w: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30,438,572.22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43,202,047.76</w:t>
            </w:r>
          </w:p>
        </w:tc>
      </w:tr>
      <w:tr>
        <w:trPr>
          <w:trHeight w:val="714"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 股</w:t>
            </w:r>
          </w:p>
        </w:tc>
        <w:tc>
          <w:tcPr>
            <w:tcW w:w="11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16,202,020.00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54,817,186.33</w:t>
            </w: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35,012,079.47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106,031,285.80</w:t>
            </w:r>
          </w:p>
        </w:tc>
      </w:tr>
      <w:tr>
        <w:trPr>
          <w:trHeight w:val="714"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15,244,634.61</w:t>
            </w: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15,244,634.61</w:t>
            </w:r>
          </w:p>
        </w:tc>
      </w:tr>
      <w:tr>
        <w:trPr>
          <w:trHeight w:val="402"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73,500,365.40</w:t>
            </w: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-4,573,507.25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-78,073,872.65</w:t>
            </w:r>
          </w:p>
        </w:tc>
      </w:tr>
      <w:tr>
        <w:trPr>
          <w:trHeight w:val="403" w:hRule="exact"/>
        </w:trPr>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6"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816,902.07</w:t>
            </w: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-13,313,403.43</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-1,978,699.57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-14,475,200.93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12"/>
        <w:rPr>
          <w:rFonts w:ascii="宋体" w:hAnsi="宋体" w:cs="宋体" w:eastAsia="宋体" w:hint="default"/>
          <w:sz w:val="2"/>
          <w:szCs w:val="2"/>
        </w:rPr>
      </w:pPr>
      <w:r>
        <w:rPr/>
        <w:pict>
          <v:group style="position:absolute;margin-left:163.580002pt;margin-top:97.400009pt;width:58.75pt;height:28pt;mso-position-horizontal-relative:page;mso-position-vertical-relative:page;z-index:-1545040" coordorigin="3272,1948" coordsize="1175,560">
            <v:group style="position:absolute;left:3272;top:1948;width:1175;height:156" coordorigin="3272,1948" coordsize="1175,156">
              <v:shape style="position:absolute;left:3272;top:1948;width:1175;height:156" coordorigin="3272,1948" coordsize="1175,156" path="m3272,2104l4446,2104,4446,1948,3272,1948,3272,2104xe" filled="true" fillcolor="#ffffff" stroked="false">
                <v:path arrowok="t"/>
                <v:fill type="solid"/>
              </v:shape>
            </v:group>
            <v:group style="position:absolute;left:3283;top:2104;width:2;height:393" coordorigin="3283,2104" coordsize="2,393">
              <v:shape style="position:absolute;left:3283;top:2104;width:2;height:393" coordorigin="3283,2104" coordsize="0,393" path="m3283,2104l3283,2496e" filled="false" stroked="true" strokeweight="1.140pt" strokecolor="#ffffff">
                <v:path arrowok="t"/>
              </v:shape>
            </v:group>
            <v:group style="position:absolute;left:3294;top:2104;width:1130;height:393" coordorigin="3294,2104" coordsize="1130,393">
              <v:shape style="position:absolute;left:3294;top:2104;width:1130;height:393" coordorigin="3294,2104" coordsize="1130,393" path="m3294,2496l4424,2496,4424,2104,3294,2104,3294,2496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854"/>
        <w:gridCol w:w="1184"/>
        <w:gridCol w:w="530"/>
        <w:gridCol w:w="530"/>
        <w:gridCol w:w="533"/>
        <w:gridCol w:w="1322"/>
        <w:gridCol w:w="1097"/>
        <w:gridCol w:w="922"/>
        <w:gridCol w:w="527"/>
        <w:gridCol w:w="1096"/>
        <w:gridCol w:w="724"/>
        <w:gridCol w:w="1186"/>
        <w:gridCol w:w="1187"/>
        <w:gridCol w:w="1322"/>
      </w:tblGrid>
      <w:tr>
        <w:trPr>
          <w:trHeight w:val="416" w:hRule="exact"/>
        </w:trPr>
        <w:tc>
          <w:tcPr>
            <w:tcW w:w="185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84"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3" w:type="dxa"/>
            <w:tcBorders>
              <w:top w:val="single" w:sz="15" w:space="0" w:color="000000"/>
              <w:left w:val="single" w:sz="4" w:space="0" w:color="000000"/>
              <w:bottom w:val="single" w:sz="4" w:space="0" w:color="000000"/>
              <w:right w:val="single" w:sz="4" w:space="0" w:color="000000"/>
            </w:tcBorders>
          </w:tcPr>
          <w:p>
            <w:pPr/>
          </w:p>
        </w:tc>
        <w:tc>
          <w:tcPr>
            <w:tcW w:w="1322" w:type="dxa"/>
            <w:tcBorders>
              <w:top w:val="single" w:sz="15" w:space="0" w:color="000000"/>
              <w:left w:val="single" w:sz="4" w:space="0" w:color="000000"/>
              <w:bottom w:val="single" w:sz="4" w:space="0" w:color="000000"/>
              <w:right w:val="single" w:sz="4" w:space="0" w:color="000000"/>
            </w:tcBorders>
          </w:tcPr>
          <w:p>
            <w:pPr/>
          </w:p>
        </w:tc>
        <w:tc>
          <w:tcPr>
            <w:tcW w:w="1097" w:type="dxa"/>
            <w:tcBorders>
              <w:top w:val="single" w:sz="15" w:space="0" w:color="000000"/>
              <w:left w:val="single" w:sz="4" w:space="0" w:color="000000"/>
              <w:bottom w:val="single" w:sz="4" w:space="0" w:color="000000"/>
              <w:right w:val="single" w:sz="4" w:space="0" w:color="000000"/>
            </w:tcBorders>
          </w:tcPr>
          <w:p>
            <w:pPr/>
          </w:p>
        </w:tc>
        <w:tc>
          <w:tcPr>
            <w:tcW w:w="922" w:type="dxa"/>
            <w:tcBorders>
              <w:top w:val="single" w:sz="15" w:space="0" w:color="000000"/>
              <w:left w:val="single" w:sz="4" w:space="0" w:color="000000"/>
              <w:bottom w:val="single" w:sz="4" w:space="0" w:color="000000"/>
              <w:right w:val="single" w:sz="4" w:space="0" w:color="000000"/>
            </w:tcBorders>
          </w:tcPr>
          <w:p>
            <w:pPr/>
          </w:p>
        </w:tc>
        <w:tc>
          <w:tcPr>
            <w:tcW w:w="527" w:type="dxa"/>
            <w:tcBorders>
              <w:top w:val="single" w:sz="15" w:space="0" w:color="000000"/>
              <w:left w:val="single" w:sz="4" w:space="0" w:color="000000"/>
              <w:bottom w:val="single" w:sz="4" w:space="0" w:color="000000"/>
              <w:right w:val="single" w:sz="4" w:space="0" w:color="000000"/>
            </w:tcBorders>
          </w:tcPr>
          <w:p>
            <w:pPr/>
          </w:p>
        </w:tc>
        <w:tc>
          <w:tcPr>
            <w:tcW w:w="10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816,902.07</w:t>
            </w:r>
          </w:p>
        </w:tc>
        <w:tc>
          <w:tcPr>
            <w:tcW w:w="724" w:type="dxa"/>
            <w:tcBorders>
              <w:top w:val="single" w:sz="15" w:space="0" w:color="000000"/>
              <w:left w:val="single" w:sz="4" w:space="0" w:color="000000"/>
              <w:bottom w:val="single" w:sz="4" w:space="0" w:color="000000"/>
              <w:right w:val="single" w:sz="4" w:space="0" w:color="000000"/>
            </w:tcBorders>
          </w:tcPr>
          <w:p>
            <w:pPr/>
          </w:p>
        </w:tc>
        <w:tc>
          <w:tcPr>
            <w:tcW w:w="11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-816,902.07</w:t>
            </w:r>
            <w:r>
              <w:rPr>
                <w:rFonts w:ascii="Times New Roman"/>
                <w:sz w:val="18"/>
              </w:rPr>
            </w:r>
          </w:p>
        </w:tc>
        <w:tc>
          <w:tcPr>
            <w:tcW w:w="1187" w:type="dxa"/>
            <w:tcBorders>
              <w:top w:val="single" w:sz="15" w:space="0" w:color="000000"/>
              <w:left w:val="single" w:sz="4" w:space="0" w:color="000000"/>
              <w:bottom w:val="single" w:sz="4" w:space="0" w:color="000000"/>
              <w:right w:val="single" w:sz="4" w:space="0" w:color="000000"/>
            </w:tcBorders>
          </w:tcPr>
          <w:p>
            <w:pPr/>
          </w:p>
        </w:tc>
        <w:tc>
          <w:tcPr>
            <w:tcW w:w="1322"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-12,496,501.36</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-1,978,699.57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-14,475,200.93</w:t>
            </w: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 额结转留存收益</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4"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648,307,048.00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2,192,804,105.42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98,454,600.00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2,858.13</w:t>
            </w:r>
          </w:p>
        </w:tc>
        <w:tc>
          <w:tcPr>
            <w:tcW w:w="527"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29,835,972.64</w:t>
            </w:r>
          </w:p>
        </w:tc>
        <w:tc>
          <w:tcPr>
            <w:tcW w:w="72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481,096,732.66</w:t>
            </w: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205,824,412.48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3,459,416,529.33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140" w:right="0"/>
        <w:jc w:val="left"/>
        <w:rPr>
          <w:b w:val="0"/>
          <w:bCs w:val="0"/>
        </w:rPr>
      </w:pPr>
      <w:bookmarkStart w:name="8、母公司所有者权益变动表" w:id="184"/>
      <w:bookmarkEnd w:id="18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2001"/>
        <w:gridCol w:w="1193"/>
        <w:gridCol w:w="886"/>
        <w:gridCol w:w="886"/>
        <w:gridCol w:w="889"/>
        <w:gridCol w:w="1317"/>
        <w:gridCol w:w="1151"/>
        <w:gridCol w:w="1015"/>
        <w:gridCol w:w="1084"/>
        <w:gridCol w:w="1091"/>
        <w:gridCol w:w="1181"/>
        <w:gridCol w:w="1310"/>
      </w:tblGrid>
      <w:tr>
        <w:trPr>
          <w:trHeight w:val="412" w:hRule="exact"/>
        </w:trPr>
        <w:tc>
          <w:tcPr>
            <w:tcW w:w="2001" w:type="dxa"/>
            <w:tcBorders>
              <w:top w:val="single" w:sz="15" w:space="0" w:color="000000"/>
              <w:left w:val="single" w:sz="4" w:space="0" w:color="000000"/>
              <w:bottom w:val="nil" w:sz="6" w:space="0" w:color="auto"/>
              <w:right w:val="single" w:sz="4" w:space="0" w:color="000000"/>
            </w:tcBorders>
            <w:shd w:val="clear" w:color="auto" w:fill="D2D2D2"/>
          </w:tcPr>
          <w:p>
            <w:pPr/>
          </w:p>
        </w:tc>
        <w:tc>
          <w:tcPr>
            <w:tcW w:w="12003" w:type="dxa"/>
            <w:gridSpan w:val="11"/>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2"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6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411" w:right="5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2"/>
              <w:ind w:left="560" w:right="108"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1"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60" w:type="dxa"/>
            <w:gridSpan w:val="3"/>
            <w:vMerge/>
            <w:tcBorders>
              <w:left w:val="single" w:sz="4" w:space="0" w:color="000000"/>
              <w:bottom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15" w:type="dxa"/>
            <w:vMerge/>
            <w:tcBorders>
              <w:left w:val="single" w:sz="4" w:space="0" w:color="000000"/>
              <w:right w:val="single" w:sz="4" w:space="0" w:color="000000"/>
            </w:tcBorders>
            <w:shd w:val="clear" w:color="auto" w:fill="D2D2D2"/>
          </w:tcPr>
          <w:p>
            <w:pP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0" w:type="dxa"/>
            <w:vMerge/>
            <w:tcBorders>
              <w:left w:val="single" w:sz="4" w:space="0" w:color="000000"/>
              <w:right w:val="single" w:sz="4" w:space="0" w:color="000000"/>
            </w:tcBorders>
            <w:shd w:val="clear" w:color="auto" w:fill="D2D2D2"/>
          </w:tcPr>
          <w:p>
            <w:pPr/>
          </w:p>
        </w:tc>
      </w:tr>
      <w:tr>
        <w:trPr>
          <w:trHeight w:val="200" w:hRule="exact"/>
        </w:trPr>
        <w:tc>
          <w:tcPr>
            <w:tcW w:w="2001"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151" w:type="dxa"/>
            <w:vMerge/>
            <w:tcBorders>
              <w:left w:val="single" w:sz="4" w:space="0" w:color="000000"/>
              <w:bottom w:val="nil" w:sz="6" w:space="0" w:color="auto"/>
              <w:right w:val="single" w:sz="4" w:space="0" w:color="000000"/>
            </w:tcBorders>
            <w:shd w:val="clear" w:color="auto" w:fill="D2D2D2"/>
          </w:tcPr>
          <w:p>
            <w:pPr/>
          </w:p>
        </w:tc>
        <w:tc>
          <w:tcPr>
            <w:tcW w:w="1015" w:type="dxa"/>
            <w:vMerge/>
            <w:tcBorders>
              <w:left w:val="single" w:sz="4" w:space="0" w:color="000000"/>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0" w:type="dxa"/>
            <w:vMerge/>
            <w:tcBorders>
              <w:left w:val="single" w:sz="4" w:space="0" w:color="000000"/>
              <w:right w:val="single" w:sz="4" w:space="0" w:color="000000"/>
            </w:tcBorders>
            <w:shd w:val="clear" w:color="auto" w:fill="D2D2D2"/>
          </w:tcPr>
          <w:p>
            <w:pPr/>
          </w:p>
        </w:tc>
      </w:tr>
      <w:tr>
        <w:trPr>
          <w:trHeight w:val="206"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9"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5" w:type="dxa"/>
            <w:vMerge/>
            <w:tcBorders>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648,307,048.00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2,425,165,497.72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98,454,600.00</w:t>
            </w:r>
          </w:p>
        </w:tc>
        <w:tc>
          <w:tcPr>
            <w:tcW w:w="1015" w:type="dxa"/>
            <w:tcBorders>
              <w:top w:val="single" w:sz="22" w:space="0" w:color="D2D2D2"/>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29,835,972.64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108,527,240.55</w:t>
            </w:r>
          </w:p>
        </w:tc>
        <w:tc>
          <w:tcPr>
            <w:tcW w:w="1310"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8"/>
              <w:ind w:right="21"/>
              <w:jc w:val="right"/>
              <w:rPr>
                <w:rFonts w:ascii="Times New Roman" w:hAnsi="Times New Roman" w:cs="Times New Roman" w:eastAsia="Times New Roman" w:hint="default"/>
                <w:sz w:val="18"/>
                <w:szCs w:val="18"/>
              </w:rPr>
            </w:pPr>
            <w:r>
              <w:rPr>
                <w:rFonts w:ascii="Times New Roman"/>
                <w:spacing w:val="-1"/>
                <w:sz w:val="18"/>
              </w:rPr>
              <w:t>3,113,381,158.91</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6"/>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648,307,048.00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2,425,165,497.72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98,454,600.00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29,835,972.64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108,527,240.55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3,113,381,158.91</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259,322,819.00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-259,125,046.96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-10,663,590.00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-61,515,609.30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-50,654,247.26</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-61,515,609.30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-61,515,609.30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104,853.75</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-10,663,590.00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10,768,443.75</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104,853.75</w:t>
            </w: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104,853.75</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-10,663,590.00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10,663,590.00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24"/>
        <w:gridCol w:w="1182"/>
        <w:gridCol w:w="886"/>
        <w:gridCol w:w="886"/>
        <w:gridCol w:w="889"/>
        <w:gridCol w:w="1317"/>
        <w:gridCol w:w="1151"/>
        <w:gridCol w:w="1015"/>
        <w:gridCol w:w="1084"/>
        <w:gridCol w:w="1091"/>
        <w:gridCol w:w="1181"/>
        <w:gridCol w:w="1310"/>
      </w:tblGrid>
      <w:tr>
        <w:trPr>
          <w:trHeight w:val="729" w:hRule="exact"/>
        </w:trPr>
        <w:tc>
          <w:tcPr>
            <w:tcW w:w="20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转</w:t>
            </w:r>
          </w:p>
        </w:tc>
        <w:tc>
          <w:tcPr>
            <w:tcW w:w="11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259,322,819.00</w:t>
            </w:r>
          </w:p>
        </w:tc>
        <w:tc>
          <w:tcPr>
            <w:tcW w:w="886"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889" w:type="dxa"/>
            <w:tcBorders>
              <w:top w:val="single" w:sz="15" w:space="0" w:color="000000"/>
              <w:left w:val="single" w:sz="4" w:space="0" w:color="000000"/>
              <w:bottom w:val="single" w:sz="4" w:space="0" w:color="000000"/>
              <w:right w:val="single" w:sz="4" w:space="0" w:color="000000"/>
            </w:tcBorders>
          </w:tcPr>
          <w:p>
            <w:pPr/>
          </w:p>
        </w:tc>
        <w:tc>
          <w:tcPr>
            <w:tcW w:w="13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-259,322,819.00</w:t>
            </w:r>
          </w:p>
        </w:tc>
        <w:tc>
          <w:tcPr>
            <w:tcW w:w="1151" w:type="dxa"/>
            <w:tcBorders>
              <w:top w:val="single" w:sz="15" w:space="0" w:color="000000"/>
              <w:left w:val="single" w:sz="4" w:space="0" w:color="000000"/>
              <w:bottom w:val="single" w:sz="4" w:space="0" w:color="000000"/>
              <w:right w:val="single" w:sz="4" w:space="0" w:color="000000"/>
            </w:tcBorders>
          </w:tcPr>
          <w:p>
            <w:pPr/>
          </w:p>
        </w:tc>
        <w:tc>
          <w:tcPr>
            <w:tcW w:w="1015" w:type="dxa"/>
            <w:tcBorders>
              <w:top w:val="single" w:sz="15" w:space="0" w:color="000000"/>
              <w:left w:val="single" w:sz="4" w:space="0" w:color="000000"/>
              <w:bottom w:val="single" w:sz="4" w:space="0" w:color="000000"/>
              <w:right w:val="single" w:sz="4" w:space="0" w:color="000000"/>
            </w:tcBorders>
          </w:tcPr>
          <w:p>
            <w:pPr/>
          </w:p>
        </w:tc>
        <w:tc>
          <w:tcPr>
            <w:tcW w:w="1084"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0"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259,322,819.00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-259,322,819.00</w:t>
            </w: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92,918.29</w:t>
            </w:r>
          </w:p>
        </w:tc>
        <w:tc>
          <w:tcPr>
            <w:tcW w:w="1151"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92,918.29</w:t>
            </w: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907,629,867.00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2,166,040,450.76</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87,791,010.00</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29,835,972.64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47,011,631.25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3,062,726,911.65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001"/>
        <w:gridCol w:w="1193"/>
        <w:gridCol w:w="886"/>
        <w:gridCol w:w="886"/>
        <w:gridCol w:w="889"/>
        <w:gridCol w:w="1317"/>
        <w:gridCol w:w="1091"/>
        <w:gridCol w:w="1075"/>
        <w:gridCol w:w="1084"/>
        <w:gridCol w:w="1091"/>
        <w:gridCol w:w="1181"/>
        <w:gridCol w:w="1310"/>
      </w:tblGrid>
      <w:tr>
        <w:trPr>
          <w:trHeight w:val="397"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6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7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10"/>
              <w:ind w:left="441"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0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10"/>
              <w:ind w:left="560" w:right="108"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19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660" w:type="dxa"/>
            <w:gridSpan w:val="3"/>
            <w:vMerge/>
            <w:tcBorders>
              <w:left w:val="single" w:sz="4" w:space="0" w:color="000000"/>
              <w:bottom w:val="single" w:sz="4" w:space="0" w:color="000000"/>
              <w:right w:val="single" w:sz="4" w:space="0" w:color="000000"/>
            </w:tcBorders>
            <w:shd w:val="clear" w:color="auto" w:fill="D2D2D2"/>
          </w:tcPr>
          <w:p>
            <w:pPr/>
          </w:p>
        </w:tc>
        <w:tc>
          <w:tcPr>
            <w:tcW w:w="13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89"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075" w:type="dxa"/>
            <w:vMerge/>
            <w:tcBorders>
              <w:left w:val="single" w:sz="4" w:space="0" w:color="000000"/>
              <w:right w:val="single" w:sz="4" w:space="0" w:color="000000"/>
            </w:tcBorders>
            <w:shd w:val="clear" w:color="auto" w:fill="D2D2D2"/>
          </w:tcPr>
          <w:p>
            <w:pPr/>
          </w:p>
        </w:tc>
        <w:tc>
          <w:tcPr>
            <w:tcW w:w="10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0" w:type="dxa"/>
            <w:vMerge/>
            <w:tcBorders>
              <w:left w:val="single" w:sz="4" w:space="0" w:color="000000"/>
              <w:right w:val="single" w:sz="4" w:space="0" w:color="000000"/>
            </w:tcBorders>
            <w:shd w:val="clear" w:color="auto" w:fill="D2D2D2"/>
          </w:tcPr>
          <w:p>
            <w:pPr/>
          </w:p>
        </w:tc>
      </w:tr>
      <w:tr>
        <w:trPr>
          <w:trHeight w:val="200" w:hRule="exact"/>
        </w:trPr>
        <w:tc>
          <w:tcPr>
            <w:tcW w:w="2001" w:type="dxa"/>
            <w:vMerge w:val="restart"/>
            <w:tcBorders>
              <w:top w:val="nil" w:sz="6" w:space="0" w:color="auto"/>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6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16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2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7"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84"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181" w:type="dxa"/>
            <w:vMerge/>
            <w:tcBorders>
              <w:left w:val="single" w:sz="4" w:space="0" w:color="000000"/>
              <w:bottom w:val="nil" w:sz="6" w:space="0" w:color="auto"/>
              <w:right w:val="single" w:sz="4" w:space="0" w:color="000000"/>
            </w:tcBorders>
            <w:shd w:val="clear" w:color="auto" w:fill="D2D2D2"/>
          </w:tcPr>
          <w:p>
            <w:pPr/>
          </w:p>
        </w:tc>
        <w:tc>
          <w:tcPr>
            <w:tcW w:w="1310" w:type="dxa"/>
            <w:vMerge/>
            <w:tcBorders>
              <w:left w:val="single" w:sz="4" w:space="0" w:color="000000"/>
              <w:right w:val="single" w:sz="4" w:space="0" w:color="000000"/>
            </w:tcBorders>
            <w:shd w:val="clear" w:color="auto" w:fill="D2D2D2"/>
          </w:tcPr>
          <w:p>
            <w:pPr/>
          </w:p>
        </w:tc>
      </w:tr>
      <w:tr>
        <w:trPr>
          <w:trHeight w:val="206"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9" w:type="dxa"/>
            <w:vMerge/>
            <w:tcBorders>
              <w:left w:val="single" w:sz="4" w:space="0" w:color="000000"/>
              <w:bottom w:val="single" w:sz="4" w:space="0" w:color="000000"/>
              <w:right w:val="single" w:sz="4" w:space="0" w:color="000000"/>
            </w:tcBorders>
            <w:shd w:val="clear" w:color="auto" w:fill="D2D2D2"/>
          </w:tcPr>
          <w:p>
            <w:pPr/>
          </w:p>
        </w:tc>
        <w:tc>
          <w:tcPr>
            <w:tcW w:w="1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0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632,105,028.00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spacing w:val="-1"/>
                <w:sz w:val="18"/>
              </w:rPr>
              <w:t>2,368,136,821.17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24,954,234.60</w:t>
            </w:r>
          </w:p>
        </w:tc>
        <w:tc>
          <w:tcPr>
            <w:tcW w:w="1075" w:type="dxa"/>
            <w:tcBorders>
              <w:top w:val="single" w:sz="18" w:space="0" w:color="D2D2D2"/>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29,019,070.57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113,671,623.29</w:t>
            </w:r>
          </w:p>
        </w:tc>
        <w:tc>
          <w:tcPr>
            <w:tcW w:w="1310"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82"/>
              <w:ind w:right="21"/>
              <w:jc w:val="right"/>
              <w:rPr>
                <w:rFonts w:ascii="Times New Roman" w:hAnsi="Times New Roman" w:cs="Times New Roman" w:eastAsia="Times New Roman" w:hint="default"/>
                <w:sz w:val="18"/>
                <w:szCs w:val="18"/>
              </w:rPr>
            </w:pPr>
            <w:r>
              <w:rPr>
                <w:rFonts w:ascii="Times New Roman"/>
                <w:spacing w:val="-1"/>
                <w:sz w:val="18"/>
              </w:rPr>
              <w:t>3,117,978,308.43</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166"/>
              <w:jc w:val="center"/>
              <w:rPr>
                <w:rFonts w:ascii="宋体" w:hAnsi="宋体" w:cs="宋体" w:eastAsia="宋体" w:hint="default"/>
                <w:sz w:val="18"/>
                <w:szCs w:val="18"/>
              </w:rPr>
            </w:pP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632,105,028.00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
              <w:jc w:val="right"/>
              <w:rPr>
                <w:rFonts w:ascii="Times New Roman" w:hAnsi="Times New Roman" w:cs="Times New Roman" w:eastAsia="Times New Roman" w:hint="default"/>
                <w:sz w:val="18"/>
                <w:szCs w:val="18"/>
              </w:rPr>
            </w:pPr>
            <w:r>
              <w:rPr>
                <w:rFonts w:ascii="Times New Roman"/>
                <w:spacing w:val="-1"/>
                <w:sz w:val="18"/>
              </w:rPr>
              <w:t>2,368,136,821.17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24,954,234.60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29,019,070.57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113,671,623.29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3,117,978,308.43</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16,202,020.00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57,028,676.55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73,500,365.40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816,902.07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-5,144,382.74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-4,597,149.52</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8,169,020.69</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8,169,020.69</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1" w:right="9"/>
              <w:jc w:val="left"/>
              <w:rPr>
                <w:rFonts w:ascii="宋体" w:hAnsi="宋体" w:cs="宋体" w:eastAsia="宋体" w:hint="default"/>
                <w:sz w:val="18"/>
                <w:szCs w:val="18"/>
              </w:rPr>
            </w:pPr>
            <w:r>
              <w:rPr>
                <w:rFonts w:ascii="宋体" w:hAnsi="宋体" w:cs="宋体" w:eastAsia="宋体" w:hint="default"/>
                <w:spacing w:val="-2"/>
                <w:sz w:val="18"/>
                <w:szCs w:val="18"/>
              </w:rPr>
              <w:t>（二）所有者投入和减少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资本</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16,202,020.00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57,028,676.55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73,500,365.40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-269,668.85</w:t>
            </w:r>
            <w:r>
              <w:rPr>
                <w:rFonts w:ascii="Times New Roman"/>
                <w:sz w:val="18"/>
              </w:rPr>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16,202,020.00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57,009,265.80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73,211,285.80</w:t>
            </w: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 投入资本</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 权益的金额</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19,410.75</w:t>
            </w: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19,410.75</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73,500,365.40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-73,500,365.40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816,902.07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-13,313,403.43</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-12,496,501.36</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z w:val="18"/>
              </w:rPr>
              <w:t>816,902.07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w w:val="95"/>
                <w:sz w:val="18"/>
              </w:rPr>
              <w:t>-816,902.07</w:t>
            </w:r>
            <w:r>
              <w:rPr>
                <w:rFonts w:ascii="Times New Roman"/>
                <w:sz w:val="18"/>
              </w:rPr>
            </w: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193"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-12,496,501.36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-12,496,501.36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260" w:left="1300" w:right="1300"/>
        </w:sectPr>
      </w:pPr>
    </w:p>
    <w:p>
      <w:pPr>
        <w:spacing w:line="240" w:lineRule="auto" w:before="4"/>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024"/>
        <w:gridCol w:w="1182"/>
        <w:gridCol w:w="886"/>
        <w:gridCol w:w="886"/>
        <w:gridCol w:w="889"/>
        <w:gridCol w:w="1317"/>
        <w:gridCol w:w="1091"/>
        <w:gridCol w:w="1075"/>
        <w:gridCol w:w="1084"/>
        <w:gridCol w:w="1091"/>
        <w:gridCol w:w="1181"/>
        <w:gridCol w:w="1310"/>
      </w:tblGrid>
      <w:tr>
        <w:trPr>
          <w:trHeight w:val="416" w:hRule="exact"/>
        </w:trPr>
        <w:tc>
          <w:tcPr>
            <w:tcW w:w="20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182"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886" w:type="dxa"/>
            <w:tcBorders>
              <w:top w:val="single" w:sz="15" w:space="0" w:color="000000"/>
              <w:left w:val="single" w:sz="4" w:space="0" w:color="000000"/>
              <w:bottom w:val="single" w:sz="4" w:space="0" w:color="000000"/>
              <w:right w:val="single" w:sz="4" w:space="0" w:color="000000"/>
            </w:tcBorders>
          </w:tcPr>
          <w:p>
            <w:pPr/>
          </w:p>
        </w:tc>
        <w:tc>
          <w:tcPr>
            <w:tcW w:w="889" w:type="dxa"/>
            <w:tcBorders>
              <w:top w:val="single" w:sz="15" w:space="0" w:color="000000"/>
              <w:left w:val="single" w:sz="4" w:space="0" w:color="000000"/>
              <w:bottom w:val="single" w:sz="4" w:space="0" w:color="000000"/>
              <w:right w:val="single" w:sz="4" w:space="0" w:color="000000"/>
            </w:tcBorders>
          </w:tcPr>
          <w:p>
            <w:pPr/>
          </w:p>
        </w:tc>
        <w:tc>
          <w:tcPr>
            <w:tcW w:w="1317"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075" w:type="dxa"/>
            <w:tcBorders>
              <w:top w:val="single" w:sz="15" w:space="0" w:color="000000"/>
              <w:left w:val="single" w:sz="4" w:space="0" w:color="000000"/>
              <w:bottom w:val="single" w:sz="4" w:space="0" w:color="000000"/>
              <w:right w:val="single" w:sz="4" w:space="0" w:color="000000"/>
            </w:tcBorders>
          </w:tcPr>
          <w:p>
            <w:pPr/>
          </w:p>
        </w:tc>
        <w:tc>
          <w:tcPr>
            <w:tcW w:w="1084" w:type="dxa"/>
            <w:tcBorders>
              <w:top w:val="single" w:sz="15" w:space="0" w:color="000000"/>
              <w:left w:val="single" w:sz="4" w:space="0" w:color="000000"/>
              <w:bottom w:val="single" w:sz="4" w:space="0" w:color="000000"/>
              <w:right w:val="single" w:sz="4" w:space="0" w:color="000000"/>
            </w:tcBorders>
          </w:tcPr>
          <w:p>
            <w:pPr/>
          </w:p>
        </w:tc>
        <w:tc>
          <w:tcPr>
            <w:tcW w:w="1091" w:type="dxa"/>
            <w:tcBorders>
              <w:top w:val="single" w:sz="15" w:space="0" w:color="000000"/>
              <w:left w:val="single" w:sz="4" w:space="0" w:color="000000"/>
              <w:bottom w:val="single" w:sz="4" w:space="0" w:color="000000"/>
              <w:right w:val="single" w:sz="4" w:space="0" w:color="000000"/>
            </w:tcBorders>
          </w:tcPr>
          <w:p>
            <w:pPr/>
          </w:p>
        </w:tc>
        <w:tc>
          <w:tcPr>
            <w:tcW w:w="1181" w:type="dxa"/>
            <w:tcBorders>
              <w:top w:val="single" w:sz="15" w:space="0" w:color="000000"/>
              <w:left w:val="single" w:sz="4" w:space="0" w:color="000000"/>
              <w:bottom w:val="single" w:sz="4" w:space="0" w:color="000000"/>
              <w:right w:val="single" w:sz="4" w:space="0" w:color="000000"/>
            </w:tcBorders>
          </w:tcPr>
          <w:p>
            <w:pPr/>
          </w:p>
        </w:tc>
        <w:tc>
          <w:tcPr>
            <w:tcW w:w="1310"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（四）所有者权益内部结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转</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．资本公积转增资本（或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．盈余公积转增资本（或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 结转留存收益</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182"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648,307,048.00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2,425,165,497.72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98,454,600.00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29,835,972.64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108,527,240.55</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3,113,381,158.91</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pStyle w:val="Heading2"/>
        <w:spacing w:line="240" w:lineRule="auto" w:before="26"/>
        <w:ind w:right="0"/>
        <w:jc w:val="both"/>
        <w:rPr>
          <w:b w:val="0"/>
          <w:bCs w:val="0"/>
        </w:rPr>
      </w:pPr>
      <w:bookmarkStart w:name="三、公司基本情况" w:id="185"/>
      <w:bookmarkEnd w:id="185"/>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left="577" w:right="1118" w:hanging="424"/>
        <w:jc w:val="left"/>
      </w:pPr>
      <w:r>
        <w:rPr>
          <w:rFonts w:ascii="宋体" w:hAnsi="宋体" w:cs="宋体" w:eastAsia="宋体" w:hint="default"/>
          <w:b/>
          <w:bCs/>
        </w:rPr>
        <w:t>（一）公司概况</w:t>
      </w:r>
      <w:r>
        <w:rPr>
          <w:rFonts w:ascii="宋体" w:hAnsi="宋体" w:cs="宋体" w:eastAsia="宋体" w:hint="default"/>
          <w:b/>
          <w:bCs/>
          <w:w w:val="99"/>
        </w:rPr>
        <w:t> </w:t>
      </w:r>
      <w:r>
        <w:rPr>
          <w:spacing w:val="-1"/>
        </w:rPr>
        <w:t>大唐高鸿数据网络技术股份有限公司（以下简称“本公司”或“公司”）原名贵州中国第七砂轮股份</w:t>
      </w:r>
    </w:p>
    <w:p>
      <w:pPr>
        <w:pStyle w:val="BodyText"/>
        <w:spacing w:line="273" w:lineRule="auto"/>
        <w:ind w:right="1130"/>
        <w:jc w:val="both"/>
      </w:pPr>
      <w:r>
        <w:rPr>
          <w:spacing w:val="-1"/>
        </w:rPr>
        <w:t>有限公司，系经贵州省经济体制改革委员会于</w:t>
      </w:r>
      <w:r>
        <w:rPr>
          <w:rFonts w:ascii="宋体" w:hAnsi="宋体" w:cs="宋体" w:eastAsia="宋体" w:hint="default"/>
          <w:spacing w:val="-1"/>
        </w:rPr>
        <w:t>1992</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28</w:t>
      </w:r>
      <w:r>
        <w:rPr>
          <w:spacing w:val="-1"/>
        </w:rPr>
        <w:t>日以黔体改股字（</w:t>
      </w:r>
      <w:r>
        <w:rPr>
          <w:rFonts w:ascii="宋体" w:hAnsi="宋体" w:cs="宋体" w:eastAsia="宋体" w:hint="default"/>
          <w:spacing w:val="-1"/>
        </w:rPr>
        <w:t>1992</w:t>
      </w:r>
      <w:r>
        <w:rPr>
          <w:spacing w:val="-1"/>
        </w:rPr>
        <w:t>）</w:t>
      </w:r>
      <w:r>
        <w:rPr>
          <w:rFonts w:ascii="宋体" w:hAnsi="宋体" w:cs="宋体" w:eastAsia="宋体" w:hint="default"/>
          <w:spacing w:val="-1"/>
        </w:rPr>
        <w:t>26</w:t>
      </w:r>
      <w:r>
        <w:rPr>
          <w:spacing w:val="-1"/>
        </w:rPr>
        <w:t>号文批准，由中国</w:t>
      </w:r>
      <w:r>
        <w:rPr>
          <w:spacing w:val="-83"/>
        </w:rPr>
        <w:t> </w:t>
      </w:r>
      <w:r>
        <w:rPr>
          <w:spacing w:val="-83"/>
        </w:rPr>
      </w:r>
      <w:r>
        <w:rPr>
          <w:spacing w:val="-1"/>
        </w:rPr>
        <w:t>七砂集团有限责任公司（原中国第七砂轮厂，以下简称“七砂集团”）、中国第六砂轮厂（现已并入“七</w:t>
      </w:r>
      <w:r>
        <w:rPr>
          <w:spacing w:val="-83"/>
        </w:rPr>
        <w:t> </w:t>
      </w:r>
      <w:r>
        <w:rPr>
          <w:spacing w:val="-83"/>
        </w:rPr>
      </w:r>
      <w:r>
        <w:rPr>
          <w:spacing w:val="-3"/>
        </w:rPr>
        <w:t>砂集团”）及贵州省电力局共同发起，以定向募集方式设立的股份有限公司，于</w:t>
      </w:r>
      <w:r>
        <w:rPr>
          <w:rFonts w:ascii="宋体" w:hAnsi="宋体" w:cs="宋体" w:eastAsia="宋体" w:hint="default"/>
          <w:spacing w:val="-3"/>
        </w:rPr>
        <w:t>1994</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20</w:t>
      </w:r>
      <w:r>
        <w:rPr>
          <w:spacing w:val="-3"/>
        </w:rPr>
        <w:t>日正式成立，</w:t>
      </w:r>
      <w:r>
        <w:rPr>
          <w:spacing w:val="-85"/>
        </w:rPr>
        <w:t> </w:t>
      </w:r>
      <w:r>
        <w:rPr>
          <w:spacing w:val="-85"/>
        </w:rPr>
      </w:r>
      <w:r>
        <w:rPr/>
        <w:t>企业法人营业执照注册号为</w:t>
      </w:r>
      <w:r>
        <w:rPr>
          <w:rFonts w:ascii="宋体" w:hAnsi="宋体" w:cs="宋体" w:eastAsia="宋体" w:hint="default"/>
        </w:rPr>
        <w:t>21443062</w:t>
      </w:r>
      <w:r>
        <w:rPr/>
        <w:t>，本公司设立时的股本为人民币</w:t>
      </w:r>
      <w:r>
        <w:rPr>
          <w:rFonts w:ascii="宋体" w:hAnsi="宋体" w:cs="宋体" w:eastAsia="宋体" w:hint="default"/>
        </w:rPr>
        <w:t>6,252</w:t>
      </w:r>
      <w:r>
        <w:rPr/>
        <w:t>万元。</w:t>
      </w:r>
    </w:p>
    <w:p>
      <w:pPr>
        <w:pStyle w:val="BodyText"/>
        <w:spacing w:line="273" w:lineRule="auto"/>
        <w:ind w:right="1127" w:firstLine="423"/>
        <w:jc w:val="both"/>
      </w:pPr>
      <w:r>
        <w:rPr>
          <w:rFonts w:ascii="宋体" w:hAnsi="宋体" w:cs="宋体" w:eastAsia="宋体" w:hint="default"/>
        </w:rPr>
        <w:t>1995</w:t>
      </w:r>
      <w:r>
        <w:rPr/>
        <w:t>年</w:t>
      </w:r>
      <w:r>
        <w:rPr>
          <w:rFonts w:ascii="宋体" w:hAnsi="宋体" w:cs="宋体" w:eastAsia="宋体" w:hint="default"/>
        </w:rPr>
        <w:t>9</w:t>
      </w:r>
      <w:r>
        <w:rPr/>
        <w:t>月</w:t>
      </w:r>
      <w:r>
        <w:rPr>
          <w:rFonts w:ascii="宋体" w:hAnsi="宋体" w:cs="宋体" w:eastAsia="宋体" w:hint="default"/>
        </w:rPr>
        <w:t>6</w:t>
      </w:r>
      <w:r>
        <w:rPr/>
        <w:t>日，经本公司临时股东大会特别会议决议，并经贵州省体改委以黔体改企字</w:t>
      </w:r>
      <w:r>
        <w:rPr>
          <w:rFonts w:ascii="宋体" w:hAnsi="宋体" w:cs="宋体" w:eastAsia="宋体" w:hint="default"/>
        </w:rPr>
        <w:t>[1995]9</w:t>
      </w:r>
      <w:r>
        <w:rPr/>
        <w:t>号文</w:t>
      </w:r>
      <w:r>
        <w:rPr>
          <w:spacing w:val="3"/>
        </w:rPr>
        <w:t> </w:t>
      </w:r>
      <w:r>
        <w:rPr/>
        <w:t>批准、贵州省国有资产管理办公室以黔国资综评确</w:t>
      </w:r>
      <w:r>
        <w:rPr>
          <w:rFonts w:ascii="宋体" w:hAnsi="宋体" w:cs="宋体" w:eastAsia="宋体" w:hint="default"/>
        </w:rPr>
        <w:t>[1995]103</w:t>
      </w:r>
      <w:r>
        <w:rPr/>
        <w:t>号文确认，本公司以增资扩股方式吸收了七</w:t>
      </w:r>
      <w:r>
        <w:rPr>
          <w:spacing w:val="-31"/>
        </w:rPr>
        <w:t> </w:t>
      </w:r>
      <w:r>
        <w:rPr>
          <w:spacing w:val="-31"/>
        </w:rPr>
      </w:r>
      <w:r>
        <w:rPr>
          <w:spacing w:val="-1"/>
        </w:rPr>
        <w:t>砂集团下属的磨料生产线等经营性资产及第七砂轮厂进出口公司的全部资产及相关负债，从而扩大本公司</w:t>
      </w:r>
      <w:r>
        <w:rPr>
          <w:spacing w:val="-81"/>
        </w:rPr>
        <w:t> </w:t>
      </w:r>
      <w:r>
        <w:rPr>
          <w:spacing w:val="-81"/>
        </w:rPr>
      </w:r>
      <w:r>
        <w:rPr/>
        <w:t>的经营规模。经此次增资后，本公司股本增加为人民币</w:t>
      </w:r>
      <w:r>
        <w:rPr>
          <w:rFonts w:ascii="宋体" w:hAnsi="宋体" w:cs="宋体" w:eastAsia="宋体" w:hint="default"/>
        </w:rPr>
        <w:t>12,800</w:t>
      </w:r>
      <w:r>
        <w:rPr/>
        <w:t>万元。</w:t>
      </w:r>
    </w:p>
    <w:p>
      <w:pPr>
        <w:pStyle w:val="BodyText"/>
        <w:spacing w:line="273" w:lineRule="auto"/>
        <w:ind w:right="1127" w:firstLine="423"/>
        <w:jc w:val="both"/>
      </w:pPr>
      <w:r>
        <w:rPr>
          <w:rFonts w:ascii="宋体" w:hAnsi="宋体" w:cs="宋体" w:eastAsia="宋体" w:hint="default"/>
        </w:rPr>
        <w:t>1997</w:t>
      </w:r>
      <w:r>
        <w:rPr/>
        <w:t>年</w:t>
      </w:r>
      <w:r>
        <w:rPr>
          <w:rFonts w:ascii="宋体" w:hAnsi="宋体" w:cs="宋体" w:eastAsia="宋体" w:hint="default"/>
        </w:rPr>
        <w:t>7</w:t>
      </w:r>
      <w:r>
        <w:rPr/>
        <w:t>月</w:t>
      </w:r>
      <w:r>
        <w:rPr>
          <w:rFonts w:ascii="宋体" w:hAnsi="宋体" w:cs="宋体" w:eastAsia="宋体" w:hint="default"/>
        </w:rPr>
        <w:t>18</w:t>
      </w:r>
      <w:r>
        <w:rPr/>
        <w:t>日，本公司经贵州省人民政府以黔府函</w:t>
      </w:r>
      <w:r>
        <w:rPr>
          <w:rFonts w:ascii="宋体" w:hAnsi="宋体" w:cs="宋体" w:eastAsia="宋体" w:hint="default"/>
        </w:rPr>
        <w:t>[1997]151</w:t>
      </w:r>
      <w:r>
        <w:rPr/>
        <w:t>号文审核批准，并于</w:t>
      </w:r>
      <w:r>
        <w:rPr>
          <w:rFonts w:ascii="宋体" w:hAnsi="宋体" w:cs="宋体" w:eastAsia="宋体" w:hint="default"/>
        </w:rPr>
        <w:t>1998</w:t>
      </w:r>
      <w:r>
        <w:rPr/>
        <w:t>年</w:t>
      </w:r>
      <w:r>
        <w:rPr>
          <w:rFonts w:ascii="宋体" w:hAnsi="宋体" w:cs="宋体" w:eastAsia="宋体" w:hint="default"/>
        </w:rPr>
        <w:t>4</w:t>
      </w:r>
      <w:r>
        <w:rPr/>
        <w:t>月</w:t>
      </w:r>
      <w:r>
        <w:rPr>
          <w:rFonts w:ascii="宋体" w:hAnsi="宋体" w:cs="宋体" w:eastAsia="宋体" w:hint="default"/>
        </w:rPr>
        <w:t>21</w:t>
      </w:r>
      <w:r>
        <w:rPr/>
        <w:t>日经</w:t>
      </w:r>
      <w:r>
        <w:rPr>
          <w:spacing w:val="2"/>
        </w:rPr>
        <w:t> </w:t>
      </w:r>
      <w:r>
        <w:rPr/>
        <w:t>中国证券监督管理委员会以证监发字</w:t>
      </w:r>
      <w:r>
        <w:rPr>
          <w:rFonts w:ascii="宋体" w:hAnsi="宋体" w:cs="宋体" w:eastAsia="宋体" w:hint="default"/>
        </w:rPr>
        <w:t>[1998]75</w:t>
      </w:r>
      <w:r>
        <w:rPr/>
        <w:t>号文审核批复，于</w:t>
      </w:r>
      <w:r>
        <w:rPr>
          <w:rFonts w:ascii="宋体" w:hAnsi="宋体" w:cs="宋体" w:eastAsia="宋体" w:hint="default"/>
        </w:rPr>
        <w:t>1998</w:t>
      </w:r>
      <w:r>
        <w:rPr/>
        <w:t>年</w:t>
      </w:r>
      <w:r>
        <w:rPr>
          <w:rFonts w:ascii="宋体" w:hAnsi="宋体" w:cs="宋体" w:eastAsia="宋体" w:hint="default"/>
        </w:rPr>
        <w:t>4</w:t>
      </w:r>
      <w:r>
        <w:rPr/>
        <w:t>月</w:t>
      </w:r>
      <w:r>
        <w:rPr>
          <w:rFonts w:ascii="宋体" w:hAnsi="宋体" w:cs="宋体" w:eastAsia="宋体" w:hint="default"/>
        </w:rPr>
        <w:t>27</w:t>
      </w:r>
      <w:r>
        <w:rPr/>
        <w:t>日向社会公开发行人民币普</w:t>
      </w:r>
      <w:r>
        <w:rPr>
          <w:spacing w:val="-30"/>
        </w:rPr>
        <w:t> </w:t>
      </w:r>
      <w:r>
        <w:rPr>
          <w:spacing w:val="-30"/>
        </w:rPr>
      </w:r>
      <w:r>
        <w:rPr>
          <w:spacing w:val="-1"/>
        </w:rPr>
        <w:t>通股</w:t>
      </w:r>
      <w:r>
        <w:rPr>
          <w:rFonts w:ascii="宋体" w:hAnsi="宋体" w:cs="宋体" w:eastAsia="宋体" w:hint="default"/>
          <w:spacing w:val="-1"/>
        </w:rPr>
        <w:t>4,500</w:t>
      </w:r>
      <w:r>
        <w:rPr>
          <w:spacing w:val="-1"/>
        </w:rPr>
        <w:t>万股，股本总额增加为</w:t>
      </w:r>
      <w:r>
        <w:rPr>
          <w:rFonts w:ascii="宋体" w:hAnsi="宋体" w:cs="宋体" w:eastAsia="宋体" w:hint="default"/>
          <w:spacing w:val="-1"/>
        </w:rPr>
        <w:t>17,300</w:t>
      </w:r>
      <w:r>
        <w:rPr>
          <w:spacing w:val="-1"/>
        </w:rPr>
        <w:t>万元。本公司</w:t>
      </w:r>
      <w:r>
        <w:rPr>
          <w:rFonts w:ascii="宋体" w:hAnsi="宋体" w:cs="宋体" w:eastAsia="宋体" w:hint="default"/>
          <w:spacing w:val="-1"/>
        </w:rPr>
        <w:t>4,500</w:t>
      </w:r>
      <w:r>
        <w:rPr>
          <w:spacing w:val="-1"/>
        </w:rPr>
        <w:t>万股人民币普通股于</w:t>
      </w:r>
      <w:r>
        <w:rPr>
          <w:rFonts w:ascii="宋体" w:hAnsi="宋体" w:cs="宋体" w:eastAsia="宋体" w:hint="default"/>
          <w:spacing w:val="-1"/>
        </w:rPr>
        <w:t>1998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9</w:t>
      </w:r>
      <w:r>
        <w:rPr>
          <w:spacing w:val="-1"/>
        </w:rPr>
        <w:t>日在深圳证券</w:t>
      </w:r>
      <w:r>
        <w:rPr>
          <w:spacing w:val="-77"/>
        </w:rPr>
        <w:t> </w:t>
      </w:r>
      <w:r>
        <w:rPr>
          <w:spacing w:val="-77"/>
        </w:rPr>
      </w:r>
      <w:r>
        <w:rPr/>
        <w:t>交易所挂牌上市交易。</w:t>
      </w:r>
    </w:p>
    <w:p>
      <w:pPr>
        <w:pStyle w:val="BodyText"/>
        <w:spacing w:line="273" w:lineRule="auto"/>
        <w:ind w:right="1132" w:firstLine="423"/>
        <w:jc w:val="both"/>
      </w:pPr>
      <w:r>
        <w:rPr>
          <w:spacing w:val="-1"/>
        </w:rPr>
        <w:t>本公司于</w:t>
      </w:r>
      <w:r>
        <w:rPr>
          <w:rFonts w:ascii="宋体" w:hAnsi="宋体" w:cs="宋体" w:eastAsia="宋体" w:hint="default"/>
          <w:spacing w:val="-1"/>
        </w:rPr>
        <w:t>2000</w:t>
      </w:r>
      <w:r>
        <w:rPr>
          <w:spacing w:val="-1"/>
        </w:rPr>
        <w:t>年向所有股东按每</w:t>
      </w:r>
      <w:r>
        <w:rPr>
          <w:rFonts w:ascii="宋体" w:hAnsi="宋体" w:cs="宋体" w:eastAsia="宋体" w:hint="default"/>
          <w:spacing w:val="-1"/>
        </w:rPr>
        <w:t>10</w:t>
      </w:r>
      <w:r>
        <w:rPr>
          <w:spacing w:val="-1"/>
        </w:rPr>
        <w:t>股送</w:t>
      </w:r>
      <w:r>
        <w:rPr>
          <w:rFonts w:ascii="宋体" w:hAnsi="宋体" w:cs="宋体" w:eastAsia="宋体" w:hint="default"/>
          <w:spacing w:val="-1"/>
        </w:rPr>
        <w:t>3</w:t>
      </w:r>
      <w:r>
        <w:rPr>
          <w:spacing w:val="-1"/>
        </w:rPr>
        <w:t>股红股，共送出</w:t>
      </w:r>
      <w:r>
        <w:rPr>
          <w:rFonts w:ascii="宋体" w:hAnsi="宋体" w:cs="宋体" w:eastAsia="宋体" w:hint="default"/>
          <w:spacing w:val="-1"/>
        </w:rPr>
        <w:t>5,190</w:t>
      </w:r>
      <w:r>
        <w:rPr>
          <w:spacing w:val="-1"/>
        </w:rPr>
        <w:t>万股，经此次送股后，本公司股本增至</w:t>
      </w:r>
      <w:r>
        <w:rPr/>
        <w:t> </w:t>
      </w:r>
      <w:r>
        <w:rPr>
          <w:rFonts w:ascii="宋体" w:hAnsi="宋体" w:cs="宋体" w:eastAsia="宋体" w:hint="default"/>
        </w:rPr>
        <w:t>22,490</w:t>
      </w:r>
      <w:r>
        <w:rPr/>
        <w:t>万元。</w:t>
      </w:r>
    </w:p>
    <w:p>
      <w:pPr>
        <w:pStyle w:val="BodyText"/>
        <w:spacing w:line="273" w:lineRule="auto"/>
        <w:ind w:right="1137" w:firstLine="423"/>
        <w:jc w:val="both"/>
      </w:pPr>
      <w:r>
        <w:rPr>
          <w:rFonts w:ascii="宋体" w:hAnsi="宋体" w:cs="宋体" w:eastAsia="宋体" w:hint="default"/>
        </w:rPr>
        <w:t>2003</w:t>
      </w:r>
      <w:r>
        <w:rPr/>
        <w:t>年</w:t>
      </w:r>
      <w:r>
        <w:rPr>
          <w:rFonts w:ascii="宋体" w:hAnsi="宋体" w:cs="宋体" w:eastAsia="宋体" w:hint="default"/>
        </w:rPr>
        <w:t>3</w:t>
      </w:r>
      <w:r>
        <w:rPr/>
        <w:t>月</w:t>
      </w:r>
      <w:r>
        <w:rPr>
          <w:rFonts w:ascii="宋体" w:hAnsi="宋体" w:cs="宋体" w:eastAsia="宋体" w:hint="default"/>
        </w:rPr>
        <w:t>3</w:t>
      </w:r>
      <w:r>
        <w:rPr/>
        <w:t>日，经财政部财企（</w:t>
      </w:r>
      <w:r>
        <w:rPr>
          <w:rFonts w:ascii="宋体" w:hAnsi="宋体" w:cs="宋体" w:eastAsia="宋体" w:hint="default"/>
        </w:rPr>
        <w:t>2002</w:t>
      </w:r>
      <w:r>
        <w:rPr/>
        <w:t>）</w:t>
      </w:r>
      <w:r>
        <w:rPr>
          <w:rFonts w:ascii="宋体" w:hAnsi="宋体" w:cs="宋体" w:eastAsia="宋体" w:hint="default"/>
        </w:rPr>
        <w:t>532</w:t>
      </w:r>
      <w:r>
        <w:rPr/>
        <w:t>号文件批准，贵州达众磨料磨具有限责任公司（以下简称 “达众公司”）受让七砂集团持有的本公司国家股</w:t>
      </w:r>
      <w:r>
        <w:rPr>
          <w:rFonts w:ascii="宋体" w:hAnsi="宋体" w:cs="宋体" w:eastAsia="宋体" w:hint="default"/>
        </w:rPr>
        <w:t>6,728.341</w:t>
      </w:r>
      <w:r>
        <w:rPr/>
        <w:t>万股。</w:t>
      </w:r>
    </w:p>
    <w:p>
      <w:pPr>
        <w:pStyle w:val="BodyText"/>
        <w:spacing w:line="273" w:lineRule="auto"/>
        <w:ind w:right="1130" w:firstLine="423"/>
        <w:jc w:val="both"/>
      </w:pPr>
      <w:r>
        <w:rPr>
          <w:rFonts w:ascii="宋体" w:hAnsi="宋体" w:cs="宋体" w:eastAsia="宋体" w:hint="default"/>
        </w:rPr>
        <w:t>2003</w:t>
      </w:r>
      <w:r>
        <w:rPr/>
        <w:t>年</w:t>
      </w:r>
      <w:r>
        <w:rPr>
          <w:rFonts w:ascii="宋体" w:hAnsi="宋体" w:cs="宋体" w:eastAsia="宋体" w:hint="default"/>
        </w:rPr>
        <w:t>3</w:t>
      </w:r>
      <w:r>
        <w:rPr/>
        <w:t>月</w:t>
      </w:r>
      <w:r>
        <w:rPr>
          <w:rFonts w:ascii="宋体" w:hAnsi="宋体" w:cs="宋体" w:eastAsia="宋体" w:hint="default"/>
        </w:rPr>
        <w:t>27</w:t>
      </w:r>
      <w:r>
        <w:rPr/>
        <w:t>日，经财政部财企（</w:t>
      </w:r>
      <w:r>
        <w:rPr>
          <w:rFonts w:ascii="宋体" w:hAnsi="宋体" w:cs="宋体" w:eastAsia="宋体" w:hint="default"/>
        </w:rPr>
        <w:t>2003</w:t>
      </w:r>
      <w:r>
        <w:rPr/>
        <w:t>）</w:t>
      </w:r>
      <w:r>
        <w:rPr>
          <w:rFonts w:ascii="宋体" w:hAnsi="宋体" w:cs="宋体" w:eastAsia="宋体" w:hint="default"/>
        </w:rPr>
        <w:t>127</w:t>
      </w:r>
      <w:r>
        <w:rPr/>
        <w:t>号文件批准，达众公司拟将持有</w:t>
      </w:r>
      <w:r>
        <w:rPr>
          <w:rFonts w:ascii="宋体" w:hAnsi="宋体" w:cs="宋体" w:eastAsia="宋体" w:hint="default"/>
        </w:rPr>
        <w:t>6,728.341</w:t>
      </w:r>
      <w:r>
        <w:rPr/>
        <w:t>万股国家股中 </w:t>
      </w:r>
      <w:r>
        <w:rPr>
          <w:spacing w:val="-1"/>
        </w:rPr>
        <w:t>的</w:t>
      </w:r>
      <w:r>
        <w:rPr>
          <w:rFonts w:ascii="宋体" w:hAnsi="宋体" w:cs="宋体" w:eastAsia="宋体" w:hint="default"/>
          <w:spacing w:val="-1"/>
        </w:rPr>
        <w:t>5,282.8491</w:t>
      </w:r>
      <w:r>
        <w:rPr>
          <w:spacing w:val="-1"/>
        </w:rPr>
        <w:t>万股转让给电信科学技术研究院有限公司（以下简称“电信院”），占总股本的</w:t>
      </w:r>
      <w:r>
        <w:rPr>
          <w:rFonts w:ascii="宋体" w:hAnsi="宋体" w:cs="宋体" w:eastAsia="宋体" w:hint="default"/>
          <w:spacing w:val="-1"/>
        </w:rPr>
        <w:t>23.49%</w:t>
      </w:r>
      <w:r>
        <w:rPr>
          <w:spacing w:val="-1"/>
        </w:rPr>
        <w:t>，股</w:t>
      </w:r>
      <w:r>
        <w:rPr>
          <w:spacing w:val="-82"/>
        </w:rPr>
        <w:t> </w:t>
      </w:r>
      <w:r>
        <w:rPr/>
        <w:t>份性质为国有法人股；拟将</w:t>
      </w:r>
      <w:r>
        <w:rPr>
          <w:rFonts w:ascii="宋体" w:hAnsi="宋体" w:cs="宋体" w:eastAsia="宋体" w:hint="default"/>
        </w:rPr>
        <w:t>1,445.4919</w:t>
      </w:r>
      <w:r>
        <w:rPr/>
        <w:t>万股转让给大唐电信科技股份有限公司，占总股本的</w:t>
      </w:r>
      <w:r>
        <w:rPr>
          <w:rFonts w:ascii="宋体" w:hAnsi="宋体" w:cs="宋体" w:eastAsia="宋体" w:hint="default"/>
        </w:rPr>
        <w:t>6.43%</w:t>
      </w:r>
      <w:r>
        <w:rPr/>
        <w:t>，股份</w:t>
      </w:r>
      <w:r>
        <w:rPr>
          <w:spacing w:val="-25"/>
        </w:rPr>
        <w:t> </w:t>
      </w:r>
      <w:r>
        <w:rPr>
          <w:spacing w:val="-25"/>
        </w:rPr>
      </w:r>
      <w:r>
        <w:rPr/>
        <w:t>性质为社会法人股。但在批准文件有效期内未能完成股权过户手续。</w:t>
      </w:r>
    </w:p>
    <w:p>
      <w:pPr>
        <w:pStyle w:val="BodyText"/>
        <w:spacing w:line="273" w:lineRule="auto"/>
        <w:ind w:right="1139" w:firstLine="423"/>
        <w:jc w:val="both"/>
      </w:pPr>
      <w:r>
        <w:rPr>
          <w:rFonts w:ascii="宋体" w:hAnsi="宋体" w:cs="宋体" w:eastAsia="宋体" w:hint="default"/>
        </w:rPr>
        <w:t>2003</w:t>
      </w:r>
      <w:r>
        <w:rPr/>
        <w:t>年</w:t>
      </w:r>
      <w:r>
        <w:rPr>
          <w:rFonts w:ascii="宋体" w:hAnsi="宋体" w:cs="宋体" w:eastAsia="宋体" w:hint="default"/>
        </w:rPr>
        <w:t>5</w:t>
      </w:r>
      <w:r>
        <w:rPr/>
        <w:t>月</w:t>
      </w:r>
      <w:r>
        <w:rPr>
          <w:rFonts w:ascii="宋体" w:hAnsi="宋体" w:cs="宋体" w:eastAsia="宋体" w:hint="default"/>
        </w:rPr>
        <w:t>12</w:t>
      </w:r>
      <w:r>
        <w:rPr/>
        <w:t>日，经股东大会批准，本公司以所拥有的从事磨料磨具业务的资产（包含相关负债）对 达众公司投资，投资额为</w:t>
      </w:r>
      <w:r>
        <w:rPr>
          <w:rFonts w:ascii="宋体" w:hAnsi="宋体" w:cs="宋体" w:eastAsia="宋体" w:hint="default"/>
        </w:rPr>
        <w:t>6,171.99</w:t>
      </w:r>
      <w:r>
        <w:rPr/>
        <w:t>万元，占达众公司注册资本的</w:t>
      </w:r>
      <w:r>
        <w:rPr>
          <w:rFonts w:ascii="宋体" w:hAnsi="宋体" w:cs="宋体" w:eastAsia="宋体" w:hint="default"/>
        </w:rPr>
        <w:t>17.79%</w:t>
      </w:r>
      <w:r>
        <w:rPr/>
        <w:t>。</w:t>
      </w:r>
    </w:p>
    <w:p>
      <w:pPr>
        <w:pStyle w:val="BodyText"/>
        <w:spacing w:line="273" w:lineRule="auto"/>
        <w:ind w:right="1132" w:firstLine="423"/>
        <w:jc w:val="both"/>
      </w:pPr>
      <w:r>
        <w:rPr>
          <w:rFonts w:ascii="宋体" w:hAnsi="宋体" w:cs="宋体" w:eastAsia="宋体" w:hint="default"/>
        </w:rPr>
        <w:t>2003</w:t>
      </w:r>
      <w:r>
        <w:rPr/>
        <w:t>年</w:t>
      </w:r>
      <w:r>
        <w:rPr>
          <w:rFonts w:ascii="宋体" w:hAnsi="宋体" w:cs="宋体" w:eastAsia="宋体" w:hint="default"/>
        </w:rPr>
        <w:t>5</w:t>
      </w:r>
      <w:r>
        <w:rPr/>
        <w:t>月</w:t>
      </w:r>
      <w:r>
        <w:rPr>
          <w:rFonts w:ascii="宋体" w:hAnsi="宋体" w:cs="宋体" w:eastAsia="宋体" w:hint="default"/>
        </w:rPr>
        <w:t>19</w:t>
      </w:r>
      <w:r>
        <w:rPr/>
        <w:t>日，经股东大会批准，本公司进行重大资产置换。本公司将所拥有的贵州七砂进出口公 </w:t>
      </w:r>
      <w:r>
        <w:rPr>
          <w:spacing w:val="-1"/>
        </w:rPr>
        <w:t>司（以下简称“七砂进出口公司”）</w:t>
      </w:r>
      <w:r>
        <w:rPr>
          <w:rFonts w:ascii="宋体" w:hAnsi="宋体" w:cs="宋体" w:eastAsia="宋体" w:hint="default"/>
          <w:spacing w:val="-1"/>
        </w:rPr>
        <w:t>100%</w:t>
      </w:r>
      <w:r>
        <w:rPr>
          <w:spacing w:val="-1"/>
        </w:rPr>
        <w:t>权益及从事磨料磨具业务的资产（包含相关负债）换出，并换入</w:t>
      </w:r>
      <w:r>
        <w:rPr>
          <w:spacing w:val="-83"/>
        </w:rPr>
        <w:t> </w:t>
      </w:r>
      <w:r>
        <w:rPr>
          <w:spacing w:val="-83"/>
        </w:rPr>
      </w:r>
      <w:r>
        <w:rPr/>
        <w:t>北京大唐高鸿数据网络技术有限公司（以下简称“高鸿数据”）</w:t>
      </w:r>
      <w:r>
        <w:rPr>
          <w:rFonts w:ascii="宋体" w:hAnsi="宋体" w:cs="宋体" w:eastAsia="宋体" w:hint="default"/>
        </w:rPr>
        <w:t>83.165%</w:t>
      </w:r>
      <w:r>
        <w:rPr/>
        <w:t>的股权。</w:t>
      </w:r>
    </w:p>
    <w:p>
      <w:pPr>
        <w:pStyle w:val="BodyText"/>
        <w:spacing w:line="273" w:lineRule="auto"/>
        <w:ind w:right="1130" w:firstLine="423"/>
        <w:jc w:val="both"/>
      </w:pPr>
      <w:r>
        <w:rPr>
          <w:rFonts w:ascii="宋体" w:hAnsi="宋体" w:cs="宋体" w:eastAsia="宋体" w:hint="default"/>
        </w:rPr>
        <w:t>2003</w:t>
      </w:r>
      <w:r>
        <w:rPr/>
        <w:t>年</w:t>
      </w:r>
      <w:r>
        <w:rPr>
          <w:rFonts w:ascii="宋体" w:hAnsi="宋体" w:cs="宋体" w:eastAsia="宋体" w:hint="default"/>
        </w:rPr>
        <w:t>5</w:t>
      </w:r>
      <w:r>
        <w:rPr/>
        <w:t>月资产重组完成后，本公司名称由“贵州中国第七砂轮股份有限公司”变更为“大唐高鸿数 </w:t>
      </w:r>
      <w:r>
        <w:rPr>
          <w:spacing w:val="-1"/>
        </w:rPr>
        <w:t>据网络技术股份有限公司”。</w:t>
      </w:r>
      <w:r>
        <w:rPr>
          <w:rFonts w:ascii="宋体" w:hAnsi="宋体" w:cs="宋体" w:eastAsia="宋体" w:hint="default"/>
          <w:spacing w:val="-1"/>
        </w:rPr>
        <w:t>2003</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27</w:t>
      </w:r>
      <w:r>
        <w:rPr>
          <w:spacing w:val="-1"/>
        </w:rPr>
        <w:t>日贵州省工商行政管理局换发了《企业法人营业执照》，注册</w:t>
      </w:r>
      <w:r>
        <w:rPr>
          <w:spacing w:val="-85"/>
        </w:rPr>
        <w:t> </w:t>
      </w:r>
      <w:r>
        <w:rPr>
          <w:spacing w:val="-85"/>
        </w:rPr>
      </w:r>
      <w:r>
        <w:rPr/>
        <w:t>号：</w:t>
      </w:r>
      <w:r>
        <w:rPr>
          <w:rFonts w:ascii="宋体" w:hAnsi="宋体" w:cs="宋体" w:eastAsia="宋体" w:hint="default"/>
        </w:rPr>
        <w:t>5200001202072</w:t>
      </w:r>
      <w:r>
        <w:rPr/>
        <w:t>。</w:t>
      </w:r>
    </w:p>
    <w:p>
      <w:pPr>
        <w:pStyle w:val="BodyText"/>
        <w:spacing w:line="273" w:lineRule="auto"/>
        <w:ind w:right="0" w:firstLine="423"/>
        <w:jc w:val="left"/>
      </w:pPr>
      <w:r>
        <w:rPr>
          <w:rFonts w:ascii="宋体" w:hAnsi="宋体" w:cs="宋体" w:eastAsia="宋体" w:hint="default"/>
        </w:rPr>
        <w:t>2005</w:t>
      </w:r>
      <w:r>
        <w:rPr/>
        <w:t>年</w:t>
      </w:r>
      <w:r>
        <w:rPr>
          <w:rFonts w:ascii="宋体" w:hAnsi="宋体" w:cs="宋体" w:eastAsia="宋体" w:hint="default"/>
        </w:rPr>
        <w:t>3</w:t>
      </w:r>
      <w:r>
        <w:rPr/>
        <w:t>月经国务院国有资产监督管理委员会国资产权</w:t>
      </w:r>
      <w:r>
        <w:rPr>
          <w:rFonts w:ascii="宋体" w:hAnsi="宋体" w:cs="宋体" w:eastAsia="宋体" w:hint="default"/>
        </w:rPr>
        <w:t>[2005]351</w:t>
      </w:r>
      <w:r>
        <w:rPr/>
        <w:t>号文《关于大唐高鸿数据网络技术股 份有限公司国有股转让的有关问题的批复》批准，达众公司将其持有的本公司的</w:t>
      </w:r>
      <w:r>
        <w:rPr>
          <w:rFonts w:ascii="宋体" w:hAnsi="宋体" w:cs="宋体" w:eastAsia="宋体" w:hint="default"/>
        </w:rPr>
        <w:t>6,728.341</w:t>
      </w:r>
      <w:r>
        <w:rPr/>
        <w:t>万股国家股中</w:t>
      </w:r>
      <w:r>
        <w:rPr>
          <w:spacing w:val="-28"/>
        </w:rPr>
        <w:t> </w:t>
      </w:r>
      <w:r>
        <w:rPr>
          <w:spacing w:val="-28"/>
        </w:rPr>
      </w:r>
      <w:r>
        <w:rPr>
          <w:rFonts w:ascii="宋体" w:hAnsi="宋体" w:cs="宋体" w:eastAsia="宋体" w:hint="default"/>
          <w:spacing w:val="-1"/>
        </w:rPr>
        <w:t>5,282.8491</w:t>
      </w:r>
      <w:r>
        <w:rPr>
          <w:spacing w:val="-1"/>
        </w:rPr>
        <w:t>万股转让给电信科学技术研究院有限公司、</w:t>
      </w:r>
      <w:r>
        <w:rPr>
          <w:rFonts w:ascii="宋体" w:hAnsi="宋体" w:cs="宋体" w:eastAsia="宋体" w:hint="default"/>
          <w:spacing w:val="-1"/>
        </w:rPr>
        <w:t>1,445.4919</w:t>
      </w:r>
      <w:r>
        <w:rPr>
          <w:spacing w:val="-1"/>
        </w:rPr>
        <w:t>万股转让给大唐电信科技股份有限公司。</w:t>
      </w:r>
      <w:r>
        <w:rPr>
          <w:spacing w:val="-72"/>
        </w:rPr>
        <w:t> </w:t>
      </w:r>
      <w:r>
        <w:rPr>
          <w:spacing w:val="-72"/>
        </w:rPr>
      </w:r>
      <w:r>
        <w:rPr/>
        <w:t>转让后电信院持有本公司</w:t>
      </w:r>
      <w:r>
        <w:rPr>
          <w:rFonts w:ascii="宋体" w:hAnsi="宋体" w:cs="宋体" w:eastAsia="宋体" w:hint="default"/>
        </w:rPr>
        <w:t>5,282.8491</w:t>
      </w:r>
      <w:r>
        <w:rPr/>
        <w:t>万股，占总股本的</w:t>
      </w:r>
      <w:r>
        <w:rPr>
          <w:rFonts w:ascii="宋体" w:hAnsi="宋体" w:cs="宋体" w:eastAsia="宋体" w:hint="default"/>
        </w:rPr>
        <w:t>23.49%</w:t>
      </w:r>
      <w:r>
        <w:rPr/>
        <w:t>，股份性质为国有法人股；大唐电信科技股 份有限公司持有本公司</w:t>
      </w:r>
      <w:r>
        <w:rPr>
          <w:rFonts w:ascii="宋体" w:hAnsi="宋体" w:cs="宋体" w:eastAsia="宋体" w:hint="default"/>
        </w:rPr>
        <w:t>1,445.4919</w:t>
      </w:r>
      <w:r>
        <w:rPr/>
        <w:t>万股，占总股本的</w:t>
      </w:r>
      <w:r>
        <w:rPr>
          <w:rFonts w:ascii="宋体" w:hAnsi="宋体" w:cs="宋体" w:eastAsia="宋体" w:hint="default"/>
        </w:rPr>
        <w:t>6.43%</w:t>
      </w:r>
      <w:r>
        <w:rPr/>
        <w:t>。</w:t>
      </w:r>
    </w:p>
    <w:p>
      <w:pPr>
        <w:pStyle w:val="BodyText"/>
        <w:spacing w:line="273" w:lineRule="auto"/>
        <w:ind w:right="0" w:firstLine="423"/>
        <w:jc w:val="left"/>
      </w:pPr>
      <w:r>
        <w:rPr>
          <w:rFonts w:ascii="宋体" w:hAnsi="宋体" w:cs="宋体" w:eastAsia="宋体" w:hint="default"/>
        </w:rPr>
        <w:t>2005</w:t>
      </w:r>
      <w:r>
        <w:rPr/>
        <w:t>年</w:t>
      </w:r>
      <w:r>
        <w:rPr>
          <w:rFonts w:ascii="宋体" w:hAnsi="宋体" w:cs="宋体" w:eastAsia="宋体" w:hint="default"/>
        </w:rPr>
        <w:t>10</w:t>
      </w:r>
      <w:r>
        <w:rPr/>
        <w:t>月</w:t>
      </w:r>
      <w:r>
        <w:rPr>
          <w:rFonts w:ascii="宋体" w:hAnsi="宋体" w:cs="宋体" w:eastAsia="宋体" w:hint="default"/>
        </w:rPr>
        <w:t>31</w:t>
      </w:r>
      <w:r>
        <w:rPr/>
        <w:t>日，电信院与北京奈特高科科技有限公司（以下简称“奈特高科”）签署了《股份转让 协议》，并于</w:t>
      </w:r>
      <w:r>
        <w:rPr>
          <w:rFonts w:ascii="宋体" w:hAnsi="宋体" w:cs="宋体" w:eastAsia="宋体" w:hint="default"/>
        </w:rPr>
        <w:t>2005</w:t>
      </w:r>
      <w:r>
        <w:rPr/>
        <w:t>年</w:t>
      </w:r>
      <w:r>
        <w:rPr>
          <w:rFonts w:ascii="宋体" w:hAnsi="宋体" w:cs="宋体" w:eastAsia="宋体" w:hint="default"/>
        </w:rPr>
        <w:t>12</w:t>
      </w:r>
      <w:r>
        <w:rPr/>
        <w:t>月</w:t>
      </w:r>
      <w:r>
        <w:rPr>
          <w:rFonts w:ascii="宋体" w:hAnsi="宋体" w:cs="宋体" w:eastAsia="宋体" w:hint="default"/>
        </w:rPr>
        <w:t>8</w:t>
      </w:r>
      <w:r>
        <w:rPr/>
        <w:t>日签署了《关于转让价款的补充协议》。根据协议及其补充协议，电信院将其</w:t>
      </w:r>
      <w:r>
        <w:rPr>
          <w:spacing w:val="-35"/>
        </w:rPr>
        <w:t> </w:t>
      </w:r>
      <w:r>
        <w:rPr>
          <w:spacing w:val="-35"/>
        </w:rPr>
      </w:r>
      <w:r>
        <w:rPr/>
        <w:t>持有的本公司</w:t>
      </w:r>
      <w:r>
        <w:rPr>
          <w:rFonts w:ascii="宋体" w:hAnsi="宋体" w:cs="宋体" w:eastAsia="宋体" w:hint="default"/>
        </w:rPr>
        <w:t>1,241.5</w:t>
      </w:r>
      <w:r>
        <w:rPr/>
        <w:t>万股转让给奈特高科，占本公司总股本的</w:t>
      </w:r>
      <w:r>
        <w:rPr>
          <w:rFonts w:ascii="宋体" w:hAnsi="宋体" w:cs="宋体" w:eastAsia="宋体" w:hint="default"/>
        </w:rPr>
        <w:t>5.52%</w:t>
      </w:r>
      <w:r>
        <w:rPr/>
        <w:t>。本次转让已经国务院国有资产监督 管理委员会（国资产权</w:t>
      </w:r>
      <w:r>
        <w:rPr>
          <w:rFonts w:ascii="宋体" w:hAnsi="宋体" w:cs="宋体" w:eastAsia="宋体" w:hint="default"/>
        </w:rPr>
        <w:t>[2005]1548</w:t>
      </w:r>
      <w:r>
        <w:rPr/>
        <w:t>号）“关于大唐高鸿数据网络技术股份有限公司国有股权转让有关问题 的批复”批准。本次转让完成后，电信院持有本公司</w:t>
      </w:r>
      <w:r>
        <w:rPr>
          <w:rFonts w:ascii="宋体" w:hAnsi="宋体" w:cs="宋体" w:eastAsia="宋体" w:hint="default"/>
        </w:rPr>
        <w:t>4,041.3491</w:t>
      </w:r>
      <w:r>
        <w:rPr/>
        <w:t>万股，占本公司总股本的</w:t>
      </w:r>
      <w:r>
        <w:rPr>
          <w:rFonts w:ascii="宋体" w:hAnsi="宋体" w:cs="宋体" w:eastAsia="宋体" w:hint="default"/>
        </w:rPr>
        <w:t>17.97%</w:t>
      </w:r>
      <w:r>
        <w:rPr/>
        <w:t>，股份性 质仍为国有法人股；奈特高科持有本公司</w:t>
      </w:r>
      <w:r>
        <w:rPr>
          <w:rFonts w:ascii="宋体" w:hAnsi="宋体" w:cs="宋体" w:eastAsia="宋体" w:hint="default"/>
        </w:rPr>
        <w:t>1,241.5</w:t>
      </w:r>
      <w:r>
        <w:rPr/>
        <w:t>万股，占本公司总股本的</w:t>
      </w:r>
      <w:r>
        <w:rPr>
          <w:rFonts w:ascii="宋体" w:hAnsi="宋体" w:cs="宋体" w:eastAsia="宋体" w:hint="default"/>
        </w:rPr>
        <w:t>5.52%</w:t>
      </w:r>
      <w:r>
        <w:rPr/>
        <w:t>，股份性质为非国有股，</w:t>
      </w:r>
      <w:r>
        <w:rPr>
          <w:spacing w:val="-29"/>
        </w:rPr>
        <w:t> </w:t>
      </w:r>
      <w:r>
        <w:rPr>
          <w:spacing w:val="-29"/>
        </w:rPr>
      </w:r>
      <w:r>
        <w:rPr/>
        <w:t>股权过户已于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20</w:t>
      </w:r>
      <w:r>
        <w:rPr/>
        <w:t>日完成。</w:t>
      </w:r>
    </w:p>
    <w:p>
      <w:pPr>
        <w:spacing w:after="0" w:line="273" w:lineRule="auto"/>
        <w:jc w:val="left"/>
        <w:sectPr>
          <w:headerReference w:type="default" r:id="rId27"/>
          <w:footerReference w:type="default" r:id="rId28"/>
          <w:pgSz w:w="11910" w:h="16840"/>
          <w:pgMar w:header="877" w:footer="979" w:top="1060" w:bottom="1160" w:left="980" w:right="0"/>
          <w:pgNumType w:start="130"/>
        </w:sectPr>
      </w:pPr>
    </w:p>
    <w:p>
      <w:pPr>
        <w:spacing w:line="240" w:lineRule="auto" w:before="9"/>
        <w:rPr>
          <w:rFonts w:ascii="宋体" w:hAnsi="宋体" w:cs="宋体" w:eastAsia="宋体" w:hint="default"/>
          <w:sz w:val="20"/>
          <w:szCs w:val="20"/>
        </w:rPr>
      </w:pPr>
    </w:p>
    <w:p>
      <w:pPr>
        <w:pStyle w:val="BodyText"/>
        <w:spacing w:line="273" w:lineRule="auto" w:before="35"/>
        <w:ind w:right="1131" w:firstLine="423"/>
        <w:jc w:val="both"/>
      </w:pPr>
      <w:r>
        <w:rPr>
          <w:rFonts w:ascii="宋体" w:hAnsi="宋体" w:cs="宋体" w:eastAsia="宋体" w:hint="default"/>
          <w:spacing w:val="-1"/>
        </w:rPr>
        <w:t>2005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27</w:t>
      </w:r>
      <w:r>
        <w:rPr>
          <w:spacing w:val="-1"/>
        </w:rPr>
        <w:t>日，国务院国有资产监督管理委员会向贵州省国资委下发国资产权</w:t>
      </w:r>
      <w:r>
        <w:rPr>
          <w:rFonts w:ascii="宋体" w:hAnsi="宋体" w:cs="宋体" w:eastAsia="宋体" w:hint="default"/>
          <w:spacing w:val="-1"/>
        </w:rPr>
        <w:t>[2005]1577</w:t>
      </w:r>
      <w:r>
        <w:rPr>
          <w:spacing w:val="-1"/>
        </w:rPr>
        <w:t>号文“关</w:t>
      </w:r>
      <w:r>
        <w:rPr/>
        <w:t> </w:t>
      </w:r>
      <w:r>
        <w:rPr>
          <w:spacing w:val="-1"/>
        </w:rPr>
        <w:t>于大唐高鸿数据网络技术股份有限公司国有股划转有关问题的批复”，同意将原贵州省国有资产管理局持</w:t>
      </w:r>
      <w:r>
        <w:rPr>
          <w:spacing w:val="-81"/>
        </w:rPr>
        <w:t> </w:t>
      </w:r>
      <w:r>
        <w:rPr>
          <w:spacing w:val="-81"/>
        </w:rPr>
      </w:r>
      <w:r>
        <w:rPr/>
        <w:t>有的上市公司国家股</w:t>
      </w:r>
      <w:r>
        <w:rPr>
          <w:rFonts w:ascii="宋体" w:hAnsi="宋体" w:cs="宋体" w:eastAsia="宋体" w:hint="default"/>
        </w:rPr>
        <w:t>1,241.5</w:t>
      </w:r>
      <w:r>
        <w:rPr/>
        <w:t>万股划转给贵州省金茂国有资产经营有限责任公司，股份性质为国家股，股</w:t>
      </w:r>
      <w:r>
        <w:rPr>
          <w:spacing w:val="-35"/>
        </w:rPr>
        <w:t> </w:t>
      </w:r>
      <w:r>
        <w:rPr>
          <w:spacing w:val="-35"/>
        </w:rPr>
      </w:r>
      <w:r>
        <w:rPr/>
        <w:t>权过户已于</w:t>
      </w:r>
      <w:r>
        <w:rPr>
          <w:rFonts w:ascii="宋体" w:hAnsi="宋体" w:cs="宋体" w:eastAsia="宋体" w:hint="default"/>
        </w:rPr>
        <w:t>2006</w:t>
      </w:r>
      <w:r>
        <w:rPr/>
        <w:t>年</w:t>
      </w:r>
      <w:r>
        <w:rPr>
          <w:rFonts w:ascii="宋体" w:hAnsi="宋体" w:cs="宋体" w:eastAsia="宋体" w:hint="default"/>
        </w:rPr>
        <w:t>6</w:t>
      </w:r>
      <w:r>
        <w:rPr/>
        <w:t>月</w:t>
      </w:r>
      <w:r>
        <w:rPr>
          <w:rFonts w:ascii="宋体" w:hAnsi="宋体" w:cs="宋体" w:eastAsia="宋体" w:hint="default"/>
        </w:rPr>
        <w:t>19</w:t>
      </w:r>
      <w:r>
        <w:rPr/>
        <w:t>日完成。</w:t>
      </w:r>
    </w:p>
    <w:p>
      <w:pPr>
        <w:pStyle w:val="BodyText"/>
        <w:spacing w:line="273" w:lineRule="auto" w:before="8"/>
        <w:ind w:right="1132" w:firstLine="423"/>
        <w:jc w:val="both"/>
      </w:pPr>
      <w:r>
        <w:rPr>
          <w:rFonts w:ascii="宋体" w:hAnsi="宋体" w:cs="宋体" w:eastAsia="宋体" w:hint="default"/>
          <w:spacing w:val="-1"/>
        </w:rPr>
        <w:t>2005</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日，电信院与贵州省金茂国有资产经营有限责任公司（以下简称“贵州金茂”）签定了</w:t>
      </w:r>
      <w:r>
        <w:rPr/>
        <w:t> 股权转让协议，收购划转到贵州金茂名下的本公司国家股</w:t>
      </w:r>
      <w:r>
        <w:rPr>
          <w:rFonts w:ascii="宋体" w:hAnsi="宋体" w:cs="宋体" w:eastAsia="宋体" w:hint="default"/>
        </w:rPr>
        <w:t>1,241.5</w:t>
      </w:r>
      <w:r>
        <w:rPr/>
        <w:t>万股，有关股权转让审批手续已经贵州</w:t>
      </w:r>
      <w:r>
        <w:rPr>
          <w:spacing w:val="-30"/>
        </w:rPr>
        <w:t> </w:t>
      </w:r>
      <w:r>
        <w:rPr>
          <w:spacing w:val="-30"/>
        </w:rPr>
      </w:r>
      <w:r>
        <w:rPr>
          <w:spacing w:val="-1"/>
        </w:rPr>
        <w:t>省人民政府（黔府函</w:t>
      </w:r>
      <w:r>
        <w:rPr>
          <w:rFonts w:ascii="宋体" w:hAnsi="宋体" w:cs="宋体" w:eastAsia="宋体" w:hint="default"/>
          <w:spacing w:val="-1"/>
        </w:rPr>
        <w:t>[2006]27</w:t>
      </w:r>
      <w:r>
        <w:rPr>
          <w:spacing w:val="-1"/>
        </w:rPr>
        <w:t>号）《省人民政府关于将贵州省金茂国有资产经营有限责任公司所持有大唐</w:t>
      </w:r>
      <w:r>
        <w:rPr>
          <w:spacing w:val="-80"/>
        </w:rPr>
        <w:t> </w:t>
      </w:r>
      <w:r>
        <w:rPr>
          <w:spacing w:val="-80"/>
        </w:rPr>
      </w:r>
      <w:r>
        <w:rPr>
          <w:spacing w:val="-1"/>
        </w:rPr>
        <w:t>高鸿数据网络技术股份有限公司国有股转让电信科学技术研究院持有的批复》和国务院国有资产监督管理</w:t>
      </w:r>
      <w:r>
        <w:rPr>
          <w:spacing w:val="-81"/>
        </w:rPr>
        <w:t> </w:t>
      </w:r>
      <w:r>
        <w:rPr>
          <w:spacing w:val="-81"/>
        </w:rPr>
      </w:r>
      <w:r>
        <w:rPr/>
        <w:t>委员会（国资产权</w:t>
      </w:r>
      <w:r>
        <w:rPr>
          <w:rFonts w:ascii="宋体" w:hAnsi="宋体" w:cs="宋体" w:eastAsia="宋体" w:hint="default"/>
        </w:rPr>
        <w:t>[2006]415</w:t>
      </w:r>
      <w:r>
        <w:rPr/>
        <w:t>号文）《关于大唐高鸿数据网络技术股份有限公司国有股转让有关问题的批</w:t>
      </w:r>
      <w:r>
        <w:rPr>
          <w:spacing w:val="-35"/>
        </w:rPr>
        <w:t> </w:t>
      </w:r>
      <w:r>
        <w:rPr>
          <w:spacing w:val="-35"/>
        </w:rPr>
      </w:r>
      <w:r>
        <w:rPr/>
        <w:t>复》批准。本次转让完成后电信院持有本公司</w:t>
      </w:r>
      <w:r>
        <w:rPr>
          <w:rFonts w:ascii="宋体" w:hAnsi="宋体" w:cs="宋体" w:eastAsia="宋体" w:hint="default"/>
        </w:rPr>
        <w:t>5,282.8491</w:t>
      </w:r>
      <w:r>
        <w:rPr/>
        <w:t>万股，占总股本的</w:t>
      </w:r>
      <w:r>
        <w:rPr>
          <w:rFonts w:ascii="宋体" w:hAnsi="宋体" w:cs="宋体" w:eastAsia="宋体" w:hint="default"/>
        </w:rPr>
        <w:t>23.49%</w:t>
      </w:r>
      <w:r>
        <w:rPr/>
        <w:t>。</w:t>
      </w:r>
    </w:p>
    <w:p>
      <w:pPr>
        <w:pStyle w:val="BodyText"/>
        <w:spacing w:line="240" w:lineRule="auto"/>
        <w:ind w:left="577" w:right="0"/>
        <w:jc w:val="left"/>
      </w:pPr>
      <w:r>
        <w:rPr>
          <w:rFonts w:ascii="宋体" w:hAnsi="宋体" w:cs="宋体" w:eastAsia="宋体" w:hint="default"/>
        </w:rPr>
        <w:t>2006</w:t>
      </w:r>
      <w:r>
        <w:rPr/>
        <w:t>年公司实施了股权分置改革方案，公司流通股股东每持有</w:t>
      </w:r>
      <w:r>
        <w:rPr>
          <w:rFonts w:ascii="宋体" w:hAnsi="宋体" w:cs="宋体" w:eastAsia="宋体" w:hint="default"/>
        </w:rPr>
        <w:t>10</w:t>
      </w:r>
      <w:r>
        <w:rPr/>
        <w:t>股流通股获得原非流通股股东支付的</w:t>
      </w:r>
    </w:p>
    <w:p>
      <w:pPr>
        <w:pStyle w:val="BodyText"/>
        <w:spacing w:line="273" w:lineRule="auto" w:before="37"/>
        <w:ind w:right="0"/>
        <w:jc w:val="left"/>
      </w:pPr>
      <w:r>
        <w:rPr>
          <w:rFonts w:ascii="宋体" w:hAnsi="宋体" w:cs="宋体" w:eastAsia="宋体" w:hint="default"/>
          <w:spacing w:val="-1"/>
        </w:rPr>
        <w:t>3</w:t>
      </w:r>
      <w:r>
        <w:rPr>
          <w:spacing w:val="-1"/>
        </w:rPr>
        <w:t>股对价股份，公司的股份总数未发生变动，股份结构发生了变化。</w:t>
      </w:r>
      <w:r>
        <w:rPr>
          <w:rFonts w:ascii="宋体" w:hAnsi="宋体" w:cs="宋体" w:eastAsia="宋体" w:hint="default"/>
          <w:spacing w:val="-1"/>
        </w:rPr>
        <w:t>2006</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日，公司股权分置改革方</w:t>
      </w:r>
      <w:r>
        <w:rPr>
          <w:spacing w:val="-84"/>
        </w:rPr>
        <w:t> </w:t>
      </w:r>
      <w:r>
        <w:rPr>
          <w:spacing w:val="-84"/>
        </w:rPr>
      </w:r>
      <w:r>
        <w:rPr/>
        <w:t>案实施完毕。</w:t>
      </w:r>
    </w:p>
    <w:p>
      <w:pPr>
        <w:pStyle w:val="BodyText"/>
        <w:spacing w:line="273" w:lineRule="auto"/>
        <w:ind w:right="1130" w:firstLine="423"/>
        <w:jc w:val="both"/>
      </w:pPr>
      <w:r>
        <w:rPr>
          <w:spacing w:val="-1"/>
        </w:rPr>
        <w:t>经公司</w:t>
      </w:r>
      <w:r>
        <w:rPr>
          <w:rFonts w:ascii="宋体" w:hAnsi="宋体" w:cs="宋体" w:eastAsia="宋体" w:hint="default"/>
          <w:spacing w:val="-1"/>
        </w:rPr>
        <w:t>2006</w:t>
      </w:r>
      <w:r>
        <w:rPr>
          <w:spacing w:val="-1"/>
        </w:rPr>
        <w:t>年第五次临时股东大会批准及中国证券监督管理委员会《关于核准大唐高鸿数据网络技术</w:t>
      </w:r>
      <w:r>
        <w:rPr/>
        <w:t> </w:t>
      </w:r>
      <w:r>
        <w:rPr>
          <w:spacing w:val="-1"/>
        </w:rPr>
        <w:t>股份有限公司非公开发行股票的通知》（证监发行字</w:t>
      </w:r>
      <w:r>
        <w:rPr>
          <w:rFonts w:ascii="宋体" w:hAnsi="宋体" w:cs="宋体" w:eastAsia="宋体" w:hint="default"/>
          <w:spacing w:val="-1"/>
        </w:rPr>
        <w:t>[2007]41</w:t>
      </w:r>
      <w:r>
        <w:rPr>
          <w:spacing w:val="-1"/>
        </w:rPr>
        <w:t>号文）核准，公司于</w:t>
      </w:r>
      <w:r>
        <w:rPr>
          <w:rFonts w:ascii="宋体" w:hAnsi="宋体" w:cs="宋体" w:eastAsia="宋体" w:hint="default"/>
          <w:spacing w:val="-1"/>
        </w:rPr>
        <w:t>2007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日至</w:t>
      </w:r>
      <w:r>
        <w:rPr>
          <w:rFonts w:ascii="宋体" w:hAnsi="宋体" w:cs="宋体" w:eastAsia="宋体" w:hint="default"/>
          <w:spacing w:val="-1"/>
        </w:rPr>
        <w:t>3</w:t>
      </w:r>
      <w:r>
        <w:rPr>
          <w:spacing w:val="-1"/>
        </w:rPr>
        <w:t>月</w:t>
      </w:r>
      <w:r>
        <w:rPr>
          <w:rFonts w:ascii="宋体" w:hAnsi="宋体" w:cs="宋体" w:eastAsia="宋体" w:hint="default"/>
          <w:spacing w:val="-1"/>
        </w:rPr>
        <w:t>9</w:t>
      </w:r>
      <w:r>
        <w:rPr>
          <w:spacing w:val="-1"/>
        </w:rPr>
        <w:t>日</w:t>
      </w:r>
      <w:r>
        <w:rPr>
          <w:spacing w:val="-79"/>
        </w:rPr>
        <w:t> </w:t>
      </w:r>
      <w:r>
        <w:rPr>
          <w:spacing w:val="-1"/>
        </w:rPr>
        <w:t>以非公开发行的方式向</w:t>
      </w:r>
      <w:r>
        <w:rPr>
          <w:rFonts w:ascii="宋体" w:hAnsi="宋体" w:cs="宋体" w:eastAsia="宋体" w:hint="default"/>
          <w:spacing w:val="-1"/>
        </w:rPr>
        <w:t>10</w:t>
      </w:r>
      <w:r>
        <w:rPr>
          <w:spacing w:val="-1"/>
        </w:rPr>
        <w:t>名特定投资者发行了</w:t>
      </w:r>
      <w:r>
        <w:rPr>
          <w:rFonts w:ascii="宋体" w:hAnsi="宋体" w:cs="宋体" w:eastAsia="宋体" w:hint="default"/>
          <w:spacing w:val="-1"/>
        </w:rPr>
        <w:t>3,500</w:t>
      </w:r>
      <w:r>
        <w:rPr>
          <w:spacing w:val="-1"/>
        </w:rPr>
        <w:t>万股股份，发行价格为</w:t>
      </w:r>
      <w:r>
        <w:rPr>
          <w:rFonts w:ascii="宋体" w:hAnsi="宋体" w:cs="宋体" w:eastAsia="宋体" w:hint="default"/>
          <w:spacing w:val="-1"/>
        </w:rPr>
        <w:t>6.80</w:t>
      </w:r>
      <w:r>
        <w:rPr>
          <w:spacing w:val="-1"/>
        </w:rPr>
        <w:t>元</w:t>
      </w:r>
      <w:r>
        <w:rPr>
          <w:rFonts w:ascii="宋体" w:hAnsi="宋体" w:cs="宋体" w:eastAsia="宋体" w:hint="default"/>
          <w:spacing w:val="-1"/>
        </w:rPr>
        <w:t>/</w:t>
      </w:r>
      <w:r>
        <w:rPr>
          <w:spacing w:val="-1"/>
        </w:rPr>
        <w:t>股，并申请增加注册资</w:t>
      </w:r>
      <w:r>
        <w:rPr>
          <w:spacing w:val="-83"/>
        </w:rPr>
        <w:t> </w:t>
      </w:r>
      <w:r>
        <w:rPr>
          <w:spacing w:val="-83"/>
        </w:rPr>
      </w:r>
      <w:r>
        <w:rPr/>
        <w:t>本</w:t>
      </w:r>
      <w:r>
        <w:rPr>
          <w:rFonts w:ascii="宋体" w:hAnsi="宋体" w:cs="宋体" w:eastAsia="宋体" w:hint="default"/>
        </w:rPr>
        <w:t>3,500</w:t>
      </w:r>
      <w:r>
        <w:rPr/>
        <w:t>万元，变更后注册资本为人民币</w:t>
      </w:r>
      <w:r>
        <w:rPr>
          <w:rFonts w:ascii="宋体" w:hAnsi="宋体" w:cs="宋体" w:eastAsia="宋体" w:hint="default"/>
        </w:rPr>
        <w:t>25,990</w:t>
      </w:r>
      <w:r>
        <w:rPr/>
        <w:t>万元。</w:t>
      </w:r>
    </w:p>
    <w:p>
      <w:pPr>
        <w:pStyle w:val="BodyText"/>
        <w:spacing w:line="273" w:lineRule="auto"/>
        <w:ind w:right="1132" w:firstLine="423"/>
        <w:jc w:val="both"/>
      </w:pPr>
      <w:r>
        <w:rPr>
          <w:rFonts w:ascii="宋体" w:hAnsi="宋体" w:cs="宋体" w:eastAsia="宋体" w:hint="default"/>
          <w:spacing w:val="-1"/>
        </w:rPr>
        <w:t>2009</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日，经公司</w:t>
      </w:r>
      <w:r>
        <w:rPr>
          <w:rFonts w:ascii="宋体" w:hAnsi="宋体" w:cs="宋体" w:eastAsia="宋体" w:hint="default"/>
          <w:spacing w:val="-1"/>
        </w:rPr>
        <w:t>2009</w:t>
      </w:r>
      <w:r>
        <w:rPr>
          <w:spacing w:val="-1"/>
        </w:rPr>
        <w:t>年度第四次临时股东大会决议及中国证券监督管理委员会《关于核准大</w:t>
      </w:r>
      <w:r>
        <w:rPr/>
        <w:t> </w:t>
      </w:r>
      <w:r>
        <w:rPr>
          <w:spacing w:val="-1"/>
        </w:rPr>
        <w:t>唐高鸿数据网络技术股份有限公司非公开发行股票的批复》（证监许可</w:t>
      </w:r>
      <w:r>
        <w:rPr>
          <w:rFonts w:ascii="宋体" w:hAnsi="宋体" w:cs="宋体" w:eastAsia="宋体" w:hint="default"/>
          <w:spacing w:val="-1"/>
        </w:rPr>
        <w:t>[2009]1168</w:t>
      </w:r>
      <w:r>
        <w:rPr>
          <w:spacing w:val="-1"/>
        </w:rPr>
        <w:t>号）的核准，公司采取</w:t>
      </w:r>
      <w:r>
        <w:rPr>
          <w:spacing w:val="-79"/>
        </w:rPr>
        <w:t> </w:t>
      </w:r>
      <w:r>
        <w:rPr>
          <w:spacing w:val="-79"/>
        </w:rPr>
      </w:r>
      <w:r>
        <w:rPr/>
        <w:t>非公开发行股票方式向电信科学技术研究院有限公司及其他八家投资者发行股份</w:t>
      </w:r>
      <w:r>
        <w:rPr>
          <w:rFonts w:ascii="宋体" w:hAnsi="宋体" w:cs="宋体" w:eastAsia="宋体" w:hint="default"/>
        </w:rPr>
        <w:t>7,300</w:t>
      </w:r>
      <w:r>
        <w:rPr/>
        <w:t>万股，发行价格为</w:t>
      </w:r>
      <w:r>
        <w:rPr>
          <w:spacing w:val="-28"/>
        </w:rPr>
        <w:t> </w:t>
      </w:r>
      <w:r>
        <w:rPr>
          <w:spacing w:val="-28"/>
        </w:rPr>
      </w:r>
      <w:r>
        <w:rPr>
          <w:rFonts w:ascii="宋体" w:hAnsi="宋体" w:cs="宋体" w:eastAsia="宋体" w:hint="default"/>
        </w:rPr>
        <w:t>6.70</w:t>
      </w:r>
      <w:r>
        <w:rPr/>
        <w:t>元</w:t>
      </w:r>
      <w:r>
        <w:rPr>
          <w:rFonts w:ascii="宋体" w:hAnsi="宋体" w:cs="宋体" w:eastAsia="宋体" w:hint="default"/>
        </w:rPr>
        <w:t>/</w:t>
      </w:r>
      <w:r>
        <w:rPr/>
        <w:t>股，并申请增加注册资本人民币</w:t>
      </w:r>
      <w:r>
        <w:rPr>
          <w:rFonts w:ascii="宋体" w:hAnsi="宋体" w:cs="宋体" w:eastAsia="宋体" w:hint="default"/>
        </w:rPr>
        <w:t>7,300</w:t>
      </w:r>
      <w:r>
        <w:rPr/>
        <w:t>万元，变更后的注册资本为人民币</w:t>
      </w:r>
      <w:r>
        <w:rPr>
          <w:rFonts w:ascii="宋体" w:hAnsi="宋体" w:cs="宋体" w:eastAsia="宋体" w:hint="default"/>
        </w:rPr>
        <w:t>33,290</w:t>
      </w:r>
      <w:r>
        <w:rPr/>
        <w:t>万元。</w:t>
      </w:r>
    </w:p>
    <w:p>
      <w:pPr>
        <w:pStyle w:val="BodyText"/>
        <w:spacing w:line="273" w:lineRule="auto"/>
        <w:ind w:right="1130" w:firstLine="423"/>
        <w:jc w:val="both"/>
      </w:pPr>
      <w:r>
        <w:rPr>
          <w:spacing w:val="-1"/>
        </w:rPr>
        <w:t>根据公司</w:t>
      </w:r>
      <w:r>
        <w:rPr>
          <w:rFonts w:ascii="宋体" w:hAnsi="宋体" w:cs="宋体" w:eastAsia="宋体" w:hint="default"/>
          <w:spacing w:val="-1"/>
        </w:rPr>
        <w:t>2012</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23</w:t>
      </w:r>
      <w:r>
        <w:rPr>
          <w:spacing w:val="-1"/>
        </w:rPr>
        <w:t>日修改后的章程、</w:t>
      </w:r>
      <w:r>
        <w:rPr>
          <w:rFonts w:ascii="宋体" w:hAnsi="宋体" w:cs="宋体" w:eastAsia="宋体" w:hint="default"/>
          <w:spacing w:val="-1"/>
        </w:rPr>
        <w:t>2011</w:t>
      </w:r>
      <w:r>
        <w:rPr>
          <w:spacing w:val="-1"/>
        </w:rPr>
        <w:t>年第三次临时股东大会、</w:t>
      </w:r>
      <w:r>
        <w:rPr>
          <w:rFonts w:ascii="宋体" w:hAnsi="宋体" w:cs="宋体" w:eastAsia="宋体" w:hint="default"/>
          <w:spacing w:val="-1"/>
        </w:rPr>
        <w:t>2012</w:t>
      </w:r>
      <w:r>
        <w:rPr>
          <w:spacing w:val="-1"/>
        </w:rPr>
        <w:t>年第二次临时股东大会和</w:t>
      </w:r>
      <w:r>
        <w:rPr/>
        <w:t> 中国证券监督管理委员会证监许可</w:t>
      </w:r>
      <w:r>
        <w:rPr>
          <w:rFonts w:ascii="宋体" w:hAnsi="宋体" w:cs="宋体" w:eastAsia="宋体" w:hint="default"/>
        </w:rPr>
        <w:t>[2012]690</w:t>
      </w:r>
      <w:r>
        <w:rPr/>
        <w:t>号文《关于核准大唐高鸿数据网络技术股份有限公司非公开</w:t>
      </w:r>
      <w:r>
        <w:rPr>
          <w:spacing w:val="-32"/>
        </w:rPr>
        <w:t> </w:t>
      </w:r>
      <w:r>
        <w:rPr>
          <w:spacing w:val="-32"/>
        </w:rPr>
      </w:r>
      <w:r>
        <w:rPr>
          <w:spacing w:val="-1"/>
        </w:rPr>
        <w:t>发行股票的批复》，公司采用向特定投资者非公开（以下简称“网下发行”）的方式发行</w:t>
      </w:r>
      <w:r>
        <w:rPr>
          <w:rFonts w:ascii="宋体" w:hAnsi="宋体" w:cs="宋体" w:eastAsia="宋体" w:hint="default"/>
          <w:spacing w:val="-1"/>
        </w:rPr>
        <w:t>18,304</w:t>
      </w:r>
      <w:r>
        <w:rPr>
          <w:spacing w:val="-1"/>
        </w:rPr>
        <w:t>万股人民</w:t>
      </w:r>
      <w:r>
        <w:rPr>
          <w:spacing w:val="-81"/>
        </w:rPr>
        <w:t> </w:t>
      </w:r>
      <w:r>
        <w:rPr>
          <w:spacing w:val="-81"/>
        </w:rPr>
      </w:r>
      <w:r>
        <w:rPr>
          <w:spacing w:val="-1"/>
        </w:rPr>
        <w:t>币普通股（</w:t>
      </w:r>
      <w:r>
        <w:rPr>
          <w:rFonts w:ascii="宋体" w:hAnsi="宋体" w:cs="宋体" w:eastAsia="宋体" w:hint="default"/>
          <w:spacing w:val="-1"/>
        </w:rPr>
        <w:t>A</w:t>
      </w:r>
      <w:r>
        <w:rPr>
          <w:spacing w:val="-1"/>
        </w:rPr>
        <w:t>股），每股面值人民币</w:t>
      </w:r>
      <w:r>
        <w:rPr>
          <w:rFonts w:ascii="宋体" w:hAnsi="宋体" w:cs="宋体" w:eastAsia="宋体" w:hint="default"/>
          <w:spacing w:val="-1"/>
        </w:rPr>
        <w:t>1</w:t>
      </w:r>
      <w:r>
        <w:rPr>
          <w:spacing w:val="-1"/>
        </w:rPr>
        <w:t>元，每股发行价格为人民币</w:t>
      </w:r>
      <w:r>
        <w:rPr>
          <w:rFonts w:ascii="宋体" w:hAnsi="宋体" w:cs="宋体" w:eastAsia="宋体" w:hint="default"/>
          <w:spacing w:val="-1"/>
        </w:rPr>
        <w:t>6.12</w:t>
      </w:r>
      <w:r>
        <w:rPr>
          <w:spacing w:val="-1"/>
        </w:rPr>
        <w:t>元。公司本次发行后的注册资本为人</w:t>
      </w:r>
      <w:r>
        <w:rPr>
          <w:spacing w:val="-82"/>
        </w:rPr>
        <w:t> </w:t>
      </w:r>
      <w:r>
        <w:rPr>
          <w:spacing w:val="-82"/>
        </w:rPr>
      </w:r>
      <w:r>
        <w:rPr/>
        <w:t>民币</w:t>
      </w:r>
      <w:r>
        <w:rPr>
          <w:rFonts w:ascii="宋体" w:hAnsi="宋体" w:cs="宋体" w:eastAsia="宋体" w:hint="default"/>
        </w:rPr>
        <w:t>51,594</w:t>
      </w:r>
      <w:r>
        <w:rPr/>
        <w:t>万元。</w:t>
      </w:r>
    </w:p>
    <w:p>
      <w:pPr>
        <w:pStyle w:val="BodyText"/>
        <w:spacing w:line="273" w:lineRule="auto"/>
        <w:ind w:right="1129" w:firstLine="423"/>
        <w:jc w:val="both"/>
      </w:pPr>
      <w:r>
        <w:rPr/>
        <w:t>根据公司</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11</w:t>
      </w:r>
      <w:r>
        <w:rPr/>
        <w:t>日召开的</w:t>
      </w:r>
      <w:r>
        <w:rPr>
          <w:rFonts w:ascii="宋体" w:hAnsi="宋体" w:cs="宋体" w:eastAsia="宋体" w:hint="default"/>
        </w:rPr>
        <w:t>2014</w:t>
      </w:r>
      <w:r>
        <w:rPr/>
        <w:t>年度第二次临时股东大会决议通过了向电信技术科学研究院等非 </w:t>
      </w:r>
      <w:r>
        <w:rPr>
          <w:spacing w:val="-1"/>
        </w:rPr>
        <w:t>公开发行</w:t>
      </w:r>
      <w:r>
        <w:rPr>
          <w:rFonts w:ascii="宋体" w:hAnsi="宋体" w:cs="宋体" w:eastAsia="宋体" w:hint="default"/>
          <w:spacing w:val="-1"/>
        </w:rPr>
        <w:t>68,174,260.00</w:t>
      </w:r>
      <w:r>
        <w:rPr>
          <w:spacing w:val="-1"/>
        </w:rPr>
        <w:t>股份购买相关资产，并经国务院国有资产监督管理委员会国资产权</w:t>
      </w:r>
      <w:r>
        <w:rPr>
          <w:rFonts w:ascii="宋体" w:hAnsi="宋体" w:cs="宋体" w:eastAsia="宋体" w:hint="default"/>
          <w:spacing w:val="-1"/>
        </w:rPr>
        <w:t>[2014]162</w:t>
      </w:r>
      <w:r>
        <w:rPr>
          <w:spacing w:val="-1"/>
        </w:rPr>
        <w:t>号文</w:t>
      </w:r>
      <w:r>
        <w:rPr>
          <w:spacing w:val="-71"/>
        </w:rPr>
        <w:t> </w:t>
      </w:r>
      <w:r>
        <w:rPr>
          <w:spacing w:val="-1"/>
        </w:rPr>
        <w:t>件《关于大唐高鸿数据网络技术股份有限公司资产重组有关问题的批复》、中国证券监督管理委员会证监</w:t>
      </w:r>
      <w:r>
        <w:rPr>
          <w:spacing w:val="-83"/>
        </w:rPr>
        <w:t> </w:t>
      </w:r>
      <w:r>
        <w:rPr>
          <w:spacing w:val="-83"/>
        </w:rPr>
      </w:r>
      <w:r>
        <w:rPr/>
        <w:t>许可</w:t>
      </w:r>
      <w:r>
        <w:rPr>
          <w:rFonts w:ascii="宋体" w:hAnsi="宋体" w:cs="宋体" w:eastAsia="宋体" w:hint="default"/>
        </w:rPr>
        <w:t>[2014]917</w:t>
      </w:r>
      <w:r>
        <w:rPr/>
        <w:t>号文件《关于核准大唐高鸿数据网络技术股份有限公司向电信科学技术研究院等发行股份</w:t>
      </w:r>
      <w:r>
        <w:rPr>
          <w:spacing w:val="-36"/>
        </w:rPr>
        <w:t> </w:t>
      </w:r>
      <w:r>
        <w:rPr>
          <w:spacing w:val="-36"/>
        </w:rPr>
      </w:r>
      <w:r>
        <w:rPr>
          <w:spacing w:val="-1"/>
        </w:rPr>
        <w:t>购买资产的批复》核准贵公司非公开发行人民币普通股（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6,817.426</w:t>
      </w:r>
      <w:r>
        <w:rPr>
          <w:spacing w:val="-1"/>
        </w:rPr>
        <w:t>万股购买相关资产；根据公司与</w:t>
      </w:r>
      <w:r>
        <w:rPr>
          <w:spacing w:val="-82"/>
        </w:rPr>
        <w:t> </w:t>
      </w:r>
      <w:r>
        <w:rPr>
          <w:spacing w:val="-82"/>
        </w:rPr>
      </w:r>
      <w:r>
        <w:rPr>
          <w:spacing w:val="-1"/>
        </w:rPr>
        <w:t>电信科学技术研究院有限公司等签订的《大唐高鸿数据网络技术股份有限公司向特定对象发行股份购买资</w:t>
      </w:r>
      <w:r>
        <w:rPr>
          <w:spacing w:val="-81"/>
        </w:rPr>
        <w:t> </w:t>
      </w:r>
      <w:r>
        <w:rPr>
          <w:spacing w:val="-81"/>
        </w:rPr>
      </w:r>
      <w:r>
        <w:rPr>
          <w:spacing w:val="-5"/>
        </w:rPr>
        <w:t>产协议》及其补充协议规定，确定的每股发行价为人民币</w:t>
      </w:r>
      <w:r>
        <w:rPr>
          <w:rFonts w:ascii="宋体" w:hAnsi="宋体" w:cs="宋体" w:eastAsia="宋体" w:hint="default"/>
          <w:spacing w:val="-5"/>
        </w:rPr>
        <w:t>7.65</w:t>
      </w:r>
      <w:r>
        <w:rPr>
          <w:spacing w:val="-5"/>
        </w:rPr>
        <w:t>元，购买相关资产公允价值为</w:t>
      </w:r>
      <w:r>
        <w:rPr>
          <w:rFonts w:ascii="宋体" w:hAnsi="宋体" w:cs="宋体" w:eastAsia="宋体" w:hint="default"/>
          <w:spacing w:val="-5"/>
        </w:rPr>
        <w:t>521,533,089.00</w:t>
      </w:r>
      <w:r>
        <w:rPr>
          <w:rFonts w:ascii="宋体" w:hAnsi="宋体" w:cs="宋体" w:eastAsia="宋体" w:hint="default"/>
          <w:spacing w:val="-56"/>
        </w:rPr>
        <w:t> </w:t>
      </w:r>
      <w:r>
        <w:rPr/>
        <w:t>元。公司本次发行后的注册资本为人民币</w:t>
      </w:r>
      <w:r>
        <w:rPr>
          <w:rFonts w:ascii="宋体" w:hAnsi="宋体" w:cs="宋体" w:eastAsia="宋体" w:hint="default"/>
        </w:rPr>
        <w:t>58,411.426</w:t>
      </w:r>
      <w:r>
        <w:rPr/>
        <w:t>万元。</w:t>
      </w:r>
    </w:p>
    <w:p>
      <w:pPr>
        <w:pStyle w:val="BodyText"/>
        <w:spacing w:line="273" w:lineRule="auto"/>
        <w:ind w:right="1132" w:firstLine="423"/>
        <w:jc w:val="both"/>
      </w:pPr>
      <w:r>
        <w:rPr>
          <w:spacing w:val="-1"/>
        </w:rPr>
        <w:t>根据公司</w:t>
      </w:r>
      <w:r>
        <w:rPr>
          <w:rFonts w:ascii="宋体" w:hAnsi="宋体" w:cs="宋体" w:eastAsia="宋体" w:hint="default"/>
          <w:spacing w:val="-1"/>
        </w:rPr>
        <w:t>2014</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23</w:t>
      </w:r>
      <w:r>
        <w:rPr>
          <w:spacing w:val="-1"/>
        </w:rPr>
        <w:t>日召开的</w:t>
      </w:r>
      <w:r>
        <w:rPr>
          <w:rFonts w:ascii="宋体" w:hAnsi="宋体" w:cs="宋体" w:eastAsia="宋体" w:hint="default"/>
          <w:spacing w:val="-1"/>
        </w:rPr>
        <w:t>2014</w:t>
      </w:r>
      <w:r>
        <w:rPr>
          <w:spacing w:val="-1"/>
        </w:rPr>
        <w:t>年度第五次临时股东大会决议通过了《大唐高鸿数据网络技术股</w:t>
      </w:r>
      <w:r>
        <w:rPr/>
        <w:t> </w:t>
      </w:r>
      <w:r>
        <w:rPr>
          <w:spacing w:val="-1"/>
        </w:rPr>
        <w:t>份有限公司限制性股票激励计划（草案修订稿）及其摘要》，该激励计划经国务院国有资产监督管理委员</w:t>
      </w:r>
      <w:r>
        <w:rPr>
          <w:spacing w:val="-86"/>
        </w:rPr>
        <w:t> </w:t>
      </w:r>
      <w:r>
        <w:rPr>
          <w:spacing w:val="-86"/>
        </w:rPr>
      </w:r>
      <w:r>
        <w:rPr/>
        <w:t>会办公厅国资厅分配【</w:t>
      </w:r>
      <w:r>
        <w:rPr>
          <w:rFonts w:ascii="宋体" w:hAnsi="宋体" w:cs="宋体" w:eastAsia="宋体" w:hint="default"/>
        </w:rPr>
        <w:t>2014</w:t>
      </w:r>
      <w:r>
        <w:rPr/>
        <w:t>】</w:t>
      </w:r>
      <w:r>
        <w:rPr>
          <w:rFonts w:ascii="宋体" w:hAnsi="宋体" w:cs="宋体" w:eastAsia="宋体" w:hint="default"/>
        </w:rPr>
        <w:t>400</w:t>
      </w:r>
      <w:r>
        <w:rPr/>
        <w:t>号文件同意及中国证券监督管理委员会备案无异议。本次股权激励事项</w:t>
      </w:r>
      <w:r>
        <w:rPr>
          <w:spacing w:val="-34"/>
        </w:rPr>
        <w:t> </w:t>
      </w:r>
      <w:r>
        <w:rPr>
          <w:spacing w:val="-34"/>
        </w:rPr>
      </w:r>
      <w:r>
        <w:rPr/>
        <w:t>向</w:t>
      </w:r>
      <w:r>
        <w:rPr>
          <w:rFonts w:ascii="宋体" w:hAnsi="宋体" w:cs="宋体" w:eastAsia="宋体" w:hint="default"/>
        </w:rPr>
        <w:t>144</w:t>
      </w:r>
      <w:r>
        <w:rPr/>
        <w:t>名激励对象发行人民币普通股（</w:t>
      </w:r>
      <w:r>
        <w:rPr>
          <w:rFonts w:ascii="宋体" w:hAnsi="宋体" w:cs="宋体" w:eastAsia="宋体" w:hint="default"/>
        </w:rPr>
        <w:t>A</w:t>
      </w:r>
      <w:r>
        <w:rPr/>
        <w:t>股）</w:t>
      </w:r>
      <w:r>
        <w:rPr>
          <w:rFonts w:ascii="宋体" w:hAnsi="宋体" w:cs="宋体" w:eastAsia="宋体" w:hint="default"/>
        </w:rPr>
        <w:t>725</w:t>
      </w:r>
      <w:r>
        <w:rPr/>
        <w:t>万股，每股发行价格为人民币</w:t>
      </w:r>
      <w:r>
        <w:rPr>
          <w:rFonts w:ascii="宋体" w:hAnsi="宋体" w:cs="宋体" w:eastAsia="宋体" w:hint="default"/>
        </w:rPr>
        <w:t>5.27</w:t>
      </w:r>
      <w:r>
        <w:rPr/>
        <w:t>元。公司本次发行后的</w:t>
      </w:r>
      <w:r>
        <w:rPr>
          <w:spacing w:val="-31"/>
        </w:rPr>
        <w:t> </w:t>
      </w:r>
      <w:r>
        <w:rPr>
          <w:spacing w:val="-31"/>
        </w:rPr>
      </w:r>
      <w:r>
        <w:rPr/>
        <w:t>注册资本为人民币</w:t>
      </w:r>
      <w:r>
        <w:rPr>
          <w:rFonts w:ascii="宋体" w:hAnsi="宋体" w:cs="宋体" w:eastAsia="宋体" w:hint="default"/>
        </w:rPr>
        <w:t>59,136.426</w:t>
      </w:r>
      <w:r>
        <w:rPr/>
        <w:t>万元。</w:t>
      </w:r>
    </w:p>
    <w:p>
      <w:pPr>
        <w:pStyle w:val="BodyText"/>
        <w:spacing w:line="273" w:lineRule="auto"/>
        <w:ind w:right="1025" w:firstLine="423"/>
        <w:jc w:val="both"/>
      </w:pPr>
      <w:r>
        <w:rPr>
          <w:spacing w:val="-6"/>
        </w:rPr>
        <w:t>根据公司</w:t>
      </w:r>
      <w:r>
        <w:rPr>
          <w:rFonts w:ascii="宋体" w:hAnsi="宋体" w:cs="宋体" w:eastAsia="宋体" w:hint="default"/>
          <w:spacing w:val="-6"/>
        </w:rPr>
        <w:t>2016</w:t>
      </w:r>
      <w:r>
        <w:rPr>
          <w:spacing w:val="-6"/>
        </w:rPr>
        <w:t>年</w:t>
      </w:r>
      <w:r>
        <w:rPr>
          <w:rFonts w:ascii="宋体" w:hAnsi="宋体" w:cs="宋体" w:eastAsia="宋体" w:hint="default"/>
          <w:spacing w:val="-6"/>
        </w:rPr>
        <w:t>6</w:t>
      </w:r>
      <w:r>
        <w:rPr>
          <w:spacing w:val="-6"/>
        </w:rPr>
        <w:t>月</w:t>
      </w:r>
      <w:r>
        <w:rPr>
          <w:rFonts w:ascii="宋体" w:hAnsi="宋体" w:cs="宋体" w:eastAsia="宋体" w:hint="default"/>
          <w:spacing w:val="-6"/>
        </w:rPr>
        <w:t>2</w:t>
      </w:r>
      <w:r>
        <w:rPr>
          <w:spacing w:val="-6"/>
        </w:rPr>
        <w:t>日召开的第七届第五十八次董事会决议，鉴于徐长斌、冯婧、杨梅、侯峰、郑娟、</w:t>
      </w:r>
      <w:r>
        <w:rPr/>
        <w:t> 邓晖、黄睿明</w:t>
      </w:r>
      <w:r>
        <w:rPr>
          <w:rFonts w:ascii="宋体" w:hAnsi="宋体" w:cs="宋体" w:eastAsia="宋体" w:hint="default"/>
        </w:rPr>
        <w:t>7</w:t>
      </w:r>
      <w:r>
        <w:rPr/>
        <w:t>人已经离职，不再符合激励条件，对其已获授但尚未解锁的限制性股票进行回购注销。对</w:t>
      </w:r>
      <w:r>
        <w:rPr>
          <w:spacing w:val="-33"/>
        </w:rPr>
        <w:t> </w:t>
      </w:r>
      <w:r>
        <w:rPr>
          <w:spacing w:val="-33"/>
        </w:rPr>
      </w:r>
      <w:r>
        <w:rPr>
          <w:spacing w:val="21"/>
        </w:rPr>
        <w:t>其以货币方式归还人民币</w:t>
      </w:r>
      <w:r>
        <w:rPr>
          <w:spacing w:val="-79"/>
        </w:rPr>
        <w:t> </w:t>
      </w:r>
      <w:r>
        <w:rPr>
          <w:rFonts w:ascii="宋体" w:hAnsi="宋体" w:cs="宋体" w:eastAsia="宋体" w:hint="default"/>
        </w:rPr>
        <w:t>945,000.00</w:t>
      </w:r>
      <w:r>
        <w:rPr>
          <w:rFonts w:ascii="宋体" w:hAnsi="宋体" w:cs="宋体" w:eastAsia="宋体" w:hint="default"/>
          <w:spacing w:val="-79"/>
        </w:rPr>
        <w:t> </w:t>
      </w:r>
      <w:r>
        <w:rPr>
          <w:spacing w:val="21"/>
        </w:rPr>
        <w:t>元，现金分红人民币</w:t>
      </w:r>
      <w:r>
        <w:rPr>
          <w:spacing w:val="-79"/>
        </w:rPr>
        <w:t> </w:t>
      </w:r>
      <w:r>
        <w:rPr>
          <w:rFonts w:ascii="宋体" w:hAnsi="宋体" w:cs="宋体" w:eastAsia="宋体" w:hint="default"/>
        </w:rPr>
        <w:t>3,600.00</w:t>
      </w:r>
      <w:r>
        <w:rPr>
          <w:rFonts w:ascii="宋体" w:hAnsi="宋体" w:cs="宋体" w:eastAsia="宋体" w:hint="default"/>
          <w:spacing w:val="-78"/>
        </w:rPr>
        <w:t> </w:t>
      </w:r>
      <w:r>
        <w:rPr>
          <w:spacing w:val="11"/>
        </w:rPr>
        <w:t>元。</w:t>
      </w:r>
      <w:r>
        <w:rPr>
          <w:spacing w:val="-80"/>
        </w:rPr>
        <w:t> </w:t>
      </w:r>
      <w:r>
        <w:rPr>
          <w:spacing w:val="20"/>
        </w:rPr>
        <w:t>同时分别减少股本人民币</w:t>
      </w:r>
      <w:r>
        <w:rPr>
          <w:spacing w:val="-94"/>
        </w:rPr>
        <w:t> </w:t>
      </w:r>
      <w:r>
        <w:rPr>
          <w:spacing w:val="-94"/>
        </w:rPr>
      </w:r>
      <w:r>
        <w:rPr>
          <w:rFonts w:ascii="宋体" w:hAnsi="宋体" w:cs="宋体" w:eastAsia="宋体" w:hint="default"/>
        </w:rPr>
        <w:t>180,000.00</w:t>
      </w:r>
      <w:r>
        <w:rPr/>
        <w:t>元，资本公积人民币</w:t>
      </w:r>
      <w:r>
        <w:rPr>
          <w:rFonts w:ascii="宋体" w:hAnsi="宋体" w:cs="宋体" w:eastAsia="宋体" w:hint="default"/>
        </w:rPr>
        <w:t>768,600.00</w:t>
      </w:r>
      <w:r>
        <w:rPr/>
        <w:t>元。公司本次变更后的注册资本为人民币</w:t>
      </w:r>
      <w:r>
        <w:rPr>
          <w:rFonts w:ascii="宋体" w:hAnsi="宋体" w:cs="宋体" w:eastAsia="宋体" w:hint="default"/>
        </w:rPr>
        <w:t>591,184,260.00</w:t>
      </w:r>
      <w:r>
        <w:rPr/>
        <w:t>元。</w:t>
      </w:r>
    </w:p>
    <w:p>
      <w:pPr>
        <w:pStyle w:val="BodyText"/>
        <w:spacing w:line="240" w:lineRule="auto"/>
        <w:ind w:left="577" w:right="0"/>
        <w:jc w:val="left"/>
      </w:pPr>
      <w:r>
        <w:rPr/>
        <w:t>根据公司</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21</w:t>
      </w:r>
      <w:r>
        <w:rPr/>
        <w:t>日召开的第七届第五十六次董事会，决议通过了向南京庆亚贸易有限公司发行</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rFonts w:ascii="宋体" w:hAnsi="宋体" w:cs="宋体" w:eastAsia="宋体" w:hint="default"/>
        </w:rPr>
        <w:t>27,542,993.00</w:t>
      </w:r>
      <w:r>
        <w:rPr/>
        <w:t>股份购买相关资产，并经国务院国有资产监督管理委员会国资产权</w:t>
      </w:r>
      <w:r>
        <w:rPr>
          <w:rFonts w:ascii="宋体" w:hAnsi="宋体" w:cs="宋体" w:eastAsia="宋体" w:hint="default"/>
        </w:rPr>
        <w:t>[2016]319</w:t>
      </w:r>
      <w:r>
        <w:rPr/>
        <w:t>号文件《关于 大唐高鸿数据网络技术股份有限公司非公开发行</w:t>
      </w:r>
      <w:r>
        <w:rPr>
          <w:rFonts w:ascii="宋体" w:hAnsi="宋体" w:cs="宋体" w:eastAsia="宋体" w:hint="default"/>
        </w:rPr>
        <w:t>A</w:t>
      </w:r>
      <w:r>
        <w:rPr/>
        <w:t>股股票有关问题的批复》、中国证券监督管理委员会证</w:t>
      </w:r>
      <w:r>
        <w:rPr>
          <w:spacing w:val="-29"/>
        </w:rPr>
        <w:t> </w:t>
      </w:r>
      <w:r>
        <w:rPr>
          <w:spacing w:val="-29"/>
        </w:rPr>
      </w:r>
      <w:r>
        <w:rPr/>
        <w:t>监许可</w:t>
      </w:r>
      <w:r>
        <w:rPr>
          <w:rFonts w:ascii="宋体" w:hAnsi="宋体" w:cs="宋体" w:eastAsia="宋体" w:hint="default"/>
        </w:rPr>
        <w:t>[2016]2684</w:t>
      </w:r>
      <w:r>
        <w:rPr/>
        <w:t>号文件《关于核准大唐高鸿数据网络技术股份有限公司向南京庆亚贸易有限公司发行股 份购买资产并募集配套资金的批复》核准公司发行人民币普通股</w:t>
      </w:r>
      <w:r>
        <w:rPr>
          <w:rFonts w:ascii="宋体" w:hAnsi="宋体" w:cs="宋体" w:eastAsia="宋体" w:hint="default"/>
        </w:rPr>
        <w:t>27,542,993</w:t>
      </w:r>
      <w:r>
        <w:rPr/>
        <w:t>股购买相关资产；根据公司与 南京庆亚贸易有限公司签订的《大唐高鸿数据网络技术股份有限公司向特定对象发行股份购买资产协议》</w:t>
      </w:r>
      <w:r>
        <w:rPr>
          <w:spacing w:val="-27"/>
        </w:rPr>
        <w:t> </w:t>
      </w:r>
      <w:r>
        <w:rPr>
          <w:spacing w:val="-27"/>
        </w:rPr>
      </w:r>
      <w:r>
        <w:rPr/>
        <w:t>及其补充协议规定，确定的每股发行价为人民币</w:t>
      </w:r>
      <w:r>
        <w:rPr>
          <w:rFonts w:ascii="宋体" w:hAnsi="宋体" w:cs="宋体" w:eastAsia="宋体" w:hint="default"/>
        </w:rPr>
        <w:t>11.60</w:t>
      </w:r>
      <w:r>
        <w:rPr/>
        <w:t>元，购买相关资产公允价值为</w:t>
      </w:r>
      <w:r>
        <w:rPr>
          <w:rFonts w:ascii="宋体" w:hAnsi="宋体" w:cs="宋体" w:eastAsia="宋体" w:hint="default"/>
        </w:rPr>
        <w:t>319,498,718.80</w:t>
      </w:r>
      <w:r>
        <w:rPr/>
        <w:t>元，</w:t>
      </w:r>
      <w:r>
        <w:rPr>
          <w:spacing w:val="-24"/>
        </w:rPr>
        <w:t> </w:t>
      </w:r>
      <w:r>
        <w:rPr/>
        <w:t>其中：新增注册资本人民币</w:t>
      </w:r>
      <w:r>
        <w:rPr>
          <w:rFonts w:ascii="宋体" w:hAnsi="宋体" w:cs="宋体" w:eastAsia="宋体" w:hint="default"/>
        </w:rPr>
        <w:t>27,542,993.00</w:t>
      </w:r>
      <w:r>
        <w:rPr/>
        <w:t>元，出资额溢价部分为人民币</w:t>
      </w:r>
      <w:r>
        <w:rPr>
          <w:rFonts w:ascii="宋体" w:hAnsi="宋体" w:cs="宋体" w:eastAsia="宋体" w:hint="default"/>
        </w:rPr>
        <w:t>291,955,725.80</w:t>
      </w:r>
      <w:r>
        <w:rPr/>
        <w:t>元，全部计入资</w:t>
      </w:r>
      <w:r>
        <w:rPr>
          <w:spacing w:val="-33"/>
        </w:rPr>
        <w:t> </w:t>
      </w:r>
      <w:r>
        <w:rPr>
          <w:spacing w:val="-33"/>
        </w:rPr>
      </w:r>
      <w:r>
        <w:rPr/>
        <w:t>本公积。公司本次发行后的注册资本为人民币</w:t>
      </w:r>
      <w:r>
        <w:rPr>
          <w:rFonts w:ascii="宋体" w:hAnsi="宋体" w:cs="宋体" w:eastAsia="宋体" w:hint="default"/>
        </w:rPr>
        <w:t>618,727,253.00</w:t>
      </w:r>
      <w:r>
        <w:rPr/>
        <w:t>元。</w:t>
      </w:r>
    </w:p>
    <w:p>
      <w:pPr>
        <w:pStyle w:val="BodyText"/>
        <w:spacing w:line="273" w:lineRule="auto"/>
        <w:ind w:right="1130" w:firstLine="423"/>
        <w:jc w:val="both"/>
      </w:pPr>
      <w:r>
        <w:rPr/>
        <w:t>根据公司</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19</w:t>
      </w:r>
      <w:r>
        <w:rPr/>
        <w:t>日召开的第七届第六十三次董事会，决议通过《关于调整公司发行股份购买资 </w:t>
      </w:r>
      <w:r>
        <w:rPr>
          <w:spacing w:val="-1"/>
        </w:rPr>
        <w:t>产并募集配套资金方案的议案》，经中国证券监督管理委员会于</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14</w:t>
      </w:r>
      <w:r>
        <w:rPr>
          <w:spacing w:val="-1"/>
        </w:rPr>
        <w:t>日出具的《关于核准大唐高</w:t>
      </w:r>
      <w:r>
        <w:rPr>
          <w:spacing w:val="-82"/>
        </w:rPr>
        <w:t> </w:t>
      </w:r>
      <w:r>
        <w:rPr>
          <w:spacing w:val="-82"/>
        </w:rPr>
      </w:r>
      <w:r>
        <w:rPr>
          <w:spacing w:val="-1"/>
        </w:rPr>
        <w:t>鸿数据网络技术股份有限公司向南京庆亚贸易有限公司发行股份购买资产并募集配套资金的批复》（证监</w:t>
      </w:r>
      <w:r>
        <w:rPr>
          <w:spacing w:val="-81"/>
        </w:rPr>
        <w:t> </w:t>
      </w:r>
      <w:r>
        <w:rPr>
          <w:spacing w:val="-81"/>
        </w:rPr>
      </w:r>
      <w:r>
        <w:rPr>
          <w:spacing w:val="-1"/>
        </w:rPr>
        <w:t>许可</w:t>
      </w:r>
      <w:r>
        <w:rPr>
          <w:rFonts w:ascii="宋体" w:hAnsi="宋体" w:cs="宋体" w:eastAsia="宋体" w:hint="default"/>
          <w:spacing w:val="-1"/>
        </w:rPr>
        <w:t>[2016]2648</w:t>
      </w:r>
      <w:r>
        <w:rPr>
          <w:spacing w:val="-1"/>
        </w:rPr>
        <w:t>号）核准，公司非公开发行不超过</w:t>
      </w:r>
      <w:r>
        <w:rPr>
          <w:rFonts w:ascii="宋体" w:hAnsi="宋体" w:cs="宋体" w:eastAsia="宋体" w:hint="default"/>
          <w:spacing w:val="-1"/>
        </w:rPr>
        <w:t>13,377,775</w:t>
      </w:r>
      <w:r>
        <w:rPr>
          <w:spacing w:val="-1"/>
        </w:rPr>
        <w:t>股新股募集本次发行股份购买资产的配套资</w:t>
      </w:r>
      <w:r>
        <w:rPr>
          <w:spacing w:val="-74"/>
        </w:rPr>
        <w:t> </w:t>
      </w:r>
      <w:r>
        <w:rPr>
          <w:spacing w:val="-74"/>
        </w:rPr>
      </w:r>
      <w:r>
        <w:rPr/>
        <w:t>金。公司本次发行后的注册资本为人民币</w:t>
      </w:r>
      <w:r>
        <w:rPr>
          <w:rFonts w:ascii="宋体" w:hAnsi="宋体" w:cs="宋体" w:eastAsia="宋体" w:hint="default"/>
        </w:rPr>
        <w:t>632,105,028.00</w:t>
      </w:r>
      <w:r>
        <w:rPr/>
        <w:t>元。</w:t>
      </w:r>
    </w:p>
    <w:p>
      <w:pPr>
        <w:pStyle w:val="BodyText"/>
        <w:spacing w:line="273" w:lineRule="auto"/>
        <w:ind w:right="1132" w:firstLine="423"/>
        <w:jc w:val="both"/>
      </w:pPr>
      <w:r>
        <w:rPr/>
        <w:t>根据公司</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日召开的</w:t>
      </w:r>
      <w:r>
        <w:rPr>
          <w:rFonts w:ascii="宋体" w:hAnsi="宋体" w:cs="宋体" w:eastAsia="宋体" w:hint="default"/>
        </w:rPr>
        <w:t>2017</w:t>
      </w:r>
      <w:r>
        <w:rPr/>
        <w:t>年度第二次临时股东大会决议通过了《大唐高鸿数据网络技术股 </w:t>
      </w:r>
      <w:r>
        <w:rPr>
          <w:spacing w:val="-1"/>
        </w:rPr>
        <w:t>份有限公司限制性股票激励计划（草案修订稿）及其摘要》，该激励计划经国务院国有资产监督管理委员</w:t>
      </w:r>
      <w:r>
        <w:rPr>
          <w:spacing w:val="-86"/>
        </w:rPr>
        <w:t> </w:t>
      </w:r>
      <w:r>
        <w:rPr>
          <w:spacing w:val="-86"/>
        </w:rPr>
      </w:r>
      <w:r>
        <w:rPr/>
        <w:t>会办公厅国资厅考分【</w:t>
      </w:r>
      <w:r>
        <w:rPr>
          <w:rFonts w:ascii="宋体" w:hAnsi="宋体" w:cs="宋体" w:eastAsia="宋体" w:hint="default"/>
        </w:rPr>
        <w:t>2017</w:t>
      </w:r>
      <w:r>
        <w:rPr/>
        <w:t>】</w:t>
      </w:r>
      <w:r>
        <w:rPr>
          <w:rFonts w:ascii="宋体" w:hAnsi="宋体" w:cs="宋体" w:eastAsia="宋体" w:hint="default"/>
        </w:rPr>
        <w:t>543</w:t>
      </w:r>
      <w:r>
        <w:rPr/>
        <w:t>号文件同意及中国证券监督管理委员会备案无异议，该股权激励计划向</w:t>
      </w:r>
      <w:r>
        <w:rPr>
          <w:spacing w:val="-34"/>
        </w:rPr>
        <w:t> </w:t>
      </w:r>
      <w:r>
        <w:rPr>
          <w:spacing w:val="-34"/>
        </w:rPr>
      </w:r>
      <w:r>
        <w:rPr>
          <w:rFonts w:ascii="宋体" w:hAnsi="宋体" w:cs="宋体" w:eastAsia="宋体" w:hint="default"/>
          <w:spacing w:val="-1"/>
        </w:rPr>
        <w:t>230</w:t>
      </w:r>
      <w:r>
        <w:rPr>
          <w:spacing w:val="-1"/>
        </w:rPr>
        <w:t>名激励对象以每股发行价格</w:t>
      </w:r>
      <w:r>
        <w:rPr>
          <w:rFonts w:ascii="宋体" w:hAnsi="宋体" w:cs="宋体" w:eastAsia="宋体" w:hint="default"/>
          <w:spacing w:val="-1"/>
        </w:rPr>
        <w:t>4.63</w:t>
      </w:r>
      <w:r>
        <w:rPr>
          <w:spacing w:val="-1"/>
        </w:rPr>
        <w:t>元发行人民币普通股</w:t>
      </w:r>
      <w:r>
        <w:rPr>
          <w:rFonts w:ascii="宋体" w:hAnsi="宋体" w:cs="宋体" w:eastAsia="宋体" w:hint="default"/>
          <w:spacing w:val="-1"/>
        </w:rPr>
        <w:t>1,872</w:t>
      </w:r>
      <w:r>
        <w:rPr>
          <w:spacing w:val="-1"/>
        </w:rPr>
        <w:t>万股。公司本次发行后的注册资本为人民币</w:t>
      </w:r>
    </w:p>
    <w:p>
      <w:pPr>
        <w:pStyle w:val="BodyText"/>
        <w:spacing w:line="240" w:lineRule="auto"/>
        <w:ind w:right="0"/>
        <w:jc w:val="left"/>
      </w:pPr>
      <w:r>
        <w:rPr>
          <w:rFonts w:ascii="宋体" w:hAnsi="宋体" w:cs="宋体" w:eastAsia="宋体" w:hint="default"/>
        </w:rPr>
        <w:t>650,825,028.00</w:t>
      </w:r>
      <w:r>
        <w:rPr/>
        <w:t>元。</w:t>
      </w:r>
    </w:p>
    <w:p>
      <w:pPr>
        <w:pStyle w:val="BodyText"/>
        <w:spacing w:line="273" w:lineRule="auto" w:before="37"/>
        <w:ind w:right="1128" w:firstLine="423"/>
        <w:jc w:val="both"/>
      </w:pPr>
      <w:r>
        <w:rPr/>
        <w:t>根据公司</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20</w:t>
      </w:r>
      <w:r>
        <w:rPr/>
        <w:t>日召开的第七届董事会第六十八次会议及</w:t>
      </w:r>
      <w:r>
        <w:rPr>
          <w:rFonts w:ascii="宋体" w:hAnsi="宋体" w:cs="宋体" w:eastAsia="宋体" w:hint="default"/>
        </w:rPr>
        <w:t>2016</w:t>
      </w:r>
      <w:r>
        <w:rPr/>
        <w:t>年度股东大会审议通过《关于回 </w:t>
      </w:r>
      <w:r>
        <w:rPr>
          <w:spacing w:val="-3"/>
        </w:rPr>
        <w:t>购注销部分限制性股票的议案》同意公司对已经获受但尚未解锁的</w:t>
      </w:r>
      <w:r>
        <w:rPr>
          <w:rFonts w:ascii="宋体" w:hAnsi="宋体" w:cs="宋体" w:eastAsia="宋体" w:hint="default"/>
          <w:spacing w:val="-3"/>
        </w:rPr>
        <w:t>2,517,980</w:t>
      </w:r>
      <w:r>
        <w:rPr>
          <w:spacing w:val="-3"/>
        </w:rPr>
        <w:t>股限制性股票进行回购。</w:t>
      </w:r>
      <w:r>
        <w:rPr>
          <w:rFonts w:ascii="宋体" w:hAnsi="宋体" w:cs="宋体" w:eastAsia="宋体" w:hint="default"/>
          <w:spacing w:val="-3"/>
        </w:rPr>
        <w:t>2017</w:t>
      </w:r>
      <w:r>
        <w:rPr>
          <w:rFonts w:ascii="宋体" w:hAnsi="宋体" w:cs="宋体" w:eastAsia="宋体" w:hint="default"/>
          <w:spacing w:val="-75"/>
        </w:rPr>
        <w:t> </w:t>
      </w:r>
      <w:r>
        <w:rPr>
          <w:rFonts w:ascii="宋体" w:hAnsi="宋体" w:cs="宋体" w:eastAsia="宋体" w:hint="default"/>
          <w:spacing w:val="-75"/>
        </w:rPr>
      </w:r>
      <w:r>
        <w:rPr/>
        <w:t>年</w:t>
      </w:r>
      <w:r>
        <w:rPr>
          <w:rFonts w:ascii="宋体" w:hAnsi="宋体" w:cs="宋体" w:eastAsia="宋体" w:hint="default"/>
        </w:rPr>
        <w:t>11</w:t>
      </w:r>
      <w:r>
        <w:rPr/>
        <w:t>月公司实际向股权激励对象支付货币资金</w:t>
      </w:r>
      <w:r>
        <w:rPr>
          <w:rFonts w:ascii="宋体" w:hAnsi="宋体" w:cs="宋体" w:eastAsia="宋体" w:hint="default"/>
        </w:rPr>
        <w:t>13,269,754.60</w:t>
      </w:r>
      <w:r>
        <w:rPr/>
        <w:t>元，其中减少股本人民币</w:t>
      </w:r>
      <w:r>
        <w:rPr>
          <w:rFonts w:ascii="宋体" w:hAnsi="宋体" w:cs="宋体" w:eastAsia="宋体" w:hint="default"/>
        </w:rPr>
        <w:t>2,517,980.00</w:t>
      </w:r>
      <w:r>
        <w:rPr/>
        <w:t>元，</w:t>
      </w:r>
      <w:r>
        <w:rPr>
          <w:spacing w:val="-30"/>
        </w:rPr>
        <w:t> </w:t>
      </w:r>
      <w:r>
        <w:rPr/>
        <w:t>资本公积人民币</w:t>
      </w:r>
      <w:r>
        <w:rPr>
          <w:rFonts w:ascii="宋体" w:hAnsi="宋体" w:cs="宋体" w:eastAsia="宋体" w:hint="default"/>
        </w:rPr>
        <w:t>10,751,774.60</w:t>
      </w:r>
      <w:r>
        <w:rPr/>
        <w:t>元。公司本次变更后的注册资本为人民币</w:t>
      </w:r>
      <w:r>
        <w:rPr>
          <w:rFonts w:ascii="宋体" w:hAnsi="宋体" w:cs="宋体" w:eastAsia="宋体" w:hint="default"/>
        </w:rPr>
        <w:t>648,307,048.00</w:t>
      </w:r>
      <w:r>
        <w:rPr/>
        <w:t>元。</w:t>
      </w:r>
    </w:p>
    <w:p>
      <w:pPr>
        <w:pStyle w:val="BodyText"/>
        <w:spacing w:line="273" w:lineRule="auto" w:before="8"/>
        <w:ind w:right="1132" w:firstLine="423"/>
        <w:jc w:val="both"/>
      </w:pPr>
      <w:r>
        <w:rPr/>
        <w:t>根据公司</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17</w:t>
      </w:r>
      <w:r>
        <w:rPr/>
        <w:t>日召开的</w:t>
      </w:r>
      <w:r>
        <w:rPr>
          <w:rFonts w:ascii="宋体" w:hAnsi="宋体" w:cs="宋体" w:eastAsia="宋体" w:hint="default"/>
        </w:rPr>
        <w:t>2017</w:t>
      </w:r>
      <w:r>
        <w:rPr/>
        <w:t>年度股东会决议和修改后的章程规定，公司申请增加注册资本人 民币</w:t>
      </w:r>
      <w:r>
        <w:rPr>
          <w:rFonts w:ascii="宋体" w:hAnsi="宋体" w:cs="宋体" w:eastAsia="宋体" w:hint="default"/>
        </w:rPr>
        <w:t>259,322,819.00</w:t>
      </w:r>
      <w:r>
        <w:rPr/>
        <w:t>元，按每</w:t>
      </w:r>
      <w:r>
        <w:rPr>
          <w:rFonts w:ascii="宋体" w:hAnsi="宋体" w:cs="宋体" w:eastAsia="宋体" w:hint="default"/>
        </w:rPr>
        <w:t>10</w:t>
      </w:r>
      <w:r>
        <w:rPr/>
        <w:t>股转增</w:t>
      </w:r>
      <w:r>
        <w:rPr>
          <w:rFonts w:ascii="宋体" w:hAnsi="宋体" w:cs="宋体" w:eastAsia="宋体" w:hint="default"/>
        </w:rPr>
        <w:t>4</w:t>
      </w:r>
      <w:r>
        <w:rPr/>
        <w:t>股的比例，以资本公积向全体股东转增股份总额</w:t>
      </w:r>
      <w:r>
        <w:rPr>
          <w:rFonts w:ascii="宋体" w:hAnsi="宋体" w:cs="宋体" w:eastAsia="宋体" w:hint="default"/>
        </w:rPr>
        <w:t>259,322,819.00</w:t>
      </w:r>
      <w:r>
        <w:rPr>
          <w:rFonts w:ascii="宋体" w:hAnsi="宋体" w:cs="宋体" w:eastAsia="宋体" w:hint="default"/>
          <w:spacing w:val="-34"/>
        </w:rPr>
        <w:t> </w:t>
      </w:r>
      <w:r>
        <w:rPr>
          <w:rFonts w:ascii="宋体" w:hAnsi="宋体" w:cs="宋体" w:eastAsia="宋体" w:hint="default"/>
          <w:spacing w:val="-34"/>
        </w:rPr>
      </w:r>
      <w:r>
        <w:rPr/>
        <w:t>股，每股面值</w:t>
      </w:r>
      <w:r>
        <w:rPr>
          <w:rFonts w:ascii="宋体" w:hAnsi="宋体" w:cs="宋体" w:eastAsia="宋体" w:hint="default"/>
        </w:rPr>
        <w:t>1</w:t>
      </w:r>
      <w:r>
        <w:rPr/>
        <w:t>元，变更后注册资本为人民币</w:t>
      </w:r>
      <w:r>
        <w:rPr>
          <w:rFonts w:ascii="宋体" w:hAnsi="宋体" w:cs="宋体" w:eastAsia="宋体" w:hint="default"/>
        </w:rPr>
        <w:t>907,629,867.00</w:t>
      </w:r>
      <w:r>
        <w:rPr/>
        <w:t>元。</w:t>
      </w:r>
    </w:p>
    <w:p>
      <w:pPr>
        <w:pStyle w:val="BodyText"/>
        <w:spacing w:line="273" w:lineRule="auto"/>
        <w:ind w:left="577"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日止，本公司累计发行股本总数</w:t>
      </w:r>
      <w:r>
        <w:rPr>
          <w:rFonts w:ascii="宋体" w:hAnsi="宋体" w:cs="宋体" w:eastAsia="宋体" w:hint="default"/>
        </w:rPr>
        <w:t>90,762.9867</w:t>
      </w:r>
      <w:r>
        <w:rPr/>
        <w:t>万股，注册资本为</w:t>
      </w:r>
      <w:r>
        <w:rPr>
          <w:rFonts w:ascii="宋体" w:hAnsi="宋体" w:cs="宋体" w:eastAsia="宋体" w:hint="default"/>
        </w:rPr>
        <w:t>90,762.9867</w:t>
      </w:r>
      <w:r>
        <w:rPr/>
        <w:t>万元。</w:t>
      </w:r>
      <w:r>
        <w:rPr>
          <w:spacing w:val="-42"/>
        </w:rPr>
        <w:t> </w:t>
      </w:r>
      <w:r>
        <w:rPr>
          <w:spacing w:val="-42"/>
        </w:rPr>
      </w:r>
      <w:r>
        <w:rPr/>
        <w:t>公司注册地址为：贵州省贵阳市花溪区磊花路口；管理总部地址位于北京市海淀区学院路</w:t>
      </w:r>
      <w:r>
        <w:rPr>
          <w:rFonts w:ascii="宋体" w:hAnsi="宋体" w:cs="宋体" w:eastAsia="宋体" w:hint="default"/>
        </w:rPr>
        <w:t>40</w:t>
      </w:r>
      <w:r>
        <w:rPr/>
        <w:t>号大唐电</w:t>
      </w:r>
    </w:p>
    <w:p>
      <w:pPr>
        <w:pStyle w:val="BodyText"/>
        <w:spacing w:line="273" w:lineRule="auto"/>
        <w:ind w:right="0"/>
        <w:jc w:val="left"/>
      </w:pPr>
      <w:r>
        <w:rPr>
          <w:spacing w:val="-1"/>
        </w:rPr>
        <w:t>信集团主楼</w:t>
      </w:r>
      <w:r>
        <w:rPr>
          <w:rFonts w:ascii="宋体" w:hAnsi="宋体" w:cs="宋体" w:eastAsia="宋体" w:hint="default"/>
          <w:spacing w:val="-1"/>
        </w:rPr>
        <w:t>11</w:t>
      </w:r>
      <w:r>
        <w:rPr>
          <w:spacing w:val="-1"/>
        </w:rPr>
        <w:t>层。公司及子公司主要从事通信交换设备研发、制造及销售业务、信息服务业务及</w:t>
      </w:r>
      <w:r>
        <w:rPr>
          <w:rFonts w:ascii="宋体" w:hAnsi="宋体" w:cs="宋体" w:eastAsia="宋体" w:hint="default"/>
          <w:spacing w:val="-1"/>
        </w:rPr>
        <w:t>IT</w:t>
      </w:r>
      <w:r>
        <w:rPr>
          <w:spacing w:val="-1"/>
        </w:rPr>
        <w:t>产品销</w:t>
      </w:r>
      <w:r>
        <w:rPr>
          <w:spacing w:val="-84"/>
        </w:rPr>
        <w:t> </w:t>
      </w:r>
      <w:r>
        <w:rPr/>
        <w:t>售业务，属其他计算机应用服务业。</w:t>
      </w:r>
    </w:p>
    <w:p>
      <w:pPr>
        <w:pStyle w:val="BodyText"/>
        <w:spacing w:line="273" w:lineRule="auto"/>
        <w:ind w:right="1130" w:firstLine="423"/>
        <w:jc w:val="both"/>
      </w:pPr>
      <w:r>
        <w:rPr>
          <w:spacing w:val="-1"/>
        </w:rPr>
        <w:t>公司及子公司经营范围为：多业务宽带电信网络产品、通信器材、通信终端设备、仪器仪表、电子计</w:t>
      </w:r>
      <w:r>
        <w:rPr/>
        <w:t> </w:t>
      </w:r>
      <w:r>
        <w:rPr>
          <w:spacing w:val="-1"/>
        </w:rPr>
        <w:t>算机软硬件及外部设备、系统集成的技术开发、转让、咨询、服务及制造、销售；通信及信息系统工程设</w:t>
      </w:r>
      <w:r>
        <w:rPr>
          <w:spacing w:val="-83"/>
        </w:rPr>
        <w:t> </w:t>
      </w:r>
      <w:r>
        <w:rPr>
          <w:spacing w:val="-83"/>
        </w:rPr>
      </w:r>
      <w:r>
        <w:rPr>
          <w:spacing w:val="-1"/>
        </w:rPr>
        <w:t>计；信息服务；自营和代理各类商品和技术的进出口，但国家限定公司经营或禁止进出口的商品和技术除</w:t>
      </w:r>
      <w:r>
        <w:rPr>
          <w:spacing w:val="-83"/>
        </w:rPr>
        <w:t> </w:t>
      </w:r>
      <w:r>
        <w:rPr>
          <w:spacing w:val="-83"/>
        </w:rPr>
      </w:r>
      <w:r>
        <w:rPr/>
        <w:t>外。</w:t>
      </w:r>
    </w:p>
    <w:p>
      <w:pPr>
        <w:pStyle w:val="BodyText"/>
        <w:spacing w:line="273" w:lineRule="auto"/>
        <w:ind w:right="1118" w:firstLine="423"/>
        <w:jc w:val="left"/>
      </w:pPr>
      <w:r>
        <w:rPr>
          <w:spacing w:val="-1"/>
        </w:rPr>
        <w:t>本公司的母公司为电信科学技术研究院有限公司，本公司的实际控制人为国务院国有资产监督管理委</w:t>
      </w:r>
      <w:r>
        <w:rPr/>
        <w:t> 员会。</w:t>
      </w:r>
    </w:p>
    <w:p>
      <w:pPr>
        <w:pStyle w:val="BodyText"/>
        <w:spacing w:line="240" w:lineRule="auto"/>
        <w:ind w:left="577" w:right="0"/>
        <w:jc w:val="left"/>
      </w:pPr>
      <w:r>
        <w:rPr/>
        <w:t>本财务报表业经公司董事会于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22</w:t>
      </w:r>
      <w:r>
        <w:rPr/>
        <w:t>日批准报出。</w:t>
      </w:r>
    </w:p>
    <w:p>
      <w:pPr>
        <w:spacing w:line="544" w:lineRule="auto" w:before="37"/>
        <w:ind w:left="574" w:right="4242" w:hanging="420"/>
        <w:jc w:val="left"/>
        <w:rPr>
          <w:rFonts w:ascii="宋体" w:hAnsi="宋体" w:cs="宋体" w:eastAsia="宋体" w:hint="default"/>
          <w:sz w:val="21"/>
          <w:szCs w:val="21"/>
        </w:rPr>
      </w:pPr>
      <w:r>
        <w:rPr>
          <w:rFonts w:ascii="宋体" w:hAnsi="宋体" w:cs="宋体" w:eastAsia="宋体" w:hint="default"/>
          <w:b/>
          <w:bCs/>
          <w:sz w:val="21"/>
          <w:szCs w:val="21"/>
        </w:rPr>
        <w:t>（二）合并财务报表范围</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日止，本公司合并财务报表范围内子公司如下：</w:t>
      </w:r>
    </w:p>
    <w:p>
      <w:pPr>
        <w:spacing w:line="240" w:lineRule="auto" w:before="0"/>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9659"/>
      </w:tblGrid>
      <w:tr>
        <w:trPr>
          <w:trHeight w:val="355" w:hRule="exact"/>
        </w:trPr>
        <w:tc>
          <w:tcPr>
            <w:tcW w:w="9659" w:type="dxa"/>
            <w:tcBorders>
              <w:top w:val="single" w:sz="6" w:space="0" w:color="000000"/>
              <w:left w:val="nil" w:sz="6" w:space="0" w:color="auto"/>
              <w:bottom w:val="single" w:sz="12" w:space="0" w:color="000000"/>
              <w:right w:val="nil" w:sz="6" w:space="0" w:color="auto"/>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子公司名称</w:t>
            </w:r>
          </w:p>
        </w:tc>
      </w:tr>
      <w:tr>
        <w:trPr>
          <w:trHeight w:val="352"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r>
        <w:trPr>
          <w:trHeight w:val="353"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北京大唐高鸿数据网络技术有限公司</w:t>
            </w:r>
          </w:p>
        </w:tc>
      </w:tr>
      <w:tr>
        <w:trPr>
          <w:trHeight w:val="352"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大唐高鸿信息技术有限公司</w:t>
            </w:r>
          </w:p>
        </w:tc>
      </w:tr>
    </w:tbl>
    <w:p>
      <w:pPr>
        <w:spacing w:after="0" w:line="256" w:lineRule="exact"/>
        <w:jc w:val="left"/>
        <w:rPr>
          <w:rFonts w:ascii="宋体" w:hAnsi="宋体" w:cs="宋体" w:eastAsia="宋体" w:hint="default"/>
          <w:sz w:val="20"/>
          <w:szCs w:val="20"/>
        </w:rPr>
        <w:sectPr>
          <w:pgSz w:w="11910" w:h="16840"/>
          <w:pgMar w:header="877" w:footer="979" w:top="1100" w:bottom="1160" w:left="980" w:right="0"/>
        </w:sectPr>
      </w:pPr>
    </w:p>
    <w:p>
      <w:pPr>
        <w:spacing w:line="240" w:lineRule="auto" w:before="12"/>
        <w:rPr>
          <w:rFonts w:ascii="宋体" w:hAnsi="宋体" w:cs="宋体" w:eastAsia="宋体" w:hint="default"/>
          <w:sz w:val="2"/>
          <w:szCs w:val="2"/>
        </w:rPr>
      </w:pPr>
      <w:r>
        <w:rPr/>
        <w:pict>
          <v:group style="position:absolute;margin-left:55.200001pt;margin-top:55.619984pt;width:485pt;height:.1pt;mso-position-horizontal-relative:page;mso-position-vertical-relative:page;z-index:-1544992" coordorigin="1104,1112" coordsize="9700,2">
            <v:shape style="position:absolute;left:1104;top:1112;width:9700;height:2" coordorigin="1104,1112" coordsize="9700,0" path="m1104,1112l10804,1112e" filled="false" stroked="true" strokeweight=".72pt" strokecolor="#000000">
              <v:path arrowok="t"/>
            </v:shape>
            <w10:wrap type="none"/>
          </v:group>
        </w:pict>
      </w:r>
    </w:p>
    <w:tbl>
      <w:tblPr>
        <w:tblW w:w="0" w:type="auto"/>
        <w:jc w:val="left"/>
        <w:tblInd w:w="144" w:type="dxa"/>
        <w:tblLayout w:type="fixed"/>
        <w:tblCellMar>
          <w:top w:w="0" w:type="dxa"/>
          <w:left w:w="0" w:type="dxa"/>
          <w:bottom w:w="0" w:type="dxa"/>
          <w:right w:w="0" w:type="dxa"/>
        </w:tblCellMar>
        <w:tblLook w:val="01E0"/>
      </w:tblPr>
      <w:tblGrid>
        <w:gridCol w:w="9659"/>
      </w:tblGrid>
      <w:tr>
        <w:trPr>
          <w:trHeight w:val="689" w:hRule="exact"/>
        </w:trPr>
        <w:tc>
          <w:tcPr>
            <w:tcW w:w="9659" w:type="dxa"/>
            <w:tcBorders>
              <w:top w:val="single" w:sz="6" w:space="0" w:color="000000"/>
              <w:left w:val="nil" w:sz="6" w:space="0" w:color="auto"/>
              <w:bottom w:val="single" w:sz="12" w:space="0" w:color="000000"/>
              <w:right w:val="nil" w:sz="6" w:space="0" w:color="auto"/>
            </w:tcBorders>
          </w:tcPr>
          <w:p>
            <w:pPr>
              <w:pStyle w:val="TableParagraph"/>
              <w:spacing w:line="240" w:lineRule="auto" w:before="5"/>
              <w:ind w:left="9" w:right="0"/>
              <w:jc w:val="left"/>
              <w:rPr>
                <w:rFonts w:ascii="宋体" w:hAnsi="宋体" w:cs="宋体" w:eastAsia="宋体" w:hint="default"/>
                <w:sz w:val="20"/>
                <w:szCs w:val="20"/>
              </w:rPr>
            </w:pPr>
            <w:r>
              <w:rPr>
                <w:rFonts w:ascii="宋体" w:hAnsi="宋体" w:cs="宋体" w:eastAsia="宋体" w:hint="default"/>
                <w:sz w:val="20"/>
                <w:szCs w:val="20"/>
              </w:rPr>
              <w:t>北京高阳捷迅信息技术有限公司</w:t>
            </w:r>
          </w:p>
        </w:tc>
      </w:tr>
      <w:tr>
        <w:trPr>
          <w:trHeight w:val="352"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江苏高鸿鼎恒信息技术有限公司</w:t>
            </w:r>
          </w:p>
        </w:tc>
      </w:tr>
      <w:tr>
        <w:trPr>
          <w:trHeight w:val="353"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大唐高鸿通信技术有限公司</w:t>
            </w:r>
          </w:p>
        </w:tc>
      </w:tr>
      <w:tr>
        <w:trPr>
          <w:trHeight w:val="352"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大唐投资管理（北京）有限公司</w:t>
            </w:r>
          </w:p>
        </w:tc>
      </w:tr>
      <w:tr>
        <w:trPr>
          <w:trHeight w:val="352"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高鸿恒昌科技有限公司</w:t>
            </w:r>
          </w:p>
        </w:tc>
      </w:tr>
      <w:tr>
        <w:trPr>
          <w:trHeight w:val="353"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北京大唐高鸿软件技术有限公司</w:t>
            </w:r>
          </w:p>
        </w:tc>
      </w:tr>
      <w:tr>
        <w:trPr>
          <w:trHeight w:val="352"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大唐高鸿济宁电子信息技术有限公司</w:t>
            </w:r>
          </w:p>
        </w:tc>
      </w:tr>
      <w:tr>
        <w:trPr>
          <w:trHeight w:val="352"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贵州大唐高鸿置业有限公司</w:t>
            </w:r>
          </w:p>
        </w:tc>
      </w:tr>
      <w:tr>
        <w:trPr>
          <w:trHeight w:val="353"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大唐高鸿信息通信研究院（义乌）有限公司</w:t>
            </w:r>
          </w:p>
        </w:tc>
      </w:tr>
      <w:tr>
        <w:trPr>
          <w:trHeight w:val="352" w:hRule="exact"/>
        </w:trPr>
        <w:tc>
          <w:tcPr>
            <w:tcW w:w="9659" w:type="dxa"/>
            <w:tcBorders>
              <w:top w:val="single" w:sz="12" w:space="0" w:color="000000"/>
              <w:left w:val="nil" w:sz="6" w:space="0" w:color="auto"/>
              <w:bottom w:val="single" w:sz="12" w:space="0" w:color="000000"/>
              <w:right w:val="nil" w:sz="6" w:space="0" w:color="auto"/>
            </w:tcBorders>
          </w:tcPr>
          <w:p>
            <w:pPr>
              <w:pStyle w:val="TableParagraph"/>
              <w:spacing w:line="256" w:lineRule="exact"/>
              <w:ind w:left="9" w:right="0"/>
              <w:jc w:val="left"/>
              <w:rPr>
                <w:rFonts w:ascii="宋体" w:hAnsi="宋体" w:cs="宋体" w:eastAsia="宋体" w:hint="default"/>
                <w:sz w:val="20"/>
                <w:szCs w:val="20"/>
              </w:rPr>
            </w:pPr>
            <w:r>
              <w:rPr>
                <w:rFonts w:ascii="宋体" w:hAnsi="宋体" w:cs="宋体" w:eastAsia="宋体" w:hint="default"/>
                <w:sz w:val="20"/>
                <w:szCs w:val="20"/>
              </w:rPr>
              <w:t>大唐高鸿（香港）有限公司</w:t>
            </w:r>
          </w:p>
        </w:tc>
      </w:tr>
    </w:tbl>
    <w:p>
      <w:pPr>
        <w:pStyle w:val="BodyText"/>
        <w:spacing w:line="276" w:lineRule="exact" w:before="0"/>
        <w:ind w:left="490" w:right="0"/>
        <w:jc w:val="left"/>
      </w:pPr>
      <w:r>
        <w:rPr/>
        <w:t>本期合</w:t>
      </w:r>
      <w:r>
        <w:rPr>
          <w:spacing w:val="1"/>
        </w:rPr>
        <w:t>并</w:t>
      </w:r>
      <w:r>
        <w:rPr/>
        <w:t>财务报表范围及其变化情况详见第十一节</w:t>
      </w:r>
      <w:r>
        <w:rPr>
          <w:rFonts w:ascii="Times New Roman" w:hAnsi="Times New Roman" w:cs="Times New Roman" w:eastAsia="Times New Roman" w:hint="default"/>
          <w:spacing w:val="-1"/>
          <w:w w:val="100"/>
        </w:rPr>
        <w:t>“</w:t>
      </w:r>
      <w:r>
        <w:rPr/>
        <w:t>八</w:t>
      </w:r>
      <w:r>
        <w:rPr>
          <w:spacing w:val="-103"/>
        </w:rPr>
        <w:t>、</w:t>
      </w:r>
      <w:r>
        <w:rPr/>
        <w:t>合并范围的变更</w:t>
      </w:r>
      <w:r>
        <w:rPr>
          <w:rFonts w:ascii="Times New Roman" w:hAnsi="Times New Roman" w:cs="Times New Roman" w:eastAsia="Times New Roman" w:hint="default"/>
          <w:w w:val="100"/>
        </w:rPr>
        <w:t>”</w:t>
      </w:r>
      <w:r>
        <w:rPr/>
        <w:t>和</w:t>
      </w:r>
      <w:r>
        <w:rPr>
          <w:rFonts w:ascii="Times New Roman" w:hAnsi="Times New Roman" w:cs="Times New Roman" w:eastAsia="Times New Roman" w:hint="default"/>
          <w:spacing w:val="-1"/>
          <w:w w:val="100"/>
        </w:rPr>
        <w:t>“</w:t>
      </w:r>
      <w:r>
        <w:rPr/>
        <w:t>九</w:t>
      </w:r>
      <w:r>
        <w:rPr>
          <w:spacing w:val="-104"/>
        </w:rPr>
        <w:t>、</w:t>
      </w:r>
      <w:r>
        <w:rPr/>
        <w:t>在其他主体中的权</w:t>
      </w:r>
      <w:r>
        <w:rPr>
          <w:spacing w:val="-1"/>
        </w:rPr>
        <w:t>益</w:t>
      </w:r>
      <w:r>
        <w:rPr>
          <w:rFonts w:ascii="Times New Roman" w:hAnsi="Times New Roman" w:cs="Times New Roman" w:eastAsia="Times New Roman" w:hint="default"/>
          <w:w w:val="100"/>
        </w:rPr>
        <w:t>”</w:t>
      </w:r>
      <w:r>
        <w:rPr/>
        <w:t>。</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财务报表的编制基础" w:id="186"/>
      <w:bookmarkEnd w:id="18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87"/>
      <w:bookmarkEnd w:id="18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28" w:firstLine="423"/>
        <w:jc w:val="both"/>
      </w:pPr>
      <w:r>
        <w:rPr>
          <w:spacing w:val="-1"/>
        </w:rPr>
        <w:t>公司以持续经营为基础，根据实际发生的交易和事项，按照财政部颁布的《企业会计准则——基本准</w:t>
      </w:r>
      <w:r>
        <w:rPr/>
        <w:t> </w:t>
      </w:r>
      <w:r>
        <w:rPr>
          <w:spacing w:val="-1"/>
        </w:rPr>
        <w:t>则》和各项具体会计准则、企业会计准则应用指南、企业会计准则解释及其他相关规定（以下合称“企业</w:t>
      </w:r>
      <w:r>
        <w:rPr>
          <w:spacing w:val="-84"/>
        </w:rPr>
        <w:t> </w:t>
      </w:r>
      <w:r>
        <w:rPr>
          <w:spacing w:val="-84"/>
        </w:rPr>
      </w:r>
      <w:r>
        <w:rPr/>
        <w:t>会计准则”），以及中国证券监督管理委员会《公开发行证券的公司信息披露编报规则第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72"/>
        </w:rPr>
        <w:t> </w:t>
      </w:r>
      <w:r>
        <w:rPr/>
        <w:t>号——财务</w:t>
      </w:r>
      <w:r>
        <w:rPr>
          <w:spacing w:val="-97"/>
        </w:rPr>
        <w:t> </w:t>
      </w:r>
      <w:r>
        <w:rPr>
          <w:spacing w:val="-97"/>
        </w:rPr>
      </w:r>
      <w:r>
        <w:rPr/>
        <w:t>报告的一般规定》的披露规定编制财务报表。</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持续经营" w:id="188"/>
      <w:bookmarkEnd w:id="18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7" w:right="0"/>
        <w:jc w:val="left"/>
      </w:pPr>
      <w:r>
        <w:rPr/>
        <w:t>自报告期末起</w:t>
      </w:r>
      <w:r>
        <w:rPr>
          <w:rFonts w:ascii="Times New Roman" w:hAnsi="Times New Roman" w:cs="Times New Roman" w:eastAsia="Times New Roman" w:hint="default"/>
        </w:rPr>
        <w:t>12</w:t>
      </w:r>
      <w:r>
        <w:rPr/>
        <w:t>个月内，公司持续经营能力不存在重大怀疑因素。</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89"/>
      <w:bookmarkEnd w:id="18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0"/>
        <w:ind w:left="577" w:right="0"/>
        <w:jc w:val="left"/>
      </w:pPr>
      <w:r>
        <w:rPr/>
        <w:t>具体会计政策和会计估计提示： </w:t>
      </w:r>
      <w:r>
        <w:rPr>
          <w:spacing w:val="-1"/>
        </w:rPr>
        <w:t>以下披露内容已涵盖了本公司根据实际生产经营特点制定的具体会计政策和会计估计。详见第十一节</w:t>
      </w:r>
    </w:p>
    <w:p>
      <w:pPr>
        <w:pStyle w:val="BodyText"/>
        <w:spacing w:line="273" w:lineRule="auto"/>
        <w:ind w:right="1017"/>
        <w:jc w:val="left"/>
      </w:pPr>
      <w:r>
        <w:rPr/>
        <w:t>“五、</w:t>
      </w:r>
      <w:r>
        <w:rPr>
          <w:rFonts w:ascii="宋体" w:hAnsi="宋体" w:cs="宋体" w:eastAsia="宋体" w:hint="default"/>
        </w:rPr>
        <w:t>11</w:t>
      </w:r>
      <w:r>
        <w:rPr/>
        <w:t>、应收款项”、“五、</w:t>
      </w:r>
      <w:r>
        <w:rPr>
          <w:rFonts w:ascii="宋体" w:hAnsi="宋体" w:cs="宋体" w:eastAsia="宋体" w:hint="default"/>
        </w:rPr>
        <w:t>12</w:t>
      </w:r>
      <w:r>
        <w:rPr/>
        <w:t>、存货”“五、</w:t>
      </w:r>
      <w:r>
        <w:rPr>
          <w:rFonts w:ascii="宋体" w:hAnsi="宋体" w:cs="宋体" w:eastAsia="宋体" w:hint="default"/>
        </w:rPr>
        <w:t>16</w:t>
      </w:r>
      <w:r>
        <w:rPr/>
        <w:t>、固定资产”、“五、</w:t>
      </w:r>
      <w:r>
        <w:rPr>
          <w:rFonts w:ascii="宋体" w:hAnsi="宋体" w:cs="宋体" w:eastAsia="宋体" w:hint="default"/>
        </w:rPr>
        <w:t>21</w:t>
      </w:r>
      <w:r>
        <w:rPr/>
        <w:t>、无形资产”、“五、</w:t>
      </w:r>
      <w:r>
        <w:rPr>
          <w:rFonts w:ascii="宋体" w:hAnsi="宋体" w:cs="宋体" w:eastAsia="宋体" w:hint="default"/>
        </w:rPr>
        <w:t>28</w:t>
      </w:r>
      <w:r>
        <w:rPr/>
        <w:t>、</w:t>
      </w:r>
      <w:r>
        <w:rPr>
          <w:spacing w:val="-37"/>
        </w:rPr>
        <w:t> </w:t>
      </w:r>
      <w:r>
        <w:rPr/>
        <w:t>收入。</w:t>
      </w:r>
    </w:p>
    <w:p>
      <w:pPr>
        <w:spacing w:line="590" w:lineRule="atLeast" w:before="9"/>
        <w:ind w:left="577" w:right="0" w:hanging="424"/>
        <w:jc w:val="left"/>
        <w:rPr>
          <w:rFonts w:ascii="宋体" w:hAnsi="宋体" w:cs="宋体" w:eastAsia="宋体" w:hint="default"/>
          <w:sz w:val="21"/>
          <w:szCs w:val="21"/>
        </w:rPr>
      </w:pPr>
      <w:bookmarkStart w:name="1、遵循企业会计准则的声明" w:id="190"/>
      <w:bookmarkEnd w:id="19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公司所编制的财务报表符合企业会计准则的要求，真实、完整地反映了报告期公司的财务状况、经营</w:t>
      </w:r>
    </w:p>
    <w:p>
      <w:pPr>
        <w:pStyle w:val="BodyText"/>
        <w:spacing w:line="240" w:lineRule="auto" w:before="37"/>
        <w:ind w:right="0"/>
        <w:jc w:val="left"/>
      </w:pPr>
      <w:r>
        <w:rPr/>
        <w:t>成果、现金流量等有关信息。</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2、会计期间" w:id="191"/>
      <w:bookmarkEnd w:id="19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7" w:right="0"/>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line="506" w:lineRule="auto" w:before="35"/>
        <w:ind w:left="490" w:right="7896" w:hanging="336"/>
        <w:jc w:val="left"/>
        <w:rPr>
          <w:rFonts w:ascii="宋体" w:hAnsi="宋体" w:cs="宋体" w:eastAsia="宋体" w:hint="default"/>
          <w:sz w:val="21"/>
          <w:szCs w:val="21"/>
        </w:rPr>
      </w:pPr>
      <w:bookmarkStart w:name="3、营业周期" w:id="192"/>
      <w:bookmarkEnd w:id="19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pStyle w:val="Heading4"/>
        <w:spacing w:line="240" w:lineRule="auto" w:before="64"/>
        <w:ind w:right="0"/>
        <w:jc w:val="both"/>
        <w:rPr>
          <w:b w:val="0"/>
          <w:bCs w:val="0"/>
        </w:rPr>
      </w:pPr>
      <w:bookmarkStart w:name="4、记账本位币" w:id="193"/>
      <w:bookmarkEnd w:id="19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193" w:firstLine="336"/>
        <w:jc w:val="both"/>
      </w:pPr>
      <w:r>
        <w:rPr/>
        <w:t>本公司采用人民币为记账本位币，本公司子公司大唐高鸿（香港）有限公司通常以“美元”进行商品 和劳务的计价和结算，记账本位币为美元。</w:t>
      </w:r>
    </w:p>
    <w:p>
      <w:pPr>
        <w:spacing w:line="590" w:lineRule="atLeast" w:before="9"/>
        <w:ind w:left="577" w:right="0" w:hanging="424"/>
        <w:jc w:val="left"/>
        <w:rPr>
          <w:rFonts w:ascii="宋体" w:hAnsi="宋体" w:cs="宋体" w:eastAsia="宋体" w:hint="default"/>
          <w:sz w:val="21"/>
          <w:szCs w:val="21"/>
        </w:rPr>
      </w:pPr>
      <w:bookmarkStart w:name="5、同一控制下和非同一控制下企业合并的会计处理方法" w:id="194"/>
      <w:bookmarkEnd w:id="19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同一控制下企业合并：本公司在企业合并中取得的资产和负债，按照合并日被合并方资产、负债（包</w:t>
      </w:r>
    </w:p>
    <w:p>
      <w:pPr>
        <w:pStyle w:val="BodyText"/>
        <w:spacing w:line="273" w:lineRule="auto" w:before="37"/>
        <w:ind w:right="113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273" w:lineRule="auto"/>
        <w:ind w:right="1131" w:firstLine="423"/>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273" w:lineRule="auto"/>
        <w:ind w:right="1133" w:firstLine="423"/>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6、合并财务报表的编制方法" w:id="195"/>
      <w:bookmarkEnd w:id="19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left="424" w:right="0"/>
        <w:jc w:val="left"/>
        <w:rPr>
          <w:b w:val="0"/>
          <w:bCs w:val="0"/>
        </w:rPr>
      </w:pPr>
      <w:r>
        <w:rPr/>
        <w:t>（</w:t>
      </w:r>
      <w:r>
        <w:rPr>
          <w:rFonts w:ascii="Times New Roman" w:hAnsi="Times New Roman" w:cs="Times New Roman" w:eastAsia="Times New Roman" w:hint="default"/>
        </w:rPr>
        <w:t>1</w:t>
      </w:r>
      <w:r>
        <w:rPr/>
        <w:t>）合并范围</w:t>
      </w:r>
      <w:r>
        <w:rPr>
          <w:b w:val="0"/>
          <w:bCs w:val="0"/>
        </w:rPr>
      </w:r>
    </w:p>
    <w:p>
      <w:pPr>
        <w:pStyle w:val="BodyText"/>
        <w:spacing w:line="273" w:lineRule="auto" w:before="21"/>
        <w:ind w:right="1129" w:firstLine="845"/>
        <w:jc w:val="left"/>
      </w:pPr>
      <w:r>
        <w:rPr>
          <w:spacing w:val="-1"/>
        </w:rPr>
        <w:t>本公司合并财务报表的合并范围以控制为基础确定，所有子公司（包括本公司所控制的被投资方</w:t>
      </w:r>
      <w:r>
        <w:rPr/>
        <w:t> 可分割的部分）均纳入合并财务报表。</w:t>
      </w:r>
    </w:p>
    <w:p>
      <w:pPr>
        <w:pStyle w:val="BodyText"/>
        <w:spacing w:line="256" w:lineRule="auto"/>
        <w:ind w:left="577" w:right="0" w:hanging="15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BodyText"/>
        <w:spacing w:line="273" w:lineRule="auto" w:before="22"/>
        <w:ind w:right="1133"/>
        <w:jc w:val="both"/>
      </w:pPr>
      <w:r>
        <w:rPr>
          <w:spacing w:val="-1"/>
        </w:rPr>
        <w:t>并财务报表，将整个企业集团视为一个会计主体，依据相关企业会计准则的确认、计量和列报要求，按照</w:t>
      </w:r>
      <w:r>
        <w:rPr>
          <w:spacing w:val="-86"/>
        </w:rPr>
        <w:t> </w:t>
      </w:r>
      <w:r>
        <w:rPr>
          <w:spacing w:val="-86"/>
        </w:rPr>
      </w:r>
      <w:r>
        <w:rPr/>
        <w:t>统一的会计政策，反映本企业集团整体财务状况、经营成果和现金流量。</w:t>
      </w:r>
    </w:p>
    <w:p>
      <w:pPr>
        <w:pStyle w:val="BodyText"/>
        <w:spacing w:line="273" w:lineRule="auto"/>
        <w:ind w:right="1130" w:firstLine="423"/>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6"/>
        </w:rPr>
        <w:t> </w:t>
      </w:r>
      <w:r>
        <w:rPr>
          <w:spacing w:val="-86"/>
        </w:rPr>
      </w:r>
      <w:r>
        <w:rPr>
          <w:spacing w:val="-1"/>
        </w:rPr>
        <w:t>必要的调整。对于非同一控制下企业合并取得的子公司，以购买日可辨认净资产公允价值为基础对其财务</w:t>
      </w:r>
      <w:r>
        <w:rPr>
          <w:spacing w:val="-80"/>
        </w:rPr>
        <w:t> </w:t>
      </w:r>
      <w:r>
        <w:rPr>
          <w:spacing w:val="-80"/>
        </w:rPr>
      </w:r>
      <w:r>
        <w:rPr>
          <w:spacing w:val="-1"/>
        </w:rPr>
        <w:t>报表进行调整。对于同一控制下企业合并取得的子公司，以其资产、负债（包括最终控制方收购该子公司</w:t>
      </w:r>
      <w:r>
        <w:rPr>
          <w:spacing w:val="-86"/>
        </w:rPr>
        <w:t> </w:t>
      </w:r>
      <w:r>
        <w:rPr>
          <w:spacing w:val="-86"/>
        </w:rPr>
      </w:r>
      <w:r>
        <w:rPr/>
        <w:t>而形成的商誉）在最终控制方财务报表中的账面价值为基础对其财务报表进行调整。</w:t>
      </w:r>
    </w:p>
    <w:p>
      <w:pPr>
        <w:pStyle w:val="BodyText"/>
        <w:spacing w:line="273" w:lineRule="auto"/>
        <w:ind w:right="1131" w:firstLine="423"/>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273" w:lineRule="auto"/>
        <w:ind w:left="577" w:right="0" w:hanging="424"/>
        <w:jc w:val="left"/>
      </w:pPr>
      <w:r>
        <w:rPr/>
        <w:t>①增加子公司或业务 </w:t>
      </w:r>
      <w:r>
        <w:rPr>
          <w:spacing w:val="-1"/>
        </w:rPr>
        <w:t>在报告期内，若因同一控制下企业合并增加子公司或业务的，则调整合并资产负债表的期初数；将子</w:t>
      </w:r>
    </w:p>
    <w:p>
      <w:pPr>
        <w:pStyle w:val="BodyText"/>
        <w:spacing w:line="273" w:lineRule="auto"/>
        <w:ind w:right="113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240" w:lineRule="auto"/>
        <w:ind w:left="577" w:right="0"/>
        <w:jc w:val="left"/>
      </w:pPr>
      <w:r>
        <w:rPr/>
        <w:t>因追加投资等原因能够对同一控制下的被投资方实施控制的，视同参与合并的各方在最终控制方开始</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273" w:lineRule="auto"/>
        <w:ind w:right="1131" w:firstLine="423"/>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273" w:lineRule="auto"/>
        <w:ind w:right="1131" w:firstLine="423"/>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73" w:lineRule="auto"/>
        <w:ind w:left="577" w:right="8439"/>
        <w:jc w:val="left"/>
      </w:pPr>
      <w:r>
        <w:rPr/>
        <w:t>②处置子公司或业务 </w:t>
      </w:r>
      <w:r>
        <w:rPr>
          <w:rFonts w:ascii="宋体" w:hAnsi="宋体" w:cs="宋体" w:eastAsia="宋体" w:hint="default"/>
        </w:rPr>
        <w:t>A</w:t>
      </w:r>
      <w:r>
        <w:rPr/>
        <w:t>、一般处理方法</w:t>
      </w:r>
    </w:p>
    <w:p>
      <w:pPr>
        <w:pStyle w:val="BodyText"/>
        <w:spacing w:line="273" w:lineRule="auto"/>
        <w:ind w:right="1132" w:firstLine="423"/>
        <w:jc w:val="both"/>
      </w:pPr>
      <w:r>
        <w:rPr>
          <w:spacing w:val="-1"/>
        </w:rPr>
        <w:t>在报告期内，本公司处置子公司或业务，则该子公司或业务期初至处置日的收入、费用、利润纳入合</w:t>
      </w:r>
      <w:r>
        <w:rPr/>
        <w:t> 并利润表；该子公司或业务期初至处置日的现金流量纳入合并现金流量表。</w:t>
      </w:r>
    </w:p>
    <w:p>
      <w:pPr>
        <w:pStyle w:val="BodyText"/>
        <w:spacing w:line="273" w:lineRule="auto"/>
        <w:ind w:right="1131" w:firstLine="423"/>
        <w:jc w:val="both"/>
      </w:pPr>
      <w:r>
        <w:rPr>
          <w:spacing w:val="-1"/>
        </w:rPr>
        <w:t>因处置部分股权投资或其他原因丧失了对被投资方控制权时，对于处置后的剩余股权投资，本公司按</w:t>
      </w:r>
      <w:r>
        <w:rPr/>
        <w:t> </w:t>
      </w: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240" w:lineRule="auto"/>
        <w:ind w:left="577" w:right="0"/>
        <w:jc w:val="left"/>
      </w:pPr>
      <w:r>
        <w:rPr/>
        <w:t>因其他投资方对子公司增资而导致本公司持股比例下降从而丧失控制权的，按照上述原则进行会计处</w:t>
      </w:r>
    </w:p>
    <w:p>
      <w:pPr>
        <w:pStyle w:val="BodyText"/>
        <w:spacing w:line="240" w:lineRule="auto" w:before="37"/>
        <w:ind w:right="0"/>
        <w:jc w:val="left"/>
      </w:pPr>
      <w:r>
        <w:rPr/>
        <w:t>理。</w:t>
      </w:r>
    </w:p>
    <w:p>
      <w:pPr>
        <w:pStyle w:val="BodyText"/>
        <w:spacing w:line="273" w:lineRule="auto" w:before="37"/>
        <w:ind w:left="577" w:right="0"/>
        <w:jc w:val="left"/>
      </w:pPr>
      <w:r>
        <w:rPr>
          <w:rFonts w:ascii="宋体" w:hAnsi="宋体" w:cs="宋体" w:eastAsia="宋体" w:hint="default"/>
        </w:rPr>
        <w:t>B</w:t>
      </w:r>
      <w:r>
        <w:rPr/>
        <w:t>、分步处置子公司 </w:t>
      </w:r>
      <w:r>
        <w:rPr>
          <w:spacing w:val="-1"/>
        </w:rPr>
        <w:t>通过多次交易分步处置对子公司股权投资直至丧失控制权的，处置对子公司股权投资的各项交易的条</w:t>
      </w:r>
    </w:p>
    <w:p>
      <w:pPr>
        <w:pStyle w:val="BodyText"/>
        <w:spacing w:line="273" w:lineRule="auto"/>
        <w:ind w:right="1118"/>
        <w:jc w:val="left"/>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273" w:lineRule="auto"/>
        <w:ind w:left="577" w:right="1118"/>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273" w:lineRule="auto"/>
        <w:ind w:right="113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273" w:lineRule="auto"/>
        <w:ind w:right="1131" w:firstLine="423"/>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273" w:lineRule="auto"/>
        <w:ind w:left="577" w:right="0"/>
        <w:jc w:val="left"/>
      </w:pPr>
      <w:r>
        <w:rPr>
          <w:rFonts w:ascii="宋体" w:hAnsi="宋体" w:cs="宋体" w:eastAsia="宋体" w:hint="default"/>
        </w:rPr>
        <w:t>C</w:t>
      </w:r>
      <w:r>
        <w:rPr/>
        <w:t>、购买子公司少数股权 </w:t>
      </w:r>
      <w:r>
        <w:rPr>
          <w:spacing w:val="-1"/>
        </w:rPr>
        <w:t>本公司因购买少数股权新取得的长期股权投资与按照新增持股比例计算应享有子公司自购买日（或合</w:t>
      </w:r>
    </w:p>
    <w:p>
      <w:pPr>
        <w:pStyle w:val="BodyText"/>
        <w:spacing w:line="273" w:lineRule="auto" w:before="8"/>
        <w:ind w:right="1131"/>
        <w:jc w:val="both"/>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273" w:lineRule="auto"/>
        <w:ind w:left="577" w:right="0"/>
        <w:jc w:val="left"/>
      </w:pPr>
      <w:r>
        <w:rPr>
          <w:rFonts w:ascii="宋体" w:hAnsi="宋体" w:cs="宋体" w:eastAsia="宋体" w:hint="default"/>
        </w:rPr>
        <w:t>D</w:t>
      </w:r>
      <w:r>
        <w:rPr/>
        <w:t>、不丧失控制权的情况下部分处置对子公司的股权投资 </w:t>
      </w:r>
      <w:r>
        <w:rPr>
          <w:spacing w:val="3"/>
        </w:rPr>
        <w:t>在不丧失控制权的情况下因部分处置对子公司的长期股权投资而取得的处置价款与处置长期股权投</w:t>
      </w:r>
    </w:p>
    <w:p>
      <w:pPr>
        <w:spacing w:after="0" w:line="273"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590" w:lineRule="atLeast" w:before="9"/>
        <w:ind w:left="154" w:right="6852" w:firstLine="0"/>
        <w:jc w:val="left"/>
        <w:rPr>
          <w:rFonts w:ascii="宋体" w:hAnsi="宋体" w:cs="宋体" w:eastAsia="宋体" w:hint="default"/>
          <w:sz w:val="21"/>
          <w:szCs w:val="21"/>
        </w:rPr>
      </w:pPr>
      <w:bookmarkStart w:name="7、合营安排分类及共同经营会计处理方法" w:id="196"/>
      <w:bookmarkEnd w:id="19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z w:val="21"/>
          <w:szCs w:val="21"/>
        </w:rPr>
        <w:t>合营安排分为共同经营和合营企业。</w:t>
      </w:r>
    </w:p>
    <w:p>
      <w:pPr>
        <w:pStyle w:val="BodyText"/>
        <w:spacing w:line="273" w:lineRule="auto" w:before="37"/>
        <w:ind w:right="1512"/>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1"/>
        <w:ind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256" w:lineRule="auto" w:before="21"/>
        <w:ind w:right="3717"/>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本公司对合营企业投资的会计政策见第十一节</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4"/>
          <w:szCs w:val="24"/>
        </w:rPr>
      </w:pPr>
    </w:p>
    <w:p>
      <w:pPr>
        <w:spacing w:line="590" w:lineRule="atLeast" w:before="0"/>
        <w:ind w:left="577" w:right="0" w:hanging="424"/>
        <w:jc w:val="left"/>
        <w:rPr>
          <w:rFonts w:ascii="宋体" w:hAnsi="宋体" w:cs="宋体" w:eastAsia="宋体" w:hint="default"/>
          <w:sz w:val="21"/>
          <w:szCs w:val="21"/>
        </w:rPr>
      </w:pPr>
      <w:bookmarkStart w:name="8、现金及现金等价物的确定标准" w:id="197"/>
      <w:bookmarkEnd w:id="19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BodyText"/>
        <w:spacing w:line="273" w:lineRule="auto" w:before="37"/>
        <w:ind w:right="0"/>
        <w:jc w:val="left"/>
      </w:pPr>
      <w:r>
        <w:rPr/>
        <w:t>短（从购买日起三个月内到期）、流动性强、易于转换为已知现金、价值变动风险很小四个条件的投资，</w:t>
      </w:r>
      <w:r>
        <w:rPr>
          <w:spacing w:val="-35"/>
        </w:rPr>
        <w:t> </w:t>
      </w:r>
      <w:r>
        <w:rPr>
          <w:spacing w:val="-35"/>
        </w:rPr>
      </w:r>
      <w:r>
        <w:rPr/>
        <w:t>确定为现金等价物。</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9、外币业务和外币报表折算" w:id="198"/>
      <w:bookmarkEnd w:id="19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273" w:lineRule="auto" w:before="21"/>
        <w:ind w:left="577" w:right="0"/>
        <w:jc w:val="left"/>
      </w:pPr>
      <w:r>
        <w:rPr/>
        <w:t>外币业务采用交易发生日的即期汇率作为折算汇率将外币金额折合成人民币记账。 </w:t>
      </w:r>
      <w:r>
        <w:rPr>
          <w:spacing w:val="-1"/>
        </w:rPr>
        <w:t>资产负债表日外币货币性项目余额按资产负债表日即期汇率折算，由此产生的汇兑差额，除属于与购</w:t>
      </w:r>
    </w:p>
    <w:p>
      <w:pPr>
        <w:pStyle w:val="BodyText"/>
        <w:spacing w:line="273" w:lineRule="auto"/>
        <w:ind w:right="1118"/>
        <w:jc w:val="left"/>
      </w:pP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240" w:lineRule="auto" w:before="6"/>
        <w:rPr>
          <w:rFonts w:ascii="宋体" w:hAnsi="宋体" w:cs="宋体" w:eastAsia="宋体" w:hint="default"/>
          <w:sz w:val="24"/>
          <w:szCs w:val="24"/>
        </w:rPr>
      </w:pPr>
    </w:p>
    <w:p>
      <w:pPr>
        <w:spacing w:line="256" w:lineRule="auto" w:before="0"/>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资产负债表中的资产和负债项目，采用资产负债表日的即期汇率折算；所有者权益项目除“未分配利</w:t>
      </w:r>
    </w:p>
    <w:p>
      <w:pPr>
        <w:pStyle w:val="BodyText"/>
        <w:spacing w:line="273" w:lineRule="auto" w:before="22"/>
        <w:ind w:right="1118"/>
        <w:jc w:val="left"/>
      </w:pPr>
      <w:r>
        <w:rPr>
          <w:spacing w:val="-1"/>
        </w:rPr>
        <w:t>润”项目外，其他项目采用发生时的即期汇率折算。利润表中的收入和费用项目，采用交易发生日的即期</w:t>
      </w:r>
      <w:r>
        <w:rPr>
          <w:spacing w:val="-83"/>
        </w:rPr>
        <w:t> </w:t>
      </w:r>
      <w:r>
        <w:rPr>
          <w:spacing w:val="-83"/>
        </w:rPr>
      </w:r>
      <w:r>
        <w:rPr/>
        <w:t>汇率折算。</w:t>
      </w:r>
    </w:p>
    <w:p>
      <w:pPr>
        <w:pStyle w:val="BodyText"/>
        <w:spacing w:line="240" w:lineRule="auto"/>
        <w:ind w:left="577" w:right="0"/>
        <w:jc w:val="left"/>
      </w:pPr>
      <w:r>
        <w:rPr/>
        <w:t>处置境外经营时，将与该境外经营相关的外币财务报表折算差额，自所有者权益项目转入处置当期损</w:t>
      </w:r>
    </w:p>
    <w:p>
      <w:pPr>
        <w:pStyle w:val="BodyText"/>
        <w:spacing w:line="240" w:lineRule="auto" w:before="37"/>
        <w:ind w:right="0"/>
        <w:jc w:val="left"/>
      </w:pPr>
      <w:r>
        <w:rPr/>
        <w:t>益。</w:t>
      </w:r>
    </w:p>
    <w:p>
      <w:pPr>
        <w:spacing w:line="590" w:lineRule="atLeast" w:before="39"/>
        <w:ind w:left="154" w:right="6342" w:firstLine="0"/>
        <w:jc w:val="left"/>
        <w:rPr>
          <w:rFonts w:ascii="宋体" w:hAnsi="宋体" w:cs="宋体" w:eastAsia="宋体" w:hint="default"/>
          <w:sz w:val="21"/>
          <w:szCs w:val="21"/>
        </w:rPr>
      </w:pPr>
      <w:bookmarkStart w:name="10、金融工具" w:id="199"/>
      <w:bookmarkEnd w:id="199"/>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99"/>
          <w:sz w:val="21"/>
          <w:szCs w:val="21"/>
        </w:rPr>
        <w:t> </w:t>
      </w:r>
      <w:r>
        <w:rPr>
          <w:rFonts w:ascii="宋体" w:hAnsi="宋体" w:cs="宋体" w:eastAsia="宋体" w:hint="default"/>
          <w:sz w:val="21"/>
          <w:szCs w:val="21"/>
        </w:rPr>
        <w:t>金融工具包括金融资产、金融负债和权益工具。</w:t>
      </w:r>
    </w:p>
    <w:p>
      <w:pPr>
        <w:pStyle w:val="BodyText"/>
        <w:spacing w:line="256" w:lineRule="auto" w:before="37"/>
        <w:ind w:left="577" w:right="0" w:hanging="42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99"/>
        </w:rPr>
        <w:t> </w:t>
      </w:r>
      <w:r>
        <w:rPr>
          <w:spacing w:val="-1"/>
        </w:rPr>
        <w:t>金融资产和金融负债于初始确认时分类为：以公允价值计量且其变动计入当期损益的金融资产或金融</w:t>
      </w:r>
    </w:p>
    <w:p>
      <w:pPr>
        <w:pStyle w:val="BodyText"/>
        <w:spacing w:line="273" w:lineRule="auto" w:before="22"/>
        <w:ind w:right="0"/>
        <w:jc w:val="left"/>
      </w:pP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pStyle w:val="Heading4"/>
        <w:spacing w:line="240" w:lineRule="auto" w:before="7"/>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b/>
          <w:bCs/>
          <w:sz w:val="24"/>
          <w:szCs w:val="24"/>
        </w:rPr>
      </w:pPr>
    </w:p>
    <w:p>
      <w:pPr>
        <w:pStyle w:val="BodyText"/>
        <w:spacing w:line="273" w:lineRule="auto" w:before="35"/>
        <w:ind w:left="577" w:right="0"/>
        <w:jc w:val="left"/>
      </w:pPr>
      <w:r>
        <w:rPr>
          <w:rFonts w:ascii="宋体" w:hAnsi="宋体" w:cs="宋体" w:eastAsia="宋体" w:hint="default"/>
        </w:rPr>
        <w:t>A</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273" w:lineRule="auto"/>
        <w:ind w:left="577" w:right="1014" w:hanging="424"/>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 </w:t>
      </w:r>
      <w:r>
        <w:rPr>
          <w:rFonts w:ascii="宋体" w:hAnsi="宋体" w:cs="宋体" w:eastAsia="宋体" w:hint="default"/>
        </w:rPr>
        <w:t>B</w:t>
      </w:r>
      <w:r>
        <w:rPr/>
        <w:t>、持有至到期投资 </w:t>
      </w:r>
      <w:r>
        <w:rPr>
          <w:spacing w:val="-3"/>
        </w:rPr>
        <w:t>取得时按公允价值（扣除已到付息期但尚未领取的债券利息）和相关交易费用之和作为初始确认金额。</w:t>
      </w:r>
      <w:r>
        <w:rPr/>
        <w:t> 持有期间按照摊余成本和实际利率计算确认利息收入，计入投资收益。实际利率在取得时确定，在该</w:t>
      </w:r>
    </w:p>
    <w:p>
      <w:pPr>
        <w:pStyle w:val="BodyText"/>
        <w:spacing w:line="273" w:lineRule="auto"/>
        <w:ind w:left="577" w:right="4029" w:hanging="424"/>
        <w:jc w:val="left"/>
      </w:pPr>
      <w:r>
        <w:rPr/>
        <w:t>预期存续期间或适用的更短期间内保持不变。 处置时，将所取得价款与该投资账面价值之间的差额计入投资收益。 </w:t>
      </w:r>
      <w:r>
        <w:rPr>
          <w:rFonts w:ascii="宋体" w:hAnsi="宋体" w:cs="宋体" w:eastAsia="宋体" w:hint="default"/>
        </w:rPr>
        <w:t>C</w:t>
      </w:r>
      <w:r>
        <w:rPr/>
        <w:t>、应收款项</w:t>
      </w:r>
    </w:p>
    <w:p>
      <w:pPr>
        <w:pStyle w:val="BodyText"/>
        <w:spacing w:line="273" w:lineRule="auto"/>
        <w:ind w:right="1131" w:firstLine="423"/>
        <w:jc w:val="both"/>
      </w:pPr>
      <w:r>
        <w:rPr>
          <w:spacing w:val="-1"/>
        </w:rPr>
        <w:t>公司对外销售商品或提供劳务形成的应收债权，以及公司持有的其他企业的不包括在活跃市场上有报</w:t>
      </w:r>
      <w:r>
        <w:rPr/>
        <w:t> </w:t>
      </w: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273" w:lineRule="auto"/>
        <w:ind w:left="577" w:right="1118"/>
        <w:jc w:val="left"/>
      </w:pPr>
      <w:r>
        <w:rPr/>
        <w:t>收回或处置时，将取得的价款与该应收款项账面价值之间的差额计入当期损益。 </w:t>
      </w:r>
      <w:r>
        <w:rPr>
          <w:rFonts w:ascii="宋体" w:hAnsi="宋体" w:cs="宋体" w:eastAsia="宋体" w:hint="default"/>
        </w:rPr>
        <w:t>D</w:t>
      </w:r>
      <w:r>
        <w:rPr/>
        <w:t>、可供出售金融资产 </w:t>
      </w:r>
      <w:r>
        <w:rPr>
          <w:spacing w:val="-1"/>
        </w:rPr>
        <w:t>取得时按公允价值（扣除已宣告但尚未发放的现金股利或已到付息期但尚未领取的债券利息）和相关</w:t>
      </w:r>
    </w:p>
    <w:p>
      <w:pPr>
        <w:pStyle w:val="BodyText"/>
        <w:spacing w:line="273" w:lineRule="auto"/>
        <w:ind w:left="577" w:right="0" w:hanging="424"/>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273" w:lineRule="auto"/>
        <w:ind w:right="0"/>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273" w:lineRule="auto"/>
        <w:ind w:right="1131" w:firstLine="423"/>
        <w:jc w:val="both"/>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273" w:lineRule="auto"/>
        <w:ind w:left="577" w:right="2559"/>
        <w:jc w:val="left"/>
      </w:pPr>
      <w:r>
        <w:rPr>
          <w:rFonts w:ascii="宋体" w:hAnsi="宋体" w:cs="宋体" w:eastAsia="宋体" w:hint="default"/>
        </w:rPr>
        <w:t>E</w:t>
      </w:r>
      <w:r>
        <w:rPr/>
        <w:t>、其他金融负债 按其公允价值和相关交易费用之和作为初始确认金额。采用摊余成本进行后续计量。</w:t>
      </w:r>
    </w:p>
    <w:p>
      <w:pPr>
        <w:spacing w:line="256" w:lineRule="auto" w:before="7"/>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pStyle w:val="BodyText"/>
        <w:spacing w:line="273" w:lineRule="auto" w:before="22"/>
        <w:ind w:left="577" w:right="0" w:hanging="424"/>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273" w:lineRule="auto"/>
        <w:ind w:right="0"/>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7" w:right="0"/>
        <w:jc w:val="left"/>
      </w:pPr>
      <w:r>
        <w:rPr/>
        <w:t>①所转移金融资产的账面价值；</w:t>
      </w:r>
    </w:p>
    <w:p>
      <w:pPr>
        <w:pStyle w:val="BodyText"/>
        <w:spacing w:line="273" w:lineRule="auto" w:before="37"/>
        <w:ind w:right="1133" w:firstLine="423"/>
        <w:jc w:val="both"/>
      </w:pPr>
      <w:r>
        <w:rPr>
          <w:spacing w:val="-1"/>
        </w:rPr>
        <w:t>②因转移而收到的对价，与原直接计入所有者权益的公允价值变动累计额（涉及转移的金融资产为可</w:t>
      </w:r>
      <w:r>
        <w:rPr/>
        <w:t> 供出售金融资产的情形）之和。</w:t>
      </w:r>
    </w:p>
    <w:p>
      <w:pPr>
        <w:pStyle w:val="BodyText"/>
        <w:spacing w:line="273" w:lineRule="auto"/>
        <w:ind w:right="1133" w:firstLine="423"/>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ind w:left="577" w:right="0"/>
        <w:jc w:val="left"/>
      </w:pPr>
      <w:r>
        <w:rPr/>
        <w:t>①终止确认部分的账面价值；</w:t>
      </w:r>
    </w:p>
    <w:p>
      <w:pPr>
        <w:pStyle w:val="BodyText"/>
        <w:spacing w:line="240" w:lineRule="auto" w:before="37"/>
        <w:ind w:left="577" w:right="0"/>
        <w:jc w:val="left"/>
      </w:pPr>
      <w:r>
        <w:rPr/>
        <w:t>②终止确认部分的对价，与原直接计入所有者权益的公允价值变动累计额中对应终止确认部分的金额</w:t>
      </w:r>
    </w:p>
    <w:p>
      <w:pPr>
        <w:pStyle w:val="BodyText"/>
        <w:spacing w:line="273" w:lineRule="auto" w:before="37"/>
        <w:ind w:left="577" w:right="1299" w:hanging="424"/>
        <w:jc w:val="left"/>
      </w:pPr>
      <w:r>
        <w:rPr/>
        <w:t>（涉及转移的金融资产为可供出售金融资产的情形）之和。 金融资产转移不满足终止确认条件的，继续确认该金融资产，所收到的对价确认为一项金融负债。</w:t>
      </w:r>
    </w:p>
    <w:p>
      <w:pPr>
        <w:spacing w:line="256" w:lineRule="auto" w:before="8"/>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BodyText"/>
        <w:spacing w:line="273" w:lineRule="auto" w:before="22"/>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spacing w:after="0" w:line="273"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3" w:firstLine="423"/>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ind w:right="1132" w:firstLine="423"/>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before="8"/>
        <w:ind w:right="1131" w:firstLine="423"/>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56" w:lineRule="auto" w:before="7"/>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w:t>
      </w:r>
    </w:p>
    <w:p>
      <w:pPr>
        <w:pStyle w:val="BodyText"/>
        <w:spacing w:line="273" w:lineRule="auto" w:before="22"/>
        <w:ind w:right="0"/>
        <w:jc w:val="left"/>
      </w:pPr>
      <w:r>
        <w:rPr/>
        <w:t>估值技术确定其公允价值。在估值时，本公司采用在当前情况下适用并且有足够可利用数据和其他信息支 持的估值技术，选择与市场参与者在相关资产或负债的交易中所考虑的资产或负债特征相一致的输入值，</w:t>
      </w:r>
      <w:r>
        <w:rPr>
          <w:spacing w:val="-35"/>
        </w:rPr>
        <w:t> </w:t>
      </w:r>
      <w:r>
        <w:rPr>
          <w:spacing w:val="-35"/>
        </w:rPr>
      </w:r>
      <w:r>
        <w:rPr/>
        <w:t>并优先使用相关可观察输入值。只有在相关可观察输入值无法取得或取得不切实可行的情况下，才使用不</w:t>
      </w:r>
      <w:r>
        <w:rPr/>
        <w:t> 可观察输入值。</w:t>
      </w:r>
    </w:p>
    <w:p>
      <w:pPr>
        <w:spacing w:line="256" w:lineRule="auto" w:before="7"/>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）金融资产（不含应收款项）减值的测试方法及会计处理方法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BodyText"/>
        <w:spacing w:line="240" w:lineRule="auto" w:before="22"/>
        <w:ind w:right="0"/>
        <w:jc w:val="left"/>
      </w:pPr>
      <w:r>
        <w:rPr/>
        <w:t>值进行检查，如果有客观证据表明某项金融资产发生减值的，计提减值准备。</w:t>
      </w:r>
    </w:p>
    <w:p>
      <w:pPr>
        <w:pStyle w:val="BodyText"/>
        <w:spacing w:line="273" w:lineRule="auto" w:before="37"/>
        <w:ind w:left="577" w:right="0"/>
        <w:jc w:val="left"/>
      </w:pPr>
      <w:r>
        <w:rPr/>
        <w:t>①可供出售金融资产的减值准备： </w:t>
      </w:r>
      <w:r>
        <w:rPr>
          <w:spacing w:val="-1"/>
        </w:rPr>
        <w:t>期末如果可供出售金融资产的公允价值发生严重下降，或在综合考虑各种相关因素后，预期这种下降</w:t>
      </w:r>
    </w:p>
    <w:p>
      <w:pPr>
        <w:pStyle w:val="BodyText"/>
        <w:spacing w:line="273" w:lineRule="auto"/>
        <w:ind w:right="0"/>
        <w:jc w:val="left"/>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273" w:lineRule="auto"/>
        <w:ind w:right="1133" w:firstLine="423"/>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240" w:lineRule="auto" w:before="8"/>
        <w:ind w:left="577" w:right="0"/>
        <w:jc w:val="left"/>
      </w:pPr>
      <w:r>
        <w:rPr/>
        <w:t>可供出售权益工具投资发生的减值损失，不通过损益转回。</w:t>
      </w:r>
    </w:p>
    <w:p>
      <w:pPr>
        <w:pStyle w:val="BodyText"/>
        <w:spacing w:line="273" w:lineRule="auto" w:before="37"/>
        <w:ind w:left="577" w:right="3819"/>
        <w:jc w:val="left"/>
      </w:pPr>
      <w:r>
        <w:rPr/>
        <w:t>②持有至到期投资的减值准备： 持有至到期投资减值损失的计量比照应收款项减值损失计量方法处理。</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1、应收票据及应收账款" w:id="200"/>
      <w:bookmarkEnd w:id="200"/>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201"/>
      <w:bookmarkEnd w:id="20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公司将单项金额为人民币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 收款项确认为单项金额重大的应收款项。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公司对单项金额重大的应收款项单独进行减值测试，单独测 试未发生减值的金融资产，包括在具有类似信用风险特征的 金融资产组合中进行减值测试。单项测试已确认减值损失的 应收款项，不再包括在具有类似信用风险特征的应收款项组 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202"/>
      <w:bookmarkEnd w:id="20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b/>
          <w:bCs/>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203"/>
      <w:bookmarkEnd w:id="20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96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both"/>
              <w:rPr>
                <w:rFonts w:ascii="宋体" w:hAnsi="宋体" w:cs="宋体" w:eastAsia="宋体" w:hint="default"/>
                <w:sz w:val="18"/>
                <w:szCs w:val="18"/>
              </w:rPr>
            </w:pPr>
            <w:r>
              <w:rPr>
                <w:rFonts w:ascii="宋体" w:hAnsi="宋体" w:cs="宋体" w:eastAsia="宋体" w:hint="default"/>
                <w:sz w:val="18"/>
                <w:szCs w:val="18"/>
              </w:rPr>
              <w:t>公司对于单项金额虽不重大但具备以下特征的应收款项，单 独进行减值测试，有客观证据表明其发生了减值的，根据其 未来现金流量现值低于其账面价值的差额，确认减值损失， 计提坏账准备。如：应收关联方款项；与对方存在争议或涉 及诉讼、仲裁的应收款项；已有明显迹象表明债务人很可能 无法履行还款义务的应收款项等。</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204"/>
      <w:bookmarkEnd w:id="20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56" w:lineRule="auto" w:before="1"/>
        <w:ind w:left="577" w:right="1118" w:hanging="42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存货分类为：在途物资、原材料、库存商品、在产品、发出商品、委托加工物资、开发成本、开发产</w:t>
      </w:r>
    </w:p>
    <w:p>
      <w:pPr>
        <w:pStyle w:val="BodyText"/>
        <w:spacing w:line="240" w:lineRule="auto" w:before="22"/>
        <w:ind w:right="0"/>
        <w:jc w:val="left"/>
      </w:pPr>
      <w:r>
        <w:rPr/>
        <w:t>品等。</w:t>
      </w:r>
    </w:p>
    <w:p>
      <w:pPr>
        <w:spacing w:line="256" w:lineRule="auto" w:before="37"/>
        <w:ind w:left="577" w:right="4239"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存货在取得时按实际成本计价。领用和发出时按加权平均法计价。</w:t>
      </w:r>
    </w:p>
    <w:p>
      <w:pPr>
        <w:pStyle w:val="BodyText"/>
        <w:spacing w:line="273" w:lineRule="auto" w:before="22"/>
        <w:ind w:right="0" w:firstLine="423"/>
        <w:jc w:val="left"/>
      </w:pPr>
      <w:r>
        <w:rPr>
          <w:spacing w:val="-1"/>
        </w:rPr>
        <w:t>开发产品的实际成本包括土地出让金、基础配套设施支出、建筑安装工程支出、开发项目完工之前所</w:t>
      </w:r>
      <w:r>
        <w:rPr/>
        <w:t> 发生的借款费用及开发过程中的其他相关费用。开发产品发出时，采用个别计价法确定其实际成本。</w:t>
      </w:r>
    </w:p>
    <w:p>
      <w:pPr>
        <w:spacing w:line="256" w:lineRule="auto" w:before="7"/>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pacing w:val="-1"/>
          <w:sz w:val="21"/>
          <w:szCs w:val="21"/>
        </w:rPr>
        <w:t>产成品、库存商品和用于出售的材料等直接用于出售的商品存货，在正常生产经营过程中，以该存货</w:t>
      </w:r>
    </w:p>
    <w:p>
      <w:pPr>
        <w:pStyle w:val="BodyText"/>
        <w:spacing w:line="273" w:lineRule="auto" w:before="22"/>
        <w:ind w:right="1131"/>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p>
    <w:p>
      <w:pPr>
        <w:spacing w:after="0" w:line="273" w:lineRule="auto"/>
        <w:jc w:val="both"/>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273" w:lineRule="auto"/>
        <w:ind w:right="1131" w:firstLine="423"/>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3" w:lineRule="auto"/>
        <w:ind w:right="1118" w:firstLine="423"/>
        <w:jc w:val="left"/>
      </w:pPr>
      <w:r>
        <w:rPr>
          <w:spacing w:val="-1"/>
        </w:rPr>
        <w:t>除有明确证据表明资产负债表日市场价格异常外，存货项目的可变现净值以资产负债表日市场价格为</w:t>
      </w:r>
      <w:r>
        <w:rPr/>
        <w:t> 基础确定。</w:t>
      </w:r>
    </w:p>
    <w:p>
      <w:pPr>
        <w:pStyle w:val="BodyText"/>
        <w:spacing w:line="240" w:lineRule="auto"/>
        <w:ind w:left="577" w:right="0"/>
        <w:jc w:val="left"/>
      </w:pPr>
      <w:r>
        <w:rPr/>
        <w:t>本期期末存货项目的可变现净值以资产负债表日市场价格为基础确定。</w:t>
      </w:r>
    </w:p>
    <w:p>
      <w:pPr>
        <w:spacing w:line="256" w:lineRule="auto" w:before="37"/>
        <w:ind w:left="577" w:right="8649"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pStyle w:val="Heading4"/>
        <w:spacing w:line="240" w:lineRule="auto" w:before="22"/>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pStyle w:val="BodyText"/>
        <w:spacing w:line="240" w:lineRule="auto" w:before="21"/>
        <w:ind w:left="577" w:right="0"/>
        <w:jc w:val="left"/>
      </w:pPr>
      <w:r>
        <w:rPr/>
        <w:t>①低值易耗品采用一次转销法；</w:t>
      </w:r>
    </w:p>
    <w:p>
      <w:pPr>
        <w:pStyle w:val="BodyText"/>
        <w:spacing w:line="240" w:lineRule="auto" w:before="37"/>
        <w:ind w:left="577" w:right="0"/>
        <w:jc w:val="left"/>
      </w:pPr>
      <w:r>
        <w:rPr/>
        <w:t>②包装物采用一次转销法。</w:t>
      </w:r>
    </w:p>
    <w:p>
      <w:pPr>
        <w:spacing w:line="590" w:lineRule="atLeast" w:before="39"/>
        <w:ind w:left="577" w:right="3609" w:hanging="424"/>
        <w:jc w:val="left"/>
        <w:rPr>
          <w:rFonts w:ascii="宋体" w:hAnsi="宋体" w:cs="宋体" w:eastAsia="宋体" w:hint="default"/>
          <w:sz w:val="21"/>
          <w:szCs w:val="21"/>
        </w:rPr>
      </w:pPr>
      <w:bookmarkStart w:name="13、持有待售资产" w:id="205"/>
      <w:bookmarkEnd w:id="205"/>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本公司将同时满足下列条件的非流动资产或处置组划分为持有待售类别：</w:t>
      </w:r>
    </w:p>
    <w:p>
      <w:pPr>
        <w:pStyle w:val="BodyText"/>
        <w:spacing w:line="240" w:lineRule="auto" w:before="37"/>
        <w:ind w:left="577" w:right="0"/>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273" w:lineRule="auto" w:before="37"/>
        <w:ind w:right="0" w:firstLine="423"/>
        <w:jc w:val="left"/>
      </w:pPr>
      <w:r>
        <w:rPr/>
        <w:t>（</w:t>
      </w:r>
      <w:r>
        <w:rPr>
          <w:rFonts w:ascii="宋体" w:hAnsi="宋体" w:cs="宋体" w:eastAsia="宋体" w:hint="default"/>
        </w:rPr>
        <w:t>2</w:t>
      </w:r>
      <w:r>
        <w:rPr/>
        <w:t>）出售极可能发生，即本公司已经就一项出售计划作出决议且获得确定的购买承诺，预计出售将 在一年内完成。有关规定要求本公司相关权力机构或者监管部门批准后方可出售的，已经获得批准。</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4、长期股权投资" w:id="206"/>
      <w:bookmarkEnd w:id="20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spacing w:line="256" w:lineRule="auto" w:before="0"/>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BodyText"/>
        <w:spacing w:line="273" w:lineRule="auto" w:before="22"/>
        <w:ind w:right="1132"/>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273" w:lineRule="auto"/>
        <w:ind w:right="0" w:firstLine="423"/>
        <w:jc w:val="left"/>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pStyle w:val="Heading4"/>
        <w:spacing w:line="240" w:lineRule="auto" w:before="7"/>
        <w:ind w:right="0"/>
        <w:jc w:val="left"/>
        <w:rPr>
          <w:b w:val="0"/>
          <w:bCs w:val="0"/>
        </w:rPr>
      </w:pPr>
      <w:r>
        <w:rPr/>
        <w:t>（</w:t>
      </w:r>
      <w:r>
        <w:rPr>
          <w:rFonts w:ascii="Times New Roman" w:hAnsi="Times New Roman" w:cs="Times New Roman" w:eastAsia="Times New Roman" w:hint="default"/>
        </w:rPr>
        <w:t>2</w:t>
      </w:r>
      <w:r>
        <w:rPr/>
        <w:t>）初始投资成本的确定</w:t>
      </w:r>
      <w:r>
        <w:rPr>
          <w:b w:val="0"/>
          <w:bCs w:val="0"/>
        </w:rPr>
      </w:r>
    </w:p>
    <w:p>
      <w:pPr>
        <w:pStyle w:val="BodyText"/>
        <w:spacing w:line="273" w:lineRule="auto" w:before="21"/>
        <w:ind w:left="577" w:right="0"/>
        <w:jc w:val="left"/>
      </w:pPr>
      <w:r>
        <w:rPr/>
        <w:t>①企业合并形成的长期股权投资 </w:t>
      </w:r>
      <w:r>
        <w:rPr>
          <w:spacing w:val="-1"/>
        </w:rPr>
        <w:t>同一控制下的企业合并：公司以支付现金、转让非现金资产或承担债务方式以及以发行权益性证券作</w:t>
      </w:r>
    </w:p>
    <w:p>
      <w:pPr>
        <w:pStyle w:val="BodyText"/>
        <w:spacing w:line="273" w:lineRule="auto"/>
        <w:ind w:right="1131"/>
        <w:jc w:val="both"/>
      </w:pP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273" w:lineRule="auto"/>
        <w:ind w:right="1132" w:firstLine="423"/>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273" w:lineRule="auto"/>
        <w:ind w:left="577" w:right="1719"/>
        <w:jc w:val="left"/>
      </w:pPr>
      <w:r>
        <w:rPr/>
        <w:t>②其他方式取得的长期股权投资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spacing w:after="0" w:line="273"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3"/>
        <w:jc w:val="both"/>
      </w:pPr>
      <w:r>
        <w:rPr>
          <w:spacing w:val="-1"/>
        </w:rPr>
        <w:t>在非货币性资产交换具备商业实质和换入资产或换出资产的公允价值能够可靠计量的前提下，非货币</w:t>
      </w:r>
      <w:r>
        <w:rPr/>
        <w:t> </w:t>
      </w: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before="8"/>
        <w:ind w:left="577" w:right="0"/>
        <w:jc w:val="left"/>
      </w:pPr>
      <w:r>
        <w:rPr/>
        <w:t>通过债务重组取得的长期股权投资，其初始投资成本按照公允价值为基础确定。</w:t>
      </w:r>
    </w:p>
    <w:p>
      <w:pPr>
        <w:pStyle w:val="Heading4"/>
        <w:spacing w:line="240" w:lineRule="auto" w:before="37"/>
        <w:ind w:right="0"/>
        <w:jc w:val="left"/>
        <w:rPr>
          <w:b w:val="0"/>
          <w:bCs w:val="0"/>
        </w:rPr>
      </w:pPr>
      <w:r>
        <w:rPr/>
        <w:t>（</w:t>
      </w:r>
      <w:r>
        <w:rPr>
          <w:rFonts w:ascii="Times New Roman" w:hAnsi="Times New Roman" w:cs="Times New Roman" w:eastAsia="Times New Roman" w:hint="default"/>
        </w:rPr>
        <w:t>3</w:t>
      </w:r>
      <w:r>
        <w:rPr/>
        <w:t>）后续计量及损益确认方法</w:t>
      </w:r>
      <w:r>
        <w:rPr>
          <w:b w:val="0"/>
          <w:bCs w:val="0"/>
        </w:rPr>
      </w:r>
    </w:p>
    <w:p>
      <w:pPr>
        <w:pStyle w:val="BodyText"/>
        <w:spacing w:line="273" w:lineRule="auto" w:before="21"/>
        <w:ind w:left="577" w:right="0"/>
        <w:jc w:val="left"/>
      </w:pPr>
      <w:r>
        <w:rPr/>
        <w:t>①成本法核算的长期股权投资 </w:t>
      </w:r>
      <w:r>
        <w:rPr>
          <w:spacing w:val="-1"/>
        </w:rPr>
        <w:t>公司对子公司的长期股权投资，采用成本法核算。除取得投资时实际支付的价款或对价中包含的已宣</w:t>
      </w:r>
    </w:p>
    <w:p>
      <w:pPr>
        <w:pStyle w:val="BodyText"/>
        <w:spacing w:line="273" w:lineRule="auto"/>
        <w:ind w:right="1118"/>
        <w:jc w:val="left"/>
      </w:pP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273" w:lineRule="auto"/>
        <w:ind w:left="577" w:right="0"/>
        <w:jc w:val="left"/>
      </w:pPr>
      <w:r>
        <w:rPr/>
        <w:t>②权益法核算的长期股权投资 </w:t>
      </w:r>
      <w:r>
        <w:rPr>
          <w:spacing w:val="-1"/>
        </w:rPr>
        <w:t>对联营企业和合营企业的长期股权投资，采用权益法核算。初始投资成本大于投资时应享有被投资单</w:t>
      </w:r>
    </w:p>
    <w:p>
      <w:pPr>
        <w:pStyle w:val="BodyText"/>
        <w:spacing w:line="273" w:lineRule="auto"/>
        <w:ind w:right="0"/>
        <w:jc w:val="left"/>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273" w:lineRule="auto"/>
        <w:ind w:right="1131" w:firstLine="423"/>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273" w:lineRule="auto"/>
        <w:ind w:right="0" w:firstLine="423"/>
        <w:jc w:val="left"/>
      </w:pPr>
      <w:r>
        <w:rPr>
          <w:spacing w:val="-1"/>
        </w:rPr>
        <w:t>在确认应享有被投资单位净损益的份额时，以取得投资时被投资单位可辨认净资产的公允价值为基础，</w:t>
      </w:r>
      <w:r>
        <w:rPr/>
        <w:t>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BodyText"/>
        <w:spacing w:line="273" w:lineRule="auto" w:before="8"/>
        <w:ind w:right="0" w:firstLine="423"/>
        <w:jc w:val="left"/>
      </w:pPr>
      <w:r>
        <w:rPr>
          <w:spacing w:val="-1"/>
        </w:rPr>
        <w:t>公司与联营企业、合营企业之间发生的未实现内部交易损益按照应享有的比例计算归属于公司的部分，</w:t>
      </w:r>
      <w:r>
        <w:rPr/>
        <w:t> 予以抵销，在此基础上确认投资收益。与被投资单位发生的未实现内部交易损失，属于资产减值损失的，</w:t>
      </w:r>
      <w:r>
        <w:rPr>
          <w:spacing w:val="-35"/>
        </w:rPr>
        <w:t> </w:t>
      </w:r>
      <w:r>
        <w:rPr>
          <w:spacing w:val="-35"/>
        </w:rPr>
      </w:r>
      <w:r>
        <w:rPr/>
        <w:t>全额确认。公司与联营企业、合营企业之间发生投出或出售资产的交易，该资产构成业务的，按照第十一</w:t>
      </w:r>
      <w:r>
        <w:rPr/>
        <w:t> </w:t>
      </w:r>
      <w:r>
        <w:rPr>
          <w:spacing w:val="-5"/>
        </w:rPr>
        <w:t>节“五、</w:t>
      </w:r>
      <w:r>
        <w:rPr>
          <w:rFonts w:ascii="宋体" w:hAnsi="宋体" w:cs="宋体" w:eastAsia="宋体" w:hint="default"/>
          <w:spacing w:val="-5"/>
        </w:rPr>
        <w:t>5</w:t>
      </w:r>
      <w:r>
        <w:rPr>
          <w:spacing w:val="-5"/>
        </w:rPr>
        <w:t>、同一控制下和非同一控制下企业合并的会计处理方法”和“五、</w:t>
      </w:r>
      <w:r>
        <w:rPr>
          <w:rFonts w:ascii="宋体" w:hAnsi="宋体" w:cs="宋体" w:eastAsia="宋体" w:hint="default"/>
          <w:spacing w:val="-5"/>
        </w:rPr>
        <w:t>6</w:t>
      </w:r>
      <w:r>
        <w:rPr>
          <w:spacing w:val="-5"/>
        </w:rPr>
        <w:t>、合并财务报表的编制方法”</w:t>
      </w:r>
      <w:r>
        <w:rPr>
          <w:spacing w:val="-100"/>
        </w:rPr>
        <w:t> </w:t>
      </w:r>
      <w:r>
        <w:rPr>
          <w:spacing w:val="-100"/>
        </w:rPr>
      </w:r>
      <w:r>
        <w:rPr/>
        <w:t>中披露的相关政策进行会计处理。</w:t>
      </w:r>
    </w:p>
    <w:p>
      <w:pPr>
        <w:pStyle w:val="BodyText"/>
        <w:spacing w:line="273" w:lineRule="auto"/>
        <w:ind w:right="1131" w:firstLine="423"/>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6"/>
        </w:rPr>
        <w:t> </w:t>
      </w:r>
      <w:r>
        <w:rPr>
          <w:spacing w:val="-86"/>
        </w:rPr>
      </w:r>
      <w:r>
        <w:rPr/>
        <w:t>同或协议约定企业仍承担额外义务的，按预计承担的义务确认预计负债，计入当期投资损失。</w:t>
      </w:r>
    </w:p>
    <w:p>
      <w:pPr>
        <w:pStyle w:val="BodyText"/>
        <w:spacing w:line="273" w:lineRule="auto"/>
        <w:ind w:left="577" w:right="3609"/>
        <w:jc w:val="left"/>
      </w:pPr>
      <w:r>
        <w:rPr/>
        <w:t>③长期股权投资的处置 处置长期股权投资，其账面价值与实际取得价款的差额，计入当期损益。</w:t>
      </w:r>
    </w:p>
    <w:p>
      <w:pPr>
        <w:pStyle w:val="BodyText"/>
        <w:spacing w:line="273" w:lineRule="auto"/>
        <w:ind w:right="1131" w:firstLine="423"/>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273" w:lineRule="auto"/>
        <w:ind w:right="1131" w:firstLine="423"/>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273" w:lineRule="auto"/>
        <w:ind w:right="1131" w:firstLine="423"/>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p>
    <w:p>
      <w:pPr>
        <w:spacing w:after="0" w:line="273" w:lineRule="auto"/>
        <w:jc w:val="both"/>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pStyle w:val="BodyText"/>
        <w:spacing w:line="273" w:lineRule="auto"/>
        <w:ind w:right="1131" w:firstLine="423"/>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5、投资性房地产" w:id="207"/>
      <w:bookmarkEnd w:id="20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273" w:lineRule="auto" w:before="0"/>
        <w:ind w:right="0" w:firstLine="423"/>
        <w:jc w:val="left"/>
      </w:pPr>
      <w:r>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BodyText"/>
        <w:spacing w:line="273" w:lineRule="auto"/>
        <w:ind w:right="0" w:firstLine="423"/>
        <w:jc w:val="left"/>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6、固定资产" w:id="208"/>
      <w:bookmarkEnd w:id="20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209"/>
      <w:bookmarkEnd w:id="20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firstLine="423"/>
        <w:jc w:val="left"/>
      </w:pPr>
      <w:r>
        <w:rPr/>
        <w:t>固定资产指为生产商品、提供劳务、出租或经营管理而持有，并且使用寿命超过一个会计年度的有形 资产。固定资产在同时满足下列条件时予以确认：</w:t>
      </w:r>
      <w:r>
        <w:rPr>
          <w:rFonts w:ascii="宋体" w:hAnsi="宋体" w:cs="宋体" w:eastAsia="宋体" w:hint="default"/>
        </w:rPr>
        <w:t>A</w:t>
      </w:r>
      <w:r>
        <w:rPr/>
        <w:t>、与该固定资产有关的经济利益很可能流入企业；</w:t>
      </w:r>
      <w:r>
        <w:rPr>
          <w:rFonts w:ascii="宋体" w:hAnsi="宋体" w:cs="宋体" w:eastAsia="宋体" w:hint="default"/>
        </w:rPr>
        <w:t>B</w:t>
      </w:r>
      <w:r>
        <w:rPr/>
        <w:t>、</w:t>
      </w:r>
      <w:r>
        <w:rPr>
          <w:spacing w:val="-28"/>
        </w:rPr>
        <w:t> </w:t>
      </w:r>
      <w:r>
        <w:rPr/>
        <w:t>该固定资产的成本能够可靠地计量。</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折旧方法" w:id="210"/>
      <w:bookmarkEnd w:id="21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其中：管理用房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w w:val="95"/>
                <w:sz w:val="18"/>
              </w:rPr>
              <w:t>2.11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生产经营用房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房屋附属设施</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办公家具及管理用具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11.88</w:t>
            </w:r>
          </w:p>
        </w:tc>
      </w:tr>
    </w:tbl>
    <w:p>
      <w:pPr>
        <w:spacing w:line="240" w:lineRule="auto" w:before="2"/>
        <w:rPr>
          <w:rFonts w:ascii="宋体" w:hAnsi="宋体" w:cs="宋体" w:eastAsia="宋体" w:hint="default"/>
          <w:b/>
          <w:bCs/>
          <w:sz w:val="19"/>
          <w:szCs w:val="19"/>
        </w:rPr>
      </w:pPr>
    </w:p>
    <w:p>
      <w:pPr>
        <w:spacing w:line="506" w:lineRule="auto" w:before="35"/>
        <w:ind w:left="577" w:right="0" w:hanging="424"/>
        <w:jc w:val="left"/>
        <w:rPr>
          <w:rFonts w:ascii="宋体" w:hAnsi="宋体" w:cs="宋体" w:eastAsia="宋体" w:hint="default"/>
          <w:sz w:val="21"/>
          <w:szCs w:val="21"/>
        </w:rPr>
      </w:pPr>
      <w:bookmarkStart w:name="（3）融资租入固定资产的认定依据、计价和折旧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公司与租赁方所签订的租赁协议条款中规定了下列条件之一的，确认为融资租入资产：</w:t>
      </w:r>
      <w:r>
        <w:rPr>
          <w:rFonts w:ascii="宋体" w:hAnsi="宋体" w:cs="宋体" w:eastAsia="宋体" w:hint="default"/>
          <w:sz w:val="21"/>
          <w:szCs w:val="21"/>
        </w:rPr>
        <w:t>A</w:t>
      </w:r>
      <w:r>
        <w:rPr>
          <w:rFonts w:ascii="宋体" w:hAnsi="宋体" w:cs="宋体" w:eastAsia="宋体" w:hint="default"/>
          <w:sz w:val="21"/>
          <w:szCs w:val="21"/>
        </w:rPr>
        <w:t>、租赁期满</w:t>
      </w:r>
    </w:p>
    <w:p>
      <w:pPr>
        <w:spacing w:after="0" w:line="506" w:lineRule="auto"/>
        <w:jc w:val="left"/>
        <w:rPr>
          <w:rFonts w:ascii="宋体" w:hAnsi="宋体" w:cs="宋体" w:eastAsia="宋体" w:hint="default"/>
          <w:sz w:val="21"/>
          <w:szCs w:val="21"/>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t>后租赁资产的所有权归属于本公司；</w:t>
      </w:r>
      <w:r>
        <w:rPr>
          <w:rFonts w:ascii="宋体" w:hAnsi="宋体" w:cs="宋体" w:eastAsia="宋体" w:hint="default"/>
        </w:rPr>
        <w:t>B</w:t>
      </w:r>
      <w:r>
        <w:rPr/>
        <w:t>、公司具有购买资产的选择权，购买价款远低于行使选择权时该资</w:t>
      </w:r>
      <w:r>
        <w:rPr>
          <w:spacing w:val="-31"/>
        </w:rPr>
        <w:t> </w:t>
      </w:r>
      <w:r>
        <w:rPr>
          <w:spacing w:val="-31"/>
        </w:rPr>
      </w:r>
      <w:r>
        <w:rPr>
          <w:spacing w:val="-1"/>
        </w:rPr>
        <w:t>产的公允价值；</w:t>
      </w:r>
      <w:r>
        <w:rPr>
          <w:rFonts w:ascii="宋体" w:hAnsi="宋体" w:cs="宋体" w:eastAsia="宋体" w:hint="default"/>
          <w:spacing w:val="-1"/>
        </w:rPr>
        <w:t>C</w:t>
      </w:r>
      <w:r>
        <w:rPr>
          <w:spacing w:val="-1"/>
        </w:rPr>
        <w:t>、租赁期占所租赁资产使用寿命的大部分；</w:t>
      </w:r>
      <w:r>
        <w:rPr>
          <w:rFonts w:ascii="宋体" w:hAnsi="宋体" w:cs="宋体" w:eastAsia="宋体" w:hint="default"/>
          <w:spacing w:val="-1"/>
        </w:rPr>
        <w:t>D</w:t>
      </w:r>
      <w:r>
        <w:rPr>
          <w:spacing w:val="-1"/>
        </w:rPr>
        <w:t>、租赁开始日的最低租赁付款额现值，与该</w:t>
      </w:r>
      <w:r>
        <w:rPr>
          <w:spacing w:val="-83"/>
        </w:rPr>
        <w:t> </w:t>
      </w:r>
      <w:r>
        <w:rPr>
          <w:spacing w:val="-83"/>
        </w:rPr>
      </w:r>
      <w:r>
        <w:rPr>
          <w:spacing w:val="-1"/>
        </w:rPr>
        <w:t>资产的公允价值不存在较大的差异。公司在承租开始日，将租赁资产公允价值与最低租赁付款额现值两者</w:t>
      </w:r>
      <w:r>
        <w:rPr>
          <w:spacing w:val="-81"/>
        </w:rPr>
        <w:t> </w:t>
      </w:r>
      <w:r>
        <w:rPr>
          <w:spacing w:val="-81"/>
        </w:rPr>
      </w:r>
      <w:r>
        <w:rPr>
          <w:spacing w:val="-1"/>
        </w:rPr>
        <w:t>中较低者作为租入资产的入账价值，将最低租赁付款额作为长期应付款的入账价值，其差额作为未确认的</w:t>
      </w:r>
      <w:r>
        <w:rPr>
          <w:spacing w:val="-81"/>
        </w:rPr>
        <w:t> </w:t>
      </w:r>
      <w:r>
        <w:rPr>
          <w:spacing w:val="-81"/>
        </w:rPr>
      </w:r>
      <w:r>
        <w:rPr/>
        <w:t>融资费。</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17、在建工程" w:id="212"/>
      <w:bookmarkEnd w:id="21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73" w:lineRule="auto" w:before="2"/>
        <w:ind w:right="1023" w:firstLine="423"/>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5"/>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8、借款费用" w:id="213"/>
      <w:bookmarkEnd w:id="21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64" w:lineRule="auto" w:before="0"/>
        <w:ind w:left="577" w:right="0" w:hanging="424"/>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BodyText"/>
        <w:spacing w:line="273" w:lineRule="auto" w:before="16"/>
        <w:ind w:left="577" w:right="0" w:hanging="424"/>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273" w:lineRule="auto" w:before="8"/>
        <w:ind w:left="577" w:right="6133" w:hanging="424"/>
        <w:jc w:val="left"/>
      </w:pPr>
      <w:r>
        <w:rPr/>
        <w:t>售状态的固定资产、投资性房地产和存货等资产。 借款费用同时满足下列条件时开始资本化：</w:t>
      </w:r>
    </w:p>
    <w:p>
      <w:pPr>
        <w:pStyle w:val="BodyText"/>
        <w:spacing w:line="273" w:lineRule="auto"/>
        <w:ind w:right="0" w:firstLine="423"/>
        <w:jc w:val="left"/>
      </w:pPr>
      <w:r>
        <w:rPr>
          <w:spacing w:val="-1"/>
        </w:rPr>
        <w:t>①资产支出已经发生，资产支出包括为购建或者生产符合资本化条件的资产而以支付现金、转移非现</w:t>
      </w:r>
      <w:r>
        <w:rPr/>
        <w:t> 金资产或者承担带息债务形式发生的支出；</w:t>
      </w:r>
    </w:p>
    <w:p>
      <w:pPr>
        <w:pStyle w:val="BodyText"/>
        <w:spacing w:line="240" w:lineRule="auto"/>
        <w:ind w:left="577" w:right="0"/>
        <w:jc w:val="left"/>
      </w:pPr>
      <w:r>
        <w:rPr/>
        <w:t>②借款费用已经发生；</w:t>
      </w:r>
    </w:p>
    <w:p>
      <w:pPr>
        <w:pStyle w:val="BodyText"/>
        <w:spacing w:line="240" w:lineRule="auto" w:before="37"/>
        <w:ind w:left="577" w:right="0"/>
        <w:jc w:val="left"/>
      </w:pPr>
      <w:r>
        <w:rPr/>
        <w:t>③为使资产达到预定可使用或者可销售状态所必要的购建或者生产活动已经开始。</w:t>
      </w:r>
    </w:p>
    <w:p>
      <w:pPr>
        <w:spacing w:line="256" w:lineRule="auto" w:before="37"/>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before="22"/>
        <w:ind w:right="0"/>
        <w:jc w:val="left"/>
      </w:pPr>
      <w:r>
        <w:rPr/>
        <w:t>包括在内。</w:t>
      </w:r>
    </w:p>
    <w:p>
      <w:pPr>
        <w:pStyle w:val="BodyText"/>
        <w:spacing w:line="273" w:lineRule="auto" w:before="37"/>
        <w:ind w:left="577"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right="0"/>
        <w:jc w:val="left"/>
      </w:pPr>
      <w:r>
        <w:rPr/>
        <w:t>止资本化。</w:t>
      </w:r>
    </w:p>
    <w:p>
      <w:pPr>
        <w:pStyle w:val="BodyText"/>
        <w:spacing w:line="273" w:lineRule="auto" w:before="37"/>
        <w:ind w:right="0" w:firstLine="423"/>
        <w:jc w:val="left"/>
      </w:pPr>
      <w:r>
        <w:rPr>
          <w:spacing w:val="-1"/>
        </w:rPr>
        <w:t>购建或者生产的资产的各部分分别完工，但必须等到整体完工后才可使用或可对外销售的，在该资产</w:t>
      </w:r>
      <w:r>
        <w:rPr/>
        <w:t> 整体完工时停止借款费用资本化。</w:t>
      </w:r>
    </w:p>
    <w:p>
      <w:pPr>
        <w:pStyle w:val="BodyText"/>
        <w:spacing w:line="256" w:lineRule="auto"/>
        <w:ind w:left="577" w:right="0" w:hanging="42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99"/>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273" w:lineRule="auto" w:before="22"/>
        <w:ind w:right="1131"/>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56" w:lineRule="auto" w:before="7"/>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对于为购建或者生产符合资本化条件的资产而借入的专门借款，以专门借款当期实际发生的借款费用，</w:t>
      </w:r>
    </w:p>
    <w:p>
      <w:pPr>
        <w:pStyle w:val="BodyText"/>
        <w:spacing w:line="240" w:lineRule="auto" w:before="22"/>
        <w:ind w:right="0"/>
        <w:jc w:val="left"/>
      </w:pPr>
      <w:r>
        <w:rPr/>
        <w:t>减去尚未动用的借款资金存入银行取得的利息收入或进行暂时性投资取得的投资收益后的金额，来确定借</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7" w:right="0" w:hanging="424"/>
        <w:jc w:val="left"/>
      </w:pPr>
      <w:r>
        <w:rPr/>
        <w:t>款费用的资本化金额。 </w:t>
      </w:r>
      <w:r>
        <w:rPr>
          <w:spacing w:val="-1"/>
        </w:rPr>
        <w:t>对于为购建或者生产符合资本化条件的资产而占用的一般借款，根据累计资产支出超过专门借款部分</w:t>
      </w:r>
    </w:p>
    <w:p>
      <w:pPr>
        <w:pStyle w:val="BodyText"/>
        <w:spacing w:line="273" w:lineRule="auto"/>
        <w:ind w:right="0"/>
        <w:jc w:val="left"/>
      </w:pPr>
      <w:r>
        <w:rPr/>
        <w:t>的资产支出加权平均数乘以所占用一般借款的资本化率，计算确定一般借款应予资本化的借款费用金额。</w:t>
      </w:r>
      <w:r>
        <w:rPr>
          <w:spacing w:val="-30"/>
        </w:rPr>
        <w:t> </w:t>
      </w:r>
      <w:r>
        <w:rPr>
          <w:spacing w:val="-30"/>
        </w:rPr>
      </w:r>
      <w:r>
        <w:rPr/>
        <w:t>资本化率根据一般借款加权平均利率计算确定。</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9、生物资产" w:id="214"/>
      <w:bookmarkEnd w:id="21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0、油气资产" w:id="215"/>
      <w:bookmarkEnd w:id="21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1、无形资产" w:id="216"/>
      <w:bookmarkEnd w:id="216"/>
      <w:r>
        <w:rPr>
          <w:b w:val="0"/>
          <w:bCs w:val="0"/>
        </w:rPr>
      </w:r>
      <w:r>
        <w:rPr>
          <w:rFonts w:ascii="Times New Roman" w:hAnsi="Times New Roman" w:cs="Times New Roman" w:eastAsia="Times New Roman" w:hint="default"/>
        </w:rPr>
        <w:t>21</w:t>
      </w:r>
      <w:r>
        <w:rPr/>
        <w:t>、无形资产</w:t>
      </w:r>
      <w:r>
        <w:rPr>
          <w:b w:val="0"/>
          <w:bCs w:val="0"/>
        </w:rPr>
      </w:r>
    </w:p>
    <w:p>
      <w:pPr>
        <w:spacing w:line="590" w:lineRule="atLeast" w:before="23"/>
        <w:ind w:left="577" w:right="7275" w:hanging="424"/>
        <w:jc w:val="left"/>
        <w:rPr>
          <w:rFonts w:ascii="宋体" w:hAnsi="宋体" w:cs="宋体" w:eastAsia="宋体" w:hint="default"/>
          <w:sz w:val="21"/>
          <w:szCs w:val="21"/>
        </w:rPr>
      </w:pPr>
      <w:bookmarkStart w:name="（1）计价方法、使用寿命、减值测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、无形资产的计价方法</w:t>
      </w:r>
    </w:p>
    <w:p>
      <w:pPr>
        <w:pStyle w:val="BodyText"/>
        <w:spacing w:line="273" w:lineRule="auto" w:before="37"/>
        <w:ind w:left="577" w:right="0"/>
        <w:jc w:val="left"/>
      </w:pPr>
      <w:r>
        <w:rPr/>
        <w:t>①公司取得无形资产时按成本进行初始计量； </w:t>
      </w:r>
      <w:r>
        <w:rPr>
          <w:spacing w:val="-1"/>
        </w:rPr>
        <w:t>外购无形资产的成本，包括购买价款、相关税费以及直接归属于使该项资产达到预定用途所发生的其</w:t>
      </w:r>
    </w:p>
    <w:p>
      <w:pPr>
        <w:pStyle w:val="BodyText"/>
        <w:spacing w:line="273" w:lineRule="auto"/>
        <w:ind w:right="0"/>
        <w:jc w:val="left"/>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273" w:lineRule="auto" w:before="8"/>
        <w:ind w:right="1133" w:firstLine="423"/>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273" w:lineRule="auto"/>
        <w:ind w:right="1131" w:firstLine="423"/>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73" w:lineRule="auto"/>
        <w:ind w:left="577" w:right="6549"/>
        <w:jc w:val="left"/>
      </w:pPr>
      <w:r>
        <w:rPr/>
        <w:t>②后续计量 在取得无形资产时分析判断其使用寿命。</w:t>
      </w:r>
    </w:p>
    <w:p>
      <w:pPr>
        <w:pStyle w:val="BodyText"/>
        <w:spacing w:line="273" w:lineRule="auto"/>
        <w:ind w:right="1133" w:firstLine="423"/>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BodyText"/>
        <w:spacing w:line="240" w:lineRule="auto" w:before="48"/>
        <w:ind w:left="577" w:right="0"/>
        <w:jc w:val="left"/>
      </w:pPr>
      <w:r>
        <w:rPr>
          <w:rFonts w:ascii="Times New Roman" w:hAnsi="Times New Roman" w:cs="Times New Roman" w:eastAsia="Times New Roman" w:hint="default"/>
        </w:rPr>
        <w:t>B</w:t>
      </w:r>
      <w:r>
        <w:rPr/>
        <w:t>、使用寿命有限的无形资产的使用寿命估计情况：</w:t>
      </w:r>
    </w:p>
    <w:p>
      <w:pPr>
        <w:spacing w:line="240" w:lineRule="auto" w:before="10"/>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123"/>
        <w:gridCol w:w="2126"/>
        <w:gridCol w:w="5410"/>
      </w:tblGrid>
      <w:tr>
        <w:trPr>
          <w:trHeight w:val="355" w:hRule="exact"/>
        </w:trPr>
        <w:tc>
          <w:tcPr>
            <w:tcW w:w="2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项</w:t>
            </w:r>
            <w:r>
              <w:rPr>
                <w:rFonts w:ascii="宋体" w:hAnsi="宋体" w:cs="宋体" w:eastAsia="宋体" w:hint="default"/>
                <w:spacing w:val="78"/>
                <w:sz w:val="16"/>
                <w:szCs w:val="16"/>
              </w:rPr>
              <w:t> </w:t>
            </w:r>
            <w:r>
              <w:rPr>
                <w:rFonts w:ascii="宋体" w:hAnsi="宋体" w:cs="宋体" w:eastAsia="宋体" w:hint="default"/>
                <w:sz w:val="16"/>
                <w:szCs w:val="16"/>
              </w:rPr>
              <w:t>目</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预计使用寿命</w:t>
            </w:r>
          </w:p>
        </w:tc>
        <w:tc>
          <w:tcPr>
            <w:tcW w:w="5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依据</w:t>
            </w:r>
          </w:p>
        </w:tc>
      </w:tr>
      <w:tr>
        <w:trPr>
          <w:trHeight w:val="352"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软件</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5410" w:type="dxa"/>
            <w:vMerge w:val="restart"/>
            <w:tcBorders>
              <w:top w:val="single" w:sz="12" w:space="0" w:color="000000"/>
              <w:left w:val="single" w:sz="6" w:space="0" w:color="000000"/>
              <w:right w:val="single" w:sz="6" w:space="0" w:color="000000"/>
            </w:tcBorders>
          </w:tcPr>
          <w:p>
            <w:pPr>
              <w:pStyle w:val="TableParagraph"/>
              <w:spacing w:line="240" w:lineRule="auto" w:before="25"/>
              <w:ind w:left="617" w:right="0"/>
              <w:jc w:val="left"/>
              <w:rPr>
                <w:rFonts w:ascii="宋体" w:hAnsi="宋体" w:cs="宋体" w:eastAsia="宋体" w:hint="default"/>
                <w:sz w:val="16"/>
                <w:szCs w:val="16"/>
              </w:rPr>
            </w:pPr>
            <w:r>
              <w:rPr>
                <w:rFonts w:ascii="宋体" w:hAnsi="宋体" w:cs="宋体" w:eastAsia="宋体" w:hint="default"/>
                <w:sz w:val="16"/>
                <w:szCs w:val="16"/>
              </w:rPr>
              <w:t>合同约定或参考能为公司带来经济利益的期限确定使用寿命</w:t>
            </w:r>
          </w:p>
        </w:tc>
      </w:tr>
      <w:tr>
        <w:trPr>
          <w:trHeight w:val="353"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土地使用权</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40</w:t>
            </w:r>
            <w:r>
              <w:rPr>
                <w:rFonts w:ascii="宋体" w:hAnsi="宋体" w:cs="宋体" w:eastAsia="宋体" w:hint="default"/>
                <w:sz w:val="16"/>
                <w:szCs w:val="16"/>
              </w:rPr>
              <w:t>－</w:t>
            </w:r>
            <w:r>
              <w:rPr>
                <w:rFonts w:ascii="Times New Roman" w:hAnsi="Times New Roman" w:cs="Times New Roman" w:eastAsia="Times New Roman" w:hint="default"/>
                <w:sz w:val="16"/>
                <w:szCs w:val="16"/>
              </w:rPr>
              <w:t>50</w:t>
            </w:r>
            <w:r>
              <w:rPr>
                <w:rFonts w:ascii="宋体" w:hAnsi="宋体" w:cs="宋体" w:eastAsia="宋体" w:hint="default"/>
                <w:sz w:val="16"/>
                <w:szCs w:val="16"/>
              </w:rPr>
              <w:t>年</w:t>
            </w:r>
          </w:p>
        </w:tc>
        <w:tc>
          <w:tcPr>
            <w:tcW w:w="5410" w:type="dxa"/>
            <w:vMerge/>
            <w:tcBorders>
              <w:left w:val="single" w:sz="6" w:space="0" w:color="000000"/>
              <w:right w:val="single" w:sz="6" w:space="0" w:color="000000"/>
            </w:tcBorders>
          </w:tcPr>
          <w:p>
            <w:pPr/>
          </w:p>
        </w:tc>
      </w:tr>
      <w:tr>
        <w:trPr>
          <w:trHeight w:val="352"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非专利技术</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5410" w:type="dxa"/>
            <w:vMerge/>
            <w:tcBorders>
              <w:left w:val="single" w:sz="6" w:space="0" w:color="000000"/>
              <w:right w:val="single" w:sz="6" w:space="0" w:color="000000"/>
            </w:tcBorders>
          </w:tcPr>
          <w:p>
            <w:pPr/>
          </w:p>
        </w:tc>
      </w:tr>
      <w:tr>
        <w:trPr>
          <w:trHeight w:val="352"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特许权</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5410" w:type="dxa"/>
            <w:vMerge/>
            <w:tcBorders>
              <w:left w:val="single" w:sz="6" w:space="0" w:color="000000"/>
              <w:right w:val="single" w:sz="6" w:space="0" w:color="000000"/>
            </w:tcBorders>
          </w:tcPr>
          <w:p>
            <w:pPr/>
          </w:p>
        </w:tc>
      </w:tr>
      <w:tr>
        <w:trPr>
          <w:trHeight w:val="353" w:hRule="exact"/>
        </w:trPr>
        <w:tc>
          <w:tcPr>
            <w:tcW w:w="21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left="2"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5"/>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年</w:t>
            </w:r>
          </w:p>
        </w:tc>
        <w:tc>
          <w:tcPr>
            <w:tcW w:w="5410" w:type="dxa"/>
            <w:vMerge/>
            <w:tcBorders>
              <w:left w:val="single" w:sz="6" w:space="0" w:color="000000"/>
              <w:bottom w:val="single" w:sz="12" w:space="0" w:color="000000"/>
              <w:right w:val="single" w:sz="6" w:space="0" w:color="000000"/>
            </w:tcBorders>
          </w:tcPr>
          <w:p>
            <w:pPr/>
          </w:p>
        </w:tc>
      </w:tr>
    </w:tbl>
    <w:p>
      <w:pPr>
        <w:pStyle w:val="BodyText"/>
        <w:spacing w:line="260" w:lineRule="exact" w:before="0"/>
        <w:ind w:left="577" w:right="0"/>
        <w:jc w:val="left"/>
      </w:pPr>
      <w:r>
        <w:rPr/>
        <w:t>每年度终了，对使用寿命有限的无形资产的使用寿命及摊销方法进行复核。</w:t>
      </w:r>
    </w:p>
    <w:p>
      <w:pPr>
        <w:pStyle w:val="BodyText"/>
        <w:spacing w:line="240" w:lineRule="auto" w:before="37"/>
        <w:ind w:left="577" w:right="0"/>
        <w:jc w:val="left"/>
      </w:pPr>
      <w:r>
        <w:rPr/>
        <w:t>经复核，本年期末无形资产的使用寿命及摊销方法与以前估计未有不同。</w:t>
      </w:r>
    </w:p>
    <w:p>
      <w:pPr>
        <w:spacing w:line="256" w:lineRule="auto" w:before="37"/>
        <w:ind w:left="577" w:right="0" w:hanging="424"/>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C</w:t>
      </w:r>
      <w:r>
        <w:rPr>
          <w:rFonts w:ascii="宋体" w:hAnsi="宋体" w:cs="宋体" w:eastAsia="宋体" w:hint="default"/>
          <w:b/>
          <w:bCs/>
          <w:w w:val="95"/>
          <w:sz w:val="21"/>
          <w:szCs w:val="21"/>
        </w:rPr>
        <w:t>、使用寿命不确定的无形资产的判断依据以及对其使用寿命进行复核的程序</w:t>
      </w:r>
      <w:r>
        <w:rPr>
          <w:rFonts w:ascii="宋体" w:hAnsi="宋体" w:cs="宋体" w:eastAsia="宋体" w:hint="default"/>
          <w:b/>
          <w:bCs/>
          <w:spacing w:val="46"/>
          <w:w w:val="95"/>
          <w:sz w:val="21"/>
          <w:szCs w:val="21"/>
        </w:rPr>
        <w:t> </w:t>
      </w:r>
      <w:r>
        <w:rPr>
          <w:rFonts w:ascii="宋体" w:hAnsi="宋体" w:cs="宋体" w:eastAsia="宋体" w:hint="default"/>
          <w:b/>
          <w:bCs/>
          <w:spacing w:val="46"/>
          <w:w w:val="95"/>
          <w:sz w:val="21"/>
          <w:szCs w:val="21"/>
        </w:rPr>
      </w:r>
      <w:r>
        <w:rPr>
          <w:rFonts w:ascii="宋体" w:hAnsi="宋体" w:cs="宋体" w:eastAsia="宋体" w:hint="default"/>
          <w:sz w:val="21"/>
          <w:szCs w:val="21"/>
        </w:rPr>
        <w:t>截至资产负债表日，本公司没有使用寿命不确定的无形资产。</w:t>
      </w:r>
    </w:p>
    <w:p>
      <w:pPr>
        <w:spacing w:after="0" w:line="256" w:lineRule="auto"/>
        <w:jc w:val="left"/>
        <w:rPr>
          <w:rFonts w:ascii="宋体" w:hAnsi="宋体" w:cs="宋体" w:eastAsia="宋体" w:hint="default"/>
          <w:sz w:val="21"/>
          <w:szCs w:val="21"/>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内部研究开发支出会计政策" w:id="218"/>
      <w:bookmarkEnd w:id="21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268" w:lineRule="auto" w:before="0"/>
        <w:ind w:left="577" w:right="1118" w:hanging="424"/>
        <w:jc w:val="left"/>
      </w:pPr>
      <w:r>
        <w:rPr>
          <w:rFonts w:ascii="Times New Roman" w:hAnsi="Times New Roman" w:cs="Times New Roman" w:eastAsia="Times New Roman" w:hint="default"/>
          <w:b/>
          <w:bCs/>
        </w:rPr>
        <w:t>A</w:t>
      </w:r>
      <w:r>
        <w:rPr>
          <w:rFonts w:ascii="宋体" w:hAnsi="宋体" w:cs="宋体" w:eastAsia="宋体" w:hint="default"/>
          <w:b/>
          <w:bCs/>
        </w:rPr>
        <w:t>、划分研究阶段和开发阶段的具体标准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pStyle w:val="BodyText"/>
        <w:spacing w:line="240" w:lineRule="auto" w:before="12"/>
        <w:ind w:right="0"/>
        <w:jc w:val="left"/>
      </w:pPr>
      <w:r>
        <w:rPr/>
        <w:t>的或具有实质性改进的材料、装置、产品等活动的阶段。</w:t>
      </w:r>
    </w:p>
    <w:p>
      <w:pPr>
        <w:spacing w:line="256" w:lineRule="auto" w:before="37"/>
        <w:ind w:left="577" w:right="3399" w:hanging="42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B</w:t>
      </w:r>
      <w:r>
        <w:rPr>
          <w:rFonts w:ascii="宋体" w:hAnsi="宋体" w:cs="宋体" w:eastAsia="宋体" w:hint="default"/>
          <w:b/>
          <w:bCs/>
          <w:sz w:val="21"/>
          <w:szCs w:val="21"/>
        </w:rPr>
        <w:t>、开发阶段支出资本化的具体条件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22"/>
        <w:ind w:left="577" w:right="0"/>
        <w:jc w:val="left"/>
      </w:pPr>
      <w:r>
        <w:rPr/>
        <w:t>①完成该无形资产以使其能够使用或出售在技术上具有可行性；</w:t>
      </w:r>
    </w:p>
    <w:p>
      <w:pPr>
        <w:pStyle w:val="BodyText"/>
        <w:spacing w:line="240" w:lineRule="auto" w:before="37"/>
        <w:ind w:left="577" w:right="0"/>
        <w:jc w:val="left"/>
      </w:pPr>
      <w:r>
        <w:rPr/>
        <w:t>②具有完成该无形资产并使用或出售的意图；</w:t>
      </w:r>
    </w:p>
    <w:p>
      <w:pPr>
        <w:pStyle w:val="BodyText"/>
        <w:spacing w:line="273" w:lineRule="auto" w:before="37"/>
        <w:ind w:right="0" w:firstLine="423"/>
        <w:jc w:val="left"/>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273" w:lineRule="auto"/>
        <w:ind w:right="1118" w:firstLine="423"/>
        <w:jc w:val="left"/>
      </w:pPr>
      <w:r>
        <w:rPr>
          <w:spacing w:val="-1"/>
        </w:rPr>
        <w:t>④有足够的技术、财务资源和其他资源支持，以完成该无形资产的开发，并有能力使用或出售该无形</w:t>
      </w:r>
      <w:r>
        <w:rPr/>
        <w:t> 资产；</w:t>
      </w:r>
    </w:p>
    <w:p>
      <w:pPr>
        <w:pStyle w:val="BodyText"/>
        <w:spacing w:line="273" w:lineRule="auto"/>
        <w:ind w:left="577" w:right="0"/>
        <w:jc w:val="left"/>
      </w:pPr>
      <w:r>
        <w:rPr/>
        <w:t>⑤归属于该无形资产开发阶段的支出能够可靠地计量。 </w:t>
      </w:r>
      <w:r>
        <w:rPr>
          <w:spacing w:val="-1"/>
        </w:rPr>
        <w:t>开发阶段的支出，若不满足上列条件的，于发生时计入当期损益。研究阶段的支出，在发生时计入当</w:t>
      </w:r>
    </w:p>
    <w:p>
      <w:pPr>
        <w:pStyle w:val="BodyText"/>
        <w:spacing w:line="240" w:lineRule="auto"/>
        <w:ind w:right="0"/>
        <w:jc w:val="left"/>
      </w:pPr>
      <w:r>
        <w:rPr/>
        <w:t>期损益。</w:t>
      </w:r>
    </w:p>
    <w:p>
      <w:pPr>
        <w:pStyle w:val="BodyText"/>
        <w:spacing w:line="590" w:lineRule="atLeast" w:before="39"/>
        <w:ind w:left="577" w:right="0" w:hanging="424"/>
        <w:jc w:val="left"/>
      </w:pPr>
      <w:bookmarkStart w:name="22、长期资产减值" w:id="219"/>
      <w:bookmarkEnd w:id="219"/>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spacing w:val="-1"/>
        </w:rPr>
        <w:t>长期股权投资、采用成本模式计量的投资性房地产、固定资产、在建工程、使用寿命有限的无形资产</w:t>
      </w:r>
    </w:p>
    <w:p>
      <w:pPr>
        <w:pStyle w:val="BodyText"/>
        <w:spacing w:line="273" w:lineRule="auto" w:before="37"/>
        <w:ind w:right="1131"/>
        <w:jc w:val="both"/>
      </w:pPr>
      <w:r>
        <w:rPr>
          <w:spacing w:val="-1"/>
        </w:rPr>
        <w:t>等长期资产，于资产负债表日存在减值迹象的，进行减值测试。减值测试结果表明资产的可收回金额低于</w:t>
      </w:r>
      <w:r>
        <w:rPr>
          <w:spacing w:val="-83"/>
        </w:rPr>
        <w:t> </w:t>
      </w:r>
      <w:r>
        <w:rPr>
          <w:spacing w:val="-83"/>
        </w:rPr>
      </w:r>
      <w:r>
        <w:rPr>
          <w:spacing w:val="-1"/>
        </w:rPr>
        <w:t>其账面价值的，按其差额计提减值准备并计入减值损失。可收回金额为资产的公允价值减去处置费用后的</w:t>
      </w:r>
      <w:r>
        <w:rPr>
          <w:spacing w:val="-81"/>
        </w:rPr>
        <w:t> </w:t>
      </w:r>
      <w:r>
        <w:rPr>
          <w:spacing w:val="-81"/>
        </w:rPr>
      </w:r>
      <w:r>
        <w:rPr>
          <w:spacing w:val="-1"/>
        </w:rPr>
        <w:t>净额与资产预计未来现金流量的现值两者之间的较高者。资产减值准备按单项资产为基础计算并确认，如</w:t>
      </w:r>
      <w:r>
        <w:rPr>
          <w:spacing w:val="-81"/>
        </w:rPr>
        <w:t> </w:t>
      </w:r>
      <w:r>
        <w:rPr>
          <w:spacing w:val="-81"/>
        </w:rPr>
      </w:r>
      <w:r>
        <w:rPr>
          <w:spacing w:val="-1"/>
        </w:rPr>
        <w:t>果难以对单项资产的可收回金额进行估计的，以该资产所属的资产组确定资产组的可收回金额。资产组是</w:t>
      </w:r>
      <w:r>
        <w:rPr>
          <w:spacing w:val="-81"/>
        </w:rPr>
        <w:t> </w:t>
      </w:r>
      <w:r>
        <w:rPr>
          <w:spacing w:val="-81"/>
        </w:rPr>
      </w:r>
      <w:r>
        <w:rPr/>
        <w:t>能够独立产生现金流入的最小资产组合。</w:t>
      </w:r>
    </w:p>
    <w:p>
      <w:pPr>
        <w:pStyle w:val="BodyText"/>
        <w:spacing w:line="273" w:lineRule="auto"/>
        <w:ind w:left="577" w:right="0"/>
        <w:jc w:val="left"/>
      </w:pPr>
      <w:r>
        <w:rPr/>
        <w:t>商誉至少在每年年度终了进行减值测试。 </w:t>
      </w:r>
      <w:r>
        <w:rPr>
          <w:spacing w:val="-1"/>
        </w:rPr>
        <w:t>本公司进行商誉减值测试，对于因企业合并形成的商誉的账面价值，自购买日起按照合理的方法分摊</w:t>
      </w:r>
    </w:p>
    <w:p>
      <w:pPr>
        <w:pStyle w:val="BodyText"/>
        <w:spacing w:line="273" w:lineRule="auto"/>
        <w:ind w:right="1130"/>
        <w:jc w:val="both"/>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0"/>
        </w:rPr>
        <w:t> </w:t>
      </w:r>
      <w:r>
        <w:rPr>
          <w:spacing w:val="-80"/>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w:t>
      </w:r>
    </w:p>
    <w:p>
      <w:pPr>
        <w:pStyle w:val="BodyText"/>
        <w:spacing w:line="273" w:lineRule="auto"/>
        <w:ind w:right="0" w:firstLine="423"/>
        <w:jc w:val="left"/>
      </w:pPr>
      <w:r>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组或者资产组组合的可收回金额低于其账面价值的，确认商誉的减值损失。上述资产减值损失一经确认，</w:t>
      </w:r>
      <w:r>
        <w:rPr>
          <w:spacing w:val="-35"/>
        </w:rPr>
        <w:t> </w:t>
      </w:r>
      <w:r>
        <w:rPr>
          <w:spacing w:val="-35"/>
        </w:rPr>
      </w:r>
      <w:r>
        <w:rPr/>
        <w:t>在以后会计期间不予转回。</w:t>
      </w:r>
    </w:p>
    <w:p>
      <w:pPr>
        <w:pStyle w:val="BodyText"/>
        <w:spacing w:line="590" w:lineRule="atLeast" w:before="10"/>
        <w:ind w:left="577" w:right="0" w:hanging="424"/>
        <w:jc w:val="left"/>
      </w:pPr>
      <w:bookmarkStart w:name="23、长期待摊费用" w:id="220"/>
      <w:bookmarkEnd w:id="220"/>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长期待摊费用为已经发生但应由本期和以后各期负担的分摊期限在一年以上的各项费用。本公司长期</w:t>
      </w:r>
    </w:p>
    <w:p>
      <w:pPr>
        <w:pStyle w:val="BodyText"/>
        <w:spacing w:line="240" w:lineRule="auto" w:before="37"/>
        <w:ind w:right="0"/>
        <w:jc w:val="left"/>
      </w:pPr>
      <w:r>
        <w:rPr/>
        <w:t>待摊费用包括长期租赁房屋租金、装修费等。</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spacing w:line="256" w:lineRule="auto" w:before="35"/>
        <w:ind w:left="577" w:right="6969"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256" w:lineRule="auto" w:before="22"/>
        <w:ind w:left="577" w:right="5709"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）、摊销年限</w:t>
      </w:r>
      <w:r>
        <w:rPr>
          <w:rFonts w:ascii="宋体" w:hAnsi="宋体" w:cs="宋体" w:eastAsia="宋体" w:hint="default"/>
          <w:b/>
          <w:bCs/>
          <w:w w:val="99"/>
          <w:sz w:val="21"/>
          <w:szCs w:val="21"/>
        </w:rPr>
        <w:t> </w:t>
      </w:r>
      <w:r>
        <w:rPr>
          <w:rFonts w:ascii="宋体" w:hAnsi="宋体" w:cs="宋体" w:eastAsia="宋体" w:hint="default"/>
          <w:sz w:val="21"/>
          <w:szCs w:val="21"/>
        </w:rPr>
        <w:t>根据房屋租赁年限与使用年限孰短确认摊销年限；</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24、职工薪酬" w:id="221"/>
      <w:bookmarkEnd w:id="221"/>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7" w:right="0" w:hanging="424"/>
        <w:jc w:val="left"/>
        <w:rPr>
          <w:rFonts w:ascii="宋体" w:hAnsi="宋体" w:cs="宋体" w:eastAsia="宋体" w:hint="default"/>
          <w:sz w:val="21"/>
          <w:szCs w:val="21"/>
        </w:rPr>
      </w:pPr>
      <w:bookmarkStart w:name="（1）短期薪酬的会计处理方法"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273" w:lineRule="auto" w:before="37"/>
        <w:ind w:left="577" w:right="1118" w:hanging="424"/>
        <w:jc w:val="left"/>
      </w:pPr>
      <w:r>
        <w:rPr/>
        <w:t>相关资产成本。 </w:t>
      </w:r>
      <w:r>
        <w:rPr>
          <w:spacing w:val="-1"/>
        </w:rPr>
        <w:t>本公司为职工缴纳的社会保险费和住房公积金，以及按规定提取的工会经费和职工教育经费，在职工</w:t>
      </w:r>
    </w:p>
    <w:p>
      <w:pPr>
        <w:pStyle w:val="BodyText"/>
        <w:spacing w:line="273" w:lineRule="auto"/>
        <w:ind w:left="577" w:right="1933" w:hanging="424"/>
        <w:jc w:val="left"/>
      </w:pPr>
      <w:r>
        <w:rPr/>
        <w:t>为本公司提供服务的会计期间，根据规定的计提基础和计提比例计算确定相应的职工薪酬金额。 职工福利费为非货币性福利的，如能够可靠计量的，按照公允价值计量。</w:t>
      </w:r>
    </w:p>
    <w:p>
      <w:pPr>
        <w:spacing w:line="590" w:lineRule="atLeast" w:before="9"/>
        <w:ind w:left="577" w:right="7696" w:hanging="424"/>
        <w:jc w:val="left"/>
        <w:rPr>
          <w:rFonts w:ascii="宋体" w:hAnsi="宋体" w:cs="宋体" w:eastAsia="宋体" w:hint="default"/>
          <w:sz w:val="21"/>
          <w:szCs w:val="21"/>
        </w:rPr>
      </w:pPr>
      <w:bookmarkStart w:name="（2）离职后福利的会计处理方法"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、设定提存计划</w:t>
      </w:r>
    </w:p>
    <w:p>
      <w:pPr>
        <w:pStyle w:val="BodyText"/>
        <w:spacing w:line="273" w:lineRule="auto" w:before="37"/>
        <w:ind w:right="1031" w:firstLine="423"/>
        <w:jc w:val="both"/>
      </w:pPr>
      <w:r>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BodyText"/>
        <w:spacing w:line="273" w:lineRule="auto"/>
        <w:ind w:right="1131" w:firstLine="423"/>
        <w:jc w:val="both"/>
      </w:pPr>
      <w:r>
        <w:rPr>
          <w:spacing w:val="-1"/>
        </w:rPr>
        <w:t>除基本养老保险外，本公司还依据国家企业年金制度的相关政策建立了企业年金缴费制度（补充养老</w:t>
      </w:r>
      <w:r>
        <w:rPr/>
        <w:t> </w:t>
      </w:r>
      <w:r>
        <w:rPr>
          <w:spacing w:val="-1"/>
        </w:rPr>
        <w:t>保险）。本公司按职工工资总额的一定比例向当地社会保险机构缴费，相应支出计入当期损益或相关资产</w:t>
      </w:r>
      <w:r>
        <w:rPr>
          <w:spacing w:val="-83"/>
        </w:rPr>
        <w:t> </w:t>
      </w:r>
      <w:r>
        <w:rPr>
          <w:spacing w:val="-83"/>
        </w:rPr>
      </w:r>
      <w:r>
        <w:rPr/>
        <w:t>成本。</w:t>
      </w:r>
    </w:p>
    <w:p>
      <w:pPr>
        <w:pStyle w:val="BodyText"/>
        <w:spacing w:line="273" w:lineRule="auto"/>
        <w:ind w:left="577" w:right="0"/>
        <w:jc w:val="left"/>
      </w:pPr>
      <w:r>
        <w:rPr>
          <w:rFonts w:ascii="宋体" w:hAnsi="宋体" w:cs="宋体" w:eastAsia="宋体" w:hint="default"/>
        </w:rPr>
        <w:t>B</w:t>
      </w:r>
      <w:r>
        <w:rPr/>
        <w:t>、设定受益计划 </w:t>
      </w:r>
      <w:r>
        <w:rPr>
          <w:spacing w:val="3"/>
        </w:rPr>
        <w:t>本公司根据预期累计福利单位法确定的公式将设定受益计划产生的福利义务归属于职工提供服务的</w:t>
      </w:r>
    </w:p>
    <w:p>
      <w:pPr>
        <w:pStyle w:val="BodyText"/>
        <w:spacing w:line="273" w:lineRule="auto"/>
        <w:ind w:left="577" w:right="0" w:hanging="424"/>
        <w:jc w:val="left"/>
      </w:pPr>
      <w:r>
        <w:rPr/>
        <w:t>期间，并计入当期损益或相关资产成本。 </w:t>
      </w:r>
      <w:r>
        <w:rPr>
          <w:spacing w:val="3"/>
        </w:rPr>
        <w:t>设定受益计划义务现值减去设定受益计划资产公允价值所形成的赤字或盈余确认为一项设定受益计</w:t>
      </w:r>
    </w:p>
    <w:p>
      <w:pPr>
        <w:pStyle w:val="BodyText"/>
        <w:spacing w:line="273" w:lineRule="auto"/>
        <w:ind w:right="0"/>
        <w:jc w:val="left"/>
      </w:pP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273" w:lineRule="auto"/>
        <w:ind w:right="0" w:firstLine="423"/>
        <w:jc w:val="left"/>
      </w:pPr>
      <w:r>
        <w:rPr/>
        <w:t>所有设定受益计划义务，包括预期在职工提供服务的年度报告期间结束后的十二个月内支付的义务， </w:t>
      </w:r>
      <w:r>
        <w:rPr>
          <w:spacing w:val="3"/>
        </w:rPr>
        <w:t>根据资产负债表日与设定受益计划义务期限和币种相匹配的国债或活跃市场上的高质量公司债券的市场</w:t>
      </w:r>
      <w:r>
        <w:rPr>
          <w:spacing w:val="-82"/>
        </w:rPr>
        <w:t> </w:t>
      </w:r>
      <w:r>
        <w:rPr>
          <w:spacing w:val="-82"/>
        </w:rPr>
      </w:r>
      <w:r>
        <w:rPr/>
        <w:t>收益率予以折现。</w:t>
      </w:r>
    </w:p>
    <w:p>
      <w:pPr>
        <w:pStyle w:val="BodyText"/>
        <w:spacing w:line="273" w:lineRule="auto"/>
        <w:ind w:right="1032" w:firstLine="423"/>
        <w:jc w:val="both"/>
      </w:pPr>
      <w:r>
        <w:rPr>
          <w:spacing w:val="3"/>
        </w:rPr>
        <w:t>设定受益计划产生的服务成本和设定受益计划净负债或净资产的利息净额计入当期损益或相关资产</w:t>
      </w:r>
      <w:r>
        <w:rPr/>
        <w:t>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BodyText"/>
        <w:spacing w:line="273" w:lineRule="auto"/>
        <w:ind w:right="0" w:firstLine="423"/>
        <w:jc w:val="left"/>
      </w:pPr>
      <w:r>
        <w:rPr>
          <w:spacing w:val="-1"/>
        </w:rPr>
        <w:t>在设定受益计划结算时，按在结算日确定的设定受益计划义务现值和结算价格两者的差额，确认结算</w:t>
      </w:r>
      <w:r>
        <w:rPr/>
        <w:t> 利得或损失。</w:t>
      </w:r>
    </w:p>
    <w:p>
      <w:pPr>
        <w:pStyle w:val="BodyText"/>
        <w:spacing w:line="240" w:lineRule="auto"/>
        <w:ind w:left="577" w:right="0"/>
        <w:jc w:val="left"/>
      </w:pPr>
      <w:r>
        <w:rPr/>
        <w:t>详见第十一节“七</w:t>
      </w:r>
      <w:r>
        <w:rPr>
          <w:rFonts w:ascii="宋体" w:hAnsi="宋体" w:cs="宋体" w:eastAsia="宋体" w:hint="default"/>
        </w:rPr>
        <w:t>31</w:t>
      </w:r>
      <w:r>
        <w:rPr/>
        <w:t>、应付职工薪酬”。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3）辞退福利的会计处理方法" w:id="224"/>
      <w:bookmarkEnd w:id="22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229" w:right="0"/>
        <w:jc w:val="left"/>
      </w:pPr>
      <w:r>
        <w:rPr>
          <w:spacing w:val="-3"/>
        </w:rPr>
        <w:t>本公司在不能单方面撤回因解除劳动关系计划或裁减建议所提供的辞退福利时，或确认与涉及支付辞退福</w:t>
      </w:r>
      <w:r>
        <w:rPr>
          <w:spacing w:val="-65"/>
        </w:rPr>
        <w:t> </w:t>
      </w:r>
      <w:r>
        <w:rPr>
          <w:spacing w:val="-65"/>
        </w:rPr>
      </w:r>
      <w:r>
        <w:rPr/>
        <w:t>利的重组相关的成本或费用时（两者孰早），确认辞退福利产生的职工薪酬负债，并计入当期损益。</w:t>
      </w:r>
    </w:p>
    <w:p>
      <w:pPr>
        <w:spacing w:after="0" w:line="273"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其他长期职工福利的会计处理方法" w:id="225"/>
      <w:bookmarkEnd w:id="22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5、预计负债" w:id="226"/>
      <w:bookmarkEnd w:id="22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spacing w:line="256" w:lineRule="auto" w:before="0"/>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与诉讼、债务担保、亏损合同、重组事项等或有事项相关的义务同时满足下列条件时，本公司确认为</w:t>
      </w:r>
    </w:p>
    <w:p>
      <w:pPr>
        <w:pStyle w:val="BodyText"/>
        <w:spacing w:line="240" w:lineRule="auto" w:before="22"/>
        <w:ind w:right="0"/>
        <w:jc w:val="left"/>
      </w:pPr>
      <w:r>
        <w:rPr/>
        <w:t>预计负债：</w:t>
      </w:r>
    </w:p>
    <w:p>
      <w:pPr>
        <w:pStyle w:val="BodyText"/>
        <w:spacing w:line="240" w:lineRule="auto" w:before="37"/>
        <w:ind w:left="577" w:right="0"/>
        <w:jc w:val="left"/>
      </w:pPr>
      <w:r>
        <w:rPr/>
        <w:t>①该义务是本公司承担的现时义务；</w:t>
      </w:r>
    </w:p>
    <w:p>
      <w:pPr>
        <w:pStyle w:val="BodyText"/>
        <w:spacing w:line="240" w:lineRule="auto" w:before="37"/>
        <w:ind w:left="577" w:right="0"/>
        <w:jc w:val="left"/>
      </w:pPr>
      <w:r>
        <w:rPr/>
        <w:t>②履行该义务很可能导致经济利益流出本公司；</w:t>
      </w:r>
    </w:p>
    <w:p>
      <w:pPr>
        <w:pStyle w:val="BodyText"/>
        <w:spacing w:line="240" w:lineRule="auto" w:before="37"/>
        <w:ind w:left="577" w:right="0"/>
        <w:jc w:val="left"/>
      </w:pPr>
      <w:r>
        <w:rPr/>
        <w:t>③该义务的金额能够可靠地计量。</w:t>
      </w:r>
    </w:p>
    <w:p>
      <w:pPr>
        <w:pStyle w:val="BodyText"/>
        <w:spacing w:line="264" w:lineRule="auto" w:before="37"/>
        <w:ind w:left="577" w:right="1118" w:hanging="42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）、各类预计负债的计量方法</w:t>
      </w:r>
      <w:r>
        <w:rPr>
          <w:rFonts w:ascii="宋体" w:hAnsi="宋体" w:cs="宋体" w:eastAsia="宋体" w:hint="default"/>
          <w:b/>
          <w:bCs/>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273" w:lineRule="auto" w:before="16"/>
        <w:ind w:left="577" w:right="0" w:hanging="424"/>
        <w:jc w:val="left"/>
      </w:pPr>
      <w:r>
        <w:rPr/>
        <w:t>于货币时间价值影响重大的，通过对相关未来现金流出进行折现后确定最佳估计数。 </w:t>
      </w:r>
      <w:r>
        <w:rPr>
          <w:spacing w:val="-1"/>
        </w:rPr>
        <w:t>本公司清偿预计负债所需支出全部或部分预期由第三方补偿的，补偿金额在基本确定能够收到时，作</w:t>
      </w:r>
    </w:p>
    <w:p>
      <w:pPr>
        <w:pStyle w:val="BodyText"/>
        <w:spacing w:line="240" w:lineRule="auto"/>
        <w:ind w:right="0"/>
        <w:jc w:val="left"/>
      </w:pPr>
      <w:r>
        <w:rPr/>
        <w:t>为资产单独确认，确认的补偿金额不超过预计负债的账面价值。</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6、股份支付" w:id="227"/>
      <w:bookmarkEnd w:id="22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3"/>
        <w:jc w:val="left"/>
      </w:pPr>
      <w:r>
        <w:rPr>
          <w:spacing w:val="3"/>
        </w:rPr>
        <w:t>本公司的股份支付是为了获取职工</w:t>
      </w:r>
      <w:r>
        <w:rPr>
          <w:rFonts w:ascii="宋体" w:hAnsi="宋体" w:cs="宋体" w:eastAsia="宋体" w:hint="default"/>
          <w:spacing w:val="3"/>
        </w:rPr>
        <w:t>[</w:t>
      </w:r>
      <w:r>
        <w:rPr>
          <w:spacing w:val="3"/>
        </w:rPr>
        <w:t>或其他方</w:t>
      </w:r>
      <w:r>
        <w:rPr>
          <w:rFonts w:ascii="宋体" w:hAnsi="宋体" w:cs="宋体" w:eastAsia="宋体" w:hint="default"/>
          <w:spacing w:val="3"/>
        </w:rPr>
        <w:t>]</w:t>
      </w:r>
      <w:r>
        <w:rPr>
          <w:spacing w:val="3"/>
        </w:rPr>
        <w:t>提供服务而授予权益工具或者承担以权益工具为基础</w:t>
      </w:r>
      <w:r>
        <w:rPr/>
        <w:t> 确定的负债的交易。本公司的股份支付分为以权益结算的股份支付和以现金结算的股份支付。</w:t>
      </w:r>
    </w:p>
    <w:p>
      <w:pPr>
        <w:spacing w:line="256" w:lineRule="auto" w:before="7"/>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）、以权益结算的股份支付及权益工具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以权益结算的股份支付换取职工提供服务的，以授予职工权益工具的公允价值计量。本公司以限制性</w:t>
      </w:r>
    </w:p>
    <w:p>
      <w:pPr>
        <w:pStyle w:val="BodyText"/>
        <w:spacing w:line="273" w:lineRule="auto" w:before="22"/>
        <w:ind w:right="1131"/>
        <w:jc w:val="both"/>
      </w:pPr>
      <w:r>
        <w:rPr>
          <w:spacing w:val="-1"/>
        </w:rPr>
        <w:t>股票进行股份支付的，职工出资认购股票，股票在达到解锁条件并解锁前不得上市流通或转让；如果最终</w:t>
      </w:r>
      <w:r>
        <w:rPr>
          <w:spacing w:val="-83"/>
        </w:rPr>
        <w:t> </w:t>
      </w:r>
      <w:r>
        <w:rPr>
          <w:spacing w:val="-83"/>
        </w:rPr>
      </w:r>
      <w:r>
        <w:rPr>
          <w:spacing w:val="-1"/>
        </w:rPr>
        <w:t>股权激励计划规定的解锁条件未能达到，则本公司按照事先约定的价格回购股票。本公司取得职工认购限</w:t>
      </w:r>
      <w:r>
        <w:rPr>
          <w:spacing w:val="-81"/>
        </w:rPr>
        <w:t> </w:t>
      </w:r>
      <w:r>
        <w:rPr>
          <w:spacing w:val="-81"/>
        </w:rPr>
      </w:r>
      <w:r>
        <w:rPr>
          <w:spacing w:val="-1"/>
        </w:rPr>
        <w:t>制性股票支付的款项时，按照取得的认股款确认股本和资本公积（股本溢价），同时就回购义务全额确认</w:t>
      </w:r>
      <w:r>
        <w:rPr>
          <w:spacing w:val="-85"/>
        </w:rPr>
        <w:t> </w:t>
      </w:r>
      <w:r>
        <w:rPr>
          <w:spacing w:val="-85"/>
        </w:rPr>
      </w:r>
      <w:r>
        <w:rPr>
          <w:spacing w:val="-1"/>
        </w:rPr>
        <w:t>一项负债并确认库存股。在等待期内每个资产负债表日，本公司根据最新取得的可行权职工人数变动、是</w:t>
      </w:r>
      <w:r>
        <w:rPr>
          <w:spacing w:val="-83"/>
        </w:rPr>
        <w:t> </w:t>
      </w:r>
      <w:r>
        <w:rPr>
          <w:spacing w:val="-83"/>
        </w:rPr>
      </w:r>
      <w:r>
        <w:rPr>
          <w:spacing w:val="-1"/>
        </w:rPr>
        <w:t>否达到规定业绩条件等后续信息对可行权权益工具数量作出最佳估计，以此为基础，按照授予日的公允价</w:t>
      </w:r>
      <w:r>
        <w:rPr>
          <w:spacing w:val="-81"/>
        </w:rPr>
        <w:t> </w:t>
      </w:r>
      <w:r>
        <w:rPr>
          <w:spacing w:val="-81"/>
        </w:rPr>
      </w:r>
      <w:r>
        <w:rPr>
          <w:spacing w:val="-1"/>
        </w:rPr>
        <w:t>值，将当期取得的服务计入相关成本或费用，相应增加资本公积。在可行权日之后不再对已确认的相关成</w:t>
      </w:r>
      <w:r>
        <w:rPr>
          <w:spacing w:val="-83"/>
        </w:rPr>
        <w:t> </w:t>
      </w:r>
      <w:r>
        <w:rPr>
          <w:spacing w:val="-83"/>
        </w:rPr>
      </w:r>
      <w:r>
        <w:rPr>
          <w:spacing w:val="-1"/>
        </w:rPr>
        <w:t>本或费用和所有者权益总额进行调整。但授予后立即可行权的，在授予日按照公允价值计入相关成本或费</w:t>
      </w:r>
      <w:r>
        <w:rPr>
          <w:spacing w:val="-81"/>
        </w:rPr>
        <w:t> </w:t>
      </w:r>
      <w:r>
        <w:rPr>
          <w:spacing w:val="-81"/>
        </w:rPr>
      </w:r>
      <w:r>
        <w:rPr/>
        <w:t>用，相应增加资本公积。</w:t>
      </w:r>
    </w:p>
    <w:p>
      <w:pPr>
        <w:pStyle w:val="BodyText"/>
        <w:spacing w:line="273" w:lineRule="auto"/>
        <w:ind w:right="0" w:firstLine="423"/>
        <w:jc w:val="left"/>
      </w:pPr>
      <w:r>
        <w:rPr>
          <w:spacing w:val="-1"/>
        </w:rPr>
        <w:t>对于最终未能行权的股份支付，不确认成本或费用，除非行权条件是市场条件或非可行权条件，此时</w:t>
      </w:r>
      <w:r>
        <w:rPr/>
        <w:t> 无论是否满足市场条件或非可行权条件，只要满足所有可行权条件中的非市场条件，即视为可行权。</w:t>
      </w:r>
    </w:p>
    <w:p>
      <w:pPr>
        <w:pStyle w:val="BodyText"/>
        <w:spacing w:line="273" w:lineRule="auto"/>
        <w:ind w:right="0" w:firstLine="423"/>
        <w:jc w:val="left"/>
      </w:pPr>
      <w:r>
        <w:rPr>
          <w:spacing w:val="-1"/>
        </w:rPr>
        <w:t>如果修改了以权益结算的股份支付的条款，至少按照未修改条款的情况确认取得的服务。此外，任何</w:t>
      </w:r>
      <w:r>
        <w:rPr/>
        <w:t> 增加所授予权益工具公允价值的修改，或在修改日对职工有利的变更，均确认取得服务的增加。</w:t>
      </w:r>
    </w:p>
    <w:p>
      <w:pPr>
        <w:pStyle w:val="BodyText"/>
        <w:spacing w:line="273" w:lineRule="auto"/>
        <w:ind w:right="0" w:firstLine="423"/>
        <w:jc w:val="left"/>
      </w:pPr>
      <w:r>
        <w:rPr/>
        <w:t>如果取消了以权益结算的股份支付，则于取消日作为加速行权处理，立即确认尚未确认的金额。职工 </w:t>
      </w:r>
      <w:r>
        <w:rPr>
          <w:spacing w:val="-3"/>
        </w:rPr>
        <w:t>或其他方能够选择满足非可行权条件但在等待期内未满足的，作为取消以权益结算的股份支付处理。但是，</w:t>
      </w:r>
      <w:r>
        <w:rPr>
          <w:spacing w:val="-92"/>
        </w:rPr>
        <w:t> </w:t>
      </w:r>
      <w:r>
        <w:rPr>
          <w:spacing w:val="-92"/>
        </w:rPr>
      </w:r>
      <w:r>
        <w:rPr>
          <w:spacing w:val="-1"/>
        </w:rPr>
        <w:t>如果授予新的权益工具，并在新权益工具授予日认定所授予的新权益工具是用于替代被取消的权益工具的，</w:t>
      </w:r>
      <w:r>
        <w:rPr>
          <w:spacing w:val="-80"/>
        </w:rPr>
        <w:t> </w:t>
      </w:r>
      <w:r>
        <w:rPr>
          <w:spacing w:val="-80"/>
        </w:rPr>
      </w:r>
      <w:r>
        <w:rPr/>
        <w:t>则以与处理原权益工具条款和条件修改相同的方式，对所授予的替代权益工具进行处理。</w:t>
      </w:r>
    </w:p>
    <w:p>
      <w:pPr>
        <w:spacing w:line="240" w:lineRule="auto" w:before="6"/>
        <w:rPr>
          <w:rFonts w:ascii="宋体" w:hAnsi="宋体" w:cs="宋体" w:eastAsia="宋体" w:hint="default"/>
          <w:sz w:val="24"/>
          <w:szCs w:val="24"/>
        </w:rPr>
      </w:pPr>
    </w:p>
    <w:p>
      <w:pPr>
        <w:spacing w:line="256" w:lineRule="auto" w:before="0"/>
        <w:ind w:left="577" w:right="0" w:hanging="42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）、以现金结算的股份支付及权益工具</w:t>
      </w:r>
      <w:r>
        <w:rPr>
          <w:rFonts w:ascii="宋体" w:hAnsi="宋体" w:cs="宋体" w:eastAsia="宋体" w:hint="default"/>
          <w:b/>
          <w:bCs/>
          <w:w w:val="99"/>
          <w:sz w:val="21"/>
          <w:szCs w:val="21"/>
        </w:rPr>
        <w:t> </w:t>
      </w:r>
      <w:r>
        <w:rPr>
          <w:rFonts w:ascii="宋体" w:hAnsi="宋体" w:cs="宋体" w:eastAsia="宋体" w:hint="default"/>
          <w:spacing w:val="-1"/>
          <w:sz w:val="21"/>
          <w:szCs w:val="21"/>
        </w:rPr>
        <w:t>以现金结算的股份支付，按照本公司承担的以股份或其他权益工具为基础计算确定的负债的公允价值</w:t>
      </w:r>
    </w:p>
    <w:p>
      <w:pPr>
        <w:pStyle w:val="BodyText"/>
        <w:spacing w:line="273" w:lineRule="auto" w:before="22"/>
        <w:ind w:right="0"/>
        <w:jc w:val="left"/>
      </w:pPr>
      <w:r>
        <w:rPr>
          <w:spacing w:val="-1"/>
        </w:rPr>
        <w:t>计量。初始采用市价法模型按照授予日的公允价值计量，并考虑授予权益工具的条款和条件，详见本附注</w:t>
      </w:r>
      <w:r>
        <w:rPr>
          <w:spacing w:val="-83"/>
        </w:rPr>
        <w:t> </w:t>
      </w:r>
      <w:r>
        <w:rPr>
          <w:spacing w:val="-83"/>
        </w:rPr>
      </w:r>
      <w:r>
        <w:rPr>
          <w:spacing w:val="-1"/>
        </w:rPr>
        <w:t>“十一、股份支付”。授予后立即可行权的，在授予日以承担负债的公允价值计入成本或费用，相应增加</w:t>
      </w:r>
    </w:p>
    <w:p>
      <w:pPr>
        <w:spacing w:after="0" w:line="273"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负债；完成等待期内的服务或达到规定业绩条件才可行权的，在等待期内以对可行权情况的最佳估计为基</w:t>
      </w:r>
      <w:r>
        <w:rPr>
          <w:spacing w:val="-81"/>
        </w:rPr>
        <w:t> </w:t>
      </w:r>
      <w:r>
        <w:rPr>
          <w:spacing w:val="-81"/>
        </w:rPr>
      </w:r>
      <w:r>
        <w:rPr>
          <w:spacing w:val="-1"/>
        </w:rPr>
        <w:t>础，按照承担负债的公允价值，将当期取得的服务计入相关成本或费用，增加相应负债。在相关负债结算</w:t>
      </w:r>
      <w:r>
        <w:rPr>
          <w:spacing w:val="-86"/>
        </w:rPr>
        <w:t> </w:t>
      </w:r>
      <w:r>
        <w:rPr>
          <w:spacing w:val="-86"/>
        </w:rPr>
      </w:r>
      <w:r>
        <w:rPr/>
        <w:t>前的每个资产负债表日以及结算日，对负债的公允价值重新计量，其变动计入当期损益。</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7、优先股、永续债等其他金融工具" w:id="228"/>
      <w:bookmarkEnd w:id="22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8、收入" w:id="229"/>
      <w:bookmarkEnd w:id="229"/>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Heading4"/>
        <w:spacing w:line="240" w:lineRule="auto" w:before="2"/>
        <w:ind w:right="0"/>
        <w:jc w:val="left"/>
        <w:rPr>
          <w:b w:val="0"/>
          <w:bCs w:val="0"/>
        </w:rPr>
      </w:pPr>
      <w:r>
        <w:rPr/>
        <w:t>（</w:t>
      </w:r>
      <w:r>
        <w:rPr>
          <w:rFonts w:ascii="Times New Roman" w:hAnsi="Times New Roman" w:cs="Times New Roman" w:eastAsia="Times New Roman" w:hint="default"/>
        </w:rPr>
        <w:t>1</w:t>
      </w:r>
      <w:r>
        <w:rPr/>
        <w:t>）、销售商品收入确认的一般原则：</w:t>
      </w:r>
      <w:r>
        <w:rPr>
          <w:b w:val="0"/>
          <w:bCs w:val="0"/>
        </w:rPr>
      </w:r>
    </w:p>
    <w:p>
      <w:pPr>
        <w:pStyle w:val="BodyText"/>
        <w:spacing w:line="240" w:lineRule="auto" w:before="21"/>
        <w:ind w:left="577" w:right="0"/>
        <w:jc w:val="left"/>
      </w:pPr>
      <w:r>
        <w:rPr/>
        <w:t>①本公司已将商品所有权上的主要风险和报酬转移给购货方；</w:t>
      </w:r>
    </w:p>
    <w:p>
      <w:pPr>
        <w:pStyle w:val="BodyText"/>
        <w:spacing w:line="240" w:lineRule="auto" w:before="37"/>
        <w:ind w:left="577" w:right="0"/>
        <w:jc w:val="left"/>
      </w:pPr>
      <w:r>
        <w:rPr/>
        <w:t>②本公司既没有保留通常与所有权相联系的继续管理权，也没有对已售出的商品实施有效控制；</w:t>
      </w:r>
    </w:p>
    <w:p>
      <w:pPr>
        <w:pStyle w:val="BodyText"/>
        <w:spacing w:line="240" w:lineRule="auto" w:before="37"/>
        <w:ind w:left="577" w:right="0"/>
        <w:jc w:val="left"/>
      </w:pPr>
      <w:r>
        <w:rPr/>
        <w:t>③收入的金额能够可靠地计量；</w:t>
      </w:r>
    </w:p>
    <w:p>
      <w:pPr>
        <w:pStyle w:val="BodyText"/>
        <w:spacing w:line="240" w:lineRule="auto" w:before="37"/>
        <w:ind w:left="577" w:right="0"/>
        <w:jc w:val="left"/>
      </w:pPr>
      <w:r>
        <w:rPr/>
        <w:t>④相关的经济利益很可能流入本公司；</w:t>
      </w:r>
    </w:p>
    <w:p>
      <w:pPr>
        <w:pStyle w:val="BodyText"/>
        <w:spacing w:line="240" w:lineRule="auto" w:before="37"/>
        <w:ind w:left="577" w:right="0"/>
        <w:jc w:val="left"/>
      </w:pPr>
      <w:r>
        <w:rPr/>
        <w:t>⑤相关的、已发生或将发生的成本能够可靠地计量。</w:t>
      </w:r>
    </w:p>
    <w:p>
      <w:pPr>
        <w:pStyle w:val="BodyText"/>
        <w:spacing w:line="256" w:lineRule="auto" w:before="37"/>
        <w:ind w:left="577" w:right="1118" w:hanging="42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）、具体原则</w:t>
      </w:r>
      <w:r>
        <w:rPr>
          <w:rFonts w:ascii="宋体" w:hAnsi="宋体" w:cs="宋体" w:eastAsia="宋体" w:hint="default"/>
          <w:b/>
          <w:bCs/>
          <w:w w:val="99"/>
        </w:rPr>
        <w:t> </w:t>
      </w:r>
      <w:r>
        <w:rPr>
          <w:spacing w:val="-1"/>
        </w:rPr>
        <w:t>普通商品销售：公司根据销售订单，以发出商品并经客户验收（大宗商品、分销业务）并取得收取货</w:t>
      </w:r>
    </w:p>
    <w:p>
      <w:pPr>
        <w:pStyle w:val="BodyText"/>
        <w:spacing w:line="273" w:lineRule="auto" w:before="22"/>
        <w:ind w:left="577" w:right="1014" w:hanging="424"/>
        <w:jc w:val="left"/>
      </w:pPr>
      <w:r>
        <w:rPr/>
        <w:t>款的权利作为销售已实现、收入确认的时点和标准。 </w:t>
      </w:r>
      <w:r>
        <w:rPr>
          <w:spacing w:val="-3"/>
        </w:rPr>
        <w:t>卡兑换：公司负责向客户提供卡兑换服务，并按照交易金额根据合同约定的比例收取一定的服务费用，</w:t>
      </w:r>
    </w:p>
    <w:p>
      <w:pPr>
        <w:pStyle w:val="BodyText"/>
        <w:spacing w:line="273" w:lineRule="auto" w:before="8"/>
        <w:ind w:left="577" w:right="0" w:hanging="424"/>
        <w:jc w:val="left"/>
      </w:pPr>
      <w:r>
        <w:rPr/>
        <w:t>待业务部门通过系统平台确认充值卡有效时确认收入的实现，财务部按月做账结算。 充值业务：公司自通信运营商、代理商或自然人处购入充值卡，通过公司的销售平台提供充值服务，</w:t>
      </w:r>
    </w:p>
    <w:p>
      <w:pPr>
        <w:pStyle w:val="BodyText"/>
        <w:spacing w:line="273" w:lineRule="auto"/>
        <w:ind w:right="0"/>
        <w:jc w:val="left"/>
      </w:pPr>
      <w:r>
        <w:rPr>
          <w:spacing w:val="-1"/>
        </w:rPr>
        <w:t>待业务部门通过系统平台确认充值成功时，公司按销售价格和采购价格的差额确认营业收入的实现，财务</w:t>
      </w:r>
      <w:r>
        <w:rPr>
          <w:spacing w:val="-81"/>
        </w:rPr>
        <w:t> </w:t>
      </w:r>
      <w:r>
        <w:rPr>
          <w:spacing w:val="-81"/>
        </w:rPr>
      </w:r>
      <w:r>
        <w:rPr/>
        <w:t>部按月做账结算。</w:t>
      </w:r>
    </w:p>
    <w:p>
      <w:pPr>
        <w:pStyle w:val="BodyText"/>
        <w:spacing w:line="273" w:lineRule="auto"/>
        <w:ind w:right="0" w:firstLine="423"/>
        <w:jc w:val="left"/>
      </w:pPr>
      <w:r>
        <w:rPr>
          <w:spacing w:val="-1"/>
        </w:rPr>
        <w:t>网络资源外包以及专业网络服务：公司每月定期与合作方进行业务数据核对，并按照与客户合同约定</w:t>
      </w:r>
      <w:r>
        <w:rPr/>
        <w:t> 以及每月实际提供的服务确认收入的实现</w:t>
      </w:r>
    </w:p>
    <w:p>
      <w:pPr>
        <w:pStyle w:val="BodyText"/>
        <w:spacing w:line="273" w:lineRule="auto"/>
        <w:ind w:right="0" w:firstLine="423"/>
        <w:jc w:val="left"/>
      </w:pPr>
      <w:r>
        <w:rPr>
          <w:spacing w:val="-6"/>
        </w:rPr>
        <w:t>技术服务：经与客户共同验收合格并出具验收报告后，确认相应进度的收入。技术服务于运维服务（质</w:t>
      </w:r>
      <w:r>
        <w:rPr/>
        <w:t> 保期满后）实际发生时进行确认。</w:t>
      </w:r>
    </w:p>
    <w:p>
      <w:pPr>
        <w:pStyle w:val="BodyText"/>
        <w:spacing w:line="273" w:lineRule="auto"/>
        <w:ind w:right="1131" w:firstLine="423"/>
        <w:jc w:val="both"/>
      </w:pPr>
      <w:r>
        <w:rPr>
          <w:spacing w:val="-1"/>
        </w:rPr>
        <w:t>房地产销售：在房产完工并验收合格，签订了销售合同，取得了买方付款证明并交付使用时确认收入</w:t>
      </w:r>
      <w:r>
        <w:rPr/>
        <w:t> </w:t>
      </w:r>
      <w:r>
        <w:rPr>
          <w:spacing w:val="-1"/>
        </w:rPr>
        <w:t>的实现。买方接到书面交房通知，无正当理由拒绝接收的，以书面交房通知确定的交付使用时限结束后即</w:t>
      </w:r>
      <w:r>
        <w:rPr>
          <w:spacing w:val="-83"/>
        </w:rPr>
        <w:t> </w:t>
      </w:r>
      <w:r>
        <w:rPr>
          <w:spacing w:val="-83"/>
        </w:rPr>
      </w:r>
      <w:r>
        <w:rPr/>
        <w:t>确认收入的实现。</w:t>
      </w:r>
    </w:p>
    <w:p>
      <w:pPr>
        <w:pStyle w:val="BodyText"/>
        <w:spacing w:line="240" w:lineRule="auto"/>
        <w:ind w:left="577" w:right="0"/>
        <w:jc w:val="left"/>
      </w:pPr>
      <w:r>
        <w:rPr/>
        <w:t>物业出租：按与承租方签订合同或协议规定的承租方付租日期和金额，确认房租出租收入的实现。</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9、政府补助" w:id="230"/>
      <w:bookmarkEnd w:id="23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pStyle w:val="BodyText"/>
        <w:spacing w:line="273" w:lineRule="auto" w:before="21"/>
        <w:ind w:right="0" w:firstLine="423"/>
        <w:jc w:val="left"/>
      </w:pPr>
      <w:r>
        <w:rPr>
          <w:spacing w:val="-1"/>
        </w:rPr>
        <w:t>政府补助，是本公司从政府无偿取得的货币性资产与非货币性资产。分为与资产相关的政府补助和与</w:t>
      </w:r>
      <w:r>
        <w:rPr/>
        <w:t> 收益相关的政府补助。</w:t>
      </w:r>
    </w:p>
    <w:p>
      <w:pPr>
        <w:pStyle w:val="BodyText"/>
        <w:spacing w:line="273" w:lineRule="auto" w:before="8"/>
        <w:ind w:right="0" w:firstLine="423"/>
        <w:jc w:val="left"/>
      </w:pPr>
      <w:r>
        <w:rPr>
          <w:spacing w:val="-1"/>
        </w:rPr>
        <w:t>与资产相关的政府补助，是指本公司取得的、用于购建或以其他方式形成长期资产的政府补助。与收</w:t>
      </w:r>
      <w:r>
        <w:rPr/>
        <w:t> 益相关的政府补助，是指除与资产相关的政府补助之外的政府补助。</w:t>
      </w:r>
    </w:p>
    <w:p>
      <w:pPr>
        <w:spacing w:line="240" w:lineRule="auto" w:before="6"/>
        <w:rPr>
          <w:rFonts w:ascii="宋体" w:hAnsi="宋体" w:cs="宋体" w:eastAsia="宋体" w:hint="default"/>
          <w:sz w:val="24"/>
          <w:szCs w:val="24"/>
        </w:rPr>
      </w:pPr>
    </w:p>
    <w:p>
      <w:pPr>
        <w:pStyle w:val="BodyText"/>
        <w:spacing w:line="240" w:lineRule="auto" w:before="0"/>
        <w:ind w:left="577" w:right="0"/>
        <w:jc w:val="left"/>
      </w:pPr>
      <w:r>
        <w:rPr/>
        <w:t>本公司将政府补助划分为与资产相关的具体标准为：政府补助文件或企业申请文件中，明确规定取得</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的补助由企业用于购建或其他方式形成具体的长期资产，待资产形成达到预定可使用状态时，由政府部门</w:t>
      </w:r>
      <w:r>
        <w:rPr>
          <w:spacing w:val="-81"/>
        </w:rPr>
        <w:t> </w:t>
      </w:r>
      <w:r>
        <w:rPr>
          <w:spacing w:val="-81"/>
        </w:rPr>
      </w:r>
      <w:r>
        <w:rPr/>
        <w:t>予以验收。</w:t>
      </w:r>
    </w:p>
    <w:p>
      <w:pPr>
        <w:pStyle w:val="BodyText"/>
        <w:spacing w:line="273" w:lineRule="auto"/>
        <w:ind w:right="1133" w:firstLine="423"/>
        <w:jc w:val="both"/>
      </w:pPr>
      <w:r>
        <w:rPr>
          <w:spacing w:val="-1"/>
        </w:rPr>
        <w:t>本公司将政府补助划分为与收益相关的具体标准为：政府补助文件或企业申请文件中，明确规定取得</w:t>
      </w:r>
      <w:r>
        <w:rPr/>
        <w:t> </w:t>
      </w:r>
      <w:r>
        <w:rPr>
          <w:spacing w:val="-1"/>
        </w:rPr>
        <w:t>的补助由企业用于已经发生或将来发生的费用性补偿或给予的奖励、资助、扶持、税收返还等，不形成长</w:t>
      </w:r>
      <w:r>
        <w:rPr>
          <w:spacing w:val="-86"/>
        </w:rPr>
        <w:t> </w:t>
      </w:r>
      <w:r>
        <w:rPr>
          <w:spacing w:val="-86"/>
        </w:rPr>
      </w:r>
      <w:r>
        <w:rPr/>
        <w:t>期资产。</w:t>
      </w:r>
    </w:p>
    <w:p>
      <w:pPr>
        <w:pStyle w:val="BodyText"/>
        <w:spacing w:line="273" w:lineRule="auto"/>
        <w:ind w:right="0" w:firstLine="423"/>
        <w:jc w:val="left"/>
      </w:pPr>
      <w:r>
        <w:rPr/>
        <w:t>对于政府文件未明确规定补助对象的，本公司将该政府补助划分为与收益相关的判断依据为：企业对 于综合性项目的政府补助，需要将其分解为与资产相关的部分和与收益相关的部分，分别进行会计处理；</w:t>
      </w:r>
      <w:r>
        <w:rPr>
          <w:spacing w:val="-35"/>
        </w:rPr>
        <w:t> </w:t>
      </w:r>
      <w:r>
        <w:rPr>
          <w:spacing w:val="-35"/>
        </w:rPr>
      </w:r>
      <w:r>
        <w:rPr/>
        <w:t>难以区分的，将政府补助整体归类为与收益相关的政府补助，视情况不同计入当期损益，或者在项目期内</w:t>
      </w:r>
      <w:r>
        <w:rPr/>
        <w:t> 分期确认为当期收益。</w:t>
      </w:r>
    </w:p>
    <w:p>
      <w:pPr>
        <w:pStyle w:val="BodyText"/>
        <w:spacing w:line="256" w:lineRule="auto"/>
        <w:ind w:left="577" w:right="1118" w:hanging="424"/>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）、确认时点</w:t>
      </w:r>
      <w:r>
        <w:rPr>
          <w:rFonts w:ascii="宋体" w:hAnsi="宋体" w:cs="宋体" w:eastAsia="宋体" w:hint="default"/>
          <w:b/>
          <w:bCs/>
          <w:w w:val="99"/>
        </w:rPr>
        <w:t> </w:t>
      </w:r>
      <w:r>
        <w:rPr>
          <w:spacing w:val="-1"/>
        </w:rPr>
        <w:t>与收益相关的政府补助确认时点：公司按照固定的定额标准取得的政府补助，在报告期末（月末、季</w:t>
      </w:r>
    </w:p>
    <w:p>
      <w:pPr>
        <w:pStyle w:val="BodyText"/>
        <w:spacing w:line="273" w:lineRule="auto" w:before="22"/>
        <w:ind w:left="577" w:right="0" w:hanging="424"/>
        <w:jc w:val="left"/>
      </w:pPr>
      <w:r>
        <w:rPr/>
        <w:t>末、年末）按应收金额确认，否则在实际收到时确认。 与资产相关的政府补助确认时点：起点是相关资产可供使用时，对于应计提折旧或摊销的长期资产，</w:t>
      </w:r>
    </w:p>
    <w:p>
      <w:pPr>
        <w:pStyle w:val="BodyText"/>
        <w:spacing w:line="273" w:lineRule="auto"/>
        <w:ind w:right="1132"/>
        <w:jc w:val="both"/>
      </w:pPr>
      <w:r>
        <w:rPr>
          <w:spacing w:val="-1"/>
        </w:rPr>
        <w:t>即为资产开始折旧或摊销的时点。终点是资产使用寿命结束或资产被处置时（孰早）。相关资产在使用寿</w:t>
      </w:r>
      <w:r>
        <w:rPr>
          <w:spacing w:val="-86"/>
        </w:rPr>
        <w:t> </w:t>
      </w:r>
      <w:r>
        <w:rPr>
          <w:spacing w:val="-86"/>
        </w:rPr>
      </w:r>
      <w:r>
        <w:rPr>
          <w:spacing w:val="-1"/>
        </w:rPr>
        <w:t>命结束时或结束前被处置（出售、转让、报废等），尚未分摊的政府补助余额应当一次性转入资产处置当</w:t>
      </w:r>
      <w:r>
        <w:rPr>
          <w:spacing w:val="-82"/>
        </w:rPr>
        <w:t> </w:t>
      </w:r>
      <w:r>
        <w:rPr>
          <w:spacing w:val="-82"/>
        </w:rPr>
      </w:r>
      <w:r>
        <w:rPr/>
        <w:t>期的收益，不再予以递延。</w:t>
      </w:r>
    </w:p>
    <w:p>
      <w:pPr>
        <w:pStyle w:val="BodyText"/>
        <w:spacing w:line="256" w:lineRule="auto"/>
        <w:ind w:left="577" w:right="1118" w:hanging="424"/>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）、会计处理</w:t>
      </w:r>
      <w:r>
        <w:rPr>
          <w:rFonts w:ascii="宋体" w:hAnsi="宋体" w:cs="宋体" w:eastAsia="宋体" w:hint="default"/>
          <w:b/>
          <w:bCs/>
          <w:w w:val="99"/>
        </w:rPr>
        <w:t> </w:t>
      </w:r>
      <w:r>
        <w:rPr>
          <w:spacing w:val="-1"/>
        </w:rPr>
        <w:t>与资产相关的政府补助，冲减相关资产账面价值或确认为递延收益。确认为递延收益的，在相关资产</w:t>
      </w:r>
    </w:p>
    <w:p>
      <w:pPr>
        <w:pStyle w:val="BodyText"/>
        <w:spacing w:line="273" w:lineRule="auto" w:before="22"/>
        <w:ind w:right="1133"/>
        <w:jc w:val="both"/>
      </w:pPr>
      <w:r>
        <w:rPr>
          <w:spacing w:val="-1"/>
        </w:rPr>
        <w:t>使用寿命内按照合理、系统的方法分期计入当期损益（与本公司日常活动相关的，计入其他收益；与本公</w:t>
      </w:r>
      <w:r>
        <w:rPr>
          <w:spacing w:val="-86"/>
        </w:rPr>
        <w:t> </w:t>
      </w:r>
      <w:r>
        <w:rPr>
          <w:spacing w:val="-86"/>
        </w:rPr>
      </w:r>
      <w:r>
        <w:rPr/>
        <w:t>司日常活动无关的，计入营业外收入）；</w:t>
      </w:r>
    </w:p>
    <w:p>
      <w:pPr>
        <w:pStyle w:val="BodyText"/>
        <w:spacing w:line="273" w:lineRule="auto"/>
        <w:ind w:right="1131" w:firstLine="423"/>
        <w:jc w:val="both"/>
      </w:pPr>
      <w:r>
        <w:rPr>
          <w:spacing w:val="-1"/>
        </w:rPr>
        <w:t>与收益相关的政府补助，用于补偿本公司以后期间的相关成本费用或损失的，确认为递延收益，并在</w:t>
      </w:r>
      <w:r>
        <w:rPr/>
        <w:t> </w:t>
      </w:r>
      <w:r>
        <w:rPr>
          <w:spacing w:val="-1"/>
        </w:rPr>
        <w:t>确认相关成本费用或损失的期间，计入当期损益（与本公司日常活动相关的，计入其他收益；与本公司日</w:t>
      </w:r>
      <w:r>
        <w:rPr>
          <w:spacing w:val="-86"/>
        </w:rPr>
        <w:t> </w:t>
      </w:r>
      <w:r>
        <w:rPr>
          <w:spacing w:val="-86"/>
        </w:rPr>
      </w:r>
      <w:r>
        <w:rPr>
          <w:spacing w:val="-1"/>
        </w:rPr>
        <w:t>常活动无关的，计入营业外收入）或冲减相关成本费用或损失；用于补偿本公司已发生的相关成本费用或</w:t>
      </w:r>
      <w:r>
        <w:rPr>
          <w:spacing w:val="-83"/>
        </w:rPr>
        <w:t> </w:t>
      </w:r>
      <w:r>
        <w:rPr>
          <w:spacing w:val="-83"/>
        </w:rPr>
      </w:r>
      <w:r>
        <w:rPr>
          <w:spacing w:val="-1"/>
        </w:rPr>
        <w:t>损失的，直接计入当期损益（与本公司日常活动相关的，计入其他收益；与本公司日常活动无关的，计入</w:t>
      </w:r>
      <w:r>
        <w:rPr>
          <w:spacing w:val="-83"/>
        </w:rPr>
        <w:t> </w:t>
      </w:r>
      <w:r>
        <w:rPr>
          <w:spacing w:val="-83"/>
        </w:rPr>
      </w:r>
      <w:r>
        <w:rPr/>
        <w:t>营业外收入）或冲减相关成本费用或损失。</w:t>
      </w:r>
    </w:p>
    <w:p>
      <w:pPr>
        <w:pStyle w:val="BodyText"/>
        <w:spacing w:line="240" w:lineRule="auto"/>
        <w:ind w:left="577" w:right="0"/>
        <w:jc w:val="left"/>
      </w:pPr>
      <w:r>
        <w:rPr/>
        <w:t>本公司取得的政策性优惠贷款贴息，区分以下两种情况，分别进行会计处理：</w:t>
      </w:r>
    </w:p>
    <w:p>
      <w:pPr>
        <w:pStyle w:val="BodyText"/>
        <w:spacing w:line="273" w:lineRule="auto" w:before="37"/>
        <w:ind w:right="1133" w:firstLine="423"/>
        <w:jc w:val="both"/>
      </w:pPr>
      <w:r>
        <w:rPr>
          <w:spacing w:val="-1"/>
        </w:rPr>
        <w:t>①财政将贴息资金拨付给贷款银行，由贷款银行以政策性优惠利率向本公司提供贷款的，本公司以实</w:t>
      </w:r>
      <w:r>
        <w:rPr/>
        <w:t> 际收到的借款金额作为借款的入账价值，按照借款本金和该政策性优惠利率计算相关借款费用。</w:t>
      </w:r>
    </w:p>
    <w:p>
      <w:pPr>
        <w:pStyle w:val="BodyText"/>
        <w:spacing w:line="240" w:lineRule="auto"/>
        <w:ind w:left="577" w:right="0"/>
        <w:jc w:val="left"/>
      </w:pPr>
      <w:r>
        <w:rPr/>
        <w:t>②财政将贴息资金直接拨付给本公司的，本公司将对应的贴息冲减相关借款费用。</w:t>
      </w:r>
    </w:p>
    <w:p>
      <w:pPr>
        <w:spacing w:line="590" w:lineRule="atLeast" w:before="39"/>
        <w:ind w:left="577" w:right="0" w:hanging="424"/>
        <w:jc w:val="left"/>
        <w:rPr>
          <w:rFonts w:ascii="宋体" w:hAnsi="宋体" w:cs="宋体" w:eastAsia="宋体" w:hint="default"/>
          <w:sz w:val="21"/>
          <w:szCs w:val="21"/>
        </w:rPr>
      </w:pPr>
      <w:bookmarkStart w:name="30、递延所得税资产/递延所得税负债" w:id="231"/>
      <w:bookmarkEnd w:id="231"/>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BodyText"/>
        <w:spacing w:line="273" w:lineRule="auto" w:before="37"/>
        <w:ind w:right="1131"/>
        <w:jc w:val="both"/>
      </w:pPr>
      <w:r>
        <w:rPr>
          <w:spacing w:val="-1"/>
        </w:rPr>
        <w:t>应纳税所得额为限。对于能够结转以后年度的可抵扣亏损和税款抵减，以很可能获得用来抵扣可抵扣亏损</w:t>
      </w:r>
      <w:r>
        <w:rPr>
          <w:spacing w:val="-81"/>
        </w:rPr>
        <w:t> </w:t>
      </w:r>
      <w:r>
        <w:rPr>
          <w:spacing w:val="-81"/>
        </w:rPr>
      </w:r>
      <w:r>
        <w:rPr/>
        <w:t>和税款抵减的未来应纳税所得额为限，确认相应的递延所得税资产。</w:t>
      </w:r>
    </w:p>
    <w:p>
      <w:pPr>
        <w:pStyle w:val="BodyText"/>
        <w:spacing w:line="273" w:lineRule="auto"/>
        <w:ind w:left="577" w:right="0"/>
        <w:jc w:val="left"/>
      </w:pPr>
      <w:r>
        <w:rPr/>
        <w:t>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273" w:lineRule="auto"/>
        <w:ind w:left="577" w:right="0" w:hanging="424"/>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273" w:lineRule="auto"/>
        <w:ind w:left="577" w:right="0" w:hanging="424"/>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273"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after="0" w:line="273"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1、租赁" w:id="232"/>
      <w:bookmarkEnd w:id="232"/>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7" w:right="0" w:hanging="424"/>
        <w:jc w:val="left"/>
        <w:rPr>
          <w:rFonts w:ascii="宋体" w:hAnsi="宋体" w:cs="宋体" w:eastAsia="宋体" w:hint="default"/>
          <w:sz w:val="21"/>
          <w:szCs w:val="21"/>
        </w:rPr>
      </w:pPr>
      <w:bookmarkStart w:name="（1）经营租赁的会计处理方法" w:id="233"/>
      <w:bookmarkEnd w:id="2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、公司租入资产所支付的租赁费，在不扣除免租期的整个租赁期内，按直线法进行分摊，计入当期</w:t>
      </w:r>
    </w:p>
    <w:p>
      <w:pPr>
        <w:pStyle w:val="BodyText"/>
        <w:spacing w:line="273" w:lineRule="auto" w:before="37"/>
        <w:ind w:left="577" w:right="0" w:hanging="424"/>
        <w:jc w:val="left"/>
      </w:pPr>
      <w:r>
        <w:rPr/>
        <w:t>费用。公司支付的与租赁交易相关的初始直接费用，计入当期费用。 </w:t>
      </w:r>
      <w:r>
        <w:rPr>
          <w:spacing w:val="-1"/>
        </w:rPr>
        <w:t>资产出租方承担了应由公司承担的与租赁相关的费用时，公司将该部分费用从租金总额中扣除，按扣</w:t>
      </w:r>
    </w:p>
    <w:p>
      <w:pPr>
        <w:pStyle w:val="BodyText"/>
        <w:spacing w:line="273" w:lineRule="auto"/>
        <w:ind w:left="577" w:right="0" w:hanging="424"/>
        <w:jc w:val="left"/>
      </w:pPr>
      <w:r>
        <w:rPr/>
        <w:t>除后的租金费用在租赁期内分摊，计入当期费用。 </w:t>
      </w:r>
      <w:r>
        <w:rPr>
          <w:rFonts w:ascii="宋体" w:hAnsi="宋体" w:cs="宋体" w:eastAsia="宋体" w:hint="default"/>
        </w:rPr>
        <w:t>B</w:t>
      </w:r>
      <w:r>
        <w:rPr/>
        <w:t>、公司出租资产所收取的租赁费，在不扣除免租期的整个租赁期内，按直线法进行分摊，确认为租</w:t>
      </w:r>
    </w:p>
    <w:p>
      <w:pPr>
        <w:pStyle w:val="BodyText"/>
        <w:spacing w:line="273" w:lineRule="auto"/>
        <w:ind w:right="1117"/>
        <w:jc w:val="left"/>
      </w:pPr>
      <w:r>
        <w:rPr>
          <w:spacing w:val="-5"/>
        </w:rPr>
        <w:t>赁相关收入。公司支付的与租赁交易相关的初始直接费用，计入当期费用；如金额较大的，则予以资本化，</w:t>
      </w:r>
      <w:r>
        <w:rPr>
          <w:spacing w:val="-102"/>
        </w:rPr>
        <w:t> </w:t>
      </w:r>
      <w:r>
        <w:rPr>
          <w:spacing w:val="-102"/>
        </w:rPr>
      </w:r>
      <w:r>
        <w:rPr/>
        <w:t>在整个租赁期间内按照与租赁相关收入确认相同的基础分期计入当期收益。</w:t>
      </w:r>
    </w:p>
    <w:p>
      <w:pPr>
        <w:pStyle w:val="BodyText"/>
        <w:spacing w:line="273" w:lineRule="auto"/>
        <w:ind w:right="1133" w:firstLine="423"/>
        <w:jc w:val="both"/>
      </w:pPr>
      <w:r>
        <w:rPr>
          <w:spacing w:val="-1"/>
        </w:rPr>
        <w:t>公司承担了应由承租方承担的与租赁相关的费用时，公司将该部分费用从租金收入总额中扣除，按扣</w:t>
      </w:r>
      <w:r>
        <w:rPr/>
        <w:t> 除后的租金费用在租赁期内分配。</w:t>
      </w:r>
    </w:p>
    <w:p>
      <w:pPr>
        <w:spacing w:line="590" w:lineRule="atLeast" w:before="9"/>
        <w:ind w:left="577" w:right="0" w:hanging="424"/>
        <w:jc w:val="left"/>
        <w:rPr>
          <w:rFonts w:ascii="宋体" w:hAnsi="宋体" w:cs="宋体" w:eastAsia="宋体" w:hint="default"/>
          <w:sz w:val="21"/>
          <w:szCs w:val="21"/>
        </w:rPr>
      </w:pPr>
      <w:bookmarkStart w:name="（2）融资租赁的会计处理方法"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z w:val="21"/>
          <w:szCs w:val="21"/>
        </w:rPr>
        <w:t>A</w:t>
      </w:r>
      <w:r>
        <w:rPr>
          <w:rFonts w:ascii="宋体" w:hAnsi="宋体" w:cs="宋体" w:eastAsia="宋体" w:hint="default"/>
          <w:sz w:val="21"/>
          <w:szCs w:val="21"/>
        </w:rPr>
        <w:t>、融资租入资产：公司在承租开始日，将租赁资产公允价值与最低租赁付款额现值两者中较低者作</w:t>
      </w:r>
    </w:p>
    <w:p>
      <w:pPr>
        <w:pStyle w:val="BodyText"/>
        <w:spacing w:line="273" w:lineRule="auto" w:before="37"/>
        <w:ind w:right="0"/>
        <w:jc w:val="left"/>
      </w:pPr>
      <w:r>
        <w:rPr/>
        <w:t>为租入资产的入账价值，将最低租赁付款额作为长期应付款的入账价值，其差额作为未确认的融资费用。</w:t>
      </w:r>
      <w:r>
        <w:rPr>
          <w:spacing w:val="-35"/>
        </w:rPr>
        <w:t> </w:t>
      </w:r>
      <w:r>
        <w:rPr>
          <w:spacing w:val="-35"/>
        </w:rPr>
      </w:r>
      <w:r>
        <w:rPr/>
        <w:t>公司采用实际利率法对未确认的融资费用，在资产租赁期间内摊销，计入财务费用。公司发生的初始直接</w:t>
      </w:r>
      <w:r>
        <w:rPr/>
        <w:t> 费用，计入租入资产价值。</w:t>
      </w:r>
    </w:p>
    <w:p>
      <w:pPr>
        <w:pStyle w:val="BodyText"/>
        <w:spacing w:line="273" w:lineRule="auto"/>
        <w:ind w:right="1131" w:firstLine="423"/>
        <w:jc w:val="both"/>
      </w:pPr>
      <w:r>
        <w:rPr>
          <w:rFonts w:ascii="宋体" w:hAnsi="宋体" w:cs="宋体" w:eastAsia="宋体" w:hint="default"/>
        </w:rPr>
        <w:t>B</w:t>
      </w:r>
      <w:r>
        <w:rPr/>
        <w:t>、融资租出资产：公司在租赁开始日，将应收融资租赁款，未担保余值之和与其现值的差额确认为 </w:t>
      </w:r>
      <w:r>
        <w:rPr>
          <w:spacing w:val="-1"/>
        </w:rPr>
        <w:t>未实现融资收益，在将来收到租金的各期间内确认为租赁收入。公司发生的与出租交易相关的初始直接费</w:t>
      </w:r>
      <w:r>
        <w:rPr>
          <w:spacing w:val="-81"/>
        </w:rPr>
        <w:t> </w:t>
      </w:r>
      <w:r>
        <w:rPr>
          <w:spacing w:val="-81"/>
        </w:rPr>
      </w:r>
      <w:r>
        <w:rPr/>
        <w:t>用，计入应收融资租赁款的初始计量中，并减少租赁期内确认的收益金额。</w:t>
      </w:r>
    </w:p>
    <w:p>
      <w:pPr>
        <w:pStyle w:val="Heading4"/>
        <w:spacing w:line="590" w:lineRule="atLeast" w:before="9"/>
        <w:ind w:right="7380"/>
        <w:jc w:val="left"/>
        <w:rPr>
          <w:b w:val="0"/>
          <w:bCs w:val="0"/>
        </w:rPr>
      </w:pPr>
      <w:bookmarkStart w:name="32、其他重要的会计政策和会计估计" w:id="235"/>
      <w:bookmarkEnd w:id="235"/>
      <w:r>
        <w:rPr>
          <w:b w:val="0"/>
          <w:bCs w:val="0"/>
        </w:rPr>
      </w:r>
      <w:r>
        <w:rPr>
          <w:rFonts w:ascii="Times New Roman" w:hAnsi="Times New Roman" w:cs="Times New Roman" w:eastAsia="Times New Roman" w:hint="default"/>
        </w:rPr>
        <w:t>32</w:t>
      </w:r>
      <w:r>
        <w:rPr/>
        <w:t>、其他重要的会计政策和会计估计</w:t>
      </w:r>
      <w:r>
        <w:rPr>
          <w:w w:val="99"/>
        </w:rPr>
        <w:t> </w:t>
      </w:r>
      <w:r>
        <w:rPr/>
        <w:t>终止经营</w:t>
      </w:r>
      <w:r>
        <w:rPr>
          <w:b w:val="0"/>
          <w:bCs w:val="0"/>
        </w:rPr>
      </w:r>
    </w:p>
    <w:p>
      <w:pPr>
        <w:pStyle w:val="BodyText"/>
        <w:spacing w:line="273" w:lineRule="auto" w:before="37"/>
        <w:ind w:right="1133" w:firstLine="423"/>
        <w:jc w:val="both"/>
      </w:pPr>
      <w:r>
        <w:rPr>
          <w:spacing w:val="-1"/>
        </w:rPr>
        <w:t>终止经营是满足下列条件之一的、能够单独区分的组成部分，且该组成部分已被本公司处置或被本公</w:t>
      </w:r>
      <w:r>
        <w:rPr/>
        <w:t> 司划归为持有待售类别：</w:t>
      </w:r>
    </w:p>
    <w:p>
      <w:pPr>
        <w:pStyle w:val="BodyText"/>
        <w:spacing w:line="240" w:lineRule="auto"/>
        <w:ind w:left="577" w:right="0"/>
        <w:jc w:val="left"/>
      </w:pPr>
      <w:r>
        <w:rPr/>
        <w:t>（</w:t>
      </w:r>
      <w:r>
        <w:rPr>
          <w:rFonts w:ascii="宋体" w:hAnsi="宋体" w:cs="宋体" w:eastAsia="宋体" w:hint="default"/>
        </w:rPr>
        <w:t>1</w:t>
      </w:r>
      <w:r>
        <w:rPr/>
        <w:t>）该组成部分代表一项独立的主要业务或一个单独的主要经营地区；</w:t>
      </w:r>
    </w:p>
    <w:p>
      <w:pPr>
        <w:pStyle w:val="BodyText"/>
        <w:spacing w:line="273" w:lineRule="auto" w:before="37"/>
        <w:ind w:right="1138" w:firstLine="423"/>
        <w:jc w:val="both"/>
      </w:pPr>
      <w:r>
        <w:rPr/>
        <w:t>（</w:t>
      </w:r>
      <w:r>
        <w:rPr>
          <w:rFonts w:ascii="宋体" w:hAnsi="宋体" w:cs="宋体" w:eastAsia="宋体" w:hint="default"/>
        </w:rPr>
        <w:t>2</w:t>
      </w:r>
      <w:r>
        <w:rPr/>
        <w:t>）该组成部分是拟对一项独立的主要业务或一个单独的主要经营地区进行处置的一项相关联计划 的一部分；</w:t>
      </w:r>
    </w:p>
    <w:p>
      <w:pPr>
        <w:pStyle w:val="BodyText"/>
        <w:spacing w:line="240" w:lineRule="auto"/>
        <w:ind w:left="577" w:right="0"/>
        <w:jc w:val="left"/>
      </w:pPr>
      <w:r>
        <w:rPr/>
        <w:t>（</w:t>
      </w:r>
      <w:r>
        <w:rPr>
          <w:rFonts w:ascii="宋体" w:hAnsi="宋体" w:cs="宋体" w:eastAsia="宋体" w:hint="default"/>
        </w:rPr>
        <w:t>3</w:t>
      </w:r>
      <w:r>
        <w:rPr/>
        <w:t>）该组成部分是专为转售而取得的子公司。</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3、重要会计政策和会计估计变更" w:id="236"/>
      <w:bookmarkEnd w:id="236"/>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37"/>
      <w:bookmarkEnd w:id="237"/>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4850"/>
        <w:gridCol w:w="4845"/>
      </w:tblGrid>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4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r>
      <w:tr>
        <w:trPr>
          <w:trHeight w:val="1026" w:hRule="exact"/>
        </w:trPr>
        <w:tc>
          <w:tcPr>
            <w:tcW w:w="4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日发布了《财政部关于修订印发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30"/>
                <w:sz w:val="18"/>
                <w:szCs w:val="18"/>
              </w:rPr>
              <w:t>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对一般企业财务报表格式进行了修订。</w:t>
            </w:r>
          </w:p>
        </w:tc>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第八届董事会第二十二次会议</w:t>
            </w:r>
          </w:p>
        </w:tc>
      </w:tr>
    </w:tbl>
    <w:p>
      <w:pPr>
        <w:pStyle w:val="BodyText"/>
        <w:spacing w:line="260" w:lineRule="exact" w:before="0"/>
        <w:ind w:right="0"/>
        <w:jc w:val="left"/>
      </w:pPr>
      <w:r>
        <w:rPr/>
        <w:t>本公司执行上述规定的主要影响如下：</w:t>
      </w:r>
    </w:p>
    <w:p>
      <w:pPr>
        <w:spacing w:after="0" w:line="260" w:lineRule="exact"/>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3835"/>
        <w:gridCol w:w="997"/>
        <w:gridCol w:w="4827"/>
      </w:tblGrid>
      <w:tr>
        <w:trPr>
          <w:trHeight w:val="342" w:hRule="exact"/>
        </w:trPr>
        <w:tc>
          <w:tcPr>
            <w:tcW w:w="3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712" w:right="0"/>
              <w:jc w:val="left"/>
              <w:rPr>
                <w:rFonts w:ascii="宋体" w:hAnsi="宋体" w:cs="宋体" w:eastAsia="宋体" w:hint="default"/>
                <w:sz w:val="20"/>
                <w:szCs w:val="20"/>
              </w:rPr>
            </w:pPr>
            <w:r>
              <w:rPr>
                <w:rFonts w:ascii="宋体" w:hAnsi="宋体" w:cs="宋体" w:eastAsia="宋体" w:hint="default"/>
                <w:sz w:val="20"/>
                <w:szCs w:val="20"/>
              </w:rPr>
              <w:t>会计政策变更的内容和原因</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2" w:right="0"/>
              <w:jc w:val="left"/>
              <w:rPr>
                <w:rFonts w:ascii="宋体" w:hAnsi="宋体" w:cs="宋体" w:eastAsia="宋体" w:hint="default"/>
                <w:sz w:val="20"/>
                <w:szCs w:val="20"/>
              </w:rPr>
            </w:pPr>
            <w:r>
              <w:rPr>
                <w:rFonts w:ascii="宋体" w:hAnsi="宋体" w:cs="宋体" w:eastAsia="宋体" w:hint="default"/>
                <w:sz w:val="20"/>
                <w:szCs w:val="20"/>
              </w:rPr>
              <w:t>审批程序</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107" w:right="0"/>
              <w:jc w:val="left"/>
              <w:rPr>
                <w:rFonts w:ascii="宋体" w:hAnsi="宋体" w:cs="宋体" w:eastAsia="宋体" w:hint="default"/>
                <w:sz w:val="20"/>
                <w:szCs w:val="20"/>
              </w:rPr>
            </w:pPr>
            <w:r>
              <w:rPr>
                <w:rFonts w:ascii="宋体" w:hAnsi="宋体" w:cs="宋体" w:eastAsia="宋体" w:hint="default"/>
                <w:sz w:val="20"/>
                <w:szCs w:val="20"/>
              </w:rPr>
              <w:t>受影响的报表项目名称和金额</w:t>
            </w:r>
          </w:p>
        </w:tc>
      </w:tr>
      <w:tr>
        <w:trPr>
          <w:trHeight w:val="4398" w:hRule="exact"/>
        </w:trPr>
        <w:tc>
          <w:tcPr>
            <w:tcW w:w="38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
              <w:jc w:val="left"/>
              <w:rPr>
                <w:rFonts w:ascii="宋体" w:hAnsi="宋体" w:cs="宋体" w:eastAsia="宋体" w:hint="default"/>
                <w:sz w:val="20"/>
                <w:szCs w:val="20"/>
              </w:rPr>
            </w:pPr>
            <w:r>
              <w:rPr>
                <w:rFonts w:ascii="宋体" w:hAnsi="宋体" w:cs="宋体" w:eastAsia="宋体" w:hint="default"/>
                <w:spacing w:val="-5"/>
                <w:w w:val="100"/>
                <w:sz w:val="20"/>
                <w:szCs w:val="20"/>
              </w:rPr>
              <w:t>（</w:t>
            </w:r>
            <w:r>
              <w:rPr>
                <w:rFonts w:ascii="宋体" w:hAnsi="宋体" w:cs="宋体" w:eastAsia="宋体" w:hint="default"/>
                <w:spacing w:val="-5"/>
                <w:w w:val="100"/>
                <w:sz w:val="20"/>
                <w:szCs w:val="20"/>
              </w:rPr>
              <w:t>1</w:t>
            </w:r>
            <w:r>
              <w:rPr>
                <w:rFonts w:ascii="宋体" w:hAnsi="宋体" w:cs="宋体" w:eastAsia="宋体" w:hint="default"/>
                <w:spacing w:val="-5"/>
                <w:w w:val="100"/>
                <w:sz w:val="20"/>
                <w:szCs w:val="20"/>
              </w:rPr>
              <w:t>）资产负债表中“应收票据”和“应收账</w:t>
            </w:r>
            <w:r>
              <w:rPr>
                <w:rFonts w:ascii="宋体" w:hAnsi="宋体" w:cs="宋体" w:eastAsia="宋体" w:hint="default"/>
                <w:w w:val="100"/>
                <w:sz w:val="20"/>
                <w:szCs w:val="20"/>
              </w:rPr>
              <w:t> </w:t>
            </w:r>
            <w:r>
              <w:rPr>
                <w:rFonts w:ascii="宋体" w:hAnsi="宋体" w:cs="宋体" w:eastAsia="宋体" w:hint="default"/>
                <w:sz w:val="20"/>
                <w:szCs w:val="20"/>
              </w:rPr>
              <w:t>款”合并列示为“应收票据及应收账款”；</w:t>
            </w:r>
            <w:r>
              <w:rPr>
                <w:rFonts w:ascii="宋体" w:hAnsi="宋体" w:cs="宋体" w:eastAsia="宋体" w:hint="default"/>
                <w:w w:val="100"/>
                <w:sz w:val="20"/>
                <w:szCs w:val="20"/>
              </w:rPr>
              <w:t> </w:t>
            </w:r>
            <w:r>
              <w:rPr>
                <w:rFonts w:ascii="宋体" w:hAnsi="宋体" w:cs="宋体" w:eastAsia="宋体" w:hint="default"/>
                <w:sz w:val="20"/>
                <w:szCs w:val="20"/>
              </w:rPr>
              <w:t>“应付票据”和“应付账款”合并列示为</w:t>
            </w:r>
            <w:r>
              <w:rPr>
                <w:rFonts w:ascii="宋体" w:hAnsi="宋体" w:cs="宋体" w:eastAsia="宋体" w:hint="default"/>
                <w:w w:val="100"/>
                <w:sz w:val="20"/>
                <w:szCs w:val="20"/>
              </w:rPr>
              <w:t> </w:t>
            </w:r>
            <w:r>
              <w:rPr>
                <w:rFonts w:ascii="宋体" w:hAnsi="宋体" w:cs="宋体" w:eastAsia="宋体" w:hint="default"/>
                <w:sz w:val="20"/>
                <w:szCs w:val="20"/>
              </w:rPr>
              <w:t>“应付票据及应付账款”；“应收利息”和</w:t>
            </w:r>
            <w:r>
              <w:rPr>
                <w:rFonts w:ascii="宋体" w:hAnsi="宋体" w:cs="宋体" w:eastAsia="宋体" w:hint="default"/>
                <w:w w:val="100"/>
                <w:sz w:val="20"/>
                <w:szCs w:val="20"/>
              </w:rPr>
              <w:t> </w:t>
            </w:r>
            <w:r>
              <w:rPr>
                <w:rFonts w:ascii="宋体" w:hAnsi="宋体" w:cs="宋体" w:eastAsia="宋体" w:hint="default"/>
                <w:sz w:val="20"/>
                <w:szCs w:val="20"/>
              </w:rPr>
              <w:t>“应收股利”并入“其他应收款”列示；</w:t>
            </w:r>
            <w:r>
              <w:rPr>
                <w:rFonts w:ascii="宋体" w:hAnsi="宋体" w:cs="宋体" w:eastAsia="宋体" w:hint="default"/>
                <w:w w:val="100"/>
                <w:sz w:val="20"/>
                <w:szCs w:val="20"/>
              </w:rPr>
              <w:t> </w:t>
            </w:r>
            <w:r>
              <w:rPr>
                <w:rFonts w:ascii="宋体" w:hAnsi="宋体" w:cs="宋体" w:eastAsia="宋体" w:hint="default"/>
                <w:sz w:val="20"/>
                <w:szCs w:val="20"/>
              </w:rPr>
              <w:t>“应付利息”和“应付股利”并入“其他应</w:t>
            </w:r>
            <w:r>
              <w:rPr>
                <w:rFonts w:ascii="宋体" w:hAnsi="宋体" w:cs="宋体" w:eastAsia="宋体" w:hint="default"/>
                <w:w w:val="100"/>
                <w:sz w:val="20"/>
                <w:szCs w:val="20"/>
              </w:rPr>
              <w:t> </w:t>
            </w:r>
            <w:r>
              <w:rPr>
                <w:rFonts w:ascii="宋体" w:hAnsi="宋体" w:cs="宋体" w:eastAsia="宋体" w:hint="default"/>
                <w:sz w:val="20"/>
                <w:szCs w:val="20"/>
              </w:rPr>
              <w:t>付款”列示；“固定资产清理”并入“固定</w:t>
            </w:r>
            <w:r>
              <w:rPr>
                <w:rFonts w:ascii="宋体" w:hAnsi="宋体" w:cs="宋体" w:eastAsia="宋体" w:hint="default"/>
                <w:spacing w:val="-2"/>
                <w:w w:val="100"/>
                <w:sz w:val="20"/>
                <w:szCs w:val="20"/>
              </w:rPr>
              <w:t> </w:t>
            </w:r>
            <w:r>
              <w:rPr>
                <w:rFonts w:ascii="宋体" w:hAnsi="宋体" w:cs="宋体" w:eastAsia="宋体" w:hint="default"/>
                <w:sz w:val="20"/>
                <w:szCs w:val="20"/>
              </w:rPr>
              <w:t>资产”列示；“工程物资”并入“在建工</w:t>
            </w:r>
            <w:r>
              <w:rPr>
                <w:rFonts w:ascii="宋体" w:hAnsi="宋体" w:cs="宋体" w:eastAsia="宋体" w:hint="default"/>
                <w:w w:val="100"/>
                <w:sz w:val="20"/>
                <w:szCs w:val="20"/>
              </w:rPr>
              <w:t> </w:t>
            </w:r>
            <w:r>
              <w:rPr>
                <w:rFonts w:ascii="宋体" w:hAnsi="宋体" w:cs="宋体" w:eastAsia="宋体" w:hint="default"/>
                <w:sz w:val="20"/>
                <w:szCs w:val="20"/>
              </w:rPr>
              <w:t>程”列示；“专项应付款”并入“长期应付</w:t>
            </w:r>
            <w:r>
              <w:rPr>
                <w:rFonts w:ascii="宋体" w:hAnsi="宋体" w:cs="宋体" w:eastAsia="宋体" w:hint="default"/>
                <w:w w:val="100"/>
                <w:sz w:val="20"/>
                <w:szCs w:val="20"/>
              </w:rPr>
              <w:t> </w:t>
            </w:r>
            <w:r>
              <w:rPr>
                <w:rFonts w:ascii="宋体" w:hAnsi="宋体" w:cs="宋体" w:eastAsia="宋体" w:hint="default"/>
                <w:sz w:val="20"/>
                <w:szCs w:val="20"/>
              </w:rPr>
              <w:t>款”列示。比较数据相应调整。</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79"/>
              <w:jc w:val="both"/>
              <w:rPr>
                <w:rFonts w:ascii="宋体" w:hAnsi="宋体" w:cs="宋体" w:eastAsia="宋体" w:hint="default"/>
                <w:sz w:val="20"/>
                <w:szCs w:val="20"/>
              </w:rPr>
            </w:pPr>
            <w:r>
              <w:rPr>
                <w:rFonts w:ascii="宋体" w:hAnsi="宋体" w:cs="宋体" w:eastAsia="宋体" w:hint="default"/>
                <w:sz w:val="20"/>
                <w:szCs w:val="20"/>
              </w:rPr>
              <w:t>第八届董</w:t>
            </w:r>
            <w:r>
              <w:rPr>
                <w:rFonts w:ascii="宋体" w:hAnsi="宋体" w:cs="宋体" w:eastAsia="宋体" w:hint="default"/>
                <w:w w:val="100"/>
                <w:sz w:val="20"/>
                <w:szCs w:val="20"/>
              </w:rPr>
              <w:t> </w:t>
            </w:r>
            <w:r>
              <w:rPr>
                <w:rFonts w:ascii="宋体" w:hAnsi="宋体" w:cs="宋体" w:eastAsia="宋体" w:hint="default"/>
                <w:sz w:val="20"/>
                <w:szCs w:val="20"/>
              </w:rPr>
              <w:t>事会第二</w:t>
            </w:r>
            <w:r>
              <w:rPr>
                <w:rFonts w:ascii="宋体" w:hAnsi="宋体" w:cs="宋体" w:eastAsia="宋体" w:hint="default"/>
                <w:w w:val="100"/>
                <w:sz w:val="20"/>
                <w:szCs w:val="20"/>
              </w:rPr>
              <w:t> </w:t>
            </w:r>
            <w:r>
              <w:rPr>
                <w:rFonts w:ascii="宋体" w:hAnsi="宋体" w:cs="宋体" w:eastAsia="宋体" w:hint="default"/>
                <w:sz w:val="20"/>
                <w:szCs w:val="20"/>
              </w:rPr>
              <w:t>十二次会</w:t>
            </w:r>
            <w:r>
              <w:rPr>
                <w:rFonts w:ascii="宋体" w:hAnsi="宋体" w:cs="宋体" w:eastAsia="宋体" w:hint="default"/>
                <w:w w:val="100"/>
                <w:sz w:val="20"/>
                <w:szCs w:val="20"/>
              </w:rPr>
              <w:t> </w:t>
            </w:r>
            <w:r>
              <w:rPr>
                <w:rFonts w:ascii="宋体" w:hAnsi="宋体" w:cs="宋体" w:eastAsia="宋体" w:hint="default"/>
                <w:sz w:val="20"/>
                <w:szCs w:val="20"/>
              </w:rPr>
              <w:t>议</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8"/>
              <w:jc w:val="both"/>
              <w:rPr>
                <w:rFonts w:ascii="宋体" w:hAnsi="宋体" w:cs="宋体" w:eastAsia="宋体" w:hint="default"/>
                <w:sz w:val="20"/>
                <w:szCs w:val="20"/>
              </w:rPr>
            </w:pPr>
            <w:r>
              <w:rPr>
                <w:rFonts w:ascii="宋体" w:hAnsi="宋体" w:cs="宋体" w:eastAsia="宋体" w:hint="default"/>
                <w:spacing w:val="-1"/>
                <w:sz w:val="20"/>
                <w:szCs w:val="20"/>
              </w:rPr>
              <w:t>“应收票据”和“应收账款”合并列示为“应收票据及</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1"/>
                <w:sz w:val="20"/>
                <w:szCs w:val="20"/>
              </w:rPr>
              <w:t>应收账款”，本期金额</w:t>
            </w:r>
            <w:r>
              <w:rPr>
                <w:rFonts w:ascii="宋体" w:hAnsi="宋体" w:cs="宋体" w:eastAsia="宋体" w:hint="default"/>
                <w:spacing w:val="-1"/>
                <w:sz w:val="20"/>
                <w:szCs w:val="20"/>
              </w:rPr>
              <w:t>1,783,906,854.35</w:t>
            </w:r>
            <w:r>
              <w:rPr>
                <w:rFonts w:ascii="宋体" w:hAnsi="宋体" w:cs="宋体" w:eastAsia="宋体" w:hint="default"/>
                <w:spacing w:val="-1"/>
                <w:sz w:val="20"/>
                <w:szCs w:val="20"/>
              </w:rPr>
              <w:t>元，上期金额</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1,002,484,168.19</w:t>
            </w:r>
            <w:r>
              <w:rPr>
                <w:rFonts w:ascii="宋体" w:hAnsi="宋体" w:cs="宋体" w:eastAsia="宋体" w:hint="default"/>
                <w:sz w:val="20"/>
                <w:szCs w:val="20"/>
              </w:rPr>
              <w:t>元；</w:t>
            </w:r>
          </w:p>
          <w:p>
            <w:pPr>
              <w:pStyle w:val="TableParagraph"/>
              <w:spacing w:line="285" w:lineRule="auto" w:before="12"/>
              <w:ind w:left="4" w:right="8"/>
              <w:jc w:val="both"/>
              <w:rPr>
                <w:rFonts w:ascii="宋体" w:hAnsi="宋体" w:cs="宋体" w:eastAsia="宋体" w:hint="default"/>
                <w:sz w:val="20"/>
                <w:szCs w:val="20"/>
              </w:rPr>
            </w:pPr>
            <w:r>
              <w:rPr>
                <w:rFonts w:ascii="宋体" w:hAnsi="宋体" w:cs="宋体" w:eastAsia="宋体" w:hint="default"/>
                <w:spacing w:val="-1"/>
                <w:sz w:val="20"/>
                <w:szCs w:val="20"/>
              </w:rPr>
              <w:t>“应付票据”和“应付账款”合并列示为“应付票据及</w:t>
            </w:r>
            <w:r>
              <w:rPr>
                <w:rFonts w:ascii="宋体" w:hAnsi="宋体" w:cs="宋体" w:eastAsia="宋体" w:hint="default"/>
                <w:spacing w:val="-80"/>
                <w:sz w:val="20"/>
                <w:szCs w:val="20"/>
              </w:rPr>
              <w:t> </w:t>
            </w:r>
            <w:r>
              <w:rPr>
                <w:rFonts w:ascii="宋体" w:hAnsi="宋体" w:cs="宋体" w:eastAsia="宋体" w:hint="default"/>
                <w:spacing w:val="-80"/>
                <w:sz w:val="20"/>
                <w:szCs w:val="20"/>
              </w:rPr>
            </w:r>
            <w:r>
              <w:rPr>
                <w:rFonts w:ascii="宋体" w:hAnsi="宋体" w:cs="宋体" w:eastAsia="宋体" w:hint="default"/>
                <w:spacing w:val="-1"/>
                <w:sz w:val="20"/>
                <w:szCs w:val="20"/>
              </w:rPr>
              <w:t>应付账款”，本期金额</w:t>
            </w:r>
            <w:r>
              <w:rPr>
                <w:rFonts w:ascii="宋体" w:hAnsi="宋体" w:cs="宋体" w:eastAsia="宋体" w:hint="default"/>
                <w:spacing w:val="-1"/>
                <w:sz w:val="20"/>
                <w:szCs w:val="20"/>
              </w:rPr>
              <w:t>1,199,382,744.03</w:t>
            </w:r>
            <w:r>
              <w:rPr>
                <w:rFonts w:ascii="宋体" w:hAnsi="宋体" w:cs="宋体" w:eastAsia="宋体" w:hint="default"/>
                <w:spacing w:val="-1"/>
                <w:sz w:val="20"/>
                <w:szCs w:val="20"/>
              </w:rPr>
              <w:t>元，上期金额</w:t>
            </w:r>
            <w:r>
              <w:rPr>
                <w:rFonts w:ascii="宋体" w:hAnsi="宋体" w:cs="宋体" w:eastAsia="宋体" w:hint="default"/>
                <w:spacing w:val="-72"/>
                <w:sz w:val="20"/>
                <w:szCs w:val="20"/>
              </w:rPr>
              <w:t> </w:t>
            </w:r>
            <w:r>
              <w:rPr>
                <w:rFonts w:ascii="宋体" w:hAnsi="宋体" w:cs="宋体" w:eastAsia="宋体" w:hint="default"/>
                <w:spacing w:val="-72"/>
                <w:sz w:val="20"/>
                <w:szCs w:val="20"/>
              </w:rPr>
            </w:r>
            <w:r>
              <w:rPr>
                <w:rFonts w:ascii="宋体" w:hAnsi="宋体" w:cs="宋体" w:eastAsia="宋体" w:hint="default"/>
                <w:sz w:val="20"/>
                <w:szCs w:val="20"/>
              </w:rPr>
              <w:t>1,129,798,014.44</w:t>
            </w:r>
            <w:r>
              <w:rPr>
                <w:rFonts w:ascii="宋体" w:hAnsi="宋体" w:cs="宋体" w:eastAsia="宋体" w:hint="default"/>
                <w:sz w:val="20"/>
                <w:szCs w:val="20"/>
              </w:rPr>
              <w:t>元；</w:t>
            </w:r>
          </w:p>
          <w:p>
            <w:pPr>
              <w:pStyle w:val="TableParagraph"/>
              <w:spacing w:line="285" w:lineRule="auto" w:before="12"/>
              <w:ind w:left="4" w:right="1"/>
              <w:jc w:val="left"/>
              <w:rPr>
                <w:rFonts w:ascii="宋体" w:hAnsi="宋体" w:cs="宋体" w:eastAsia="宋体" w:hint="default"/>
                <w:sz w:val="20"/>
                <w:szCs w:val="20"/>
              </w:rPr>
            </w:pPr>
            <w:r>
              <w:rPr>
                <w:rFonts w:ascii="宋体" w:hAnsi="宋体" w:cs="宋体" w:eastAsia="宋体" w:hint="default"/>
                <w:sz w:val="20"/>
                <w:szCs w:val="20"/>
              </w:rPr>
              <w:t>调增“其他应收款”本期金额</w:t>
            </w:r>
            <w:r>
              <w:rPr>
                <w:rFonts w:ascii="宋体" w:hAnsi="宋体" w:cs="宋体" w:eastAsia="宋体" w:hint="default"/>
                <w:sz w:val="20"/>
                <w:szCs w:val="20"/>
              </w:rPr>
              <w:t>820,016.36</w:t>
            </w:r>
            <w:r>
              <w:rPr>
                <w:rFonts w:ascii="宋体" w:hAnsi="宋体" w:cs="宋体" w:eastAsia="宋体" w:hint="default"/>
                <w:sz w:val="20"/>
                <w:szCs w:val="20"/>
              </w:rPr>
              <w:t>元，上期金额</w:t>
            </w:r>
            <w:r>
              <w:rPr>
                <w:rFonts w:ascii="宋体" w:hAnsi="宋体" w:cs="宋体" w:eastAsia="宋体" w:hint="default"/>
                <w:w w:val="100"/>
                <w:sz w:val="20"/>
                <w:szCs w:val="20"/>
              </w:rPr>
              <w:t> </w:t>
            </w:r>
            <w:r>
              <w:rPr>
                <w:rFonts w:ascii="宋体" w:hAnsi="宋体" w:cs="宋体" w:eastAsia="宋体" w:hint="default"/>
                <w:sz w:val="20"/>
                <w:szCs w:val="20"/>
              </w:rPr>
              <w:t>0.00</w:t>
            </w:r>
            <w:r>
              <w:rPr>
                <w:rFonts w:ascii="宋体" w:hAnsi="宋体" w:cs="宋体" w:eastAsia="宋体" w:hint="default"/>
                <w:sz w:val="20"/>
                <w:szCs w:val="20"/>
              </w:rPr>
              <w:t>元；</w:t>
            </w:r>
            <w:r>
              <w:rPr>
                <w:rFonts w:ascii="宋体" w:hAnsi="宋体" w:cs="宋体" w:eastAsia="宋体" w:hint="default"/>
                <w:w w:val="100"/>
                <w:sz w:val="20"/>
                <w:szCs w:val="20"/>
              </w:rPr>
              <w:t> </w:t>
            </w:r>
            <w:r>
              <w:rPr>
                <w:rFonts w:ascii="宋体" w:hAnsi="宋体" w:cs="宋体" w:eastAsia="宋体" w:hint="default"/>
                <w:spacing w:val="-4"/>
                <w:w w:val="100"/>
                <w:sz w:val="20"/>
                <w:szCs w:val="20"/>
              </w:rPr>
              <w:t>调增“其他应付款”本期金额</w:t>
            </w:r>
            <w:r>
              <w:rPr>
                <w:rFonts w:ascii="宋体" w:hAnsi="宋体" w:cs="宋体" w:eastAsia="宋体" w:hint="default"/>
                <w:spacing w:val="-4"/>
                <w:w w:val="100"/>
                <w:sz w:val="20"/>
                <w:szCs w:val="20"/>
              </w:rPr>
              <w:t>20,033,885.07</w:t>
            </w:r>
            <w:r>
              <w:rPr>
                <w:rFonts w:ascii="宋体" w:hAnsi="宋体" w:cs="宋体" w:eastAsia="宋体" w:hint="default"/>
                <w:spacing w:val="-4"/>
                <w:w w:val="100"/>
                <w:sz w:val="20"/>
                <w:szCs w:val="20"/>
              </w:rPr>
              <w:t>元，上期金</w:t>
            </w:r>
            <w:r>
              <w:rPr>
                <w:rFonts w:ascii="宋体" w:hAnsi="宋体" w:cs="宋体" w:eastAsia="宋体" w:hint="default"/>
                <w:spacing w:val="-85"/>
                <w:w w:val="100"/>
                <w:sz w:val="20"/>
                <w:szCs w:val="20"/>
              </w:rPr>
              <w:t> </w:t>
            </w:r>
            <w:r>
              <w:rPr>
                <w:rFonts w:ascii="宋体" w:hAnsi="宋体" w:cs="宋体" w:eastAsia="宋体" w:hint="default"/>
                <w:spacing w:val="-85"/>
                <w:w w:val="100"/>
                <w:sz w:val="20"/>
                <w:szCs w:val="20"/>
              </w:rPr>
            </w:r>
            <w:r>
              <w:rPr>
                <w:rFonts w:ascii="宋体" w:hAnsi="宋体" w:cs="宋体" w:eastAsia="宋体" w:hint="default"/>
                <w:sz w:val="20"/>
                <w:szCs w:val="20"/>
              </w:rPr>
              <w:t>额</w:t>
            </w:r>
            <w:r>
              <w:rPr>
                <w:rFonts w:ascii="宋体" w:hAnsi="宋体" w:cs="宋体" w:eastAsia="宋体" w:hint="default"/>
                <w:sz w:val="20"/>
                <w:szCs w:val="20"/>
              </w:rPr>
              <w:t>20,033,885.07</w:t>
            </w:r>
            <w:r>
              <w:rPr>
                <w:rFonts w:ascii="宋体" w:hAnsi="宋体" w:cs="宋体" w:eastAsia="宋体" w:hint="default"/>
                <w:sz w:val="20"/>
                <w:szCs w:val="20"/>
              </w:rPr>
              <w:t>元；</w:t>
            </w:r>
          </w:p>
          <w:p>
            <w:pPr>
              <w:pStyle w:val="TableParagraph"/>
              <w:spacing w:line="285" w:lineRule="auto" w:before="12"/>
              <w:ind w:left="4" w:right="1"/>
              <w:jc w:val="both"/>
              <w:rPr>
                <w:rFonts w:ascii="宋体" w:hAnsi="宋体" w:cs="宋体" w:eastAsia="宋体" w:hint="default"/>
                <w:sz w:val="20"/>
                <w:szCs w:val="20"/>
              </w:rPr>
            </w:pPr>
            <w:r>
              <w:rPr>
                <w:rFonts w:ascii="宋体" w:hAnsi="宋体" w:cs="宋体" w:eastAsia="宋体" w:hint="default"/>
                <w:sz w:val="20"/>
                <w:szCs w:val="20"/>
              </w:rPr>
              <w:t>调增“固定资产”本期金额</w:t>
            </w:r>
            <w:r>
              <w:rPr>
                <w:rFonts w:ascii="宋体" w:hAnsi="宋体" w:cs="宋体" w:eastAsia="宋体" w:hint="default"/>
                <w:sz w:val="20"/>
                <w:szCs w:val="20"/>
              </w:rPr>
              <w:t>0.00</w:t>
            </w:r>
            <w:r>
              <w:rPr>
                <w:rFonts w:ascii="宋体" w:hAnsi="宋体" w:cs="宋体" w:eastAsia="宋体" w:hint="default"/>
                <w:sz w:val="20"/>
                <w:szCs w:val="20"/>
              </w:rPr>
              <w:t>元，上期金额</w:t>
            </w:r>
            <w:r>
              <w:rPr>
                <w:rFonts w:ascii="宋体" w:hAnsi="宋体" w:cs="宋体" w:eastAsia="宋体" w:hint="default"/>
                <w:sz w:val="20"/>
                <w:szCs w:val="20"/>
              </w:rPr>
              <w:t>0.00</w:t>
            </w:r>
            <w:r>
              <w:rPr>
                <w:rFonts w:ascii="宋体" w:hAnsi="宋体" w:cs="宋体" w:eastAsia="宋体" w:hint="default"/>
                <w:sz w:val="20"/>
                <w:szCs w:val="20"/>
              </w:rPr>
              <w:t>元；</w:t>
            </w:r>
            <w:r>
              <w:rPr>
                <w:rFonts w:ascii="宋体" w:hAnsi="宋体" w:cs="宋体" w:eastAsia="宋体" w:hint="default"/>
                <w:w w:val="100"/>
                <w:sz w:val="20"/>
                <w:szCs w:val="20"/>
              </w:rPr>
              <w:t> </w:t>
            </w:r>
            <w:r>
              <w:rPr>
                <w:rFonts w:ascii="宋体" w:hAnsi="宋体" w:cs="宋体" w:eastAsia="宋体" w:hint="default"/>
                <w:sz w:val="20"/>
                <w:szCs w:val="20"/>
              </w:rPr>
              <w:t>调增“在建工程”本期金额</w:t>
            </w:r>
            <w:r>
              <w:rPr>
                <w:rFonts w:ascii="宋体" w:hAnsi="宋体" w:cs="宋体" w:eastAsia="宋体" w:hint="default"/>
                <w:sz w:val="20"/>
                <w:szCs w:val="20"/>
              </w:rPr>
              <w:t>0.00</w:t>
            </w:r>
            <w:r>
              <w:rPr>
                <w:rFonts w:ascii="宋体" w:hAnsi="宋体" w:cs="宋体" w:eastAsia="宋体" w:hint="default"/>
                <w:sz w:val="20"/>
                <w:szCs w:val="20"/>
              </w:rPr>
              <w:t>元，上期金额</w:t>
            </w:r>
            <w:r>
              <w:rPr>
                <w:rFonts w:ascii="宋体" w:hAnsi="宋体" w:cs="宋体" w:eastAsia="宋体" w:hint="default"/>
                <w:sz w:val="20"/>
                <w:szCs w:val="20"/>
              </w:rPr>
              <w:t>0.00</w:t>
            </w:r>
            <w:r>
              <w:rPr>
                <w:rFonts w:ascii="宋体" w:hAnsi="宋体" w:cs="宋体" w:eastAsia="宋体" w:hint="default"/>
                <w:sz w:val="20"/>
                <w:szCs w:val="20"/>
              </w:rPr>
              <w:t>元；</w:t>
            </w:r>
            <w:r>
              <w:rPr>
                <w:rFonts w:ascii="宋体" w:hAnsi="宋体" w:cs="宋体" w:eastAsia="宋体" w:hint="default"/>
                <w:w w:val="100"/>
                <w:sz w:val="20"/>
                <w:szCs w:val="20"/>
              </w:rPr>
              <w:t> </w:t>
            </w:r>
            <w:r>
              <w:rPr>
                <w:rFonts w:ascii="宋体" w:hAnsi="宋体" w:cs="宋体" w:eastAsia="宋体" w:hint="default"/>
                <w:spacing w:val="-4"/>
                <w:w w:val="100"/>
                <w:sz w:val="20"/>
                <w:szCs w:val="20"/>
              </w:rPr>
              <w:t>调增“长期应付款”本期金额</w:t>
            </w:r>
            <w:r>
              <w:rPr>
                <w:rFonts w:ascii="宋体" w:hAnsi="宋体" w:cs="宋体" w:eastAsia="宋体" w:hint="default"/>
                <w:spacing w:val="-4"/>
                <w:w w:val="100"/>
                <w:sz w:val="20"/>
                <w:szCs w:val="20"/>
              </w:rPr>
              <w:t>44,071,700.00</w:t>
            </w:r>
            <w:r>
              <w:rPr>
                <w:rFonts w:ascii="宋体" w:hAnsi="宋体" w:cs="宋体" w:eastAsia="宋体" w:hint="default"/>
                <w:spacing w:val="-4"/>
                <w:w w:val="100"/>
                <w:sz w:val="20"/>
                <w:szCs w:val="20"/>
              </w:rPr>
              <w:t>元，上期金</w:t>
            </w:r>
            <w:r>
              <w:rPr>
                <w:rFonts w:ascii="宋体" w:hAnsi="宋体" w:cs="宋体" w:eastAsia="宋体" w:hint="default"/>
                <w:spacing w:val="-85"/>
                <w:w w:val="100"/>
                <w:sz w:val="20"/>
                <w:szCs w:val="20"/>
              </w:rPr>
              <w:t> </w:t>
            </w:r>
            <w:r>
              <w:rPr>
                <w:rFonts w:ascii="宋体" w:hAnsi="宋体" w:cs="宋体" w:eastAsia="宋体" w:hint="default"/>
                <w:spacing w:val="-85"/>
                <w:w w:val="100"/>
                <w:sz w:val="20"/>
                <w:szCs w:val="20"/>
              </w:rPr>
            </w:r>
            <w:r>
              <w:rPr>
                <w:rFonts w:ascii="宋体" w:hAnsi="宋体" w:cs="宋体" w:eastAsia="宋体" w:hint="default"/>
                <w:sz w:val="20"/>
                <w:szCs w:val="20"/>
              </w:rPr>
              <w:t>额</w:t>
            </w:r>
            <w:r>
              <w:rPr>
                <w:rFonts w:ascii="宋体" w:hAnsi="宋体" w:cs="宋体" w:eastAsia="宋体" w:hint="default"/>
                <w:sz w:val="20"/>
                <w:szCs w:val="20"/>
              </w:rPr>
              <w:t>43,321,700.00</w:t>
            </w:r>
            <w:r>
              <w:rPr>
                <w:rFonts w:ascii="宋体" w:hAnsi="宋体" w:cs="宋体" w:eastAsia="宋体" w:hint="default"/>
                <w:sz w:val="20"/>
                <w:szCs w:val="20"/>
              </w:rPr>
              <w:t>元。</w:t>
            </w:r>
          </w:p>
        </w:tc>
      </w:tr>
      <w:tr>
        <w:trPr>
          <w:trHeight w:val="1590" w:hRule="exact"/>
        </w:trPr>
        <w:tc>
          <w:tcPr>
            <w:tcW w:w="38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3"/>
              <w:jc w:val="both"/>
              <w:rPr>
                <w:rFonts w:ascii="宋体" w:hAnsi="宋体" w:cs="宋体" w:eastAsia="宋体" w:hint="default"/>
                <w:sz w:val="20"/>
                <w:szCs w:val="20"/>
              </w:rPr>
            </w:pPr>
            <w:r>
              <w:rPr>
                <w:rFonts w:ascii="宋体" w:hAnsi="宋体" w:cs="宋体" w:eastAsia="宋体" w:hint="default"/>
                <w:spacing w:val="-5"/>
                <w:sz w:val="20"/>
                <w:szCs w:val="20"/>
              </w:rPr>
              <w:t>（</w:t>
            </w:r>
            <w:r>
              <w:rPr>
                <w:rFonts w:ascii="宋体" w:hAnsi="宋体" w:cs="宋体" w:eastAsia="宋体" w:hint="default"/>
                <w:spacing w:val="-5"/>
                <w:sz w:val="20"/>
                <w:szCs w:val="20"/>
              </w:rPr>
              <w:t>2</w:t>
            </w:r>
            <w:r>
              <w:rPr>
                <w:rFonts w:ascii="宋体" w:hAnsi="宋体" w:cs="宋体" w:eastAsia="宋体" w:hint="default"/>
                <w:spacing w:val="-5"/>
                <w:sz w:val="20"/>
                <w:szCs w:val="20"/>
              </w:rPr>
              <w:t>）在利润表中新增“研发费用”项目，将</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原“管理费用”中的研发费用重分类至“研</w:t>
            </w:r>
            <w:r>
              <w:rPr>
                <w:rFonts w:ascii="宋体" w:hAnsi="宋体" w:cs="宋体" w:eastAsia="宋体" w:hint="default"/>
                <w:w w:val="100"/>
                <w:sz w:val="20"/>
                <w:szCs w:val="20"/>
              </w:rPr>
              <w:t> </w:t>
            </w:r>
            <w:r>
              <w:rPr>
                <w:rFonts w:ascii="宋体" w:hAnsi="宋体" w:cs="宋体" w:eastAsia="宋体" w:hint="default"/>
                <w:sz w:val="20"/>
                <w:szCs w:val="20"/>
              </w:rPr>
              <w:t>发费用”单独列示；在利润表中财务费用项</w:t>
            </w:r>
            <w:r>
              <w:rPr>
                <w:rFonts w:ascii="宋体" w:hAnsi="宋体" w:cs="宋体" w:eastAsia="宋体" w:hint="default"/>
                <w:w w:val="100"/>
                <w:sz w:val="20"/>
                <w:szCs w:val="20"/>
              </w:rPr>
              <w:t> </w:t>
            </w:r>
            <w:r>
              <w:rPr>
                <w:rFonts w:ascii="宋体" w:hAnsi="宋体" w:cs="宋体" w:eastAsia="宋体" w:hint="default"/>
                <w:sz w:val="20"/>
                <w:szCs w:val="20"/>
              </w:rPr>
              <w:t>下新增“其中：利息费用”和“利息收入”</w:t>
            </w:r>
            <w:r>
              <w:rPr>
                <w:rFonts w:ascii="宋体" w:hAnsi="宋体" w:cs="宋体" w:eastAsia="宋体" w:hint="default"/>
                <w:w w:val="100"/>
                <w:sz w:val="20"/>
                <w:szCs w:val="20"/>
              </w:rPr>
              <w:t> </w:t>
            </w:r>
            <w:r>
              <w:rPr>
                <w:rFonts w:ascii="宋体" w:hAnsi="宋体" w:cs="宋体" w:eastAsia="宋体" w:hint="default"/>
                <w:sz w:val="20"/>
                <w:szCs w:val="20"/>
              </w:rPr>
              <w:t>项目。比较数据相应调整。</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79"/>
              <w:jc w:val="both"/>
              <w:rPr>
                <w:rFonts w:ascii="宋体" w:hAnsi="宋体" w:cs="宋体" w:eastAsia="宋体" w:hint="default"/>
                <w:sz w:val="20"/>
                <w:szCs w:val="20"/>
              </w:rPr>
            </w:pPr>
            <w:r>
              <w:rPr>
                <w:rFonts w:ascii="宋体" w:hAnsi="宋体" w:cs="宋体" w:eastAsia="宋体" w:hint="default"/>
                <w:sz w:val="20"/>
                <w:szCs w:val="20"/>
              </w:rPr>
              <w:t>第八届董</w:t>
            </w:r>
            <w:r>
              <w:rPr>
                <w:rFonts w:ascii="宋体" w:hAnsi="宋体" w:cs="宋体" w:eastAsia="宋体" w:hint="default"/>
                <w:w w:val="100"/>
                <w:sz w:val="20"/>
                <w:szCs w:val="20"/>
              </w:rPr>
              <w:t> </w:t>
            </w:r>
            <w:r>
              <w:rPr>
                <w:rFonts w:ascii="宋体" w:hAnsi="宋体" w:cs="宋体" w:eastAsia="宋体" w:hint="default"/>
                <w:sz w:val="20"/>
                <w:szCs w:val="20"/>
              </w:rPr>
              <w:t>事会第二</w:t>
            </w:r>
            <w:r>
              <w:rPr>
                <w:rFonts w:ascii="宋体" w:hAnsi="宋体" w:cs="宋体" w:eastAsia="宋体" w:hint="default"/>
                <w:w w:val="100"/>
                <w:sz w:val="20"/>
                <w:szCs w:val="20"/>
              </w:rPr>
              <w:t> </w:t>
            </w:r>
            <w:r>
              <w:rPr>
                <w:rFonts w:ascii="宋体" w:hAnsi="宋体" w:cs="宋体" w:eastAsia="宋体" w:hint="default"/>
                <w:sz w:val="20"/>
                <w:szCs w:val="20"/>
              </w:rPr>
              <w:t>十二次会</w:t>
            </w:r>
            <w:r>
              <w:rPr>
                <w:rFonts w:ascii="宋体" w:hAnsi="宋体" w:cs="宋体" w:eastAsia="宋体" w:hint="default"/>
                <w:w w:val="100"/>
                <w:sz w:val="20"/>
                <w:szCs w:val="20"/>
              </w:rPr>
              <w:t> </w:t>
            </w:r>
            <w:r>
              <w:rPr>
                <w:rFonts w:ascii="宋体" w:hAnsi="宋体" w:cs="宋体" w:eastAsia="宋体" w:hint="default"/>
                <w:sz w:val="20"/>
                <w:szCs w:val="20"/>
              </w:rPr>
              <w:t>议</w:t>
            </w:r>
          </w:p>
        </w:tc>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 w:right="1"/>
              <w:jc w:val="left"/>
              <w:rPr>
                <w:rFonts w:ascii="宋体" w:hAnsi="宋体" w:cs="宋体" w:eastAsia="宋体" w:hint="default"/>
                <w:sz w:val="20"/>
                <w:szCs w:val="20"/>
              </w:rPr>
            </w:pPr>
            <w:r>
              <w:rPr>
                <w:rFonts w:ascii="宋体" w:hAnsi="宋体" w:cs="宋体" w:eastAsia="宋体" w:hint="default"/>
                <w:spacing w:val="-4"/>
                <w:w w:val="100"/>
                <w:sz w:val="20"/>
                <w:szCs w:val="20"/>
              </w:rPr>
              <w:t>调减“管理费用”本期金额</w:t>
            </w:r>
            <w:r>
              <w:rPr>
                <w:rFonts w:ascii="宋体" w:hAnsi="宋体" w:cs="宋体" w:eastAsia="宋体" w:hint="default"/>
                <w:spacing w:val="-4"/>
                <w:w w:val="100"/>
                <w:sz w:val="20"/>
                <w:szCs w:val="20"/>
              </w:rPr>
              <w:t>23,710,226.79</w:t>
            </w:r>
            <w:r>
              <w:rPr>
                <w:rFonts w:ascii="宋体" w:hAnsi="宋体" w:cs="宋体" w:eastAsia="宋体" w:hint="default"/>
                <w:spacing w:val="-4"/>
                <w:w w:val="100"/>
                <w:sz w:val="20"/>
                <w:szCs w:val="20"/>
              </w:rPr>
              <w:t>元，上期金额</w:t>
            </w:r>
            <w:r>
              <w:rPr>
                <w:rFonts w:ascii="宋体" w:hAnsi="宋体" w:cs="宋体" w:eastAsia="宋体" w:hint="default"/>
                <w:spacing w:val="-85"/>
                <w:w w:val="100"/>
                <w:sz w:val="20"/>
                <w:szCs w:val="20"/>
              </w:rPr>
              <w:t> </w:t>
            </w:r>
            <w:r>
              <w:rPr>
                <w:rFonts w:ascii="宋体" w:hAnsi="宋体" w:cs="宋体" w:eastAsia="宋体" w:hint="default"/>
                <w:spacing w:val="-85"/>
                <w:w w:val="100"/>
                <w:sz w:val="20"/>
                <w:szCs w:val="20"/>
              </w:rPr>
            </w:r>
            <w:r>
              <w:rPr>
                <w:rFonts w:ascii="宋体" w:hAnsi="宋体" w:cs="宋体" w:eastAsia="宋体" w:hint="default"/>
                <w:sz w:val="20"/>
                <w:szCs w:val="20"/>
              </w:rPr>
              <w:t>71,983,983.88</w:t>
            </w:r>
            <w:r>
              <w:rPr>
                <w:rFonts w:ascii="宋体" w:hAnsi="宋体" w:cs="宋体" w:eastAsia="宋体" w:hint="default"/>
                <w:sz w:val="20"/>
                <w:szCs w:val="20"/>
              </w:rPr>
              <w:t>元，重分类至“研发费用”。</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重要会计估计变更" w:id="238"/>
      <w:bookmarkEnd w:id="238"/>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39"/>
      <w:bookmarkEnd w:id="23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40"/>
      <w:bookmarkEnd w:id="240"/>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41"/>
      <w:bookmarkEnd w:id="241"/>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28"/>
        <w:gridCol w:w="4852"/>
        <w:gridCol w:w="3190"/>
      </w:tblGrid>
      <w:tr>
        <w:trPr>
          <w:trHeight w:val="40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4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6"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按税法规定计算的销售货物和应税劳务收入为基础计算销项 </w:t>
            </w:r>
            <w:r>
              <w:rPr>
                <w:rFonts w:ascii="宋体" w:hAnsi="宋体" w:cs="宋体" w:eastAsia="宋体" w:hint="default"/>
                <w:spacing w:val="-3"/>
                <w:sz w:val="18"/>
                <w:szCs w:val="18"/>
              </w:rPr>
              <w:t>税额，在扣除当期允许抵扣的进项税额后，差额部分为应交增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2" w:hRule="exact"/>
        </w:trPr>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4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按转让房地产所取得的增值额和规定的税率计缴</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45"/>
              <w:jc w:val="right"/>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68"/>
              <w:jc w:val="righ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北京大唐高鸿数据网络技术有限公司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江苏高鸿鼎恒信息技术有限公司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北京高阳捷迅信息技术有限公司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高鸿恒昌科技有限公司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大唐高鸿济宁电子信息技术有限公司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大唐融合通信股份有限公司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大唐高鸿信息通信研究院（义乌）有限公司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北京大唐高鸿软件技术有限公司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贵州大唐高鸿置业有限公司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42"/>
      <w:bookmarkEnd w:id="24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7" w:right="0"/>
        <w:jc w:val="left"/>
      </w:pPr>
      <w:r>
        <w:rPr/>
        <w:t>（</w:t>
      </w:r>
      <w:r>
        <w:rPr>
          <w:rFonts w:ascii="宋体" w:hAnsi="宋体" w:cs="宋体" w:eastAsia="宋体" w:hint="default"/>
        </w:rPr>
        <w:t>1</w:t>
      </w:r>
      <w:r>
        <w:rPr/>
        <w:t>）、增值税优惠 根据国务院国发</w:t>
      </w:r>
      <w:r>
        <w:rPr>
          <w:rFonts w:ascii="宋体" w:hAnsi="宋体" w:cs="宋体" w:eastAsia="宋体" w:hint="default"/>
        </w:rPr>
        <w:t>[2011]4</w:t>
      </w:r>
      <w:r>
        <w:rPr/>
        <w:t>号文件《国务院关于印发进一步鼓励软件产业和集成电路产业发展若干政策</w:t>
      </w:r>
    </w:p>
    <w:p>
      <w:pPr>
        <w:pStyle w:val="BodyText"/>
        <w:spacing w:line="273" w:lineRule="auto" w:before="8"/>
        <w:ind w:right="1127"/>
        <w:jc w:val="both"/>
      </w:pPr>
      <w:r>
        <w:rPr/>
        <w:t>的通知》的规定，对增值税一般纳税人销售其自行开发生产的软件产品，自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日起按</w:t>
      </w:r>
      <w:r>
        <w:rPr>
          <w:rFonts w:ascii="宋体" w:hAnsi="宋体" w:cs="宋体" w:eastAsia="宋体" w:hint="default"/>
        </w:rPr>
        <w:t>17%</w:t>
      </w:r>
      <w:r>
        <w:rPr/>
        <w:t>的法定</w:t>
      </w:r>
      <w:r>
        <w:rPr>
          <w:spacing w:val="-25"/>
        </w:rPr>
        <w:t> </w:t>
      </w:r>
      <w:r>
        <w:rPr>
          <w:spacing w:val="-1"/>
        </w:rPr>
        <w:t>税率征收增值税，对实际税负超过</w:t>
      </w:r>
      <w:r>
        <w:rPr>
          <w:rFonts w:ascii="宋体" w:hAnsi="宋体" w:cs="宋体" w:eastAsia="宋体" w:hint="default"/>
          <w:spacing w:val="-1"/>
        </w:rPr>
        <w:t>3%</w:t>
      </w:r>
      <w:r>
        <w:rPr>
          <w:spacing w:val="-1"/>
        </w:rPr>
        <w:t>的部分即征即退。大唐融合通信股份有限公司、大唐融合通信无锡有</w:t>
      </w:r>
      <w:r>
        <w:rPr>
          <w:spacing w:val="-85"/>
        </w:rPr>
        <w:t> </w:t>
      </w:r>
      <w:r>
        <w:rPr>
          <w:spacing w:val="-85"/>
        </w:rPr>
      </w:r>
      <w:r>
        <w:rPr>
          <w:spacing w:val="-1"/>
        </w:rPr>
        <w:t>限公司、北京大唐高鸿软件技术有限公司、北京高阳捷迅信息技术有限公司、大唐广电科技（武汉）有限</w:t>
      </w:r>
      <w:r>
        <w:rPr>
          <w:spacing w:val="-83"/>
        </w:rPr>
        <w:t> </w:t>
      </w:r>
      <w:r>
        <w:rPr>
          <w:spacing w:val="-83"/>
        </w:rPr>
      </w:r>
      <w:r>
        <w:rPr/>
        <w:t>公司享受上述优惠政策。</w:t>
      </w:r>
    </w:p>
    <w:p>
      <w:pPr>
        <w:pStyle w:val="BodyText"/>
        <w:spacing w:line="273" w:lineRule="auto"/>
        <w:ind w:left="577" w:right="0"/>
        <w:jc w:val="left"/>
      </w:pPr>
      <w:r>
        <w:rPr/>
        <w:t>（</w:t>
      </w:r>
      <w:r>
        <w:rPr>
          <w:rFonts w:ascii="宋体" w:hAnsi="宋体" w:cs="宋体" w:eastAsia="宋体" w:hint="default"/>
        </w:rPr>
        <w:t>2</w:t>
      </w:r>
      <w:r>
        <w:rPr/>
        <w:t>）、企业所得税优惠 大唐融合通信股份有限公司于</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10</w:t>
      </w:r>
      <w:r>
        <w:rPr/>
        <w:t>日取得了编号为</w:t>
      </w:r>
      <w:r>
        <w:rPr>
          <w:rFonts w:ascii="宋体" w:hAnsi="宋体" w:cs="宋体" w:eastAsia="宋体" w:hint="default"/>
        </w:rPr>
        <w:t>GR201811002054</w:t>
      </w:r>
      <w:r>
        <w:rPr/>
        <w:t>的高新技术企业证书，有</w:t>
      </w:r>
    </w:p>
    <w:p>
      <w:pPr>
        <w:pStyle w:val="BodyText"/>
        <w:spacing w:line="273" w:lineRule="auto"/>
        <w:ind w:left="577" w:right="0" w:hanging="424"/>
        <w:jc w:val="left"/>
      </w:pPr>
      <w:r>
        <w:rPr/>
        <w:t>效期三年，</w:t>
      </w:r>
      <w:r>
        <w:rPr>
          <w:rFonts w:ascii="宋体" w:hAnsi="宋体" w:cs="宋体" w:eastAsia="宋体" w:hint="default"/>
        </w:rPr>
        <w:t>2018</w:t>
      </w:r>
      <w:r>
        <w:rPr/>
        <w:t>年至</w:t>
      </w:r>
      <w:r>
        <w:rPr>
          <w:rFonts w:ascii="宋体" w:hAnsi="宋体" w:cs="宋体" w:eastAsia="宋体" w:hint="default"/>
        </w:rPr>
        <w:t>2020</w:t>
      </w:r>
      <w:r>
        <w:rPr/>
        <w:t>年所得税减按</w:t>
      </w:r>
      <w:r>
        <w:rPr>
          <w:rFonts w:ascii="宋体" w:hAnsi="宋体" w:cs="宋体" w:eastAsia="宋体" w:hint="default"/>
        </w:rPr>
        <w:t>15%</w:t>
      </w:r>
      <w:r>
        <w:rPr/>
        <w:t>计征。 北京大唐高鸿数据网络技术有限公司于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6</w:t>
      </w:r>
      <w:r>
        <w:rPr/>
        <w:t>日取得了编号为</w:t>
      </w:r>
      <w:r>
        <w:rPr>
          <w:rFonts w:ascii="宋体" w:hAnsi="宋体" w:cs="宋体" w:eastAsia="宋体" w:hint="default"/>
        </w:rPr>
        <w:t>GR201711008497</w:t>
      </w:r>
      <w:r>
        <w:rPr/>
        <w:t>的高新技术企业</w:t>
      </w:r>
    </w:p>
    <w:p>
      <w:pPr>
        <w:pStyle w:val="BodyText"/>
        <w:spacing w:line="273" w:lineRule="auto"/>
        <w:ind w:left="577" w:right="0" w:hanging="424"/>
        <w:jc w:val="left"/>
      </w:pPr>
      <w:r>
        <w:rPr/>
        <w:t>证书，有效期三年，</w:t>
      </w:r>
      <w:r>
        <w:rPr>
          <w:rFonts w:ascii="宋体" w:hAnsi="宋体" w:cs="宋体" w:eastAsia="宋体" w:hint="default"/>
        </w:rPr>
        <w:t>2017</w:t>
      </w:r>
      <w:r>
        <w:rPr/>
        <w:t>年至</w:t>
      </w:r>
      <w:r>
        <w:rPr>
          <w:rFonts w:ascii="宋体" w:hAnsi="宋体" w:cs="宋体" w:eastAsia="宋体" w:hint="default"/>
        </w:rPr>
        <w:t>2019</w:t>
      </w:r>
      <w:r>
        <w:rPr/>
        <w:t>年所得税减按</w:t>
      </w:r>
      <w:r>
        <w:rPr>
          <w:rFonts w:ascii="宋体" w:hAnsi="宋体" w:cs="宋体" w:eastAsia="宋体" w:hint="default"/>
        </w:rPr>
        <w:t>15%</w:t>
      </w:r>
      <w:r>
        <w:rPr/>
        <w:t>计征。 </w:t>
      </w:r>
      <w:r>
        <w:rPr>
          <w:spacing w:val="2"/>
        </w:rPr>
        <w:t>北京大唐高鸿软件技术有限公司于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日取得了编号为</w:t>
      </w:r>
      <w:r>
        <w:rPr>
          <w:rFonts w:ascii="宋体" w:hAnsi="宋体" w:cs="宋体" w:eastAsia="宋体" w:hint="default"/>
          <w:spacing w:val="2"/>
        </w:rPr>
        <w:t>GR201711003489</w:t>
      </w:r>
      <w:r>
        <w:rPr>
          <w:spacing w:val="2"/>
        </w:rPr>
        <w:t>的高新技术企业证</w:t>
      </w:r>
    </w:p>
    <w:p>
      <w:pPr>
        <w:pStyle w:val="BodyText"/>
        <w:spacing w:line="273" w:lineRule="auto"/>
        <w:ind w:left="577" w:right="0" w:hanging="424"/>
        <w:jc w:val="left"/>
      </w:pPr>
      <w:r>
        <w:rPr/>
        <w:t>书，有效期三年，</w:t>
      </w:r>
      <w:r>
        <w:rPr>
          <w:rFonts w:ascii="宋体" w:hAnsi="宋体" w:cs="宋体" w:eastAsia="宋体" w:hint="default"/>
        </w:rPr>
        <w:t>2017</w:t>
      </w:r>
      <w:r>
        <w:rPr/>
        <w:t>年至</w:t>
      </w:r>
      <w:r>
        <w:rPr>
          <w:rFonts w:ascii="宋体" w:hAnsi="宋体" w:cs="宋体" w:eastAsia="宋体" w:hint="default"/>
        </w:rPr>
        <w:t>2019</w:t>
      </w:r>
      <w:r>
        <w:rPr/>
        <w:t>年所得税减按</w:t>
      </w:r>
      <w:r>
        <w:rPr>
          <w:rFonts w:ascii="宋体" w:hAnsi="宋体" w:cs="宋体" w:eastAsia="宋体" w:hint="default"/>
        </w:rPr>
        <w:t>15%</w:t>
      </w:r>
      <w:r>
        <w:rPr/>
        <w:t>计征。 </w:t>
      </w:r>
      <w:r>
        <w:rPr>
          <w:spacing w:val="2"/>
        </w:rPr>
        <w:t>北京高阳捷迅信息技术有限公司于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日取得了编号为</w:t>
      </w:r>
      <w:r>
        <w:rPr>
          <w:rFonts w:ascii="宋体" w:hAnsi="宋体" w:cs="宋体" w:eastAsia="宋体" w:hint="default"/>
          <w:spacing w:val="2"/>
        </w:rPr>
        <w:t>GR201711002099</w:t>
      </w:r>
      <w:r>
        <w:rPr>
          <w:spacing w:val="2"/>
        </w:rPr>
        <w:t>的高新技术企业证</w:t>
      </w:r>
    </w:p>
    <w:p>
      <w:pPr>
        <w:pStyle w:val="BodyText"/>
        <w:spacing w:line="273" w:lineRule="auto"/>
        <w:ind w:left="577" w:right="0" w:hanging="424"/>
        <w:jc w:val="left"/>
      </w:pPr>
      <w:r>
        <w:rPr/>
        <w:t>书，有效期三年，</w:t>
      </w:r>
      <w:r>
        <w:rPr>
          <w:rFonts w:ascii="宋体" w:hAnsi="宋体" w:cs="宋体" w:eastAsia="宋体" w:hint="default"/>
        </w:rPr>
        <w:t>2017</w:t>
      </w:r>
      <w:r>
        <w:rPr/>
        <w:t>年至</w:t>
      </w:r>
      <w:r>
        <w:rPr>
          <w:rFonts w:ascii="宋体" w:hAnsi="宋体" w:cs="宋体" w:eastAsia="宋体" w:hint="default"/>
        </w:rPr>
        <w:t>2019</w:t>
      </w:r>
      <w:r>
        <w:rPr/>
        <w:t>年所得税减按</w:t>
      </w:r>
      <w:r>
        <w:rPr>
          <w:rFonts w:ascii="宋体" w:hAnsi="宋体" w:cs="宋体" w:eastAsia="宋体" w:hint="default"/>
        </w:rPr>
        <w:t>15%</w:t>
      </w:r>
      <w:r>
        <w:rPr/>
        <w:t>计征。 根据财税</w:t>
      </w:r>
      <w:r>
        <w:rPr>
          <w:rFonts w:ascii="宋体" w:hAnsi="宋体" w:cs="宋体" w:eastAsia="宋体" w:hint="default"/>
        </w:rPr>
        <w:t>[2008]1</w:t>
      </w:r>
      <w:r>
        <w:rPr/>
        <w:t>号文件《关于企业所得税若干优惠政策的通知》的规定，软件生产企业实行增值税</w:t>
      </w:r>
    </w:p>
    <w:p>
      <w:pPr>
        <w:pStyle w:val="BodyText"/>
        <w:spacing w:line="273" w:lineRule="auto"/>
        <w:ind w:right="0"/>
        <w:jc w:val="left"/>
      </w:pPr>
      <w:r>
        <w:rPr/>
        <w:t>即征即退政策所退还的税款，由企业用于研究开发软件产品和扩大再生产，不作为企业所得税应税收入，</w:t>
      </w:r>
      <w:r>
        <w:rPr>
          <w:spacing w:val="-35"/>
        </w:rPr>
        <w:t> </w:t>
      </w:r>
      <w:r>
        <w:rPr>
          <w:spacing w:val="-35"/>
        </w:rPr>
      </w:r>
      <w:r>
        <w:rPr/>
        <w:t>不予征收企业所得税；我国境内新办软件生产企业经认定后，自获利年度起，第一年和第二年免征企业所</w:t>
      </w:r>
      <w:r>
        <w:rPr/>
        <w:t> 得税，第三年至第五年减半征收企业所得税。</w:t>
      </w:r>
    </w:p>
    <w:p>
      <w:pPr>
        <w:pStyle w:val="BodyText"/>
        <w:spacing w:line="273" w:lineRule="auto"/>
        <w:ind w:right="1028" w:firstLine="423"/>
        <w:jc w:val="left"/>
      </w:pPr>
      <w:r>
        <w:rPr/>
        <w:t>大唐融合通信无锡有限公司于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24</w:t>
      </w:r>
      <w:r>
        <w:rPr/>
        <w:t>日取得由江苏省经济和信息化委员会颁发的证书编号为苏 </w:t>
      </w:r>
      <w:r>
        <w:rPr>
          <w:rFonts w:ascii="宋体" w:hAnsi="宋体" w:cs="宋体" w:eastAsia="宋体" w:hint="default"/>
        </w:rPr>
        <w:t>R-2014-B0043</w:t>
      </w:r>
      <w:r>
        <w:rPr/>
        <w:t>的软件企业认定证书。</w:t>
      </w:r>
      <w:r>
        <w:rPr>
          <w:rFonts w:ascii="宋体" w:hAnsi="宋体" w:cs="宋体" w:eastAsia="宋体" w:hint="default"/>
        </w:rPr>
        <w:t>2014</w:t>
      </w:r>
      <w:r>
        <w:rPr/>
        <w:t>年属于获利年度起的第一年，</w:t>
      </w:r>
      <w:r>
        <w:rPr>
          <w:rFonts w:ascii="宋体" w:hAnsi="宋体" w:cs="宋体" w:eastAsia="宋体" w:hint="default"/>
        </w:rPr>
        <w:t>2014</w:t>
      </w:r>
      <w:r>
        <w:rPr/>
        <w:t>年、</w:t>
      </w:r>
      <w:r>
        <w:rPr>
          <w:rFonts w:ascii="宋体" w:hAnsi="宋体" w:cs="宋体" w:eastAsia="宋体" w:hint="default"/>
        </w:rPr>
        <w:t>2015</w:t>
      </w:r>
      <w:r>
        <w:rPr/>
        <w:t>年免征企业所得税，</w:t>
      </w:r>
      <w:r>
        <w:rPr>
          <w:spacing w:val="-34"/>
        </w:rPr>
        <w:t> </w:t>
      </w:r>
      <w:r>
        <w:rPr>
          <w:spacing w:val="-34"/>
        </w:rPr>
      </w:r>
      <w:r>
        <w:rPr>
          <w:rFonts w:ascii="宋体" w:hAnsi="宋体" w:cs="宋体" w:eastAsia="宋体" w:hint="default"/>
        </w:rPr>
        <w:t>2016</w:t>
      </w:r>
      <w:r>
        <w:rPr/>
        <w:t>年度至</w:t>
      </w:r>
      <w:r>
        <w:rPr>
          <w:rFonts w:ascii="宋体" w:hAnsi="宋体" w:cs="宋体" w:eastAsia="宋体" w:hint="default"/>
        </w:rPr>
        <w:t>2018</w:t>
      </w:r>
      <w:r>
        <w:rPr/>
        <w:t>年度减半征收企业所得税。</w:t>
      </w:r>
    </w:p>
    <w:p>
      <w:pPr>
        <w:pStyle w:val="BodyText"/>
        <w:spacing w:line="273" w:lineRule="auto"/>
        <w:ind w:right="1028" w:firstLine="423"/>
        <w:jc w:val="left"/>
      </w:pPr>
      <w:r>
        <w:rPr>
          <w:spacing w:val="5"/>
        </w:rPr>
        <w:t>大唐广电科技（武汉）有限公司于</w:t>
      </w:r>
      <w:r>
        <w:rPr>
          <w:rFonts w:ascii="宋体" w:hAnsi="宋体" w:cs="宋体" w:eastAsia="宋体" w:hint="default"/>
          <w:spacing w:val="5"/>
        </w:rPr>
        <w:t>2017</w:t>
      </w:r>
      <w:r>
        <w:rPr>
          <w:spacing w:val="5"/>
        </w:rPr>
        <w:t>年</w:t>
      </w:r>
      <w:r>
        <w:rPr>
          <w:rFonts w:ascii="宋体" w:hAnsi="宋体" w:cs="宋体" w:eastAsia="宋体" w:hint="default"/>
          <w:spacing w:val="5"/>
        </w:rPr>
        <w:t>3</w:t>
      </w:r>
      <w:r>
        <w:rPr>
          <w:spacing w:val="5"/>
        </w:rPr>
        <w:t>月</w:t>
      </w:r>
      <w:r>
        <w:rPr>
          <w:rFonts w:ascii="宋体" w:hAnsi="宋体" w:cs="宋体" w:eastAsia="宋体" w:hint="default"/>
          <w:spacing w:val="5"/>
        </w:rPr>
        <w:t>25</w:t>
      </w:r>
      <w:r>
        <w:rPr>
          <w:spacing w:val="5"/>
        </w:rPr>
        <w:t>日取得由湖北省软件行业协会颁发的证书编号为鄂</w:t>
      </w:r>
      <w:r>
        <w:rPr/>
        <w:t> </w:t>
      </w:r>
      <w:r>
        <w:rPr>
          <w:rFonts w:ascii="宋体" w:hAnsi="宋体" w:cs="宋体" w:eastAsia="宋体" w:hint="default"/>
        </w:rPr>
        <w:t>RQ-2017-0031</w:t>
      </w:r>
      <w:r>
        <w:rPr/>
        <w:t>的软件企业认定证书。</w:t>
      </w:r>
      <w:r>
        <w:rPr>
          <w:rFonts w:ascii="宋体" w:hAnsi="宋体" w:cs="宋体" w:eastAsia="宋体" w:hint="default"/>
        </w:rPr>
        <w:t>2017</w:t>
      </w:r>
      <w:r>
        <w:rPr/>
        <w:t>年属于获利年度起的第一年，</w:t>
      </w:r>
      <w:r>
        <w:rPr>
          <w:rFonts w:ascii="宋体" w:hAnsi="宋体" w:cs="宋体" w:eastAsia="宋体" w:hint="default"/>
        </w:rPr>
        <w:t>2017</w:t>
      </w:r>
      <w:r>
        <w:rPr/>
        <w:t>年、</w:t>
      </w:r>
      <w:r>
        <w:rPr>
          <w:rFonts w:ascii="宋体" w:hAnsi="宋体" w:cs="宋体" w:eastAsia="宋体" w:hint="default"/>
        </w:rPr>
        <w:t>2018</w:t>
      </w:r>
      <w:r>
        <w:rPr/>
        <w:t>年免征企业所得税，</w:t>
      </w:r>
      <w:r>
        <w:rPr>
          <w:spacing w:val="-34"/>
        </w:rPr>
        <w:t> </w:t>
      </w:r>
      <w:r>
        <w:rPr>
          <w:spacing w:val="-34"/>
        </w:rPr>
      </w:r>
      <w:r>
        <w:rPr>
          <w:rFonts w:ascii="宋体" w:hAnsi="宋体" w:cs="宋体" w:eastAsia="宋体" w:hint="default"/>
        </w:rPr>
        <w:t>2019</w:t>
      </w:r>
      <w:r>
        <w:rPr/>
        <w:t>年度至</w:t>
      </w:r>
      <w:r>
        <w:rPr>
          <w:rFonts w:ascii="宋体" w:hAnsi="宋体" w:cs="宋体" w:eastAsia="宋体" w:hint="default"/>
        </w:rPr>
        <w:t>2021</w:t>
      </w:r>
      <w:r>
        <w:rPr/>
        <w:t>年度减半征收企业所得税。</w:t>
      </w:r>
    </w:p>
    <w:p>
      <w:pPr>
        <w:spacing w:after="0" w:line="273"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243"/>
      <w:bookmarkEnd w:id="2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44"/>
      <w:bookmarkEnd w:id="244"/>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45"/>
      <w:bookmarkEnd w:id="24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284,581.79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295,972.66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1,672,064,870.74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1,940,871,961.19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36,679,303.72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43,979,325.48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1,709,028,756.25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1,985,147,259.33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868" w:right="0"/>
        <w:jc w:val="left"/>
      </w:pPr>
      <w:r>
        <w:rPr/>
        <w:t>其中受到限制的货币资金明细如下：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080"/>
        <w:gridCol w:w="2790"/>
        <w:gridCol w:w="2789"/>
      </w:tblGrid>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830"/>
              <w:jc w:val="right"/>
              <w:rPr>
                <w:rFonts w:ascii="宋体" w:hAnsi="宋体" w:cs="宋体" w:eastAsia="宋体" w:hint="default"/>
                <w:sz w:val="20"/>
                <w:szCs w:val="20"/>
              </w:rPr>
            </w:pPr>
            <w:r>
              <w:rPr>
                <w:rFonts w:ascii="宋体" w:hAnsi="宋体" w:cs="宋体" w:eastAsia="宋体" w:hint="default"/>
                <w:sz w:val="20"/>
                <w:szCs w:val="20"/>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银行承兑汇票保证金</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1,550,121.00</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895,323.50</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保函保证金</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21,972,534.58</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7,594,256.54</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履约保证金</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2,687,518.00</w:t>
            </w:r>
          </w:p>
        </w:tc>
      </w:tr>
      <w:tr>
        <w:trPr>
          <w:trHeight w:val="347"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z w:val="20"/>
              </w:rPr>
              <w:t>600.00</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z w:val="20"/>
              </w:rPr>
              <w:t>600.00</w:t>
            </w:r>
          </w:p>
        </w:tc>
      </w:tr>
      <w:tr>
        <w:trPr>
          <w:trHeight w:val="348" w:hRule="exact"/>
        </w:trPr>
        <w:tc>
          <w:tcPr>
            <w:tcW w:w="4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830"/>
              <w:jc w:val="right"/>
              <w:rPr>
                <w:rFonts w:ascii="宋体" w:hAnsi="宋体" w:cs="宋体" w:eastAsia="宋体" w:hint="default"/>
                <w:sz w:val="20"/>
                <w:szCs w:val="20"/>
              </w:rPr>
            </w:pPr>
            <w:r>
              <w:rPr>
                <w:rFonts w:ascii="宋体" w:hAnsi="宋体" w:cs="宋体" w:eastAsia="宋体" w:hint="default"/>
                <w:sz w:val="20"/>
                <w:szCs w:val="20"/>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23,523,255.58</w:t>
            </w:r>
          </w:p>
        </w:tc>
        <w:tc>
          <w:tcPr>
            <w:tcW w:w="2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11,177,698.04</w:t>
            </w:r>
          </w:p>
        </w:tc>
      </w:tr>
    </w:tbl>
    <w:p>
      <w:pPr>
        <w:pStyle w:val="BodyText"/>
        <w:spacing w:line="260" w:lineRule="exact" w:before="0"/>
        <w:ind w:left="868" w:right="0"/>
        <w:jc w:val="left"/>
      </w:pPr>
      <w:r>
        <w:rPr/>
        <w:t>存放在关联金融企业的款项情况如下：</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561"/>
        <w:gridCol w:w="2548"/>
        <w:gridCol w:w="2550"/>
      </w:tblGrid>
      <w:tr>
        <w:trPr>
          <w:trHeight w:val="347" w:hRule="exact"/>
        </w:trPr>
        <w:tc>
          <w:tcPr>
            <w:tcW w:w="4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关联金融企业名称</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年初余额</w:t>
            </w:r>
          </w:p>
        </w:tc>
      </w:tr>
      <w:tr>
        <w:trPr>
          <w:trHeight w:val="347" w:hRule="exact"/>
        </w:trPr>
        <w:tc>
          <w:tcPr>
            <w:tcW w:w="4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426,025,380.78</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591,640,361.66</w:t>
            </w:r>
          </w:p>
        </w:tc>
      </w:tr>
      <w:tr>
        <w:trPr>
          <w:trHeight w:val="348" w:hRule="exact"/>
        </w:trPr>
        <w:tc>
          <w:tcPr>
            <w:tcW w:w="4561" w:type="dxa"/>
            <w:tcBorders>
              <w:top w:val="single" w:sz="6" w:space="0" w:color="000000"/>
              <w:left w:val="single" w:sz="6" w:space="0" w:color="000000"/>
              <w:bottom w:val="single" w:sz="6" w:space="0" w:color="000000"/>
              <w:right w:val="single" w:sz="6" w:space="0" w:color="000000"/>
            </w:tcBorders>
          </w:tcPr>
          <w:p>
            <w:pPr>
              <w:pStyle w:val="TableParagraph"/>
              <w:tabs>
                <w:tab w:pos="400" w:val="left" w:leader="none"/>
              </w:tabs>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合</w:t>
              <w:tab/>
              <w:t>计</w:t>
            </w: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宋体"/>
                <w:spacing w:val="-1"/>
                <w:sz w:val="20"/>
              </w:rPr>
              <w:t>426,025,380.78</w:t>
            </w:r>
          </w:p>
        </w:tc>
        <w:tc>
          <w:tcPr>
            <w:tcW w:w="2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20"/>
                <w:szCs w:val="20"/>
              </w:rPr>
            </w:pPr>
            <w:r>
              <w:rPr>
                <w:rFonts w:ascii="宋体"/>
                <w:spacing w:val="-1"/>
                <w:sz w:val="20"/>
              </w:rPr>
              <w:t>591,640,361.66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before="35"/>
        <w:ind w:right="0"/>
        <w:jc w:val="left"/>
        <w:rPr>
          <w:b w:val="0"/>
          <w:bCs w:val="0"/>
        </w:rPr>
      </w:pPr>
      <w:bookmarkStart w:name="2、以公允价值计量且其变动计入当期损益的金融资产" w:id="246"/>
      <w:bookmarkEnd w:id="246"/>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47"/>
      <w:bookmarkEnd w:id="24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48"/>
      <w:bookmarkEnd w:id="248"/>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145,131,933.63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9,949,443.00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1,638,774,920.72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992,534,725.19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1,783,906,854.35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1,002,484,168.19</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49"/>
      <w:bookmarkEnd w:id="24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11,106,219.50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9,949,443.00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134,025,714.13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145,131,933.63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9,949,443.00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8,959,000.00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36,235,620.87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45,194,620.87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250"/>
      <w:bookmarkEnd w:id="25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2,643,21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2,643,21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3,786,8</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03.65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0.36%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3,786,803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1,703,81</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5,900.09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65,040,9</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79.37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1,638,774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,920.72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84,117.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43,649,39</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992,534,72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5.19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3,054,06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3,054,06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1,700,1</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31.07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1,700,131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1,709,51</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3,180.22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70,738,2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1,638,774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,920.72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71,052.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49,136,32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7.08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992,534,72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5.19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62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上海京联信息科技有限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香河大唐高氏产业总部 基地开发有限公司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1,444,217.00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1,444,217.00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2,643,217.00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2,643,217.00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8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1,306,672,864.62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6,533,364.30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1,306,672,864.62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6,533,364.30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193,424,452.27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3,868,489.06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137,444,196.68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13,744,419.67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66,274,386.52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40,894,706.34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25,250,683.40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7,575,205.02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15,408,403.60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7,704,201.80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25,615,299.52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25,615,299.52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1,703,815,900.09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65,040,979.37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before="2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组合中，采用其他方法计提坏账准备的应收账款：</w:t>
      </w:r>
    </w:p>
    <w:p>
      <w:pPr>
        <w:pStyle w:val="BodyText"/>
        <w:spacing w:line="240" w:lineRule="auto" w:before="89"/>
        <w:ind w:right="0"/>
        <w:jc w:val="left"/>
      </w:pPr>
      <w:r>
        <w:rPr/>
        <w:t>期末单项金额虽不重大但单项计提坏账准备的应收账款</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458"/>
        <w:gridCol w:w="1455"/>
        <w:gridCol w:w="1468"/>
        <w:gridCol w:w="1604"/>
        <w:gridCol w:w="1675"/>
      </w:tblGrid>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01"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06"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48"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计提理由</w:t>
            </w:r>
          </w:p>
        </w:tc>
      </w:tr>
      <w:tr>
        <w:trPr>
          <w:trHeight w:val="348"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陕西高鸿恒昌科技有限公司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657,678.72</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657,678.72</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北京裕源大通科技股份有限公司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642,287.00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642,287.00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重庆三山电脑有限公司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627,050.40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627,050.40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广州市高鸿网络技术有限公司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594,122.00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594,122.00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东峡大通</w:t>
            </w:r>
            <w:r>
              <w:rPr>
                <w:rFonts w:ascii="Times New Roman" w:hAnsi="Times New Roman" w:cs="Times New Roman" w:eastAsia="Times New Roman" w:hint="default"/>
                <w:sz w:val="16"/>
                <w:szCs w:val="16"/>
              </w:rPr>
              <w:t>(</w:t>
            </w:r>
            <w:r>
              <w:rPr>
                <w:rFonts w:ascii="宋体" w:hAnsi="宋体" w:cs="宋体" w:eastAsia="宋体" w:hint="default"/>
                <w:sz w:val="16"/>
                <w:szCs w:val="16"/>
              </w:rPr>
              <w:t>北京</w:t>
            </w:r>
            <w:r>
              <w:rPr>
                <w:rFonts w:ascii="Times New Roman" w:hAnsi="Times New Roman" w:cs="Times New Roman" w:eastAsia="Times New Roman" w:hint="default"/>
                <w:sz w:val="16"/>
                <w:szCs w:val="16"/>
              </w:rPr>
              <w:t>)</w:t>
            </w:r>
            <w:r>
              <w:rPr>
                <w:rFonts w:ascii="宋体" w:hAnsi="宋体" w:cs="宋体" w:eastAsia="宋体" w:hint="default"/>
                <w:sz w:val="16"/>
                <w:szCs w:val="16"/>
              </w:rPr>
              <w:t>管理咨询有限公司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300,000.00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300,000.00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江苏纳海信息科技有限公司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125,000.00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125,000.00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8"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北京迈科长远科技有限公司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48,970.00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48,970.00</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陕西凯文斯信息技术有限公司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40,000.00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40,000.00</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大连中拓电子科技有限公司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9,250.00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9,250.00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新疆立诚信息咨询服务有限公司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6,830.00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6,830.00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上海通商网络软件技术有限公司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1,575.01</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1,575.01</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北京声望华胜科技有限公司</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1,300.00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1,300.00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8" w:hRule="exact"/>
        </w:trPr>
        <w:tc>
          <w:tcPr>
            <w:tcW w:w="3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3,054,063.13</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3,054,063.13</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060" w:bottom="1160" w:left="980" w:right="0"/>
        </w:sectPr>
      </w:pPr>
    </w:p>
    <w:p>
      <w:pPr>
        <w:spacing w:before="44"/>
        <w:ind w:left="154"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23,505,443.43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544" w:space="2375"/>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1,690,261.53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852"/>
        <w:gridCol w:w="1384"/>
        <w:gridCol w:w="1616"/>
        <w:gridCol w:w="1615"/>
        <w:gridCol w:w="1616"/>
        <w:gridCol w:w="1613"/>
      </w:tblGrid>
      <w:tr>
        <w:trPr>
          <w:trHeight w:val="713"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1" w:right="7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南京高鸿恒昌计算机 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1,529,125.65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广州市高鸿网络技术 有限公司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152,135.88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中国联合网络通信有 限公司陕西分公司</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内部审批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1,690,261.53</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549"/>
        <w:gridCol w:w="1851"/>
        <w:gridCol w:w="2494"/>
        <w:gridCol w:w="1765"/>
      </w:tblGrid>
      <w:tr>
        <w:trPr>
          <w:trHeight w:val="347" w:hRule="exact"/>
        </w:trPr>
        <w:tc>
          <w:tcPr>
            <w:tcW w:w="3549"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11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549" w:type="dxa"/>
            <w:vMerge/>
            <w:tcBorders>
              <w:left w:val="single" w:sz="6" w:space="0" w:color="000000"/>
              <w:bottom w:val="single" w:sz="6" w:space="0" w:color="000000"/>
              <w:right w:val="single" w:sz="6" w:space="0" w:color="000000"/>
            </w:tcBorders>
          </w:tcPr>
          <w:p>
            <w:pP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5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 w:right="0"/>
              <w:jc w:val="left"/>
              <w:rPr>
                <w:rFonts w:ascii="宋体" w:hAnsi="宋体" w:cs="宋体" w:eastAsia="宋体" w:hint="default"/>
                <w:sz w:val="18"/>
                <w:szCs w:val="18"/>
              </w:rPr>
            </w:pPr>
            <w:r>
              <w:rPr>
                <w:rFonts w:ascii="宋体" w:hAnsi="宋体" w:cs="宋体" w:eastAsia="宋体" w:hint="default"/>
                <w:sz w:val="18"/>
                <w:szCs w:val="18"/>
              </w:rPr>
              <w:t>占应收账款合计数的比例</w:t>
            </w:r>
            <w:r>
              <w:rPr>
                <w:rFonts w:ascii="宋体" w:hAnsi="宋体" w:cs="宋体" w:eastAsia="宋体" w:hint="default"/>
                <w:sz w:val="18"/>
                <w:szCs w:val="18"/>
              </w:rPr>
              <w:t>(%)</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苏宁易购集团股份有限公司苏宁采购中心</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118,859,809.73</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6.95</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594,746.57</w:t>
            </w:r>
          </w:p>
        </w:tc>
      </w:tr>
      <w:tr>
        <w:trPr>
          <w:trHeight w:val="348" w:hRule="exact"/>
        </w:trPr>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江苏凯旋科技发展有限公司</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76,743,826.00</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4.49</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383,719.13</w:t>
            </w:r>
          </w:p>
        </w:tc>
      </w:tr>
      <w:tr>
        <w:trPr>
          <w:trHeight w:val="348" w:hRule="exact"/>
        </w:trPr>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北京京东世纪贸易有限公司</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67,622,448.78</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3.96</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338,112.25</w:t>
            </w:r>
          </w:p>
        </w:tc>
      </w:tr>
      <w:tr>
        <w:trPr>
          <w:trHeight w:val="349" w:hRule="exact"/>
        </w:trPr>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烟台市公安局莱山分局</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63,390,101.28</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3.71</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335,822.60</w:t>
            </w:r>
          </w:p>
        </w:tc>
      </w:tr>
      <w:tr>
        <w:trPr>
          <w:trHeight w:val="348" w:hRule="exact"/>
        </w:trPr>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银川市公安局</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55,973,884.59</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3.27</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279,869.42</w:t>
            </w:r>
          </w:p>
        </w:tc>
      </w:tr>
      <w:tr>
        <w:trPr>
          <w:trHeight w:val="349" w:hRule="exact"/>
        </w:trPr>
        <w:tc>
          <w:tcPr>
            <w:tcW w:w="3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382,590,070.38</w:t>
            </w:r>
          </w:p>
        </w:tc>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22.38</w:t>
            </w:r>
          </w:p>
        </w:tc>
        <w:tc>
          <w:tcPr>
            <w:tcW w:w="1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1,932,269.97</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5、预付款项" w:id="251"/>
      <w:bookmarkEnd w:id="251"/>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52"/>
      <w:bookmarkEnd w:id="25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813,019,078.25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926,705,458.63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84.48%</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106,221,100.43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120,403,931.46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10,311,459.66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48,884,562.33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2,370,789.80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911,781.95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931,922,428.14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1,096,905,734.37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4620"/>
        <w:gridCol w:w="2520"/>
        <w:gridCol w:w="2519"/>
      </w:tblGrid>
      <w:tr>
        <w:trPr>
          <w:trHeight w:val="344" w:hRule="exact"/>
        </w:trPr>
        <w:tc>
          <w:tcPr>
            <w:tcW w:w="462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52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19"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21"/>
              <w:ind w:left="8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8" w:hRule="exact"/>
        </w:trPr>
        <w:tc>
          <w:tcPr>
            <w:tcW w:w="4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北京雨辰视美科技有限公司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17,471,143.20</w:t>
            </w:r>
          </w:p>
        </w:tc>
        <w:tc>
          <w:tcPr>
            <w:tcW w:w="25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347" w:hRule="exact"/>
        </w:trPr>
        <w:tc>
          <w:tcPr>
            <w:tcW w:w="4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北京创新云科技有限公司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8,885,131.04</w:t>
            </w:r>
          </w:p>
        </w:tc>
        <w:tc>
          <w:tcPr>
            <w:tcW w:w="25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347" w:hRule="exact"/>
        </w:trPr>
        <w:tc>
          <w:tcPr>
            <w:tcW w:w="4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慧政益</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软件技术有限公司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7,939,525.51</w:t>
            </w:r>
          </w:p>
        </w:tc>
        <w:tc>
          <w:tcPr>
            <w:tcW w:w="25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347" w:hRule="exact"/>
        </w:trPr>
        <w:tc>
          <w:tcPr>
            <w:tcW w:w="4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北京同力达科技有限公司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6,855,200.00</w:t>
            </w:r>
          </w:p>
        </w:tc>
        <w:tc>
          <w:tcPr>
            <w:tcW w:w="25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347" w:hRule="exact"/>
        </w:trPr>
        <w:tc>
          <w:tcPr>
            <w:tcW w:w="4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北京庆云洲际科技有限公司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6,399,000.00</w:t>
            </w:r>
          </w:p>
        </w:tc>
        <w:tc>
          <w:tcPr>
            <w:tcW w:w="25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347" w:hRule="exact"/>
        </w:trPr>
        <w:tc>
          <w:tcPr>
            <w:tcW w:w="4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北京正通网络通信有限公司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5,719,800.00</w:t>
            </w:r>
          </w:p>
        </w:tc>
        <w:tc>
          <w:tcPr>
            <w:tcW w:w="25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348" w:hRule="exact"/>
        </w:trPr>
        <w:tc>
          <w:tcPr>
            <w:tcW w:w="462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北京华中丰国际贸易有限公司</w:t>
            </w:r>
          </w:p>
        </w:tc>
        <w:tc>
          <w:tcPr>
            <w:tcW w:w="2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5,180,019.00</w:t>
            </w:r>
          </w:p>
        </w:tc>
        <w:tc>
          <w:tcPr>
            <w:tcW w:w="251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项目未完结</w:t>
            </w:r>
          </w:p>
        </w:tc>
      </w:tr>
      <w:tr>
        <w:trPr>
          <w:trHeight w:val="344" w:hRule="exact"/>
        </w:trPr>
        <w:tc>
          <w:tcPr>
            <w:tcW w:w="462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58,449,818.75</w:t>
            </w:r>
          </w:p>
        </w:tc>
        <w:tc>
          <w:tcPr>
            <w:tcW w:w="2519" w:type="dxa"/>
            <w:tcBorders>
              <w:top w:val="single" w:sz="6" w:space="0" w:color="000000"/>
              <w:left w:val="single" w:sz="6"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按预付对象归集的期末余额前五名的预付款情况" w:id="253"/>
      <w:bookmarkEnd w:id="253"/>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622"/>
        <w:gridCol w:w="3574"/>
        <w:gridCol w:w="2462"/>
      </w:tblGrid>
      <w:tr>
        <w:trPr>
          <w:trHeight w:val="656" w:hRule="exact"/>
        </w:trPr>
        <w:tc>
          <w:tcPr>
            <w:tcW w:w="362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574"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62"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78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r>
      <w:tr>
        <w:trPr>
          <w:trHeight w:val="347" w:hRule="exact"/>
        </w:trPr>
        <w:tc>
          <w:tcPr>
            <w:tcW w:w="3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常州奥埠贸易有限公司</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239,548,100.00</w:t>
            </w:r>
          </w:p>
        </w:tc>
        <w:tc>
          <w:tcPr>
            <w:tcW w:w="2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25.70</w:t>
            </w:r>
          </w:p>
        </w:tc>
      </w:tr>
      <w:tr>
        <w:trPr>
          <w:trHeight w:val="347" w:hRule="exact"/>
        </w:trPr>
        <w:tc>
          <w:tcPr>
            <w:tcW w:w="3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常州龙城供应链管理有限公司</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108,750,100.00</w:t>
            </w:r>
          </w:p>
        </w:tc>
        <w:tc>
          <w:tcPr>
            <w:tcW w:w="2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11.67</w:t>
            </w:r>
          </w:p>
        </w:tc>
      </w:tr>
      <w:tr>
        <w:trPr>
          <w:trHeight w:val="348" w:hRule="exact"/>
        </w:trPr>
        <w:tc>
          <w:tcPr>
            <w:tcW w:w="3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华硕电脑（重庆）有限公司</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73,818,012.32</w:t>
            </w:r>
          </w:p>
        </w:tc>
        <w:tc>
          <w:tcPr>
            <w:tcW w:w="2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7.92</w:t>
            </w:r>
          </w:p>
        </w:tc>
      </w:tr>
      <w:tr>
        <w:trPr>
          <w:trHeight w:val="347" w:hRule="exact"/>
        </w:trPr>
        <w:tc>
          <w:tcPr>
            <w:tcW w:w="3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华硕电脑（上海）有限公司</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54,811,714.61</w:t>
            </w:r>
          </w:p>
        </w:tc>
        <w:tc>
          <w:tcPr>
            <w:tcW w:w="2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5.88</w:t>
            </w:r>
          </w:p>
        </w:tc>
      </w:tr>
      <w:tr>
        <w:trPr>
          <w:trHeight w:val="347" w:hRule="exact"/>
        </w:trPr>
        <w:tc>
          <w:tcPr>
            <w:tcW w:w="362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南京安纳佳电子科技有限公司</w:t>
            </w:r>
          </w:p>
        </w:tc>
        <w:tc>
          <w:tcPr>
            <w:tcW w:w="35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53,275,764.82</w:t>
            </w:r>
          </w:p>
        </w:tc>
        <w:tc>
          <w:tcPr>
            <w:tcW w:w="24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5.72</w:t>
            </w:r>
          </w:p>
        </w:tc>
      </w:tr>
      <w:tr>
        <w:trPr>
          <w:trHeight w:val="344" w:hRule="exact"/>
        </w:trPr>
        <w:tc>
          <w:tcPr>
            <w:tcW w:w="3622"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7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530,203,691.75</w:t>
            </w:r>
          </w:p>
        </w:tc>
        <w:tc>
          <w:tcPr>
            <w:tcW w:w="246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56.89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应收款" w:id="254"/>
      <w:bookmarkEnd w:id="254"/>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820,016.36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216,767,791.33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330,407,343.62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217,587,807.69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330,407,343.62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55"/>
      <w:bookmarkEnd w:id="25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股利" w:id="256"/>
      <w:bookmarkEnd w:id="25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 合伙）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820,016.36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820,016.36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应收款" w:id="257"/>
      <w:bookmarkEnd w:id="25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41,697,0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39.75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41,697,0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1,657,3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98.91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1,657,398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235,112,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140.59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18,344,3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216,767,7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91.33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352,313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,565.13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21,906,22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1.51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330,407,34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3.62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184,669.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184,669.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143,700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276,993,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849.67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60,226,0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58.34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216,767,7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91.33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354,114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,664.04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23,707,32</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0.42</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330,407,34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3.62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4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重庆群盟电子技术有限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25,716,965.00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25,716,965.00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兰州利普华电子科技有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7,003,750.00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北京汉铭信通科技有限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3,224,899.00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3,224,899.00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北京翰林伟业科技有限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宋体" w:hAnsi="宋体" w:cs="宋体" w:eastAsia="宋体" w:hint="default"/>
                <w:sz w:val="18"/>
                <w:szCs w:val="18"/>
              </w:rPr>
              <w:t>北京山岚世纪科贸中心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1,994,026.84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1,994,026.84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宋体" w:hAnsi="宋体" w:cs="宋体" w:eastAsia="宋体" w:hint="default"/>
                <w:sz w:val="18"/>
                <w:szCs w:val="18"/>
              </w:rPr>
              <w:t>北京星空永恒科技有限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1,657,398.91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1,657,398.91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8" w:right="0"/>
              <w:jc w:val="left"/>
              <w:rPr>
                <w:rFonts w:ascii="Times New Roman" w:hAnsi="Times New Roman" w:cs="Times New Roman" w:eastAsia="Times New Roman" w:hint="default"/>
                <w:sz w:val="18"/>
                <w:szCs w:val="18"/>
              </w:rPr>
            </w:pPr>
            <w:r>
              <w:rPr>
                <w:rFonts w:ascii="Times New Roman"/>
                <w:sz w:val="18"/>
              </w:rPr>
              <w:t>41,697,039.75</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41,697,039.75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62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11,459,620.96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57,298.10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11,459,620.96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57,298.10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8,879,576.55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177,591.52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14,040,733.35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1,404,073.34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26,191,039.15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16,705,386.30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8,737,549.21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2,621,264.76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6,738,736.81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3,369,368.41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10,714,753.13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10,714,753.13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60,570,970.01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18,344,349.26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pStyle w:val="BodyText"/>
        <w:spacing w:line="240" w:lineRule="auto" w:before="77"/>
        <w:ind w:right="0"/>
        <w:jc w:val="left"/>
      </w:pPr>
      <w:r>
        <w:rPr/>
        <w:t>组合中，采用其他方法计提坏账准备的其他应收款：</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642"/>
        <w:gridCol w:w="2294"/>
        <w:gridCol w:w="2296"/>
        <w:gridCol w:w="2428"/>
      </w:tblGrid>
      <w:tr>
        <w:trPr>
          <w:trHeight w:val="347" w:hRule="exact"/>
        </w:trPr>
        <w:tc>
          <w:tcPr>
            <w:tcW w:w="2642" w:type="dxa"/>
            <w:vMerge w:val="restart"/>
            <w:tcBorders>
              <w:top w:val="single" w:sz="6" w:space="0" w:color="000000"/>
              <w:left w:val="single" w:sz="6" w:space="0" w:color="000000"/>
              <w:right w:val="single" w:sz="6" w:space="0" w:color="000000"/>
            </w:tcBorders>
          </w:tcPr>
          <w:p>
            <w:pPr/>
          </w:p>
        </w:tc>
        <w:tc>
          <w:tcPr>
            <w:tcW w:w="70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2642" w:type="dxa"/>
            <w:vMerge/>
            <w:tcBorders>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1"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7"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82"/>
              <w:jc w:val="right"/>
              <w:rPr>
                <w:rFonts w:ascii="宋体" w:hAnsi="宋体" w:cs="宋体" w:eastAsia="宋体" w:hint="default"/>
                <w:sz w:val="18"/>
                <w:szCs w:val="18"/>
              </w:rPr>
            </w:pPr>
            <w:r>
              <w:rPr>
                <w:rFonts w:ascii="宋体" w:hAnsi="宋体" w:cs="宋体" w:eastAsia="宋体" w:hint="default"/>
                <w:sz w:val="18"/>
                <w:szCs w:val="18"/>
              </w:rPr>
              <w:t>无风险其他应收款</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174,541,170.58</w:t>
            </w:r>
          </w:p>
        </w:tc>
        <w:tc>
          <w:tcPr>
            <w:tcW w:w="2296" w:type="dxa"/>
            <w:tcBorders>
              <w:top w:val="single" w:sz="6" w:space="0" w:color="000000"/>
              <w:left w:val="single" w:sz="6" w:space="0" w:color="000000"/>
              <w:bottom w:val="single" w:sz="6" w:space="0" w:color="000000"/>
              <w:right w:val="single" w:sz="6" w:space="0" w:color="000000"/>
            </w:tcBorders>
          </w:tcPr>
          <w:p>
            <w:pPr/>
          </w:p>
        </w:tc>
        <w:tc>
          <w:tcPr>
            <w:tcW w:w="242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33"/>
              <w:jc w:val="righ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174,541,170.58</w:t>
            </w:r>
          </w:p>
        </w:tc>
        <w:tc>
          <w:tcPr>
            <w:tcW w:w="2296" w:type="dxa"/>
            <w:tcBorders>
              <w:top w:val="single" w:sz="6" w:space="0" w:color="000000"/>
              <w:left w:val="single" w:sz="6" w:space="0" w:color="000000"/>
              <w:bottom w:val="single" w:sz="6" w:space="0" w:color="000000"/>
              <w:right w:val="single" w:sz="6" w:space="0" w:color="000000"/>
            </w:tcBorders>
          </w:tcPr>
          <w:p>
            <w:pPr/>
          </w:p>
        </w:tc>
        <w:tc>
          <w:tcPr>
            <w:tcW w:w="242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left="229" w:right="0"/>
        <w:jc w:val="left"/>
      </w:pPr>
      <w:r>
        <w:rPr/>
        <w:t>期末单项金额虽不重大但单项计提坏账准备的其他应收款</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125"/>
        <w:gridCol w:w="1790"/>
        <w:gridCol w:w="1468"/>
        <w:gridCol w:w="1604"/>
        <w:gridCol w:w="1673"/>
      </w:tblGrid>
      <w:tr>
        <w:trPr>
          <w:trHeight w:val="347" w:hRule="exact"/>
        </w:trPr>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单位名称</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66" w:right="0"/>
              <w:jc w:val="left"/>
              <w:rPr>
                <w:rFonts w:ascii="宋体" w:hAnsi="宋体" w:cs="宋体" w:eastAsia="宋体" w:hint="default"/>
                <w:sz w:val="16"/>
                <w:szCs w:val="16"/>
              </w:rPr>
            </w:pPr>
            <w:r>
              <w:rPr>
                <w:rFonts w:ascii="宋体" w:hAnsi="宋体" w:cs="宋体" w:eastAsia="宋体" w:hint="default"/>
                <w:sz w:val="16"/>
                <w:szCs w:val="16"/>
              </w:rPr>
              <w:t>账面余额</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06" w:right="0"/>
              <w:jc w:val="left"/>
              <w:rPr>
                <w:rFonts w:ascii="宋体" w:hAnsi="宋体" w:cs="宋体" w:eastAsia="宋体" w:hint="default"/>
                <w:sz w:val="16"/>
                <w:szCs w:val="16"/>
              </w:rPr>
            </w:pPr>
            <w:r>
              <w:rPr>
                <w:rFonts w:ascii="宋体" w:hAnsi="宋体" w:cs="宋体" w:eastAsia="宋体" w:hint="default"/>
                <w:sz w:val="16"/>
                <w:szCs w:val="16"/>
              </w:rPr>
              <w:t>坏账准备</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47" w:right="0"/>
              <w:jc w:val="left"/>
              <w:rPr>
                <w:rFonts w:ascii="宋体" w:hAnsi="宋体" w:cs="宋体" w:eastAsia="宋体" w:hint="default"/>
                <w:sz w:val="16"/>
                <w:szCs w:val="16"/>
              </w:rPr>
            </w:pPr>
            <w:r>
              <w:rPr>
                <w:rFonts w:ascii="宋体" w:hAnsi="宋体" w:cs="宋体" w:eastAsia="宋体" w:hint="default"/>
                <w:sz w:val="16"/>
                <w:szCs w:val="16"/>
              </w:rPr>
              <w:t>计提比例（</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计提理由</w:t>
            </w:r>
          </w:p>
        </w:tc>
      </w:tr>
      <w:tr>
        <w:trPr>
          <w:trHeight w:val="347" w:hRule="exact"/>
        </w:trPr>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北京拓维思科技有限公司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143,700.00</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143,700.00</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成都渝华商贸有限公司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18,209.33</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18,209.33</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7" w:hRule="exact"/>
        </w:trPr>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上海京联信息科技有限公司</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1"/>
                <w:sz w:val="16"/>
              </w:rPr>
              <w:t>22,760.00</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22,760.00</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100.00</w:t>
            </w:r>
            <w:r>
              <w:rPr>
                <w:rFonts w:ascii="Times New Roman"/>
                <w:sz w:val="16"/>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预计无法收回</w:t>
            </w:r>
          </w:p>
        </w:tc>
      </w:tr>
      <w:tr>
        <w:trPr>
          <w:trHeight w:val="348" w:hRule="exact"/>
        </w:trPr>
        <w:tc>
          <w:tcPr>
            <w:tcW w:w="3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184,669.33</w:t>
            </w:r>
            <w:r>
              <w:rPr>
                <w:rFonts w:ascii="Times New Roman"/>
                <w:sz w:val="16"/>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184,669.33</w:t>
            </w:r>
            <w:r>
              <w:rPr>
                <w:rFonts w:ascii="Times New Roman"/>
                <w:sz w:val="16"/>
              </w:rPr>
            </w:r>
          </w:p>
        </w:tc>
        <w:tc>
          <w:tcPr>
            <w:tcW w:w="1604"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459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36,521,598.15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after="0" w:line="338"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9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97,290,759.76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186,371,283.39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结算款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115,501,651.16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125,391,692.95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58,578,307.89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37,530,967.86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3,607,235.24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2,674,081.53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2,015,895.62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2,146,638.31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276,993,849.67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354,114,664.04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重庆群盟电子有限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25,716,965.00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25,716,965.00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遵义市红花岗区国 有资产投资经营有 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合作保证金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兰州利普华电子科 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7,003,750.00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7,003,750.00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贵州达众磨料磨具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北京路拓科创信息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120,600.00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55,350,715.00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39,441,315.00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2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北京市海淀区国税局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软件企业增值税即征即 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1" w:right="0"/>
              <w:jc w:val="left"/>
              <w:rPr>
                <w:rFonts w:ascii="Times New Roman" w:hAnsi="Times New Roman" w:cs="Times New Roman" w:eastAsia="Times New Roman" w:hint="default"/>
                <w:sz w:val="18"/>
                <w:szCs w:val="18"/>
              </w:rPr>
            </w:pPr>
            <w:r>
              <w:rPr>
                <w:rFonts w:ascii="Times New Roman"/>
                <w:sz w:val="18"/>
              </w:rPr>
              <w:t>363,240.09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bl>
    <w:p>
      <w:pPr>
        <w:spacing w:before="51"/>
        <w:ind w:left="21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21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4"/>
        <w:spacing w:line="240" w:lineRule="auto"/>
        <w:ind w:left="214" w:right="6642"/>
        <w:jc w:val="left"/>
        <w:rPr>
          <w:b w:val="0"/>
          <w:bCs w:val="0"/>
        </w:rPr>
      </w:pPr>
      <w:bookmarkStart w:name="7、存货" w:id="258"/>
      <w:bookmarkEnd w:id="258"/>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21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4"/>
        <w:spacing w:line="240" w:lineRule="auto"/>
        <w:ind w:left="214" w:right="6642"/>
        <w:jc w:val="left"/>
        <w:rPr>
          <w:b w:val="0"/>
          <w:bCs w:val="0"/>
        </w:rPr>
      </w:pPr>
      <w:bookmarkStart w:name="（1）存货分类" w:id="259"/>
      <w:bookmarkEnd w:id="259"/>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70,327,880.96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7,283,636.61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63,044,244.35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69,417,053.09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7,297,125.57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62,119,927.52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44,526,060.08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44,526,060.08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35,779,791.52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35,779,791.52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693,913,292.00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74,662,057.43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619,251,234.57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515,277,067.34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74,717,686.19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440,559,381.15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446,762,695.77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446,762,695.77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235,110,571.52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235,110,571.52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126,421,944.71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126,421,944.71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1,381,951,873.52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81,945,694.04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1,300,006,179.48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855,584,483.47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82,014,811.76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773,569,671.71</w:t>
            </w:r>
          </w:p>
        </w:tc>
      </w:tr>
    </w:tbl>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79" w:top="1060" w:bottom="1160" w:left="920" w:right="0"/>
        </w:sectPr>
      </w:pPr>
    </w:p>
    <w:p>
      <w:pPr>
        <w:spacing w:line="338" w:lineRule="auto" w:before="44"/>
        <w:ind w:left="214" w:right="-20"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338" w:lineRule="auto" w:before="43"/>
        <w:ind w:left="214" w:right="258"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tabs>
          <w:tab w:pos="573" w:val="left" w:leader="none"/>
        </w:tabs>
        <w:spacing w:before="42"/>
        <w:ind w:left="2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tab/>
      </w:r>
      <w:r>
        <w:rPr>
          <w:rFonts w:ascii="宋体" w:hAnsi="宋体" w:cs="宋体" w:eastAsia="宋体" w:hint="default"/>
          <w:sz w:val="18"/>
          <w:szCs w:val="18"/>
        </w:rPr>
        <w:t>开发成本</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2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20" w:right="0"/>
          <w:cols w:num="2" w:equalWidth="0">
            <w:col w:w="8494" w:space="425"/>
            <w:col w:w="2071"/>
          </w:cols>
        </w:sectPr>
      </w:pPr>
    </w:p>
    <w:p>
      <w:pPr>
        <w:spacing w:line="240" w:lineRule="auto" w:before="13"/>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896"/>
        <w:gridCol w:w="1308"/>
        <w:gridCol w:w="1526"/>
        <w:gridCol w:w="1372"/>
        <w:gridCol w:w="1373"/>
        <w:gridCol w:w="1380"/>
      </w:tblGrid>
      <w:tr>
        <w:trPr>
          <w:trHeight w:val="40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开工时间</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预计竣工时间</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预计投资总额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0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济宁大唐科技大厦综合楼</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342,380,000.00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235,110,571.52</w:t>
            </w:r>
          </w:p>
        </w:tc>
      </w:tr>
      <w:tr>
        <w:trPr>
          <w:trHeight w:val="402"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花溪慧谷物联网和大数据产业园</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770,000,000.00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center"/>
              <w:rPr>
                <w:rFonts w:ascii="Times New Roman" w:hAnsi="Times New Roman" w:cs="Times New Roman" w:eastAsia="Times New Roman" w:hint="default"/>
                <w:sz w:val="18"/>
                <w:szCs w:val="18"/>
              </w:rPr>
            </w:pPr>
            <w:r>
              <w:rPr>
                <w:rFonts w:ascii="Times New Roman"/>
                <w:sz w:val="18"/>
              </w:rPr>
              <w:t>446,762,695.77</w:t>
            </w: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08"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30" w:right="0"/>
              <w:jc w:val="center"/>
              <w:rPr>
                <w:rFonts w:ascii="Times New Roman" w:hAnsi="Times New Roman" w:cs="Times New Roman" w:eastAsia="Times New Roman" w:hint="default"/>
                <w:sz w:val="18"/>
                <w:szCs w:val="18"/>
              </w:rPr>
            </w:pPr>
            <w:r>
              <w:rPr>
                <w:rFonts w:ascii="Times New Roman"/>
                <w:sz w:val="18"/>
              </w:rPr>
              <w:t>446,762,695.77</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46" w:right="0"/>
              <w:jc w:val="center"/>
              <w:rPr>
                <w:rFonts w:ascii="Times New Roman" w:hAnsi="Times New Roman" w:cs="Times New Roman" w:eastAsia="Times New Roman" w:hint="default"/>
                <w:sz w:val="18"/>
                <w:szCs w:val="18"/>
              </w:rPr>
            </w:pPr>
            <w:r>
              <w:rPr>
                <w:rFonts w:ascii="Times New Roman"/>
                <w:sz w:val="18"/>
              </w:rPr>
              <w:t>235,110,571.52</w:t>
            </w:r>
          </w:p>
        </w:tc>
      </w:tr>
    </w:tbl>
    <w:p>
      <w:pPr>
        <w:tabs>
          <w:tab w:pos="573" w:val="left" w:leader="none"/>
        </w:tabs>
        <w:spacing w:before="51"/>
        <w:ind w:left="21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tab/>
      </w:r>
      <w:r>
        <w:rPr>
          <w:rFonts w:ascii="宋体" w:hAnsi="宋体" w:cs="宋体" w:eastAsia="宋体" w:hint="default"/>
          <w:sz w:val="18"/>
          <w:szCs w:val="18"/>
        </w:rPr>
        <w:t>开发产品</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294"/>
        <w:gridCol w:w="1260"/>
        <w:gridCol w:w="1200"/>
        <w:gridCol w:w="1703"/>
        <w:gridCol w:w="1696"/>
        <w:gridCol w:w="1703"/>
      </w:tblGrid>
      <w:tr>
        <w:trPr>
          <w:trHeight w:val="40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01" w:type="dxa"/>
        <w:tblLayout w:type="fixed"/>
        <w:tblCellMar>
          <w:top w:w="0" w:type="dxa"/>
          <w:left w:w="0" w:type="dxa"/>
          <w:bottom w:w="0" w:type="dxa"/>
          <w:right w:w="0" w:type="dxa"/>
        </w:tblCellMar>
        <w:tblLook w:val="01E0"/>
      </w:tblPr>
      <w:tblGrid>
        <w:gridCol w:w="2294"/>
        <w:gridCol w:w="1260"/>
        <w:gridCol w:w="1200"/>
        <w:gridCol w:w="1703"/>
        <w:gridCol w:w="1696"/>
        <w:gridCol w:w="1703"/>
      </w:tblGrid>
      <w:tr>
        <w:trPr>
          <w:trHeight w:val="40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竣工时间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济宁大唐科技大厦综合楼</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230,618,745.84</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104,196,801.13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126,421,944.71</w:t>
            </w:r>
          </w:p>
        </w:tc>
      </w:tr>
      <w:tr>
        <w:trPr>
          <w:trHeight w:val="491"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230,618,745.84</w:t>
            </w:r>
          </w:p>
        </w:tc>
        <w:tc>
          <w:tcPr>
            <w:tcW w:w="1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104,196,801.13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64" w:right="0"/>
              <w:jc w:val="left"/>
              <w:rPr>
                <w:rFonts w:ascii="Times New Roman" w:hAnsi="Times New Roman" w:cs="Times New Roman" w:eastAsia="Times New Roman" w:hint="default"/>
                <w:sz w:val="18"/>
                <w:szCs w:val="18"/>
              </w:rPr>
            </w:pPr>
            <w:r>
              <w:rPr>
                <w:rFonts w:ascii="Times New Roman"/>
                <w:sz w:val="18"/>
              </w:rPr>
              <w:t>126,421,944.71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left="214" w:right="6642"/>
        <w:jc w:val="left"/>
        <w:rPr>
          <w:b w:val="0"/>
          <w:bCs w:val="0"/>
        </w:rPr>
      </w:pPr>
      <w:bookmarkStart w:name="（2）存货跌价准备" w:id="260"/>
      <w:bookmarkEnd w:id="260"/>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7,297,125.57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13,488.96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7,283,636.61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74,717,686.19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4,212,275.66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4,267,904.42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74,662,057.43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82,014,811.76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4,212,275.66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4,281,393.38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81,945,694.04</w:t>
            </w:r>
          </w:p>
        </w:tc>
      </w:tr>
    </w:tbl>
    <w:p>
      <w:pPr>
        <w:spacing w:line="240" w:lineRule="auto" w:before="2"/>
        <w:rPr>
          <w:rFonts w:ascii="宋体" w:hAnsi="宋体" w:cs="宋体" w:eastAsia="宋体" w:hint="default"/>
          <w:sz w:val="19"/>
          <w:szCs w:val="19"/>
        </w:rPr>
      </w:pPr>
    </w:p>
    <w:p>
      <w:pPr>
        <w:pStyle w:val="Heading4"/>
        <w:spacing w:line="240" w:lineRule="auto" w:before="35"/>
        <w:ind w:left="214" w:right="0"/>
        <w:jc w:val="left"/>
        <w:rPr>
          <w:b w:val="0"/>
          <w:bCs w:val="0"/>
        </w:rPr>
      </w:pPr>
      <w:bookmarkStart w:name="（3）存货期末余额含有借款费用资本化金额的说明" w:id="261"/>
      <w:bookmarkEnd w:id="261"/>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214" w:right="0" w:firstLine="423"/>
        <w:jc w:val="left"/>
      </w:pPr>
      <w:r>
        <w:rPr>
          <w:spacing w:val="-1"/>
        </w:rPr>
        <w:t>报告期末，开发产品期末余额利息资本化金额为</w:t>
      </w:r>
      <w:r>
        <w:rPr>
          <w:rFonts w:ascii="宋体" w:hAnsi="宋体" w:cs="宋体" w:eastAsia="宋体" w:hint="default"/>
          <w:spacing w:val="-1"/>
        </w:rPr>
        <w:t>3,173,224.93</w:t>
      </w:r>
      <w:r>
        <w:rPr>
          <w:spacing w:val="-1"/>
        </w:rPr>
        <w:t>元；开发成本期末利息资本化累计金额</w:t>
      </w:r>
      <w:r>
        <w:rPr/>
        <w:t> 为</w:t>
      </w:r>
      <w:r>
        <w:rPr>
          <w:rFonts w:ascii="宋体" w:hAnsi="宋体" w:cs="宋体" w:eastAsia="宋体" w:hint="default"/>
        </w:rPr>
        <w:t>16,729,254.16</w:t>
      </w:r>
      <w:r>
        <w:rPr/>
        <w:t>元，本期资本化金额为</w:t>
      </w:r>
      <w:r>
        <w:rPr>
          <w:rFonts w:ascii="宋体" w:hAnsi="宋体" w:cs="宋体" w:eastAsia="宋体" w:hint="default"/>
        </w:rPr>
        <w:t>12,532,760.83</w:t>
      </w:r>
      <w:r>
        <w:rPr/>
        <w:t>元，资本化率</w:t>
      </w:r>
      <w:r>
        <w:rPr>
          <w:rFonts w:ascii="宋体" w:hAnsi="宋体" w:cs="宋体" w:eastAsia="宋体" w:hint="default"/>
        </w:rPr>
        <w:t>5.20%</w:t>
      </w:r>
      <w:r>
        <w:rPr/>
        <w:t>。</w:t>
      </w:r>
    </w:p>
    <w:p>
      <w:pPr>
        <w:spacing w:line="240" w:lineRule="auto" w:before="8"/>
        <w:rPr>
          <w:rFonts w:ascii="宋体" w:hAnsi="宋体" w:cs="宋体" w:eastAsia="宋体" w:hint="default"/>
          <w:sz w:val="23"/>
          <w:szCs w:val="23"/>
        </w:rPr>
      </w:pPr>
    </w:p>
    <w:p>
      <w:pPr>
        <w:pStyle w:val="Heading4"/>
        <w:spacing w:line="240" w:lineRule="auto"/>
        <w:ind w:left="214" w:right="0"/>
        <w:jc w:val="left"/>
        <w:rPr>
          <w:b w:val="0"/>
          <w:bCs w:val="0"/>
        </w:rPr>
      </w:pPr>
      <w:bookmarkStart w:name="（4）期末建造合同形成的已完工未结算资产情况" w:id="262"/>
      <w:bookmarkEnd w:id="262"/>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214" w:right="66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214" w:right="6642"/>
        <w:jc w:val="left"/>
        <w:rPr>
          <w:b w:val="0"/>
          <w:bCs w:val="0"/>
        </w:rPr>
      </w:pPr>
      <w:bookmarkStart w:name="8、持有待售资产" w:id="263"/>
      <w:bookmarkEnd w:id="263"/>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214" w:right="66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214" w:right="6642"/>
        <w:jc w:val="left"/>
        <w:rPr>
          <w:b w:val="0"/>
          <w:bCs w:val="0"/>
        </w:rPr>
      </w:pPr>
      <w:bookmarkStart w:name="9、一年内到期的非流动资产" w:id="264"/>
      <w:bookmarkEnd w:id="264"/>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214" w:right="664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left="214" w:right="6642"/>
        <w:jc w:val="left"/>
        <w:rPr>
          <w:b w:val="0"/>
          <w:bCs w:val="0"/>
        </w:rPr>
      </w:pPr>
      <w:bookmarkStart w:name="10、其他流动资产" w:id="265"/>
      <w:bookmarkEnd w:id="265"/>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垫付的充值卡话费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220,082,026.86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351,377,394.44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1,930,735.13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523,259.03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待摊费用－物业费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61,609.06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17,785.96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688,780.24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611,996.57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35,057,287.12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36,429,830.54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2,423,729.89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3,424,709.96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420,244,168.30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392,384,976.50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可供出售金融资产" w:id="266"/>
      <w:bookmarkEnd w:id="266"/>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67"/>
      <w:bookmarkEnd w:id="267"/>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60,772,292.67</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60,772,292.67</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60,772,292.67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60,772,292.67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68"/>
      <w:bookmarkEnd w:id="268"/>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69"/>
      <w:bookmarkEnd w:id="269"/>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北京金吾 创业投资 中心（有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8"/>
              <w:jc w:val="left"/>
              <w:rPr>
                <w:rFonts w:ascii="宋体" w:hAnsi="宋体" w:cs="宋体" w:eastAsia="宋体" w:hint="default"/>
                <w:sz w:val="18"/>
                <w:szCs w:val="18"/>
              </w:rPr>
            </w:pPr>
            <w:r>
              <w:rPr>
                <w:rFonts w:ascii="宋体" w:hAnsi="宋体" w:cs="宋体" w:eastAsia="宋体" w:hint="default"/>
                <w:sz w:val="18"/>
                <w:szCs w:val="18"/>
              </w:rPr>
              <w:t>昆山雷石 雨花股权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7,011,108.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820,016.36</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98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投资合伙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国泰君安 投资管理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2,261,184.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0.09%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北京智能 车联产业 创新中心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72" w:right="0"/>
              <w:jc w:val="left"/>
              <w:rPr>
                <w:rFonts w:ascii="Times New Roman" w:hAnsi="Times New Roman" w:cs="Times New Roman" w:eastAsia="Times New Roman" w:hint="default"/>
                <w:sz w:val="18"/>
                <w:szCs w:val="18"/>
              </w:rPr>
            </w:pPr>
            <w:r>
              <w:rPr>
                <w:rFonts w:ascii="Times New Roman"/>
                <w:sz w:val="18"/>
              </w:rPr>
              <w:t>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60,772,292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60,772,292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2,820,016.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70"/>
      <w:bookmarkEnd w:id="270"/>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71"/>
      <w:bookmarkEnd w:id="271"/>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持有至到期投资" w:id="272"/>
      <w:bookmarkEnd w:id="272"/>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73"/>
      <w:bookmarkEnd w:id="273"/>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期末重要的持有至到期投资" w:id="274"/>
      <w:bookmarkEnd w:id="274"/>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本期重分类的持有至到期投资" w:id="275"/>
      <w:bookmarkEnd w:id="275"/>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3、长期应收款" w:id="276"/>
      <w:bookmarkEnd w:id="276"/>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77"/>
      <w:bookmarkEnd w:id="27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78"/>
      <w:bookmarkEnd w:id="27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79"/>
      <w:bookmarkEnd w:id="279"/>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4、长期股权投资" w:id="280"/>
      <w:bookmarkEnd w:id="28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12"/>
        <w:gridCol w:w="850"/>
        <w:gridCol w:w="833"/>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0" w:right="79"/>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1"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高鸿亿利 </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1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3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1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3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1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3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大唐融合 信息服务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57,287,07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-21,953.6</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57,265,11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贵州大数 据旅游产</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14,040,33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334,518.7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14,374,85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12"/>
        <w:gridCol w:w="850"/>
        <w:gridCol w:w="833"/>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业股份有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7,734,105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-320,617.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7,413,487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大唐金康</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（长葛） 科技产业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海南大唐 发控股权 投资基金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5,634,563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940,379.5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6,574,942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盛唐威讯 数媒科技</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（北京）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847,843.1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-73,310.5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774,532.6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北京兴鸿 达物业管 理服务有 限责任公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221,042.4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-9,388.80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211,653.6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大唐同威 投资管理</w:t>
            </w:r>
          </w:p>
          <w:p>
            <w:pPr>
              <w:pStyle w:val="TableParagraph"/>
              <w:spacing w:line="319" w:lineRule="auto" w:before="19"/>
              <w:ind w:left="22" w:right="41"/>
              <w:jc w:val="left"/>
              <w:rPr>
                <w:rFonts w:ascii="宋体" w:hAnsi="宋体" w:cs="宋体" w:eastAsia="宋体" w:hint="default"/>
                <w:sz w:val="18"/>
                <w:szCs w:val="18"/>
              </w:rPr>
            </w:pPr>
            <w:r>
              <w:rPr>
                <w:rFonts w:ascii="宋体" w:hAnsi="宋体" w:cs="宋体" w:eastAsia="宋体" w:hint="default"/>
                <w:sz w:val="18"/>
                <w:szCs w:val="18"/>
              </w:rPr>
              <w:t>（深圳）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3,181,431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130,153.9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-874,720.0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2,436,865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中产投科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108,584.8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15,108,58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深圳大唐 高鸿信息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-45,360.9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979,639.1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大唐融合</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（贵阳）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140,890.2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140,890.2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91,946,39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1,043,005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-874,720.0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13,165,89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147,280,5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69.33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12"/>
        <w:gridCol w:w="850"/>
        <w:gridCol w:w="833"/>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91,946,39</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1,043,005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-874,720.0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6"/>
              <w:ind w:left="486"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13,165,89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152,280,5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69.33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319" w:lineRule="auto" w:before="116"/>
        <w:ind w:left="154" w:right="1132" w:firstLine="283"/>
        <w:jc w:val="both"/>
        <w:rPr>
          <w:rFonts w:ascii="宋体" w:hAnsi="宋体" w:cs="宋体" w:eastAsia="宋体" w:hint="default"/>
          <w:sz w:val="18"/>
          <w:szCs w:val="18"/>
        </w:rPr>
      </w:pPr>
      <w:r>
        <w:rPr>
          <w:rFonts w:ascii="宋体" w:hAnsi="宋体" w:cs="宋体" w:eastAsia="宋体" w:hint="default"/>
          <w:spacing w:val="-2"/>
          <w:sz w:val="18"/>
          <w:szCs w:val="18"/>
        </w:rPr>
        <w:t>公司于</w:t>
      </w:r>
      <w:r>
        <w:rPr>
          <w:rFonts w:ascii="宋体" w:hAnsi="宋体" w:cs="宋体" w:eastAsia="宋体" w:hint="default"/>
          <w:spacing w:val="-2"/>
          <w:sz w:val="18"/>
          <w:szCs w:val="18"/>
        </w:rPr>
        <w:t>2017</w:t>
      </w:r>
      <w:r>
        <w:rPr>
          <w:rFonts w:ascii="宋体" w:hAnsi="宋体" w:cs="宋体" w:eastAsia="宋体" w:hint="default"/>
          <w:spacing w:val="-2"/>
          <w:sz w:val="18"/>
          <w:szCs w:val="18"/>
        </w:rPr>
        <w:t>年</w:t>
      </w:r>
      <w:r>
        <w:rPr>
          <w:rFonts w:ascii="宋体" w:hAnsi="宋体" w:cs="宋体" w:eastAsia="宋体" w:hint="default"/>
          <w:spacing w:val="-2"/>
          <w:sz w:val="18"/>
          <w:szCs w:val="18"/>
        </w:rPr>
        <w:t>12</w:t>
      </w:r>
      <w:r>
        <w:rPr>
          <w:rFonts w:ascii="宋体" w:hAnsi="宋体" w:cs="宋体" w:eastAsia="宋体" w:hint="default"/>
          <w:spacing w:val="-2"/>
          <w:sz w:val="18"/>
          <w:szCs w:val="18"/>
        </w:rPr>
        <w:t>月</w:t>
      </w:r>
      <w:r>
        <w:rPr>
          <w:rFonts w:ascii="宋体" w:hAnsi="宋体" w:cs="宋体" w:eastAsia="宋体" w:hint="default"/>
          <w:spacing w:val="-2"/>
          <w:sz w:val="18"/>
          <w:szCs w:val="18"/>
        </w:rPr>
        <w:t>15</w:t>
      </w:r>
      <w:r>
        <w:rPr>
          <w:rFonts w:ascii="宋体" w:hAnsi="宋体" w:cs="宋体" w:eastAsia="宋体" w:hint="default"/>
          <w:spacing w:val="-2"/>
          <w:sz w:val="18"/>
          <w:szCs w:val="18"/>
        </w:rPr>
        <w:t>日签署中产投信息服务有限公司（筹）出资协议，认缴出资额</w:t>
      </w:r>
      <w:r>
        <w:rPr>
          <w:rFonts w:ascii="宋体" w:hAnsi="宋体" w:cs="宋体" w:eastAsia="宋体" w:hint="default"/>
          <w:spacing w:val="-2"/>
          <w:sz w:val="18"/>
          <w:szCs w:val="18"/>
        </w:rPr>
        <w:t>1500.00</w:t>
      </w:r>
      <w:r>
        <w:rPr>
          <w:rFonts w:ascii="宋体" w:hAnsi="宋体" w:cs="宋体" w:eastAsia="宋体" w:hint="default"/>
          <w:spacing w:val="-2"/>
          <w:sz w:val="18"/>
          <w:szCs w:val="18"/>
        </w:rPr>
        <w:t>万元，占注册资本的</w:t>
      </w:r>
      <w:r>
        <w:rPr>
          <w:rFonts w:ascii="宋体" w:hAnsi="宋体" w:cs="宋体" w:eastAsia="宋体" w:hint="default"/>
          <w:spacing w:val="-2"/>
          <w:sz w:val="18"/>
          <w:szCs w:val="18"/>
        </w:rPr>
        <w:t>12.96%</w:t>
      </w:r>
      <w:r>
        <w:rPr>
          <w:rFonts w:ascii="宋体" w:hAnsi="宋体" w:cs="宋体" w:eastAsia="宋体" w:hint="default"/>
          <w:spacing w:val="-2"/>
          <w:sz w:val="18"/>
          <w:szCs w:val="18"/>
        </w:rPr>
        <w:t>，</w:t>
      </w:r>
      <w:r>
        <w:rPr>
          <w:rFonts w:ascii="宋体" w:hAnsi="宋体" w:cs="宋体" w:eastAsia="宋体" w:hint="default"/>
          <w:sz w:val="18"/>
          <w:szCs w:val="18"/>
        </w:rPr>
        <w:t> 公司选派一名董事。</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月，公司完成上述出资。</w:t>
      </w:r>
    </w:p>
    <w:p>
      <w:pPr>
        <w:spacing w:line="316" w:lineRule="auto" w:before="17"/>
        <w:ind w:left="154" w:right="1130" w:firstLine="283"/>
        <w:jc w:val="both"/>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日，公司子公司大唐高鸿通信技术有限公司处置其子公司深圳大唐高鸿信息技术有限公司</w:t>
      </w:r>
      <w:r>
        <w:rPr>
          <w:rFonts w:ascii="宋体" w:hAnsi="宋体" w:cs="宋体" w:eastAsia="宋体" w:hint="default"/>
          <w:sz w:val="18"/>
          <w:szCs w:val="18"/>
        </w:rPr>
        <w:t>80%</w:t>
      </w:r>
      <w:r>
        <w:rPr>
          <w:rFonts w:ascii="宋体" w:hAnsi="宋体" w:cs="宋体" w:eastAsia="宋体" w:hint="default"/>
          <w:sz w:val="18"/>
          <w:szCs w:val="18"/>
        </w:rPr>
        <w:t>股权，取得股 权处置款</w:t>
      </w:r>
      <w:r>
        <w:rPr>
          <w:rFonts w:ascii="宋体" w:hAnsi="宋体" w:cs="宋体" w:eastAsia="宋体" w:hint="default"/>
          <w:sz w:val="18"/>
          <w:szCs w:val="18"/>
        </w:rPr>
        <w:t>410.00</w:t>
      </w:r>
      <w:r>
        <w:rPr>
          <w:rFonts w:ascii="宋体" w:hAnsi="宋体" w:cs="宋体" w:eastAsia="宋体" w:hint="default"/>
          <w:sz w:val="18"/>
          <w:szCs w:val="18"/>
        </w:rPr>
        <w:t>万元，丧失控制权后，剩余</w:t>
      </w:r>
      <w:r>
        <w:rPr>
          <w:rFonts w:ascii="宋体" w:hAnsi="宋体" w:cs="宋体" w:eastAsia="宋体" w:hint="default"/>
          <w:sz w:val="18"/>
          <w:szCs w:val="18"/>
        </w:rPr>
        <w:t>20%</w:t>
      </w:r>
      <w:r>
        <w:rPr>
          <w:rFonts w:ascii="宋体" w:hAnsi="宋体" w:cs="宋体" w:eastAsia="宋体" w:hint="default"/>
          <w:sz w:val="18"/>
          <w:szCs w:val="18"/>
        </w:rPr>
        <w:t>股权公允价值</w:t>
      </w:r>
      <w:r>
        <w:rPr>
          <w:rFonts w:ascii="宋体" w:hAnsi="宋体" w:cs="宋体" w:eastAsia="宋体" w:hint="default"/>
          <w:sz w:val="18"/>
          <w:szCs w:val="18"/>
        </w:rPr>
        <w:t>102.50</w:t>
      </w:r>
      <w:r>
        <w:rPr>
          <w:rFonts w:ascii="宋体" w:hAnsi="宋体" w:cs="宋体" w:eastAsia="宋体" w:hint="default"/>
          <w:sz w:val="18"/>
          <w:szCs w:val="18"/>
        </w:rPr>
        <w:t>万元。</w:t>
      </w:r>
    </w:p>
    <w:p>
      <w:pPr>
        <w:spacing w:line="316" w:lineRule="auto" w:before="19"/>
        <w:ind w:left="154" w:right="1130" w:firstLine="283"/>
        <w:jc w:val="both"/>
        <w:rPr>
          <w:rFonts w:ascii="宋体" w:hAnsi="宋体" w:cs="宋体" w:eastAsia="宋体" w:hint="default"/>
          <w:sz w:val="18"/>
          <w:szCs w:val="18"/>
        </w:rPr>
      </w:pPr>
      <w:r>
        <w:rPr>
          <w:rFonts w:ascii="宋体" w:hAnsi="宋体" w:cs="宋体" w:eastAsia="宋体" w:hint="default"/>
          <w:spacing w:val="-1"/>
          <w:sz w:val="18"/>
          <w:szCs w:val="18"/>
        </w:rPr>
        <w:t>公司第八届董事会第十七次会议审议通过了《关于公司下属公司投资设立合资公司的议案》，同意公司下属子公司大唐</w:t>
      </w:r>
      <w:r>
        <w:rPr>
          <w:rFonts w:ascii="宋体" w:hAnsi="宋体" w:cs="宋体" w:eastAsia="宋体" w:hint="default"/>
          <w:sz w:val="18"/>
          <w:szCs w:val="18"/>
        </w:rPr>
        <w:t> </w:t>
      </w:r>
      <w:r>
        <w:rPr>
          <w:rFonts w:ascii="宋体" w:hAnsi="宋体" w:cs="宋体" w:eastAsia="宋体" w:hint="default"/>
          <w:spacing w:val="-2"/>
          <w:sz w:val="18"/>
          <w:szCs w:val="18"/>
        </w:rPr>
        <w:t>高鸿信息技术有限公司与</w:t>
      </w:r>
      <w:r>
        <w:rPr>
          <w:rFonts w:ascii="宋体" w:hAnsi="宋体" w:cs="宋体" w:eastAsia="宋体" w:hint="default"/>
          <w:spacing w:val="-2"/>
          <w:sz w:val="18"/>
          <w:szCs w:val="18"/>
        </w:rPr>
        <w:t>IDC</w:t>
      </w:r>
      <w:r>
        <w:rPr>
          <w:rFonts w:ascii="宋体" w:hAnsi="宋体" w:cs="宋体" w:eastAsia="宋体" w:hint="default"/>
          <w:spacing w:val="-2"/>
          <w:sz w:val="18"/>
          <w:szCs w:val="18"/>
        </w:rPr>
        <w:t>运营商</w:t>
      </w:r>
      <w:r>
        <w:rPr>
          <w:rFonts w:ascii="宋体" w:hAnsi="宋体" w:cs="宋体" w:eastAsia="宋体" w:hint="default"/>
          <w:spacing w:val="-2"/>
          <w:sz w:val="18"/>
          <w:szCs w:val="18"/>
        </w:rPr>
        <w:t>EquinixInc.</w:t>
      </w:r>
      <w:r>
        <w:rPr>
          <w:rFonts w:ascii="宋体" w:hAnsi="宋体" w:cs="宋体" w:eastAsia="宋体" w:hint="default"/>
          <w:spacing w:val="-2"/>
          <w:sz w:val="18"/>
          <w:szCs w:val="18"/>
        </w:rPr>
        <w:t>子公司</w:t>
      </w:r>
      <w:r>
        <w:rPr>
          <w:rFonts w:ascii="宋体" w:hAnsi="宋体" w:cs="宋体" w:eastAsia="宋体" w:hint="default"/>
          <w:spacing w:val="-2"/>
          <w:sz w:val="18"/>
          <w:szCs w:val="18"/>
        </w:rPr>
        <w:t>EquinixHongKongLimited</w:t>
      </w:r>
      <w:r>
        <w:rPr>
          <w:rFonts w:ascii="宋体" w:hAnsi="宋体" w:cs="宋体" w:eastAsia="宋体" w:hint="default"/>
          <w:spacing w:val="-2"/>
          <w:sz w:val="18"/>
          <w:szCs w:val="18"/>
        </w:rPr>
        <w:t>共同出资设立合资公司，注册资本</w:t>
      </w:r>
      <w:r>
        <w:rPr>
          <w:rFonts w:ascii="宋体" w:hAnsi="宋体" w:cs="宋体" w:eastAsia="宋体" w:hint="default"/>
          <w:spacing w:val="-2"/>
          <w:sz w:val="18"/>
          <w:szCs w:val="18"/>
        </w:rPr>
        <w:t>1,000.00</w:t>
      </w:r>
      <w:r>
        <w:rPr>
          <w:rFonts w:ascii="宋体" w:hAnsi="宋体" w:cs="宋体" w:eastAsia="宋体" w:hint="default"/>
          <w:spacing w:val="-20"/>
          <w:sz w:val="18"/>
          <w:szCs w:val="18"/>
        </w:rPr>
        <w:t> </w:t>
      </w:r>
      <w:r>
        <w:rPr>
          <w:rFonts w:ascii="宋体" w:hAnsi="宋体" w:cs="宋体" w:eastAsia="宋体" w:hint="default"/>
          <w:sz w:val="18"/>
          <w:szCs w:val="18"/>
        </w:rPr>
        <w:t>万元，分别持有</w:t>
      </w:r>
      <w:r>
        <w:rPr>
          <w:rFonts w:ascii="宋体" w:hAnsi="宋体" w:cs="宋体" w:eastAsia="宋体" w:hint="default"/>
          <w:sz w:val="18"/>
          <w:szCs w:val="18"/>
        </w:rPr>
        <w:t>50%</w:t>
      </w:r>
      <w:r>
        <w:rPr>
          <w:rFonts w:ascii="宋体" w:hAnsi="宋体" w:cs="宋体" w:eastAsia="宋体" w:hint="default"/>
          <w:sz w:val="18"/>
          <w:szCs w:val="18"/>
        </w:rPr>
        <w:t>股权。</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月，合资公司完成工商注册登记手续，同年</w:t>
      </w:r>
      <w:r>
        <w:rPr>
          <w:rFonts w:ascii="宋体" w:hAnsi="宋体" w:cs="宋体" w:eastAsia="宋体" w:hint="default"/>
          <w:sz w:val="18"/>
          <w:szCs w:val="18"/>
        </w:rPr>
        <w:t>12</w:t>
      </w:r>
      <w:r>
        <w:rPr>
          <w:rFonts w:ascii="宋体" w:hAnsi="宋体" w:cs="宋体" w:eastAsia="宋体" w:hint="default"/>
          <w:sz w:val="18"/>
          <w:szCs w:val="18"/>
        </w:rPr>
        <w:t>月，子公司大唐高鸿信息技术有限公司缴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付出资款</w:t>
      </w:r>
      <w:r>
        <w:rPr>
          <w:rFonts w:ascii="宋体" w:hAnsi="宋体" w:cs="宋体" w:eastAsia="宋体" w:hint="default"/>
          <w:sz w:val="18"/>
          <w:szCs w:val="18"/>
        </w:rPr>
        <w:t>500.00</w:t>
      </w:r>
      <w:r>
        <w:rPr>
          <w:rFonts w:ascii="宋体" w:hAnsi="宋体" w:cs="宋体" w:eastAsia="宋体" w:hint="default"/>
          <w:sz w:val="18"/>
          <w:szCs w:val="18"/>
        </w:rPr>
        <w:t>万元。</w:t>
      </w:r>
    </w:p>
    <w:p>
      <w:pPr>
        <w:spacing w:line="316" w:lineRule="auto" w:before="19"/>
        <w:ind w:left="154" w:right="1129" w:firstLine="283"/>
        <w:jc w:val="both"/>
        <w:rPr>
          <w:rFonts w:ascii="宋体" w:hAnsi="宋体" w:cs="宋体" w:eastAsia="宋体" w:hint="default"/>
          <w:sz w:val="18"/>
          <w:szCs w:val="18"/>
        </w:rPr>
      </w:pPr>
      <w:r>
        <w:rPr>
          <w:rFonts w:ascii="宋体" w:hAnsi="宋体" w:cs="宋体" w:eastAsia="宋体" w:hint="default"/>
          <w:sz w:val="18"/>
          <w:szCs w:val="18"/>
        </w:rPr>
        <w:t>公司第八届董事会第二十一次会议审议并通过了《关于公司参与大唐融合（河南）信息服务有限公司增资并签署相关协 </w:t>
      </w:r>
      <w:r>
        <w:rPr>
          <w:rFonts w:ascii="宋体" w:hAnsi="宋体" w:cs="宋体" w:eastAsia="宋体" w:hint="default"/>
          <w:spacing w:val="-7"/>
          <w:sz w:val="18"/>
          <w:szCs w:val="18"/>
        </w:rPr>
        <w:t>议的议案》，</w:t>
      </w:r>
      <w:r>
        <w:rPr>
          <w:rFonts w:ascii="宋体" w:hAnsi="宋体" w:cs="宋体" w:eastAsia="宋体" w:hint="default"/>
          <w:spacing w:val="-7"/>
          <w:sz w:val="18"/>
          <w:szCs w:val="18"/>
        </w:rPr>
        <w:t>2018</w:t>
      </w:r>
      <w:r>
        <w:rPr>
          <w:rFonts w:ascii="宋体" w:hAnsi="宋体" w:cs="宋体" w:eastAsia="宋体" w:hint="default"/>
          <w:spacing w:val="-7"/>
          <w:sz w:val="18"/>
          <w:szCs w:val="18"/>
        </w:rPr>
        <w:t>年</w:t>
      </w:r>
      <w:r>
        <w:rPr>
          <w:rFonts w:ascii="宋体" w:hAnsi="宋体" w:cs="宋体" w:eastAsia="宋体" w:hint="default"/>
          <w:spacing w:val="-7"/>
          <w:sz w:val="18"/>
          <w:szCs w:val="18"/>
        </w:rPr>
        <w:t>12</w:t>
      </w:r>
      <w:r>
        <w:rPr>
          <w:rFonts w:ascii="宋体" w:hAnsi="宋体" w:cs="宋体" w:eastAsia="宋体" w:hint="default"/>
          <w:spacing w:val="-7"/>
          <w:sz w:val="18"/>
          <w:szCs w:val="18"/>
        </w:rPr>
        <w:t>月，公司及外部股东以每股</w:t>
      </w:r>
      <w:r>
        <w:rPr>
          <w:rFonts w:ascii="宋体" w:hAnsi="宋体" w:cs="宋体" w:eastAsia="宋体" w:hint="default"/>
          <w:spacing w:val="-7"/>
          <w:sz w:val="18"/>
          <w:szCs w:val="18"/>
        </w:rPr>
        <w:t>1.2</w:t>
      </w:r>
      <w:r>
        <w:rPr>
          <w:rFonts w:ascii="宋体" w:hAnsi="宋体" w:cs="宋体" w:eastAsia="宋体" w:hint="default"/>
          <w:spacing w:val="-7"/>
          <w:sz w:val="18"/>
          <w:szCs w:val="18"/>
        </w:rPr>
        <w:t>元对大唐融合（河南）信息服务有限公司增资，其中本公司增资</w:t>
      </w:r>
      <w:r>
        <w:rPr>
          <w:rFonts w:ascii="宋体" w:hAnsi="宋体" w:cs="宋体" w:eastAsia="宋体" w:hint="default"/>
          <w:spacing w:val="-7"/>
          <w:sz w:val="18"/>
          <w:szCs w:val="18"/>
        </w:rPr>
        <w:t>3,000.00.</w:t>
      </w:r>
      <w:r>
        <w:rPr>
          <w:rFonts w:ascii="宋体" w:hAnsi="宋体" w:cs="宋体" w:eastAsia="宋体" w:hint="default"/>
          <w:spacing w:val="-81"/>
          <w:sz w:val="18"/>
          <w:szCs w:val="18"/>
        </w:rPr>
        <w:t> </w:t>
      </w:r>
      <w:r>
        <w:rPr>
          <w:rFonts w:ascii="宋体" w:hAnsi="宋体" w:cs="宋体" w:eastAsia="宋体" w:hint="default"/>
          <w:sz w:val="18"/>
          <w:szCs w:val="18"/>
        </w:rPr>
        <w:t>万元。完成上述交易后，公司及下属子公司大唐融合通信技术股份有限公司合计对其持股比例为</w:t>
      </w:r>
      <w:r>
        <w:rPr>
          <w:rFonts w:ascii="宋体" w:hAnsi="宋体" w:cs="宋体" w:eastAsia="宋体" w:hint="default"/>
          <w:sz w:val="18"/>
          <w:szCs w:val="18"/>
        </w:rPr>
        <w:t>35%</w:t>
      </w:r>
      <w:r>
        <w:rPr>
          <w:rFonts w:ascii="宋体" w:hAnsi="宋体" w:cs="宋体" w:eastAsia="宋体" w:hint="default"/>
          <w:sz w:val="18"/>
          <w:szCs w:val="18"/>
        </w:rPr>
        <w:t>，丧失控制权后，剩余</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股权公允价值</w:t>
      </w:r>
      <w:r>
        <w:rPr>
          <w:rFonts w:ascii="宋体" w:hAnsi="宋体" w:cs="宋体" w:eastAsia="宋体" w:hint="default"/>
          <w:sz w:val="18"/>
          <w:szCs w:val="18"/>
        </w:rPr>
        <w:t>1,200.00</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15、投资性房地产" w:id="281"/>
      <w:bookmarkEnd w:id="2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82"/>
      <w:bookmarkEnd w:id="28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352,009,328.48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352,009,328.48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63,972,699.74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63,972,699.74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63,972,699.74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63,972,699.74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415,982,028.22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415,982,028.22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51,992,118.31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51,992,118.31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9,010,708.08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9,010,708.08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9,010,708.08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9,010,708.08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61,002,826.39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61,002,826.39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354,979,201.83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354,979,201.83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300,017,210.17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300,017,210.17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83"/>
      <w:bookmarkEnd w:id="28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84"/>
      <w:bookmarkEnd w:id="28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6、固定资产" w:id="285"/>
      <w:bookmarkEnd w:id="28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5"/>
        <w:gridCol w:w="3188"/>
        <w:gridCol w:w="3176"/>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188"/>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109,022,664.53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102,543,604.40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109,022,664.53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102,543,604.40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86"/>
      <w:bookmarkEnd w:id="28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98" w:right="47" w:hanging="451"/>
              <w:jc w:val="left"/>
              <w:rPr>
                <w:rFonts w:ascii="宋体" w:hAnsi="宋体" w:cs="宋体" w:eastAsia="宋体" w:hint="default"/>
                <w:sz w:val="18"/>
                <w:szCs w:val="18"/>
              </w:rPr>
            </w:pPr>
            <w:r>
              <w:rPr>
                <w:rFonts w:ascii="宋体" w:hAnsi="宋体" w:cs="宋体" w:eastAsia="宋体" w:hint="default"/>
                <w:sz w:val="18"/>
                <w:szCs w:val="18"/>
              </w:rPr>
              <w:t>办公设备及管理 用具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62,519,129.07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59,857,011.95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99,980,983.76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7,172,111.59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11,446,265.82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240,975,502.19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19,799,772.91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122,416.90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9,225,382.69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526,510.00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2,902,376.59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32,576,459.09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122,416.90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9,225,382.69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526,510.00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2,902,376.59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12,776,686.18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19,799,772.91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19,799,772.91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142,574.37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20,477,020.97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330,971.63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5,441,230.15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26,391,797.12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22,617.47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11,861,705.75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1,824,927.67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13,709,250.89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119,956.90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8,615,315.22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330,971.63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3,616,302.48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12,682,546.23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82,318,901.98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59,836,854.48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88,729,345.48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7,367,649.96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8,907,412.26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247,160,164.16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2,248,081.95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55,876,222.22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68,205,937.87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4,906,339.25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6,954,602.80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138,191,184.09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1,984,678.21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736,718.29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10,233,045.95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602,999.32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791,884.13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14,349,325.90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1,984,678.21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736,718.29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10,233,045.95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602,999.32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791,884.13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14,349,325.90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21,465.34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13,158,056.86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158,940.97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2,118,764.63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15,457,227.80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21,465.34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11,330,510.10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1,714,156.28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13,066,131.72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1,827,546.76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158,940.97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404,608.35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2,391,096.08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4,232,760.16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56,591,475.17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65,280,926.96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5,350,397.60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5,627,722.30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137,083,282.19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240,713.70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240,713.70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633,445.76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185,327.48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818,773.24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633,445.76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185,327.48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818,773.24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5,269.50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5,269.50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5,269.50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868,889.96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185,327.48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1,054,217.44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78,086,141.82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3,245,379.31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22,579,528.56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2,017,252.36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3,094,362.48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109,022,664.53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60,271,047.12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3,980,789.73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31,534,332.19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2,265,772.34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4,491,663.02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102,543,604.40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87"/>
      <w:bookmarkEnd w:id="28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88"/>
      <w:bookmarkEnd w:id="28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89"/>
      <w:bookmarkEnd w:id="28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办妥产权证书的固定资产情况" w:id="290"/>
      <w:bookmarkEnd w:id="29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固定资产清理" w:id="291"/>
      <w:bookmarkEnd w:id="291"/>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在建工程" w:id="292"/>
      <w:bookmarkEnd w:id="2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512,481.99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212,656,275.71</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512,481.99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212,656,275.71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93"/>
      <w:bookmarkEnd w:id="29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花溪慧谷物联网 和大数据产业园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199,380,426.41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199,380,426.41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大唐高鸿电子信 息产业园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13,232,121.72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13,232,121.72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融合装修项目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43,727.58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43,727.58</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大唐高鸿电子信 息产业园二期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512,481.99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512,481.99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512,481.99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512,481.99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212,656,275.71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212,656,275.71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94"/>
      <w:bookmarkEnd w:id="29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花溪慧 谷物联 网和大 数据产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770,000,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199,380,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426.41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199,380,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426.41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大唐高</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center"/>
              <w:rPr>
                <w:rFonts w:ascii="Times New Roman" w:hAnsi="Times New Roman" w:cs="Times New Roman" w:eastAsia="Times New Roman" w:hint="default"/>
                <w:sz w:val="18"/>
                <w:szCs w:val="18"/>
              </w:rPr>
            </w:pPr>
            <w:r>
              <w:rPr>
                <w:rFonts w:ascii="Times New Roman"/>
                <w:sz w:val="18"/>
              </w:rPr>
              <w:t>378,000,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13,232,1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6,567,65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19,799,7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98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9"/>
              <w:jc w:val="both"/>
              <w:rPr>
                <w:rFonts w:ascii="宋体" w:hAnsi="宋体" w:cs="宋体" w:eastAsia="宋体" w:hint="default"/>
                <w:sz w:val="18"/>
                <w:szCs w:val="18"/>
              </w:rPr>
            </w:pPr>
            <w:r>
              <w:rPr>
                <w:rFonts w:ascii="宋体" w:hAnsi="宋体" w:cs="宋体" w:eastAsia="宋体" w:hint="default"/>
                <w:sz w:val="18"/>
                <w:szCs w:val="18"/>
              </w:rPr>
              <w:t>鸿电子 信息产 业园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8"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9" w:right="0"/>
              <w:jc w:val="left"/>
              <w:rPr>
                <w:rFonts w:ascii="Times New Roman" w:hAnsi="Times New Roman" w:cs="Times New Roman" w:eastAsia="Times New Roman" w:hint="default"/>
                <w:sz w:val="18"/>
                <w:szCs w:val="18"/>
              </w:rPr>
            </w:pPr>
            <w:r>
              <w:rPr>
                <w:rFonts w:ascii="Times New Roman"/>
                <w:sz w:val="18"/>
              </w:rPr>
              <w:t>21.72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1.19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8" w:right="0"/>
              <w:jc w:val="left"/>
              <w:rPr>
                <w:rFonts w:ascii="Times New Roman" w:hAnsi="Times New Roman" w:cs="Times New Roman" w:eastAsia="Times New Roman" w:hint="default"/>
                <w:sz w:val="18"/>
                <w:szCs w:val="18"/>
              </w:rPr>
            </w:pPr>
            <w:r>
              <w:rPr>
                <w:rFonts w:ascii="Times New Roman"/>
                <w:sz w:val="18"/>
              </w:rPr>
              <w:t>72.91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1,148,00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212,612,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548.13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6,567,65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19,799,7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72.91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199,380,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426.41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95"/>
      <w:bookmarkEnd w:id="29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工程物资" w:id="296"/>
      <w:bookmarkEnd w:id="296"/>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8、生产性生物资产" w:id="297"/>
      <w:bookmarkEnd w:id="297"/>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98"/>
      <w:bookmarkEnd w:id="29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99"/>
      <w:bookmarkEnd w:id="29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9、油气资产" w:id="300"/>
      <w:bookmarkEnd w:id="300"/>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0、无形资产" w:id="301"/>
      <w:bookmarkEnd w:id="301"/>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302"/>
      <w:bookmarkEnd w:id="30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966"/>
        <w:gridCol w:w="1103"/>
        <w:gridCol w:w="989"/>
        <w:gridCol w:w="1181"/>
        <w:gridCol w:w="1182"/>
        <w:gridCol w:w="1091"/>
        <w:gridCol w:w="990"/>
        <w:gridCol w:w="1001"/>
        <w:gridCol w:w="1181"/>
      </w:tblGrid>
      <w:tr>
        <w:trPr>
          <w:trHeight w:val="402"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非专利技术</w:t>
            </w:r>
          </w:p>
        </w:tc>
        <w:tc>
          <w:tcPr>
            <w:tcW w:w="1182"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软件</w:t>
            </w:r>
          </w:p>
        </w:tc>
        <w:tc>
          <w:tcPr>
            <w:tcW w:w="10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著作权</w:t>
            </w:r>
          </w:p>
        </w:tc>
        <w:tc>
          <w:tcPr>
            <w:tcW w:w="9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特许权</w:t>
            </w:r>
          </w:p>
        </w:tc>
        <w:tc>
          <w:tcPr>
            <w:tcW w:w="100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2"/>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103" w:type="dxa"/>
            <w:tcBorders>
              <w:top w:val="single" w:sz="4" w:space="0" w:color="000000"/>
              <w:left w:val="single" w:sz="13" w:space="0" w:color="D2D2D2"/>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25,494,667.95</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114,403,366.24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408,389,078.46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15,985,936.36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760,000.00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6,680,411.52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571,713,460.53</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989"/>
        <w:gridCol w:w="1091"/>
        <w:gridCol w:w="989"/>
        <w:gridCol w:w="1181"/>
        <w:gridCol w:w="1182"/>
        <w:gridCol w:w="1091"/>
        <w:gridCol w:w="990"/>
        <w:gridCol w:w="1001"/>
        <w:gridCol w:w="1181"/>
      </w:tblGrid>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120,772,939.15</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120,772,939.15</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76,801,029.76</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76,801,029.76</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）内部研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发</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43,971,909.39</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43,971,909.39</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）企业合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并增加</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11,700,000.00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10,563,677.11</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22,263,677.11</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11,700,000.00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11,700,000.00</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10,563,677.11</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10,563,677.11</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25,494,667.95</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102,703,366.24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518,598,340.50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15,985,936.36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6,680,411.52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670,222,722.57</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二、累计摊 销</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2,402,484.98</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37,092,366.40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130,051,010.46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5,400,941.99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4,936,009.69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180,615,313.52</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509,893.44</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11,339,571.82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41,312,861.28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1,652,156.52</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3,589.75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54,824,072.81</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509,893.44</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11,339,571.82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41,312,861.28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1,652,156.52</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3,589.75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54,824,072.81</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4,903,333.34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1,370,436.34</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6,273,769.68</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4,903,333.34</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4,903,333.34</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1,370,436.34</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1,370,436.34</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2,912,378.42</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43,528,604.88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169,993,435.40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7,053,098.51</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4,939,599.44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229,165,616.65</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三、减值准 备</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9,958,333.50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22,853,330.83</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1,740,812.08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34,552,476.41</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5,999,535.69</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5,999,535.69</w:t>
            </w: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5,999,535.69</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5,999,535.69</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9,958,333.50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28,852,866.52</w:t>
            </w: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1,740,812.08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40,552,012.10</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109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22,582,289.53</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49,216,427.86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319,752,038.58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8,932,837.85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21,500.00</w:t>
            </w:r>
          </w:p>
        </w:tc>
        <w:tc>
          <w:tcPr>
            <w:tcW w:w="100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400,505,093.82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989"/>
        <w:gridCol w:w="1091"/>
        <w:gridCol w:w="989"/>
        <w:gridCol w:w="1181"/>
        <w:gridCol w:w="1182"/>
        <w:gridCol w:w="1091"/>
        <w:gridCol w:w="990"/>
        <w:gridCol w:w="1001"/>
        <w:gridCol w:w="1181"/>
      </w:tblGrid>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23,092,182.97</w:t>
            </w:r>
          </w:p>
        </w:tc>
        <w:tc>
          <w:tcPr>
            <w:tcW w:w="98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67,352,666.34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255,484,737.17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10,584,994.37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27,500.00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3,589.75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356,545,670.60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31.16%</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303"/>
      <w:bookmarkEnd w:id="30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1、开发支出" w:id="304"/>
      <w:bookmarkEnd w:id="304"/>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LTE-V</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车载</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短距离通信 技术研发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35,272,038.2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15,786,783.2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51,058,821.4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可信云计算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21,804,131.4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5,560,311.53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27,364,442.9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CCPS3.1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3,188,110.01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344,598.22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3,532,708.23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智能制造执 行系统研发 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13,074,758.1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13,074,758.1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云计算安全 及服务系统 研发及应用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10,311,569.4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10,311,569.4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领券中心平 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10,054,738.2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10,054,738.2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智能语音离 线质检项目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11,240,481.6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11,240,481.6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合约加油平 台项目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3,301,235.35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3,301,235.35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智能坐席助 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3,134,552.26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351,156.65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2,783,395.61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掌上加油应 用版项目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2,747,468.88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2,747,468.88</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智能实时质 检机器人项</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4,557,678.31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4,557,678.31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4"/>
              <w:jc w:val="left"/>
              <w:rPr>
                <w:rFonts w:ascii="宋体" w:hAnsi="宋体" w:cs="宋体" w:eastAsia="宋体" w:hint="default"/>
                <w:sz w:val="18"/>
                <w:szCs w:val="18"/>
              </w:rPr>
            </w:pPr>
            <w:r>
              <w:rPr>
                <w:rFonts w:ascii="Times New Roman" w:hAnsi="Times New Roman" w:cs="Times New Roman" w:eastAsia="Times New Roman" w:hint="default"/>
                <w:sz w:val="18"/>
                <w:szCs w:val="18"/>
              </w:rPr>
              <w:t>DSS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大数据 治理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3,926,191.42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3,926,191.42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基于大数据 的移动新媒 体出版融合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3,689,320.40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3,689,320.40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生产信息管 理系统软件 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2,859,773.17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2,859,773.17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集客研发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2,599,806.83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2,599,806.83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VCC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畅语云</w:t>
            </w:r>
            <w:r>
              <w:rPr>
                <w:rFonts w:ascii="宋体" w:hAnsi="宋体" w:cs="宋体" w:eastAsia="宋体" w:hint="default"/>
                <w:w w:val="99"/>
                <w:sz w:val="18"/>
                <w:szCs w:val="18"/>
              </w:rPr>
              <w:t> </w:t>
            </w:r>
            <w:r>
              <w:rPr>
                <w:rFonts w:ascii="宋体" w:hAnsi="宋体" w:cs="宋体" w:eastAsia="宋体" w:hint="default"/>
                <w:sz w:val="18"/>
                <w:szCs w:val="18"/>
              </w:rPr>
              <w:t>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1,460,330.39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1,460,330.39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基于互联网 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打印制 造创新应用 云服务平台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1,428,493.13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1,428,493.13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企业信息化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1,225,816.15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1,225,816.15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电子围栏系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840,674.83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840,674.83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高速能平台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589,155.82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589,155.82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基地信息化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181,829.69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181,829.69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73,339,037.8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85,840,809.0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43,971,909.3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23,710,226.7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91,497,710.6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bl>
    <w:p>
      <w:pPr>
        <w:spacing w:line="240" w:lineRule="auto" w:before="6"/>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商誉" w:id="305"/>
      <w:bookmarkEnd w:id="305"/>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306"/>
      <w:bookmarkEnd w:id="30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349,813,982.62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349,813,982.62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349,813,982.62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商誉减值准备" w:id="307"/>
      <w:bookmarkEnd w:id="30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56" w:lineRule="auto" w:before="89"/>
        <w:ind w:right="1130" w:firstLine="423"/>
        <w:jc w:val="both"/>
      </w:pPr>
      <w:r>
        <w:rPr/>
        <w:t>公司以被收购方北京高阳捷迅信息技术有限公司长期资产组合及相关业务做为资产组</w:t>
      </w:r>
      <w:r>
        <w:rPr>
          <w:rFonts w:ascii="Times New Roman" w:hAnsi="Times New Roman" w:cs="Times New Roman" w:eastAsia="Times New Roman" w:hint="default"/>
        </w:rPr>
        <w:t>,</w:t>
      </w:r>
      <w:r>
        <w:rPr/>
        <w:t>具体包含固定 资产、无形资产、开发支出等长期资产及相关业务。</w:t>
      </w:r>
    </w:p>
    <w:p>
      <w:pPr>
        <w:spacing w:line="240" w:lineRule="auto" w:before="0"/>
        <w:rPr>
          <w:rFonts w:ascii="宋体" w:hAnsi="宋体" w:cs="宋体" w:eastAsia="宋体" w:hint="default"/>
          <w:sz w:val="20"/>
          <w:szCs w:val="20"/>
        </w:rPr>
      </w:pPr>
    </w:p>
    <w:p>
      <w:pPr>
        <w:spacing w:line="319" w:lineRule="auto" w:before="139"/>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73" w:lineRule="auto" w:before="30"/>
        <w:ind w:right="1129" w:firstLine="423"/>
        <w:jc w:val="both"/>
      </w:pPr>
      <w:r>
        <w:rPr/>
        <w:t>本公司</w:t>
      </w:r>
      <w:r>
        <w:rPr>
          <w:rFonts w:ascii="宋体" w:hAnsi="宋体" w:cs="宋体" w:eastAsia="宋体" w:hint="default"/>
        </w:rPr>
        <w:t>2013</w:t>
      </w:r>
      <w:r>
        <w:rPr/>
        <w:t>年</w:t>
      </w:r>
      <w:r>
        <w:rPr>
          <w:rFonts w:ascii="宋体" w:hAnsi="宋体" w:cs="宋体" w:eastAsia="宋体" w:hint="default"/>
        </w:rPr>
        <w:t>7</w:t>
      </w:r>
      <w:r>
        <w:rPr/>
        <w:t>月收购北京高阳捷迅信息技术有限公司，形成商誉</w:t>
      </w:r>
      <w:r>
        <w:rPr>
          <w:rFonts w:ascii="宋体" w:hAnsi="宋体" w:cs="宋体" w:eastAsia="宋体" w:hint="default"/>
        </w:rPr>
        <w:t>349,813,982.62</w:t>
      </w:r>
      <w:r>
        <w:rPr/>
        <w:t>元。</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rFonts w:ascii="宋体" w:hAnsi="宋体" w:cs="宋体" w:eastAsia="宋体" w:hint="default"/>
          <w:spacing w:val="1"/>
        </w:rPr>
        <w:t> </w:t>
      </w:r>
      <w:r>
        <w:rPr>
          <w:spacing w:val="-1"/>
        </w:rPr>
        <w:t>日，公司对北京高阳捷迅信息技术有限公司包含商誉的资产组预计未来现金流量进行了预计（银信咨报字</w:t>
      </w:r>
    </w:p>
    <w:p>
      <w:pPr>
        <w:pStyle w:val="BodyText"/>
        <w:spacing w:line="273" w:lineRule="auto"/>
        <w:ind w:right="0"/>
        <w:jc w:val="left"/>
      </w:pPr>
      <w:r>
        <w:rPr/>
        <w:t>【</w:t>
      </w:r>
      <w:r>
        <w:rPr>
          <w:rFonts w:ascii="宋体" w:hAnsi="宋体" w:cs="宋体" w:eastAsia="宋体" w:hint="default"/>
        </w:rPr>
        <w:t>2019</w:t>
      </w:r>
      <w:r>
        <w:rPr/>
        <w:t>】沪第</w:t>
      </w:r>
      <w:r>
        <w:rPr>
          <w:rFonts w:ascii="宋体" w:hAnsi="宋体" w:cs="宋体" w:eastAsia="宋体" w:hint="default"/>
        </w:rPr>
        <w:t>509</w:t>
      </w:r>
      <w:r>
        <w:rPr/>
        <w:t>号资产估值报告），高于依据商誉资产组可辨认资产持续计算的公允价值与商誉之和，</w:t>
      </w:r>
      <w:r>
        <w:rPr>
          <w:spacing w:val="-37"/>
        </w:rPr>
        <w:t> </w:t>
      </w:r>
      <w:r>
        <w:rPr>
          <w:spacing w:val="-37"/>
        </w:rPr>
      </w:r>
      <w:r>
        <w:rPr/>
        <w:t>该商誉未发生减值。</w:t>
      </w:r>
    </w:p>
    <w:p>
      <w:pPr>
        <w:pStyle w:val="BodyText"/>
        <w:spacing w:line="273" w:lineRule="auto"/>
        <w:ind w:right="1133" w:firstLine="423"/>
        <w:jc w:val="both"/>
      </w:pPr>
      <w:r>
        <w:rPr>
          <w:spacing w:val="-1"/>
        </w:rPr>
        <w:t>本年度，本公司评估了资产组相关商誉的可收回金额，无需计提减值准备。资产组未来现金流量基于</w:t>
      </w:r>
      <w:r>
        <w:rPr/>
        <w:t> </w:t>
      </w:r>
      <w:r>
        <w:rPr>
          <w:spacing w:val="-1"/>
        </w:rPr>
        <w:t>被投资单位管理层批准的</w:t>
      </w:r>
      <w:r>
        <w:rPr>
          <w:rFonts w:ascii="宋体" w:hAnsi="宋体" w:cs="宋体" w:eastAsia="宋体" w:hint="default"/>
          <w:spacing w:val="-1"/>
        </w:rPr>
        <w:t>2019</w:t>
      </w:r>
      <w:r>
        <w:rPr>
          <w:spacing w:val="-1"/>
        </w:rPr>
        <w:t>年至</w:t>
      </w:r>
      <w:r>
        <w:rPr>
          <w:rFonts w:ascii="宋体" w:hAnsi="宋体" w:cs="宋体" w:eastAsia="宋体" w:hint="default"/>
          <w:spacing w:val="-1"/>
        </w:rPr>
        <w:t>2023</w:t>
      </w:r>
      <w:r>
        <w:rPr>
          <w:spacing w:val="-1"/>
        </w:rPr>
        <w:t>年的财务预算确定。所用折现率为反映资产组特定风险的的税前折</w:t>
      </w:r>
      <w:r>
        <w:rPr>
          <w:spacing w:val="-80"/>
        </w:rPr>
        <w:t> </w:t>
      </w:r>
      <w:r>
        <w:rPr>
          <w:spacing w:val="-80"/>
        </w:rPr>
      </w:r>
      <w:r>
        <w:rPr/>
        <w:t>现率</w:t>
      </w:r>
      <w:r>
        <w:rPr>
          <w:rFonts w:ascii="宋体" w:hAnsi="宋体" w:cs="宋体" w:eastAsia="宋体" w:hint="default"/>
        </w:rPr>
        <w:t>12.40%</w:t>
      </w:r>
      <w:r>
        <w:rPr/>
        <w:t>，收入增长率：</w:t>
      </w:r>
      <w:r>
        <w:rPr>
          <w:rFonts w:ascii="宋体" w:hAnsi="宋体" w:cs="宋体" w:eastAsia="宋体" w:hint="default"/>
        </w:rPr>
        <w:t>-4.67%</w:t>
      </w:r>
      <w:r>
        <w:rPr/>
        <w:t>、</w:t>
      </w:r>
      <w:r>
        <w:rPr>
          <w:rFonts w:ascii="宋体" w:hAnsi="宋体" w:cs="宋体" w:eastAsia="宋体" w:hint="default"/>
        </w:rPr>
        <w:t>3.87%</w:t>
      </w:r>
      <w:r>
        <w:rPr/>
        <w:t>、</w:t>
      </w:r>
      <w:r>
        <w:rPr>
          <w:rFonts w:ascii="宋体" w:hAnsi="宋体" w:cs="宋体" w:eastAsia="宋体" w:hint="default"/>
        </w:rPr>
        <w:t>3.12%</w:t>
      </w:r>
      <w:r>
        <w:rPr/>
        <w:t>、</w:t>
      </w:r>
      <w:r>
        <w:rPr>
          <w:rFonts w:ascii="宋体" w:hAnsi="宋体" w:cs="宋体" w:eastAsia="宋体" w:hint="default"/>
        </w:rPr>
        <w:t>3.36%</w:t>
      </w:r>
      <w:r>
        <w:rPr/>
        <w:t>、</w:t>
      </w:r>
      <w:r>
        <w:rPr>
          <w:rFonts w:ascii="宋体" w:hAnsi="宋体" w:cs="宋体" w:eastAsia="宋体" w:hint="default"/>
        </w:rPr>
        <w:t>2.49%</w:t>
      </w:r>
      <w:r>
        <w:rPr/>
        <w:t>，营业利润率区间为</w:t>
      </w:r>
      <w:r>
        <w:rPr>
          <w:rFonts w:ascii="宋体" w:hAnsi="宋体" w:cs="宋体" w:eastAsia="宋体" w:hint="default"/>
        </w:rPr>
        <w:t>29%-40%</w:t>
      </w:r>
      <w:r>
        <w:rPr/>
        <w:t>。</w:t>
      </w:r>
    </w:p>
    <w:p>
      <w:pPr>
        <w:spacing w:line="360" w:lineRule="auto" w:before="74"/>
        <w:ind w:left="154" w:right="8772" w:firstLine="0"/>
        <w:jc w:val="left"/>
        <w:rPr>
          <w:rFonts w:ascii="宋体" w:hAnsi="宋体" w:cs="宋体" w:eastAsia="宋体" w:hint="default"/>
          <w:sz w:val="18"/>
          <w:szCs w:val="18"/>
        </w:rPr>
      </w:pPr>
      <w:r>
        <w:rPr>
          <w:rFonts w:ascii="宋体" w:hAnsi="宋体" w:cs="宋体" w:eastAsia="宋体" w:hint="default"/>
          <w:sz w:val="18"/>
          <w:szCs w:val="18"/>
        </w:rPr>
        <w:t>商誉减值测试的影响：无 其他说明：无</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3、长期待摊费用" w:id="308"/>
      <w:bookmarkEnd w:id="308"/>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9"/>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7,587,193.76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11,942,287.22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3,978,648.53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9,077,482.86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6,473,349.59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长期租赁房屋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80,431,830.77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2,084,626.32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78,347,204.45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3,745,112.79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3,367,161.36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377,951.43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91,764,137.32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11,942,287.22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9,430,436.21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9,077,482.86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85,198,505.47</w:t>
            </w:r>
          </w:p>
        </w:tc>
      </w:tr>
    </w:tbl>
    <w:p>
      <w:pPr>
        <w:spacing w:line="338" w:lineRule="auto" w:before="51"/>
        <w:ind w:left="154" w:right="1118" w:firstLine="0"/>
        <w:jc w:val="left"/>
        <w:rPr>
          <w:rFonts w:ascii="宋体" w:hAnsi="宋体" w:cs="宋体" w:eastAsia="宋体" w:hint="default"/>
          <w:sz w:val="18"/>
          <w:szCs w:val="18"/>
        </w:rPr>
      </w:pPr>
      <w:r>
        <w:rPr>
          <w:rFonts w:ascii="宋体" w:hAnsi="宋体" w:cs="宋体" w:eastAsia="宋体" w:hint="default"/>
          <w:sz w:val="18"/>
          <w:szCs w:val="18"/>
        </w:rPr>
        <w:t>其他说明 </w:t>
      </w:r>
      <w:r>
        <w:rPr>
          <w:rFonts w:ascii="宋体" w:hAnsi="宋体" w:cs="宋体" w:eastAsia="宋体" w:hint="default"/>
          <w:spacing w:val="-2"/>
          <w:sz w:val="18"/>
          <w:szCs w:val="18"/>
        </w:rPr>
        <w:t>其他减少金额为原合并合并范围内公司大唐融合信息服务有限公司、大唐融合（盘锦）科技有限公司、大唐融合（贵阳）科</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技有限公司于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日不再纳入合并范围形成。</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24、递延所得税资产/递延所得税负债" w:id="309"/>
      <w:bookmarkEnd w:id="309"/>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310"/>
      <w:bookmarkEnd w:id="31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173,753,467.82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30,729,571.77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115,038,143.72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18,356,690.88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3,867,027.19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966,756.80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177,620,495.01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31,696,328.57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115,038,143.72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18,356,690.88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311"/>
      <w:bookmarkEnd w:id="31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312"/>
      <w:bookmarkEnd w:id="31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31,696,328.57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18,356,690.88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313"/>
      <w:bookmarkEnd w:id="31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83,762,773.60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74,613,505.65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353,177,460.77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340,718,302.30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436,940,234.37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415,331,807.95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314"/>
      <w:bookmarkEnd w:id="31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3228"/>
        <w:gridCol w:w="3236"/>
        <w:gridCol w:w="3231"/>
      </w:tblGrid>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3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67,616,525.59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37,087,301.75</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40,416,677.39</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67,190,275.94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68,477,651.30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69,736,795.99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71,623,811.62</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90,134,704.10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92,583,636.40</w:t>
            </w: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89,028,382.99</w:t>
            </w:r>
          </w:p>
        </w:tc>
        <w:tc>
          <w:tcPr>
            <w:tcW w:w="32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353,177,460.77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340,718,302.30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5、其他非流动资产" w:id="315"/>
      <w:bookmarkEnd w:id="315"/>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683,884,788.83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661,606,835.43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预付长期租赁房屋装修费用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54,823,046.06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54,823,046.06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预付创新平台建设款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2,426,724.25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预付土地款项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107,031,013.40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预付项目工程款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102,453,451.46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预付装修费用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3,381,301.89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741,134,559.14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929,295,648.24</w:t>
            </w:r>
          </w:p>
        </w:tc>
      </w:tr>
    </w:tbl>
    <w:p>
      <w:pPr>
        <w:pStyle w:val="BodyText"/>
        <w:spacing w:line="271" w:lineRule="auto" w:before="26"/>
        <w:ind w:right="1119"/>
        <w:jc w:val="left"/>
      </w:pPr>
      <w:r>
        <w:rPr>
          <w:spacing w:val="-4"/>
          <w:sz w:val="18"/>
          <w:szCs w:val="18"/>
        </w:rPr>
        <w:t>其他说明：</w:t>
      </w:r>
      <w:r>
        <w:rPr>
          <w:rFonts w:ascii="宋体" w:hAnsi="宋体" w:cs="宋体" w:eastAsia="宋体" w:hint="default"/>
          <w:spacing w:val="-4"/>
        </w:rPr>
        <w:t>1</w:t>
      </w:r>
      <w:r>
        <w:rPr>
          <w:spacing w:val="-4"/>
        </w:rPr>
        <w:t>、预付投资款项：本公司与北京四季兴海置业有限公司签订股权收购协议，本期按照协议约定，</w:t>
      </w:r>
      <w:r>
        <w:rPr>
          <w:spacing w:val="-102"/>
        </w:rPr>
        <w:t> </w:t>
      </w:r>
      <w:r>
        <w:rPr>
          <w:spacing w:val="-102"/>
        </w:rPr>
      </w:r>
      <w:r>
        <w:rPr/>
        <w:t>累计支付款项金额为</w:t>
      </w:r>
      <w:r>
        <w:rPr>
          <w:spacing w:val="-65"/>
        </w:rPr>
        <w:t> </w:t>
      </w:r>
      <w:r>
        <w:rPr>
          <w:rFonts w:ascii="宋体" w:hAnsi="宋体" w:cs="宋体" w:eastAsia="宋体" w:hint="default"/>
        </w:rPr>
        <w:t>683,884,788.83</w:t>
      </w:r>
      <w:r>
        <w:rPr>
          <w:rFonts w:ascii="宋体" w:hAnsi="宋体" w:cs="宋体" w:eastAsia="宋体" w:hint="default"/>
          <w:spacing w:val="-67"/>
        </w:rPr>
        <w:t> </w:t>
      </w:r>
      <w:r>
        <w:rPr/>
        <w:t>元；</w:t>
      </w:r>
      <w:r>
        <w:rPr>
          <w:rFonts w:ascii="宋体" w:hAnsi="宋体" w:cs="宋体" w:eastAsia="宋体" w:hint="default"/>
        </w:rPr>
        <w:t>2</w:t>
      </w:r>
      <w:r>
        <w:rPr/>
        <w:t>、预付长期租赁房屋装修费用：本公司子公司大唐高鸿信息技</w:t>
      </w:r>
    </w:p>
    <w:p>
      <w:pPr>
        <w:pStyle w:val="BodyText"/>
        <w:spacing w:line="240" w:lineRule="auto" w:before="11"/>
        <w:ind w:right="0"/>
        <w:jc w:val="left"/>
      </w:pPr>
      <w:r>
        <w:rPr/>
        <w:t>术有限公司支付房屋装修费</w:t>
      </w:r>
      <w:r>
        <w:rPr>
          <w:spacing w:val="-53"/>
        </w:rPr>
        <w:t> </w:t>
      </w:r>
      <w:r>
        <w:rPr>
          <w:rFonts w:ascii="宋体" w:hAnsi="宋体" w:cs="宋体" w:eastAsia="宋体" w:hint="default"/>
        </w:rPr>
        <w:t>45,800,000.00</w:t>
      </w:r>
      <w:r>
        <w:rPr>
          <w:rFonts w:ascii="宋体" w:hAnsi="宋体" w:cs="宋体" w:eastAsia="宋体" w:hint="default"/>
          <w:spacing w:val="-53"/>
        </w:rPr>
        <w:t> </w:t>
      </w:r>
      <w:r>
        <w:rPr/>
        <w:t>元，尚未验收投入使用。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6、短期借款" w:id="316"/>
      <w:bookmarkEnd w:id="316"/>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17"/>
      <w:bookmarkEnd w:id="31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1,166,997,650.00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1,021,602,627.04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1,436,997,650.00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1,421,602,627.04</w:t>
            </w:r>
          </w:p>
        </w:tc>
      </w:tr>
    </w:tbl>
    <w:p>
      <w:pPr>
        <w:spacing w:line="357" w:lineRule="auto" w:before="51"/>
        <w:ind w:left="154" w:right="8952" w:firstLine="0"/>
        <w:jc w:val="left"/>
        <w:rPr>
          <w:rFonts w:ascii="宋体" w:hAnsi="宋体" w:cs="宋体" w:eastAsia="宋体" w:hint="default"/>
          <w:sz w:val="18"/>
          <w:szCs w:val="18"/>
        </w:rPr>
      </w:pPr>
      <w:r>
        <w:rPr/>
        <w:pict>
          <v:shape style="position:absolute;margin-left:55.98pt;margin-top:35.201683pt;width:524pt;height:222.8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1985"/>
                    <w:gridCol w:w="1816"/>
                    <w:gridCol w:w="3687"/>
                  </w:tblGrid>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贷款银行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87" w:right="0"/>
                          <w:jc w:val="left"/>
                          <w:rPr>
                            <w:rFonts w:ascii="宋体" w:hAnsi="宋体" w:cs="宋体" w:eastAsia="宋体" w:hint="default"/>
                            <w:sz w:val="20"/>
                            <w:szCs w:val="20"/>
                          </w:rPr>
                        </w:pPr>
                        <w:r>
                          <w:rPr>
                            <w:rFonts w:ascii="宋体" w:hAnsi="宋体" w:cs="宋体" w:eastAsia="宋体" w:hint="default"/>
                            <w:sz w:val="20"/>
                            <w:szCs w:val="20"/>
                          </w:rPr>
                          <w:t>期末借款金额</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02" w:right="0"/>
                          <w:jc w:val="left"/>
                          <w:rPr>
                            <w:rFonts w:ascii="宋体" w:hAnsi="宋体" w:cs="宋体" w:eastAsia="宋体" w:hint="default"/>
                            <w:sz w:val="20"/>
                            <w:szCs w:val="20"/>
                          </w:rPr>
                        </w:pPr>
                        <w:r>
                          <w:rPr>
                            <w:rFonts w:ascii="宋体" w:hAnsi="宋体" w:cs="宋体" w:eastAsia="宋体" w:hint="default"/>
                            <w:sz w:val="20"/>
                            <w:szCs w:val="20"/>
                          </w:rPr>
                          <w:t>年初借款金额</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
                          <w:jc w:val="center"/>
                          <w:rPr>
                            <w:rFonts w:ascii="宋体" w:hAnsi="宋体" w:cs="宋体" w:eastAsia="宋体" w:hint="default"/>
                            <w:sz w:val="20"/>
                            <w:szCs w:val="20"/>
                          </w:rPr>
                        </w:pPr>
                        <w:r>
                          <w:rPr>
                            <w:rFonts w:ascii="宋体" w:hAnsi="宋体" w:cs="宋体" w:eastAsia="宋体" w:hint="default"/>
                            <w:sz w:val="20"/>
                            <w:szCs w:val="20"/>
                          </w:rPr>
                          <w:t>担保人</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光大银行清华园支行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华夏银行北京分行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70,000,000.00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民生银行电子城支行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120,000,000.00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120,000,000.00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北京银行广源支行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110,000,000.00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100,000,000.00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兴业银行西直门支行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85,000,000.00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宁波银行北京分行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招商银行亚运村支行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浙商银行北京分行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南京银行车公庄支行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spacing w:val="-1"/>
                            <w:sz w:val="20"/>
                          </w:rPr>
                          <w:t>40,000,000.00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spacing w:val="-1"/>
                            <w:sz w:val="20"/>
                          </w:rPr>
                          <w:t>60,000,000.00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浦发银行复兴路支行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40,000,000.00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平安银行知春路支行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北京银行广源支行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bl>
                <w:p>
                  <w:pPr/>
                </w:p>
              </w:txbxContent>
            </v:textbox>
            <w10:wrap type="none"/>
          </v:shape>
        </w:pict>
      </w:r>
      <w:r>
        <w:rPr>
          <w:rFonts w:ascii="宋体" w:hAnsi="宋体" w:cs="宋体" w:eastAsia="宋体" w:hint="default"/>
          <w:sz w:val="18"/>
          <w:szCs w:val="18"/>
        </w:rPr>
        <w:t>短期借款分类的说明： 保证借款</w:t>
      </w:r>
    </w:p>
    <w:p>
      <w:pPr>
        <w:spacing w:after="0" w:line="357"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978"/>
        <w:gridCol w:w="1985"/>
        <w:gridCol w:w="1816"/>
        <w:gridCol w:w="3687"/>
      </w:tblGrid>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70,000,000.00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50,000,000.00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华夏银行北京分行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浦发银行南京分行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68,679,491.79</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渤海银行南京分行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民生银行浦口支行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80,000,000.00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江苏银行南京新街口支行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100,000,000.00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南京银行百子亭支行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34,997,650.00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工商银行地安门支行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北京银行广安支行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南京银行车公庄支行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民生银行首体支行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15,000,000.00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14,923,135.25</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北京银行世纪城支行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兴业银行西直门支行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20,000,000.00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南京银行车公庄支行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30,000,000.00</w:t>
            </w:r>
          </w:p>
        </w:tc>
        <w:tc>
          <w:tcPr>
            <w:tcW w:w="1816" w:type="dxa"/>
            <w:tcBorders>
              <w:top w:val="single" w:sz="4" w:space="0" w:color="000000"/>
              <w:left w:val="single" w:sz="4" w:space="0" w:color="000000"/>
              <w:bottom w:val="single" w:sz="4" w:space="0" w:color="000000"/>
              <w:right w:val="single" w:sz="4" w:space="0" w:color="000000"/>
            </w:tcBorders>
          </w:tcPr>
          <w:p>
            <w:pP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15,000,000.00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15,000,000.00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大唐电信集团财务有限公司</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20,000,000.00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大唐高鸿数据网络技术股份有限公司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工商银行无锡新吴支行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12,000,000.00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中国银行无锡香榭丽支行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15,000,000.00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15,000,000.00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江苏银行无锡新区支行</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5,000,000.00</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大唐融合通信股份有限公司</w:t>
            </w:r>
          </w:p>
        </w:tc>
      </w:tr>
      <w:tr>
        <w:trPr>
          <w:trHeight w:val="34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1,166,997,650.00</w:t>
            </w:r>
          </w:p>
        </w:tc>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1,021,602,627.04</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已逾期未偿还的短期借款情况" w:id="318"/>
      <w:bookmarkEnd w:id="31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以公允价值计量且其变动计入当期损益的金融负债" w:id="319"/>
      <w:bookmarkEnd w:id="319"/>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衍生金融负债" w:id="320"/>
      <w:bookmarkEnd w:id="320"/>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9、应付票据及应付账款" w:id="321"/>
      <w:bookmarkEnd w:id="321"/>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474,470,243.00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385,495,755.00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724,912,501.03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744,302,259.44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1,199,382,744.03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1,129,798,014.44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322"/>
      <w:bookmarkEnd w:id="32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303,020,122.00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382,050,691.00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171,450,121.00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3,445,064.00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474,470,243.00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385,495,755.00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应付账款列示" w:id="323"/>
      <w:bookmarkEnd w:id="32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664,156,170.77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729,510,288.26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32,253,932.31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695,627.00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其他合同款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28,498,377.95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14,092,324.18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724,912,501.03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744,302,259.44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324"/>
      <w:bookmarkEnd w:id="32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北京汉邦高科数字技术股份有限公司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65,478,663.69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新疆华夏天辰信息系统工程有限公司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24,018,928.09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重庆信威通信技术有限责任公司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全通教育基础设施投资管理有限公司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12,112,180.25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5,437,928.19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山东学同信息科技有限公司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5,054,303.80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项目尚未结算</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132,277,004.02</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预收款项" w:id="325"/>
      <w:bookmarkEnd w:id="325"/>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26"/>
      <w:bookmarkEnd w:id="32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236,728,090.13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337,714,574.13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49,186,612.00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61,629,585.00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285,914,702.13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399,344,159.13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27"/>
      <w:bookmarkEnd w:id="32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中国机床销售与技术服务有限公司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41,979,065.00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18,719,082.00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北京汉铭信通科技有限公司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2,111,330.00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中建八局第二建设有限公司郑州分公司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冶金工业经济发展研究中心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中建八局第二建设有限公司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1,351,419.98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中国移动通信集团甘肃有限公司兰州分 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1,298,082.39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北京市怀柔区公安消防支队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长治市治理车辆超限超载工作领导组综 合办公室</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1,067,251.00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项目尚未完成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71,610,630.37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328"/>
      <w:bookmarkEnd w:id="32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1、应付职工薪酬" w:id="329"/>
      <w:bookmarkEnd w:id="329"/>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30"/>
      <w:bookmarkEnd w:id="330"/>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17,687,206.48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244,139,225.97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243,769,885.34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18,056,547.11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61,849.13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25,797,553.13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25,660,181.99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199,220.27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562,227.88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562,227.88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12,431,608.57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12,431,608.57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17,749,055.61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282,930,615.55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282,423,903.78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18,255,767.38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31"/>
      <w:bookmarkEnd w:id="331"/>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9,751,431.02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206,366,464.71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206,273,697.22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9,844,198.51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6,231,295.52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6,232,967.52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31,122.40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14,875,730.03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14,858,968.82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47,883.61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29,345.07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13,382,292.35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13,370,009.96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41,627.46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527,715.74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524,883.69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3,223.22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965,721.94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964,075.17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3,032.93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46,425.28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13,975,400.69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13,955,297.69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66,528.28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7,856,555.78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2,690,335.02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2,448,954.09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8,097,936.71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17,687,206.48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244,139,225.97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243,769,885.34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18,056,547.11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32"/>
      <w:bookmarkEnd w:id="332"/>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60,556.07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23,353,517.15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23,219,194.02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194,879.20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897,459.33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894,411.32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4,341.07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1,546,576.65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1,546,576.65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61,849.13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25,797,553.13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25,660,181.99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199,220.27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1133" w:firstLine="423"/>
        <w:jc w:val="both"/>
      </w:pPr>
      <w:r>
        <w:rPr/>
        <w:t>（</w:t>
      </w:r>
      <w:r>
        <w:rPr>
          <w:rFonts w:ascii="宋体" w:hAnsi="宋体" w:cs="宋体" w:eastAsia="宋体" w:hint="default"/>
        </w:rPr>
        <w:t>1</w:t>
      </w:r>
      <w:r>
        <w:rPr/>
        <w:t>）本公司于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23</w:t>
      </w:r>
      <w:r>
        <w:rPr/>
        <w:t>日召开的</w:t>
      </w:r>
      <w:r>
        <w:rPr>
          <w:rFonts w:ascii="宋体" w:hAnsi="宋体" w:cs="宋体" w:eastAsia="宋体" w:hint="default"/>
        </w:rPr>
        <w:t>2014</w:t>
      </w:r>
      <w:r>
        <w:rPr/>
        <w:t>年度第五次临时股东大会决议通过了《大唐高鸿数据网络 </w:t>
      </w:r>
      <w:r>
        <w:rPr>
          <w:spacing w:val="-1"/>
        </w:rPr>
        <w:t>技术股份有限公司限制性股票激励计划（草案修订稿）及其摘要》，该激励计划经国务院国有资产监督管</w:t>
      </w:r>
      <w:r>
        <w:rPr>
          <w:spacing w:val="-85"/>
        </w:rPr>
        <w:t> </w:t>
      </w:r>
      <w:r>
        <w:rPr>
          <w:spacing w:val="-85"/>
        </w:rPr>
      </w:r>
      <w:r>
        <w:rPr/>
        <w:t>理委员会办公厅国资厅分配【</w:t>
      </w:r>
      <w:r>
        <w:rPr>
          <w:rFonts w:ascii="宋体" w:hAnsi="宋体" w:cs="宋体" w:eastAsia="宋体" w:hint="default"/>
        </w:rPr>
        <w:t>2014</w:t>
      </w:r>
      <w:r>
        <w:rPr/>
        <w:t>】</w:t>
      </w:r>
      <w:r>
        <w:rPr>
          <w:rFonts w:ascii="宋体" w:hAnsi="宋体" w:cs="宋体" w:eastAsia="宋体" w:hint="default"/>
        </w:rPr>
        <w:t>400</w:t>
      </w:r>
      <w:r>
        <w:rPr/>
        <w:t>号文件同意及中国证券监督管理委员会备案无异议后实施，该股</w:t>
      </w:r>
      <w:r>
        <w:rPr>
          <w:spacing w:val="-34"/>
        </w:rPr>
        <w:t> </w:t>
      </w:r>
      <w:r>
        <w:rPr>
          <w:spacing w:val="-34"/>
        </w:rPr>
      </w:r>
      <w:r>
        <w:rPr/>
        <w:t>权激励计划向</w:t>
      </w:r>
      <w:r>
        <w:rPr>
          <w:rFonts w:ascii="宋体" w:hAnsi="宋体" w:cs="宋体" w:eastAsia="宋体" w:hint="default"/>
        </w:rPr>
        <w:t>144</w:t>
      </w:r>
      <w:r>
        <w:rPr/>
        <w:t>名激励对象以每股发行价格</w:t>
      </w:r>
      <w:r>
        <w:rPr>
          <w:rFonts w:ascii="宋体" w:hAnsi="宋体" w:cs="宋体" w:eastAsia="宋体" w:hint="default"/>
        </w:rPr>
        <w:t>5.27</w:t>
      </w:r>
      <w:r>
        <w:rPr/>
        <w:t>元发行人民币普通股</w:t>
      </w:r>
      <w:r>
        <w:rPr>
          <w:rFonts w:ascii="宋体" w:hAnsi="宋体" w:cs="宋体" w:eastAsia="宋体" w:hint="default"/>
        </w:rPr>
        <w:t>7,250,000</w:t>
      </w:r>
      <w:r>
        <w:rPr/>
        <w:t>股。</w:t>
      </w:r>
    </w:p>
    <w:p>
      <w:pPr>
        <w:pStyle w:val="BodyText"/>
        <w:spacing w:line="273" w:lineRule="auto"/>
        <w:ind w:left="577" w:right="3924"/>
        <w:jc w:val="left"/>
      </w:pPr>
      <w:r>
        <w:rPr>
          <w:rFonts w:ascii="宋体" w:hAnsi="宋体" w:cs="宋体" w:eastAsia="宋体" w:hint="default"/>
        </w:rPr>
        <w:t>2016</w:t>
      </w:r>
      <w:r>
        <w:rPr/>
        <w:t>年度因人员离职，不满足条件而回购</w:t>
      </w:r>
      <w:r>
        <w:rPr>
          <w:rFonts w:ascii="宋体" w:hAnsi="宋体" w:cs="宋体" w:eastAsia="宋体" w:hint="default"/>
        </w:rPr>
        <w:t>180,000</w:t>
      </w:r>
      <w:r>
        <w:rPr/>
        <w:t>股。 第一个解锁期届满且解锁条件成就，解锁股票数量为</w:t>
      </w:r>
      <w:r>
        <w:rPr>
          <w:rFonts w:ascii="宋体" w:hAnsi="宋体" w:cs="宋体" w:eastAsia="宋体" w:hint="default"/>
        </w:rPr>
        <w:t>2,308,020</w:t>
      </w:r>
      <w:r>
        <w:rPr/>
        <w:t>股。 </w:t>
      </w:r>
      <w:r>
        <w:rPr>
          <w:rFonts w:ascii="宋体" w:hAnsi="宋体" w:cs="宋体" w:eastAsia="宋体" w:hint="default"/>
        </w:rPr>
        <w:t>2017</w:t>
      </w:r>
      <w:r>
        <w:rPr/>
        <w:t>年度因人员离职及业绩考核不合格，不满足条件回购</w:t>
      </w:r>
      <w:r>
        <w:rPr>
          <w:rFonts w:ascii="宋体" w:hAnsi="宋体" w:cs="宋体" w:eastAsia="宋体" w:hint="default"/>
        </w:rPr>
        <w:t>339,980</w:t>
      </w:r>
      <w:r>
        <w:rPr/>
        <w:t>股。</w:t>
      </w:r>
    </w:p>
    <w:p>
      <w:pPr>
        <w:pStyle w:val="BodyText"/>
        <w:spacing w:line="240" w:lineRule="auto"/>
        <w:ind w:left="577" w:right="0"/>
        <w:jc w:val="left"/>
      </w:pPr>
      <w:r>
        <w:rPr>
          <w:rFonts w:ascii="宋体" w:hAnsi="宋体" w:cs="宋体" w:eastAsia="宋体" w:hint="default"/>
        </w:rPr>
        <w:t>2016</w:t>
      </w:r>
      <w:r>
        <w:rPr/>
        <w:t>年度未完成业绩目标，</w:t>
      </w:r>
      <w:r>
        <w:rPr>
          <w:rFonts w:ascii="宋体" w:hAnsi="宋体" w:cs="宋体" w:eastAsia="宋体" w:hint="default"/>
        </w:rPr>
        <w:t>2017</w:t>
      </w:r>
      <w:r>
        <w:rPr/>
        <w:t>年回购注销本次激励计划的第二批股份</w:t>
      </w:r>
      <w:r>
        <w:rPr>
          <w:rFonts w:ascii="宋体" w:hAnsi="宋体" w:cs="宋体" w:eastAsia="宋体" w:hint="default"/>
        </w:rPr>
        <w:t>2,178,000</w:t>
      </w:r>
      <w:r>
        <w:rPr/>
        <w:t>股。</w:t>
      </w:r>
    </w:p>
    <w:p>
      <w:pPr>
        <w:pStyle w:val="BodyText"/>
        <w:spacing w:line="273" w:lineRule="auto" w:before="37"/>
        <w:ind w:left="577" w:right="0"/>
        <w:jc w:val="left"/>
      </w:pPr>
      <w:r>
        <w:rPr>
          <w:rFonts w:ascii="宋体" w:hAnsi="宋体" w:cs="宋体" w:eastAsia="宋体" w:hint="default"/>
        </w:rPr>
        <w:t>2018</w:t>
      </w:r>
      <w:r>
        <w:rPr/>
        <w:t>年度因人员业绩考核不合格，不满足条件回购</w:t>
      </w:r>
      <w:r>
        <w:rPr>
          <w:rFonts w:ascii="宋体" w:hAnsi="宋体" w:cs="宋体" w:eastAsia="宋体" w:hint="default"/>
        </w:rPr>
        <w:t>212,840</w:t>
      </w:r>
      <w:r>
        <w:rPr/>
        <w:t>股。 第三个解锁期届满且解锁条件成就，解锁股票数量为</w:t>
      </w:r>
      <w:r>
        <w:rPr>
          <w:rFonts w:ascii="宋体" w:hAnsi="宋体" w:cs="宋体" w:eastAsia="宋体" w:hint="default"/>
        </w:rPr>
        <w:t>2,031,160</w:t>
      </w:r>
      <w:r>
        <w:rPr/>
        <w:t>股。 </w:t>
      </w:r>
      <w:r>
        <w:rPr>
          <w:spacing w:val="-1"/>
        </w:rPr>
        <w:t>本年度按照授予日的公允价值，将取得的服务计入相关成本或费用，金额为</w:t>
      </w:r>
      <w:r>
        <w:rPr>
          <w:rFonts w:ascii="宋体" w:hAnsi="宋体" w:cs="宋体" w:eastAsia="宋体" w:hint="default"/>
          <w:spacing w:val="-1"/>
        </w:rPr>
        <w:t>1,602,228.67</w:t>
      </w:r>
      <w:r>
        <w:rPr>
          <w:spacing w:val="-1"/>
        </w:rPr>
        <w:t>元；因部分</w:t>
      </w:r>
    </w:p>
    <w:p>
      <w:pPr>
        <w:pStyle w:val="BodyText"/>
        <w:spacing w:line="240" w:lineRule="auto"/>
        <w:ind w:right="0"/>
        <w:jc w:val="left"/>
      </w:pPr>
      <w:r>
        <w:rPr/>
        <w:t>人员未完成未完成业绩目标需回购涉及的股权部分，冲销金额为</w:t>
      </w:r>
      <w:r>
        <w:rPr>
          <w:rFonts w:ascii="宋体" w:hAnsi="宋体" w:cs="宋体" w:eastAsia="宋体" w:hint="default"/>
        </w:rPr>
        <w:t>195,717.60</w:t>
      </w:r>
      <w:r>
        <w:rPr/>
        <w:t>元。</w:t>
      </w:r>
    </w:p>
    <w:p>
      <w:pPr>
        <w:pStyle w:val="BodyText"/>
        <w:spacing w:line="273" w:lineRule="auto" w:before="37"/>
        <w:ind w:right="1132" w:firstLine="423"/>
        <w:jc w:val="both"/>
      </w:pPr>
      <w:r>
        <w:rPr>
          <w:spacing w:val="-1"/>
        </w:rPr>
        <w:t>（</w:t>
      </w:r>
      <w:r>
        <w:rPr>
          <w:rFonts w:ascii="宋体" w:hAnsi="宋体" w:cs="宋体" w:eastAsia="宋体" w:hint="default"/>
          <w:spacing w:val="-1"/>
        </w:rPr>
        <w:t>2</w:t>
      </w:r>
      <w:r>
        <w:rPr>
          <w:spacing w:val="-1"/>
        </w:rPr>
        <w:t>）本公司于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日召开的</w:t>
      </w:r>
      <w:r>
        <w:rPr>
          <w:rFonts w:ascii="宋体" w:hAnsi="宋体" w:cs="宋体" w:eastAsia="宋体" w:hint="default"/>
          <w:spacing w:val="-1"/>
        </w:rPr>
        <w:t>2017</w:t>
      </w:r>
      <w:r>
        <w:rPr>
          <w:spacing w:val="-1"/>
        </w:rPr>
        <w:t>年度第二次临时股东大会决议通过了《大唐高鸿数据网络技</w:t>
      </w:r>
      <w:r>
        <w:rPr/>
        <w:t> </w:t>
      </w:r>
      <w:r>
        <w:rPr>
          <w:spacing w:val="-1"/>
        </w:rPr>
        <w:t>术股份有限公司限制性股票激励计划（草案修订稿）及其摘要》，该激励计划经国务院国有资产监督管理</w:t>
      </w:r>
      <w:r>
        <w:rPr>
          <w:spacing w:val="-86"/>
        </w:rPr>
        <w:t> </w:t>
      </w:r>
      <w:r>
        <w:rPr>
          <w:spacing w:val="-86"/>
        </w:rPr>
      </w:r>
      <w:r>
        <w:rPr/>
        <w:t>委员会办公厅国资厅考分【</w:t>
      </w:r>
      <w:r>
        <w:rPr>
          <w:rFonts w:ascii="宋体" w:hAnsi="宋体" w:cs="宋体" w:eastAsia="宋体" w:hint="default"/>
        </w:rPr>
        <w:t>2017</w:t>
      </w:r>
      <w:r>
        <w:rPr/>
        <w:t>】</w:t>
      </w:r>
      <w:r>
        <w:rPr>
          <w:rFonts w:ascii="宋体" w:hAnsi="宋体" w:cs="宋体" w:eastAsia="宋体" w:hint="default"/>
        </w:rPr>
        <w:t>543</w:t>
      </w:r>
      <w:r>
        <w:rPr/>
        <w:t>号文件同意及中国证券监督管理委员会备案无异议后实施，该股权</w:t>
      </w:r>
      <w:r>
        <w:rPr>
          <w:spacing w:val="-34"/>
        </w:rPr>
        <w:t> </w:t>
      </w:r>
      <w:r>
        <w:rPr>
          <w:spacing w:val="-34"/>
        </w:rPr>
      </w:r>
      <w:r>
        <w:rPr/>
        <w:t>激励计划向</w:t>
      </w:r>
      <w:r>
        <w:rPr>
          <w:rFonts w:ascii="宋体" w:hAnsi="宋体" w:cs="宋体" w:eastAsia="宋体" w:hint="default"/>
        </w:rPr>
        <w:t>230</w:t>
      </w:r>
      <w:r>
        <w:rPr/>
        <w:t>名激励对象以每股发行价格</w:t>
      </w:r>
      <w:r>
        <w:rPr>
          <w:rFonts w:ascii="宋体" w:hAnsi="宋体" w:cs="宋体" w:eastAsia="宋体" w:hint="default"/>
        </w:rPr>
        <w:t>4.63</w:t>
      </w:r>
      <w:r>
        <w:rPr/>
        <w:t>元发行人民币普通股</w:t>
      </w:r>
      <w:r>
        <w:rPr>
          <w:rFonts w:ascii="宋体" w:hAnsi="宋体" w:cs="宋体" w:eastAsia="宋体" w:hint="default"/>
        </w:rPr>
        <w:t>18,720,000</w:t>
      </w:r>
      <w:r>
        <w:rPr/>
        <w:t>股。</w:t>
      </w:r>
    </w:p>
    <w:p>
      <w:pPr>
        <w:pStyle w:val="BodyText"/>
        <w:spacing w:line="273" w:lineRule="auto" w:before="8"/>
        <w:ind w:right="1130" w:firstLine="423"/>
        <w:jc w:val="both"/>
      </w:pPr>
      <w:r>
        <w:rPr/>
        <w:t>本年度按照授予日的公允价值，将取得的服务计入相关成本或费用，金额为</w:t>
      </w:r>
      <w:r>
        <w:rPr>
          <w:rFonts w:ascii="宋体" w:hAnsi="宋体" w:cs="宋体" w:eastAsia="宋体" w:hint="default"/>
        </w:rPr>
        <w:t>41,068,003.46</w:t>
      </w:r>
      <w:r>
        <w:rPr/>
        <w:t>元；第一 期股权解锁条件预期无法完成以及部分人员离职涉及的股权部分，冲销金额为</w:t>
      </w:r>
      <w:r>
        <w:rPr>
          <w:rFonts w:ascii="宋体" w:hAnsi="宋体" w:cs="宋体" w:eastAsia="宋体" w:hint="default"/>
        </w:rPr>
        <w:t>30,042,905.96</w:t>
      </w:r>
      <w:r>
        <w:rPr/>
        <w:t>元。</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2、应交税费" w:id="333"/>
      <w:bookmarkEnd w:id="333"/>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69,719,581.72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18,582,396.63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28,540,232.98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38,960,688.20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1,431,868.19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999,640.08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4,890,411.12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1,067,281.04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822,391.93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877,169.15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1,101,042.71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1,107,895.51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3,493,150.74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765,181.75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193,590.35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340,203.37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839,575.85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11,613,716.03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111,031,845.59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74,314,171.76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3、其他应付款" w:id="334"/>
      <w:bookmarkEnd w:id="334"/>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19,747,750.00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286,135.07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286,135.07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856,034,288.80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947,983,125.67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876,068,173.87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968,017,010.74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335"/>
      <w:bookmarkEnd w:id="335"/>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19,747,750.00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19,747,750.00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19,747,750.00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付股利" w:id="336"/>
      <w:bookmarkEnd w:id="336"/>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236,135.07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236,135.07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286,135.07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286,135.07</w:t>
            </w:r>
          </w:p>
        </w:tc>
      </w:tr>
    </w:tbl>
    <w:p>
      <w:pPr>
        <w:spacing w:line="338" w:lineRule="auto" w:before="51"/>
        <w:ind w:left="578" w:right="1120" w:hanging="425"/>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w:t>
      </w:r>
      <w:r>
        <w:rPr>
          <w:rFonts w:ascii="宋体" w:hAnsi="宋体" w:cs="宋体" w:eastAsia="宋体" w:hint="default"/>
          <w:spacing w:val="-1"/>
          <w:sz w:val="18"/>
          <w:szCs w:val="18"/>
        </w:rPr>
        <w:t>应付普通股股利中</w:t>
      </w:r>
      <w:r>
        <w:rPr>
          <w:rFonts w:ascii="Times New Roman" w:hAnsi="Times New Roman" w:cs="Times New Roman" w:eastAsia="Times New Roman" w:hint="default"/>
          <w:spacing w:val="-1"/>
          <w:sz w:val="18"/>
          <w:szCs w:val="18"/>
        </w:rPr>
        <w:t>207,123.67</w:t>
      </w:r>
      <w:r>
        <w:rPr>
          <w:rFonts w:ascii="宋体" w:hAnsi="宋体" w:cs="宋体" w:eastAsia="宋体" w:hint="default"/>
          <w:spacing w:val="-1"/>
          <w:sz w:val="18"/>
          <w:szCs w:val="18"/>
        </w:rPr>
        <w:t>元超过一年未支付，原因为无法取得个别股东的收款信息资料。其他</w:t>
      </w:r>
      <w:r>
        <w:rPr>
          <w:rFonts w:ascii="Times New Roman" w:hAnsi="Times New Roman" w:cs="Times New Roman" w:eastAsia="Times New Roman" w:hint="default"/>
          <w:spacing w:val="-1"/>
          <w:sz w:val="18"/>
          <w:szCs w:val="18"/>
        </w:rPr>
        <w:t>50,000.00</w:t>
      </w:r>
      <w:r>
        <w:rPr>
          <w:rFonts w:ascii="宋体" w:hAnsi="宋体" w:cs="宋体" w:eastAsia="宋体" w:hint="default"/>
          <w:spacing w:val="-1"/>
          <w:sz w:val="18"/>
          <w:szCs w:val="18"/>
        </w:rPr>
        <w:t>元，为本公</w:t>
      </w:r>
    </w:p>
    <w:p>
      <w:pPr>
        <w:spacing w:line="217"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司控股子公司大唐投资管理（北京）有限公司对股东暂未支付的股利。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其他应付款" w:id="337"/>
      <w:bookmarkEnd w:id="337"/>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689,769,022.35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1" w:right="0"/>
              <w:jc w:val="left"/>
              <w:rPr>
                <w:rFonts w:ascii="Times New Roman" w:hAnsi="Times New Roman" w:cs="Times New Roman" w:eastAsia="Times New Roman" w:hint="default"/>
                <w:sz w:val="18"/>
                <w:szCs w:val="18"/>
              </w:rPr>
            </w:pPr>
            <w:r>
              <w:rPr>
                <w:rFonts w:ascii="Times New Roman"/>
                <w:sz w:val="18"/>
              </w:rPr>
              <w:t>770,247,760.09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46,483,671.81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42,291,066.98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21,350,057.24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29,835,399.97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67,095.12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13,705.77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98,364,442.28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105,595,192.86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856,034,288.80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947,983,125.67</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230"/>
        <w:gridCol w:w="3234"/>
        <w:gridCol w:w="3231"/>
      </w:tblGrid>
      <w:tr>
        <w:trPr>
          <w:trHeight w:val="401"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0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天津中关信息技术有限公司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3,469,593.17</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珠海祺利通信科技有限公司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3,018,867.94</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无形资产采购款</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2,298,748.79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哈尔滨高鸿科技有限公司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1,748,946.00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北京智安医信科技有限公司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1,617,638.36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苏州科达科技股份有限公司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1,596,480.00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北京世茂联成网络工程有限公司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1,585,903.59</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北京海联捷讯科技股份有限公司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1,358,700.00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颐信泰通</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信息科技股份有限公司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1,229,234.96</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r>
      <w:tr>
        <w:trPr>
          <w:trHeight w:val="402" w:hRule="exact"/>
        </w:trPr>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秦皇岛城安盛邦网络科技有限公司</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1,211,879.00</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r>
              <w:rPr>
                <w:rFonts w:ascii="宋体" w:hAnsi="宋体" w:cs="宋体" w:eastAsia="宋体" w:hint="default"/>
                <w:sz w:val="18"/>
                <w:szCs w:val="18"/>
              </w:rPr>
              <w:t>履约保证金</w:t>
            </w:r>
          </w:p>
        </w:tc>
      </w:tr>
      <w:tr>
        <w:trPr>
          <w:trHeight w:val="403" w:hRule="exact"/>
        </w:trPr>
        <w:tc>
          <w:tcPr>
            <w:tcW w:w="3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269,135,991.81</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4、持有待售负债" w:id="338"/>
      <w:bookmarkEnd w:id="338"/>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39"/>
      <w:bookmarkEnd w:id="339"/>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44,446,255.90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492,881,000.00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537,327,255.90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6、其他流动负债" w:id="340"/>
      <w:bookmarkEnd w:id="340"/>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6"/>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长期借款" w:id="341"/>
      <w:bookmarkEnd w:id="341"/>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42"/>
      <w:bookmarkEnd w:id="342"/>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40" w:lineRule="auto" w:before="91"/>
        <w:ind w:right="0" w:firstLine="423"/>
        <w:jc w:val="both"/>
      </w:pPr>
      <w:r>
        <w:rPr/>
        <w:t>说明：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日，根据公司第七届第五十九次董事会决议通过，同意国开发展基金有限公司对</w:t>
      </w:r>
    </w:p>
    <w:p>
      <w:pPr>
        <w:pStyle w:val="BodyText"/>
        <w:spacing w:line="240" w:lineRule="auto" w:before="187"/>
        <w:ind w:right="0"/>
        <w:jc w:val="left"/>
      </w:pPr>
      <w:r>
        <w:rPr/>
        <w:t>本公司子公司大唐高鸿济宁电子信息技术有限公司货币增资</w:t>
      </w:r>
      <w:r>
        <w:rPr>
          <w:rFonts w:ascii="Times New Roman" w:hAnsi="Times New Roman" w:cs="Times New Roman" w:eastAsia="Times New Roman" w:hint="default"/>
        </w:rPr>
        <w:t>9,000</w:t>
      </w:r>
      <w:r>
        <w:rPr>
          <w:rFonts w:ascii="Arial" w:hAnsi="Arial" w:cs="Arial" w:eastAsia="Arial" w:hint="default"/>
        </w:rPr>
        <w:t>.</w:t>
      </w:r>
      <w:r>
        <w:rPr>
          <w:rFonts w:ascii="Times New Roman" w:hAnsi="Times New Roman" w:cs="Times New Roman" w:eastAsia="Times New Roman" w:hint="default"/>
        </w:rPr>
        <w:t>00</w:t>
      </w:r>
      <w:r>
        <w:rPr/>
        <w:t>万。投资期限为自首笔增资款缴付完</w:t>
      </w:r>
    </w:p>
    <w:p>
      <w:pPr>
        <w:pStyle w:val="BodyText"/>
        <w:spacing w:line="261" w:lineRule="auto" w:before="167"/>
        <w:ind w:right="1131"/>
        <w:jc w:val="both"/>
      </w:pPr>
      <w:r>
        <w:rPr>
          <w:spacing w:val="-1"/>
        </w:rPr>
        <w:t>成日之日起</w:t>
      </w:r>
      <w:r>
        <w:rPr>
          <w:rFonts w:ascii="Times New Roman" w:hAnsi="Times New Roman" w:cs="Times New Roman" w:eastAsia="Times New Roman" w:hint="default"/>
          <w:spacing w:val="-1"/>
        </w:rPr>
        <w:t>8</w:t>
      </w:r>
      <w:r>
        <w:rPr>
          <w:spacing w:val="-1"/>
        </w:rPr>
        <w:t>年，国开发基金有限公司对济宁高鸿投资的投资收益率要求为：</w:t>
      </w:r>
      <w:r>
        <w:rPr>
          <w:rFonts w:ascii="Times New Roman" w:hAnsi="Times New Roman" w:cs="Times New Roman" w:eastAsia="Times New Roman" w:hint="default"/>
          <w:spacing w:val="-1"/>
        </w:rPr>
        <w:t>1.2</w:t>
      </w:r>
      <w:r>
        <w:rPr>
          <w:spacing w:val="-1"/>
        </w:rPr>
        <w:t>％</w:t>
      </w:r>
      <w:r>
        <w:rPr>
          <w:rFonts w:ascii="Times New Roman" w:hAnsi="Times New Roman" w:cs="Times New Roman" w:eastAsia="Times New Roman" w:hint="default"/>
          <w:spacing w:val="-1"/>
        </w:rPr>
        <w:t>/</w:t>
      </w:r>
      <w:r>
        <w:rPr>
          <w:spacing w:val="-1"/>
        </w:rPr>
        <w:t>年。公司将按照投资合</w:t>
      </w:r>
      <w:r>
        <w:rPr>
          <w:spacing w:val="-87"/>
        </w:rPr>
        <w:t> </w:t>
      </w:r>
      <w:r>
        <w:rPr>
          <w:spacing w:val="-87"/>
        </w:rPr>
      </w:r>
      <w:r>
        <w:rPr/>
        <w:t>同约定分别于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日回购国开发展基金有限公司股份，每次回</w:t>
      </w:r>
      <w:r>
        <w:rPr>
          <w:spacing w:val="-36"/>
        </w:rPr>
        <w:t> </w:t>
      </w:r>
      <w:r>
        <w:rPr>
          <w:spacing w:val="-36"/>
        </w:rPr>
      </w:r>
      <w:r>
        <w:rPr/>
        <w:t>购金额</w:t>
      </w:r>
      <w:r>
        <w:rPr>
          <w:rFonts w:ascii="Times New Roman" w:hAnsi="Times New Roman" w:cs="Times New Roman" w:eastAsia="Times New Roman" w:hint="default"/>
        </w:rPr>
        <w:t>3,000.00</w:t>
      </w:r>
      <w:r>
        <w:rPr/>
        <w:t>万。大唐高鸿济宁电子信息技术有限公司将按照投资合同按期足额支付国开发展基金有限</w:t>
      </w:r>
      <w:r>
        <w:rPr>
          <w:spacing w:val="-39"/>
        </w:rPr>
        <w:t> </w:t>
      </w:r>
      <w:r>
        <w:rPr>
          <w:spacing w:val="-39"/>
        </w:rPr>
      </w:r>
      <w:r>
        <w:rPr>
          <w:spacing w:val="-1"/>
        </w:rPr>
        <w:t>公司的投资收益，若大唐高鸿济宁电子信息技术有限公司约定无法按期足额支付时，由公司对不足部分予</w:t>
      </w:r>
      <w:r>
        <w:rPr>
          <w:spacing w:val="-81"/>
        </w:rPr>
        <w:t> </w:t>
      </w:r>
      <w:r>
        <w:rPr>
          <w:spacing w:val="-81"/>
        </w:rPr>
      </w:r>
      <w:r>
        <w:rPr/>
        <w:t>以补足；</w:t>
      </w:r>
    </w:p>
    <w:p>
      <w:pPr>
        <w:pStyle w:val="BodyText"/>
        <w:spacing w:line="256" w:lineRule="auto" w:before="18"/>
        <w:ind w:right="916" w:firstLine="423"/>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9</w:t>
      </w:r>
      <w:r>
        <w:rPr>
          <w:spacing w:val="-5"/>
        </w:rPr>
        <w:t>月，公司与大唐电信集团财务有限公司签订借款合同，借款期限</w:t>
      </w:r>
      <w:r>
        <w:rPr>
          <w:rFonts w:ascii="Times New Roman" w:hAnsi="Times New Roman" w:cs="Times New Roman" w:eastAsia="Times New Roman" w:hint="default"/>
          <w:spacing w:val="-5"/>
        </w:rPr>
        <w:t>36</w:t>
      </w:r>
      <w:r>
        <w:rPr>
          <w:spacing w:val="-5"/>
        </w:rPr>
        <w:t>个月，借款年利率为</w:t>
      </w:r>
      <w:r>
        <w:rPr>
          <w:rFonts w:ascii="Times New Roman" w:hAnsi="Times New Roman" w:cs="Times New Roman" w:eastAsia="Times New Roman" w:hint="default"/>
          <w:spacing w:val="-5"/>
        </w:rPr>
        <w:t>4.5125%</w:t>
      </w:r>
      <w:r>
        <w:rPr>
          <w:spacing w:val="-5"/>
        </w:rPr>
        <w:t>，</w:t>
      </w:r>
      <w:r>
        <w:rPr/>
        <w:t> 借款金额</w:t>
      </w:r>
      <w:r>
        <w:rPr>
          <w:rFonts w:ascii="Times New Roman" w:hAnsi="Times New Roman" w:cs="Times New Roman" w:eastAsia="Times New Roman" w:hint="default"/>
        </w:rPr>
        <w:t>3,500.00</w:t>
      </w:r>
      <w:r>
        <w:rPr/>
        <w:t>万元，借款方式为信用借款；</w:t>
      </w:r>
    </w:p>
    <w:p>
      <w:pPr>
        <w:pStyle w:val="BodyText"/>
        <w:spacing w:line="256" w:lineRule="auto" w:before="5"/>
        <w:ind w:right="1130" w:firstLine="423"/>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月，公司子公司贵州大唐高鸿置业有限公司与贵阳农村商业银行股份有限公司龙王支行签订</w:t>
      </w:r>
      <w:r>
        <w:rPr/>
        <w:t> </w:t>
      </w:r>
      <w:r>
        <w:rPr>
          <w:spacing w:val="-9"/>
        </w:rPr>
        <w:t>借款合同，借款协议编号为筑农商（龙王支行）</w:t>
      </w:r>
      <w:r>
        <w:rPr>
          <w:rFonts w:ascii="Times New Roman" w:hAnsi="Times New Roman" w:cs="Times New Roman" w:eastAsia="Times New Roman" w:hint="default"/>
          <w:spacing w:val="-9"/>
        </w:rPr>
        <w:t>2018</w:t>
      </w:r>
      <w:r>
        <w:rPr>
          <w:spacing w:val="-9"/>
        </w:rPr>
        <w:t>年国贷字</w:t>
      </w:r>
      <w:r>
        <w:rPr>
          <w:rFonts w:ascii="Times New Roman" w:hAnsi="Times New Roman" w:cs="Times New Roman" w:eastAsia="Times New Roman" w:hint="default"/>
          <w:spacing w:val="-9"/>
        </w:rPr>
        <w:t>12026</w:t>
      </w:r>
      <w:r>
        <w:rPr>
          <w:spacing w:val="-9"/>
        </w:rPr>
        <w:t>号，借款期限</w:t>
      </w:r>
      <w:r>
        <w:rPr>
          <w:rFonts w:ascii="Times New Roman" w:hAnsi="Times New Roman" w:cs="Times New Roman" w:eastAsia="Times New Roman" w:hint="default"/>
          <w:spacing w:val="-9"/>
        </w:rPr>
        <w:t>5</w:t>
      </w:r>
      <w:r>
        <w:rPr>
          <w:spacing w:val="-9"/>
        </w:rPr>
        <w:t>年，借款年利率为</w:t>
      </w:r>
      <w:r>
        <w:rPr>
          <w:rFonts w:ascii="Times New Roman" w:hAnsi="Times New Roman" w:cs="Times New Roman" w:eastAsia="Times New Roman" w:hint="default"/>
          <w:spacing w:val="-9"/>
        </w:rPr>
        <w:t>12.00%</w:t>
      </w:r>
      <w:r>
        <w:rPr>
          <w:spacing w:val="-9"/>
        </w:rPr>
        <w:t>，</w:t>
      </w:r>
      <w:r>
        <w:rPr>
          <w:spacing w:val="-66"/>
        </w:rPr>
        <w:t> </w:t>
      </w:r>
      <w:r>
        <w:rPr>
          <w:spacing w:val="-1"/>
        </w:rPr>
        <w:t>借款金额</w:t>
      </w:r>
      <w:r>
        <w:rPr>
          <w:rFonts w:ascii="Times New Roman" w:hAnsi="Times New Roman" w:cs="Times New Roman" w:eastAsia="Times New Roman" w:hint="default"/>
          <w:spacing w:val="-1"/>
        </w:rPr>
        <w:t>20,000.00</w:t>
      </w:r>
      <w:r>
        <w:rPr>
          <w:spacing w:val="-1"/>
        </w:rPr>
        <w:t>万元，由大唐高鸿数据网络技术股份有限公司提供连带责任担保，保证合同编号筑农商</w:t>
      </w:r>
    </w:p>
    <w:p>
      <w:pPr>
        <w:spacing w:line="583" w:lineRule="auto" w:before="5"/>
        <w:ind w:left="154" w:right="7287" w:firstLine="0"/>
        <w:jc w:val="left"/>
        <w:rPr>
          <w:rFonts w:ascii="宋体" w:hAnsi="宋体" w:cs="宋体" w:eastAsia="宋体" w:hint="default"/>
          <w:sz w:val="21"/>
          <w:szCs w:val="21"/>
        </w:rPr>
      </w:pPr>
      <w:r>
        <w:rPr>
          <w:rFonts w:ascii="宋体" w:hAnsi="宋体" w:cs="宋体" w:eastAsia="宋体" w:hint="default"/>
          <w:sz w:val="21"/>
          <w:szCs w:val="21"/>
        </w:rPr>
        <w:t>（龙王支行）</w:t>
      </w:r>
      <w:r>
        <w:rPr>
          <w:rFonts w:ascii="Times New Roman" w:hAnsi="Times New Roman" w:cs="Times New Roman" w:eastAsia="Times New Roman" w:hint="default"/>
          <w:sz w:val="21"/>
          <w:szCs w:val="21"/>
        </w:rPr>
        <w:t>2018</w:t>
      </w:r>
      <w:r>
        <w:rPr>
          <w:rFonts w:ascii="宋体" w:hAnsi="宋体" w:cs="宋体" w:eastAsia="宋体" w:hint="default"/>
          <w:sz w:val="21"/>
          <w:szCs w:val="21"/>
        </w:rPr>
        <w:t>年保贷字</w:t>
      </w:r>
      <w:r>
        <w:rPr>
          <w:rFonts w:ascii="Times New Roman" w:hAnsi="Times New Roman" w:cs="Times New Roman" w:eastAsia="Times New Roman" w:hint="default"/>
          <w:sz w:val="21"/>
          <w:szCs w:val="21"/>
        </w:rPr>
        <w:t>12026</w:t>
      </w:r>
      <w:r>
        <w:rPr>
          <w:rFonts w:ascii="宋体" w:hAnsi="宋体" w:cs="宋体" w:eastAsia="宋体" w:hint="default"/>
          <w:sz w:val="21"/>
          <w:szCs w:val="21"/>
        </w:rPr>
        <w:t>号。</w:t>
      </w:r>
      <w:r>
        <w:rPr>
          <w:rFonts w:ascii="宋体" w:hAnsi="宋体" w:cs="宋体" w:eastAsia="宋体" w:hint="default"/>
          <w:spacing w:val="-2"/>
          <w:sz w:val="21"/>
          <w:szCs w:val="21"/>
        </w:rPr>
        <w:t> </w:t>
      </w:r>
      <w:r>
        <w:rPr>
          <w:rFonts w:ascii="宋体" w:hAnsi="宋体" w:cs="宋体" w:eastAsia="宋体" w:hint="default"/>
          <w:sz w:val="18"/>
          <w:szCs w:val="18"/>
        </w:rPr>
        <w:t>其他说明，包括利率区间：无</w:t>
      </w:r>
      <w:r>
        <w:rPr>
          <w:rFonts w:ascii="宋体" w:hAnsi="宋体" w:cs="宋体" w:eastAsia="宋体" w:hint="default"/>
          <w:sz w:val="18"/>
          <w:szCs w:val="18"/>
        </w:rPr>
        <w:t> </w:t>
      </w:r>
      <w:bookmarkStart w:name="38、应付债券" w:id="343"/>
      <w:bookmarkEnd w:id="343"/>
      <w:r>
        <w:rPr>
          <w:rFonts w:ascii="宋体" w:hAnsi="宋体" w:cs="宋体" w:eastAsia="宋体" w:hint="default"/>
          <w:sz w:val="18"/>
          <w:szCs w:val="18"/>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、应付债券</w:t>
      </w:r>
      <w:r>
        <w:rPr>
          <w:rFonts w:ascii="宋体" w:hAnsi="宋体" w:cs="宋体" w:eastAsia="宋体" w:hint="default"/>
          <w:sz w:val="21"/>
          <w:szCs w:val="21"/>
        </w:rPr>
      </w:r>
    </w:p>
    <w:p>
      <w:pPr>
        <w:pStyle w:val="Heading4"/>
        <w:spacing w:line="281" w:lineRule="exact"/>
        <w:ind w:right="0"/>
        <w:jc w:val="left"/>
        <w:rPr>
          <w:b w:val="0"/>
          <w:bCs w:val="0"/>
        </w:rPr>
      </w:pPr>
      <w:bookmarkStart w:name="（1）应付债券" w:id="344"/>
      <w:bookmarkEnd w:id="344"/>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高鸿债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2,112,751.00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492,840,996.10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2,112,751.00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492,840,996.10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45"/>
      <w:bookmarkEnd w:id="345"/>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79"/>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高鸿 债</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492,840,9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21,285,00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2,152,754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21,285,00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492,881,0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2,112,751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492,840,9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96.10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21,285,00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2,152,754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21,285,00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492,881,0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2,112,751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可转换公司债券的转股条件、转股时间说明" w:id="346"/>
      <w:bookmarkEnd w:id="346"/>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47"/>
      <w:bookmarkEnd w:id="347"/>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26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54" w:right="7512"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其他金融工具划分为金融负债的依据说明 其他说明</w:t>
      </w:r>
      <w:r>
        <w:rPr>
          <w:rFonts w:ascii="Times New Roman" w:hAnsi="Times New Roman" w:cs="Times New Roman" w:eastAsia="Times New Roman" w:hint="default"/>
          <w:sz w:val="18"/>
          <w:szCs w:val="18"/>
        </w:rPr>
        <w:t>:</w:t>
      </w:r>
    </w:p>
    <w:p>
      <w:pPr>
        <w:spacing w:before="4"/>
        <w:ind w:left="154" w:right="1130" w:firstLine="0"/>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38"/>
          <w:sz w:val="18"/>
          <w:szCs w:val="18"/>
        </w:rPr>
        <w:t> </w:t>
      </w:r>
      <w:r>
        <w:rPr>
          <w:rFonts w:ascii="宋体" w:hAnsi="宋体" w:cs="宋体" w:eastAsia="宋体" w:hint="default"/>
          <w:sz w:val="18"/>
          <w:szCs w:val="18"/>
        </w:rPr>
        <w:t>2016</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21</w:t>
      </w:r>
      <w:r>
        <w:rPr>
          <w:rFonts w:ascii="宋体" w:hAnsi="宋体" w:cs="宋体" w:eastAsia="宋体" w:hint="default"/>
          <w:spacing w:val="-39"/>
          <w:sz w:val="18"/>
          <w:szCs w:val="18"/>
        </w:rPr>
        <w:t> </w:t>
      </w:r>
      <w:r>
        <w:rPr>
          <w:rFonts w:ascii="宋体" w:hAnsi="宋体" w:cs="宋体" w:eastAsia="宋体" w:hint="default"/>
          <w:sz w:val="18"/>
          <w:szCs w:val="18"/>
        </w:rPr>
        <w:t>日面向合格投资者公开发行公司债券，债券期限为</w:t>
      </w:r>
      <w:r>
        <w:rPr>
          <w:rFonts w:ascii="宋体" w:hAnsi="宋体" w:cs="宋体" w:eastAsia="宋体" w:hint="default"/>
          <w:spacing w:val="-38"/>
          <w:sz w:val="18"/>
          <w:szCs w:val="18"/>
        </w:rPr>
        <w:t> </w:t>
      </w: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年，票面利率</w:t>
      </w:r>
      <w:r>
        <w:rPr>
          <w:rFonts w:ascii="宋体" w:hAnsi="宋体" w:cs="宋体" w:eastAsia="宋体" w:hint="default"/>
          <w:spacing w:val="-38"/>
          <w:sz w:val="18"/>
          <w:szCs w:val="18"/>
        </w:rPr>
        <w:t> </w:t>
      </w:r>
      <w:r>
        <w:rPr>
          <w:rFonts w:ascii="宋体" w:hAnsi="宋体" w:cs="宋体" w:eastAsia="宋体" w:hint="default"/>
          <w:sz w:val="18"/>
          <w:szCs w:val="18"/>
        </w:rPr>
        <w:t>4.30%</w:t>
      </w:r>
      <w:r>
        <w:rPr>
          <w:rFonts w:ascii="宋体" w:hAnsi="宋体" w:cs="宋体" w:eastAsia="宋体" w:hint="default"/>
          <w:sz w:val="18"/>
          <w:szCs w:val="18"/>
        </w:rPr>
        <w:t>，附第</w:t>
      </w:r>
      <w:r>
        <w:rPr>
          <w:rFonts w:ascii="宋体" w:hAnsi="宋体" w:cs="宋体" w:eastAsia="宋体" w:hint="default"/>
          <w:spacing w:val="-39"/>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年末发行人</w:t>
      </w:r>
    </w:p>
    <w:p>
      <w:pPr>
        <w:spacing w:line="316" w:lineRule="auto" w:before="76"/>
        <w:ind w:left="154" w:right="1130" w:firstLine="0"/>
        <w:jc w:val="both"/>
        <w:rPr>
          <w:rFonts w:ascii="宋体" w:hAnsi="宋体" w:cs="宋体" w:eastAsia="宋体" w:hint="default"/>
          <w:sz w:val="18"/>
          <w:szCs w:val="18"/>
        </w:rPr>
      </w:pPr>
      <w:r>
        <w:rPr>
          <w:rFonts w:ascii="宋体" w:hAnsi="宋体" w:cs="宋体" w:eastAsia="宋体" w:hint="default"/>
          <w:sz w:val="18"/>
          <w:szCs w:val="18"/>
        </w:rPr>
        <w:t>上调票面利率选择权及投资者回售选择权。公司在本期债券存续期第</w:t>
      </w:r>
      <w:r>
        <w:rPr>
          <w:rFonts w:ascii="宋体" w:hAnsi="宋体" w:cs="宋体" w:eastAsia="宋体" w:hint="default"/>
          <w:spacing w:val="-55"/>
          <w:sz w:val="18"/>
          <w:szCs w:val="18"/>
        </w:rPr>
        <w:t> </w:t>
      </w:r>
      <w:r>
        <w:rPr>
          <w:rFonts w:ascii="宋体" w:hAnsi="宋体" w:cs="宋体" w:eastAsia="宋体" w:hint="default"/>
          <w:sz w:val="18"/>
          <w:szCs w:val="18"/>
        </w:rPr>
        <w:t>3</w:t>
      </w:r>
      <w:r>
        <w:rPr>
          <w:rFonts w:ascii="宋体" w:hAnsi="宋体" w:cs="宋体" w:eastAsia="宋体" w:hint="default"/>
          <w:spacing w:val="-55"/>
          <w:sz w:val="18"/>
          <w:szCs w:val="18"/>
        </w:rPr>
        <w:t> </w:t>
      </w:r>
      <w:r>
        <w:rPr>
          <w:rFonts w:ascii="宋体" w:hAnsi="宋体" w:cs="宋体" w:eastAsia="宋体" w:hint="default"/>
          <w:sz w:val="18"/>
          <w:szCs w:val="18"/>
        </w:rPr>
        <w:t>年末选择上调本期债券票面利率</w:t>
      </w:r>
      <w:r>
        <w:rPr>
          <w:rFonts w:ascii="宋体" w:hAnsi="宋体" w:cs="宋体" w:eastAsia="宋体" w:hint="default"/>
          <w:spacing w:val="-56"/>
          <w:sz w:val="18"/>
          <w:szCs w:val="18"/>
        </w:rPr>
        <w:t> </w:t>
      </w:r>
      <w:r>
        <w:rPr>
          <w:rFonts w:ascii="宋体" w:hAnsi="宋体" w:cs="宋体" w:eastAsia="宋体" w:hint="default"/>
          <w:sz w:val="18"/>
          <w:szCs w:val="18"/>
        </w:rPr>
        <w:t>180</w:t>
      </w:r>
      <w:r>
        <w:rPr>
          <w:rFonts w:ascii="宋体" w:hAnsi="宋体" w:cs="宋体" w:eastAsia="宋体" w:hint="default"/>
          <w:spacing w:val="-56"/>
          <w:sz w:val="18"/>
          <w:szCs w:val="18"/>
        </w:rPr>
        <w:t> </w:t>
      </w:r>
      <w:r>
        <w:rPr>
          <w:rFonts w:ascii="宋体" w:hAnsi="宋体" w:cs="宋体" w:eastAsia="宋体" w:hint="default"/>
          <w:spacing w:val="-6"/>
          <w:sz w:val="18"/>
          <w:szCs w:val="18"/>
        </w:rPr>
        <w:t>个基点，调整后</w:t>
      </w:r>
      <w:r>
        <w:rPr>
          <w:rFonts w:ascii="宋体" w:hAnsi="宋体" w:cs="宋体" w:eastAsia="宋体" w:hint="default"/>
          <w:sz w:val="18"/>
          <w:szCs w:val="18"/>
        </w:rPr>
        <w:t> 票面利率为</w:t>
      </w:r>
      <w:r>
        <w:rPr>
          <w:rFonts w:ascii="宋体" w:hAnsi="宋体" w:cs="宋体" w:eastAsia="宋体" w:hint="default"/>
          <w:spacing w:val="-34"/>
          <w:sz w:val="18"/>
          <w:szCs w:val="18"/>
        </w:rPr>
        <w:t> </w:t>
      </w:r>
      <w:r>
        <w:rPr>
          <w:rFonts w:ascii="宋体" w:hAnsi="宋体" w:cs="宋体" w:eastAsia="宋体" w:hint="default"/>
          <w:sz w:val="18"/>
          <w:szCs w:val="18"/>
        </w:rPr>
        <w:t>6.10%</w:t>
      </w:r>
      <w:r>
        <w:rPr>
          <w:rFonts w:ascii="宋体" w:hAnsi="宋体" w:cs="宋体" w:eastAsia="宋体" w:hint="default"/>
          <w:sz w:val="18"/>
          <w:szCs w:val="18"/>
        </w:rPr>
        <w:t>。</w:t>
      </w:r>
      <w:r>
        <w:rPr>
          <w:rFonts w:ascii="宋体" w:hAnsi="宋体" w:cs="宋体" w:eastAsia="宋体" w:hint="default"/>
          <w:sz w:val="18"/>
          <w:szCs w:val="18"/>
        </w:rPr>
        <w:t>2018</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12</w:t>
      </w:r>
      <w:r>
        <w:rPr>
          <w:rFonts w:ascii="宋体" w:hAnsi="宋体" w:cs="宋体" w:eastAsia="宋体" w:hint="default"/>
          <w:spacing w:val="-34"/>
          <w:sz w:val="18"/>
          <w:szCs w:val="18"/>
        </w:rPr>
        <w:t> </w:t>
      </w:r>
      <w:r>
        <w:rPr>
          <w:rFonts w:ascii="宋体" w:hAnsi="宋体" w:cs="宋体" w:eastAsia="宋体" w:hint="default"/>
          <w:spacing w:val="-3"/>
          <w:sz w:val="18"/>
          <w:szCs w:val="18"/>
        </w:rPr>
        <w:t>月，根据中国证券登记结算有限责任公司深圳分公司提供的数据，“</w:t>
      </w:r>
      <w:r>
        <w:rPr>
          <w:rFonts w:ascii="宋体" w:hAnsi="宋体" w:cs="宋体" w:eastAsia="宋体" w:hint="default"/>
          <w:spacing w:val="-3"/>
          <w:sz w:val="18"/>
          <w:szCs w:val="18"/>
        </w:rPr>
        <w:t>16</w:t>
      </w:r>
      <w:r>
        <w:rPr>
          <w:rFonts w:ascii="宋体" w:hAnsi="宋体" w:cs="宋体" w:eastAsia="宋体" w:hint="default"/>
          <w:spacing w:val="-34"/>
          <w:sz w:val="18"/>
          <w:szCs w:val="18"/>
        </w:rPr>
        <w:t> </w:t>
      </w:r>
      <w:r>
        <w:rPr>
          <w:rFonts w:ascii="宋体" w:hAnsi="宋体" w:cs="宋体" w:eastAsia="宋体" w:hint="default"/>
          <w:sz w:val="18"/>
          <w:szCs w:val="18"/>
        </w:rPr>
        <w:t>高鸿债”的回售数量 为</w:t>
      </w:r>
      <w:r>
        <w:rPr>
          <w:rFonts w:ascii="宋体" w:hAnsi="宋体" w:cs="宋体" w:eastAsia="宋体" w:hint="default"/>
          <w:spacing w:val="-34"/>
          <w:sz w:val="18"/>
          <w:szCs w:val="18"/>
        </w:rPr>
        <w:t> </w:t>
      </w:r>
      <w:r>
        <w:rPr>
          <w:rFonts w:ascii="宋体" w:hAnsi="宋体" w:cs="宋体" w:eastAsia="宋体" w:hint="default"/>
          <w:sz w:val="18"/>
          <w:szCs w:val="18"/>
        </w:rPr>
        <w:t>4,928,810</w:t>
      </w:r>
      <w:r>
        <w:rPr>
          <w:rFonts w:ascii="宋体" w:hAnsi="宋体" w:cs="宋体" w:eastAsia="宋体" w:hint="default"/>
          <w:spacing w:val="-35"/>
          <w:sz w:val="18"/>
          <w:szCs w:val="18"/>
        </w:rPr>
        <w:t> </w:t>
      </w:r>
      <w:r>
        <w:rPr>
          <w:rFonts w:ascii="宋体" w:hAnsi="宋体" w:cs="宋体" w:eastAsia="宋体" w:hint="default"/>
          <w:sz w:val="18"/>
          <w:szCs w:val="18"/>
        </w:rPr>
        <w:t>张，回售金额为</w:t>
      </w:r>
      <w:r>
        <w:rPr>
          <w:rFonts w:ascii="宋体" w:hAnsi="宋体" w:cs="宋体" w:eastAsia="宋体" w:hint="default"/>
          <w:spacing w:val="-34"/>
          <w:sz w:val="18"/>
          <w:szCs w:val="18"/>
        </w:rPr>
        <w:t> </w:t>
      </w:r>
      <w:r>
        <w:rPr>
          <w:rFonts w:ascii="宋体" w:hAnsi="宋体" w:cs="宋体" w:eastAsia="宋体" w:hint="default"/>
          <w:sz w:val="18"/>
          <w:szCs w:val="18"/>
        </w:rPr>
        <w:t>492,881,000.00</w:t>
      </w:r>
      <w:r>
        <w:rPr>
          <w:rFonts w:ascii="宋体" w:hAnsi="宋体" w:cs="宋体" w:eastAsia="宋体" w:hint="default"/>
          <w:spacing w:val="-34"/>
          <w:sz w:val="18"/>
          <w:szCs w:val="18"/>
        </w:rPr>
        <w:t> </w:t>
      </w:r>
      <w:r>
        <w:rPr>
          <w:rFonts w:ascii="宋体" w:hAnsi="宋体" w:cs="宋体" w:eastAsia="宋体" w:hint="default"/>
          <w:spacing w:val="-7"/>
          <w:sz w:val="18"/>
          <w:szCs w:val="18"/>
        </w:rPr>
        <w:t>元（不含利息），剩余托管量为</w:t>
      </w:r>
      <w:r>
        <w:rPr>
          <w:rFonts w:ascii="宋体" w:hAnsi="宋体" w:cs="宋体" w:eastAsia="宋体" w:hint="default"/>
          <w:spacing w:val="-34"/>
          <w:sz w:val="18"/>
          <w:szCs w:val="18"/>
        </w:rPr>
        <w:t> </w:t>
      </w:r>
      <w:r>
        <w:rPr>
          <w:rFonts w:ascii="宋体" w:hAnsi="宋体" w:cs="宋体" w:eastAsia="宋体" w:hint="default"/>
          <w:sz w:val="18"/>
          <w:szCs w:val="18"/>
        </w:rPr>
        <w:t>21,190</w:t>
      </w:r>
      <w:r>
        <w:rPr>
          <w:rFonts w:ascii="宋体" w:hAnsi="宋体" w:cs="宋体" w:eastAsia="宋体" w:hint="default"/>
          <w:spacing w:val="-34"/>
          <w:sz w:val="18"/>
          <w:szCs w:val="18"/>
        </w:rPr>
        <w:t> </w:t>
      </w:r>
      <w:r>
        <w:rPr>
          <w:rFonts w:ascii="宋体" w:hAnsi="宋体" w:cs="宋体" w:eastAsia="宋体" w:hint="default"/>
          <w:spacing w:val="-1"/>
          <w:sz w:val="18"/>
          <w:szCs w:val="18"/>
        </w:rPr>
        <w:t>张，回售资金发放日为</w:t>
      </w:r>
      <w:r>
        <w:rPr>
          <w:rFonts w:ascii="宋体" w:hAnsi="宋体" w:cs="宋体" w:eastAsia="宋体" w:hint="default"/>
          <w:spacing w:val="-34"/>
          <w:sz w:val="18"/>
          <w:szCs w:val="18"/>
        </w:rPr>
        <w:t> </w:t>
      </w:r>
      <w:r>
        <w:rPr>
          <w:rFonts w:ascii="宋体" w:hAnsi="宋体" w:cs="宋体" w:eastAsia="宋体" w:hint="default"/>
          <w:sz w:val="18"/>
          <w:szCs w:val="18"/>
        </w:rPr>
        <w:t>2019</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1</w:t>
      </w:r>
      <w:r>
        <w:rPr>
          <w:rFonts w:ascii="宋体" w:hAnsi="宋体" w:cs="宋体" w:eastAsia="宋体" w:hint="default"/>
          <w:spacing w:val="-34"/>
          <w:sz w:val="18"/>
          <w:szCs w:val="18"/>
        </w:rPr>
        <w:t> </w:t>
      </w:r>
      <w:r>
        <w:rPr>
          <w:rFonts w:ascii="宋体" w:hAnsi="宋体" w:cs="宋体" w:eastAsia="宋体" w:hint="default"/>
          <w:sz w:val="18"/>
          <w:szCs w:val="18"/>
        </w:rPr>
        <w:t>月</w:t>
      </w:r>
    </w:p>
    <w:p>
      <w:pPr>
        <w:spacing w:before="20"/>
        <w:ind w:left="154" w:right="0" w:firstLine="0"/>
        <w:jc w:val="both"/>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39、长期应付款" w:id="348"/>
      <w:bookmarkEnd w:id="348"/>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9"/>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43,321,700.00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43,321,700.00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按款项性质列示长期应付款" w:id="349"/>
      <w:bookmarkEnd w:id="34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专项应付款" w:id="350"/>
      <w:bookmarkEnd w:id="350"/>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信息安全保障能力 建设专项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33,470,000.00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33,470,000.00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贵州文化旅游移动 云服务系统研发及 服务新模式</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2,273,000.00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贵州文化旅游服务 新兴业态研究及产 业化示范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1,783,000.00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基于移动互联的生 态文化旅游服务系 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贵州文化遗产数字 化保护与开发关键 技术研究及应用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834,500.00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834,500.00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物联网专项基金</w:t>
            </w:r>
            <w:r>
              <w:rPr>
                <w:rFonts w:ascii="Times New Roman" w:hAnsi="Times New Roman" w:cs="Times New Roman" w:eastAsia="Times New Roman" w:hint="default"/>
                <w:sz w:val="18"/>
                <w:szCs w:val="18"/>
              </w:rPr>
              <w:t>-</w:t>
            </w:r>
            <w:r>
              <w:rPr>
                <w:rFonts w:ascii="宋体" w:hAnsi="宋体" w:cs="宋体" w:eastAsia="宋体" w:hint="default"/>
                <w:sz w:val="18"/>
                <w:szCs w:val="18"/>
              </w:rPr>
              <w:t>智 能农业信息系统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2,144,600.00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2,144,600.00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打印云服务平台 研发项目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176,600.00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176,600.00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基于大数据的移动 新媒体出版融合平 台</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装备复杂零部件个 性化快速定制智能 制造新模式</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43,321,700.00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44,071,700.00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0、长期应付职工薪酬" w:id="351"/>
      <w:bookmarkEnd w:id="351"/>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52"/>
      <w:bookmarkEnd w:id="35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53"/>
      <w:bookmarkEnd w:id="35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1、预计负债" w:id="354"/>
      <w:bookmarkEnd w:id="354"/>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递延收益" w:id="355"/>
      <w:bookmarkEnd w:id="355"/>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24,545,833.56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19,365,833.56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24,545,833.56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19,365,833.56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after="0" w:line="30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垂直化数字 内容出版集 群项目及产 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9,250,000.03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8,250,000.07</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面向移动互 联网的交互 式动画与游 戏引擎研发 及产业化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4,249,999.94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3,749,999.90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移动互联网 图文混排平 台研发及产 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4,166,666.60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3,666,666.56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云计算安全 及服务系统 研发及应用</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煤矿安全生 产信息化标 准体系研究 制定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979,166.91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729,166.95</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芯片级网络 处理器</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安 全引擎系统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708,333.62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458,333.66</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基于移动互 联网的动漫 内容采集发 布平台示范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220,000.00</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漫画在线创 作系统</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241,666.46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191,666.42</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医药领域物 </w:t>
            </w:r>
            <w:r>
              <w:rPr>
                <w:rFonts w:ascii="宋体" w:hAnsi="宋体" w:cs="宋体" w:eastAsia="宋体" w:hint="default"/>
                <w:spacing w:val="-13"/>
                <w:sz w:val="18"/>
                <w:szCs w:val="18"/>
              </w:rPr>
              <w:t>流、溯源及电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子商务管理 系统的研制 与应用示范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24,545,833.5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19,365,833.5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3、其他非流动负债" w:id="356"/>
      <w:bookmarkEnd w:id="356"/>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4、股本" w:id="357"/>
      <w:bookmarkEnd w:id="357"/>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648,307,048.00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259,322,819.00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259,322,819.00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907,629,867.00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本公司本期股本的变化详见第十一节</w:t>
      </w:r>
      <w:r>
        <w:rPr>
          <w:rFonts w:ascii="Times New Roman" w:hAnsi="Times New Roman" w:cs="Times New Roman" w:eastAsia="Times New Roman" w:hint="default"/>
        </w:rPr>
        <w:t>“</w:t>
      </w:r>
      <w:r>
        <w:rPr/>
        <w:t>三、公司基本情况</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45、其他权益工具" w:id="358"/>
      <w:bookmarkEnd w:id="358"/>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59"/>
      <w:bookmarkEnd w:id="35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60"/>
      <w:bookmarkEnd w:id="36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46、资本公积" w:id="361"/>
      <w:bookmarkEnd w:id="361"/>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2,191,427,592.24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24,216,870.00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259,322,819.00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1,956,321,643.24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1,376,513.18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1,376,513.18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2,192,804,105.42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24,216,870.00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259,322,819.00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1,957,698,156.42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89"/>
        <w:ind w:left="577" w:right="1025"/>
        <w:jc w:val="left"/>
      </w:pPr>
      <w:r>
        <w:rPr>
          <w:rFonts w:ascii="宋体" w:hAnsi="宋体" w:cs="宋体" w:eastAsia="宋体" w:hint="default"/>
        </w:rPr>
        <w:t>2014</w:t>
      </w:r>
      <w:r>
        <w:rPr/>
        <w:t>年度、</w:t>
      </w:r>
      <w:r>
        <w:rPr>
          <w:rFonts w:ascii="宋体" w:hAnsi="宋体" w:cs="宋体" w:eastAsia="宋体" w:hint="default"/>
        </w:rPr>
        <w:t>2017</w:t>
      </w:r>
      <w:r>
        <w:rPr/>
        <w:t>年度股权激励事项，本年度确认资本公积金额为</w:t>
      </w:r>
      <w:r>
        <w:rPr>
          <w:rFonts w:ascii="宋体" w:hAnsi="宋体" w:cs="宋体" w:eastAsia="宋体" w:hint="default"/>
        </w:rPr>
        <w:t>42,670,232.13</w:t>
      </w:r>
      <w:r>
        <w:rPr/>
        <w:t>元； 股权激励事项中因部分员工离职及考核未达标，对资本公积影响金额为</w:t>
      </w:r>
      <w:r>
        <w:rPr>
          <w:rFonts w:ascii="宋体" w:hAnsi="宋体" w:cs="宋体" w:eastAsia="宋体" w:hint="default"/>
        </w:rPr>
        <w:t>-1,837,343.56</w:t>
      </w:r>
      <w:r>
        <w:rPr/>
        <w:t>元； </w:t>
      </w:r>
      <w:r>
        <w:rPr>
          <w:rFonts w:ascii="宋体" w:hAnsi="宋体" w:cs="宋体" w:eastAsia="宋体" w:hint="default"/>
          <w:spacing w:val="-3"/>
        </w:rPr>
        <w:t>2017</w:t>
      </w:r>
      <w:r>
        <w:rPr>
          <w:spacing w:val="-3"/>
        </w:rPr>
        <w:t>年股权激励事项，第一期股权解锁条件预期无法完成，对资本公积影响金额为</w:t>
      </w:r>
      <w:r>
        <w:rPr>
          <w:rFonts w:ascii="宋体" w:hAnsi="宋体" w:cs="宋体" w:eastAsia="宋体" w:hint="default"/>
          <w:spacing w:val="-3"/>
        </w:rPr>
        <w:t>-28,401,280.00</w:t>
      </w:r>
      <w:r>
        <w:rPr>
          <w:spacing w:val="-3"/>
        </w:rPr>
        <w:t>元；</w:t>
      </w:r>
      <w:r>
        <w:rPr>
          <w:spacing w:val="-76"/>
        </w:rPr>
        <w:t> </w:t>
      </w:r>
      <w:r>
        <w:rPr>
          <w:spacing w:val="16"/>
        </w:rPr>
        <w:t>公司子公司北京高阳捷迅信息技术有限公司</w:t>
      </w:r>
      <w:r>
        <w:rPr>
          <w:spacing w:val="-75"/>
        </w:rPr>
        <w:t> </w:t>
      </w:r>
      <w:r>
        <w:rPr>
          <w:rFonts w:ascii="宋体" w:hAnsi="宋体" w:cs="宋体" w:eastAsia="宋体" w:hint="default"/>
          <w:spacing w:val="12"/>
        </w:rPr>
        <w:t>2018</w:t>
      </w:r>
      <w:r>
        <w:rPr>
          <w:spacing w:val="12"/>
        </w:rPr>
        <w:t>年</w:t>
      </w:r>
      <w:r>
        <w:rPr>
          <w:rFonts w:ascii="宋体" w:hAnsi="宋体" w:cs="宋体" w:eastAsia="宋体" w:hint="default"/>
          <w:spacing w:val="12"/>
        </w:rPr>
        <w:t>1</w:t>
      </w:r>
      <w:r>
        <w:rPr>
          <w:spacing w:val="12"/>
        </w:rPr>
        <w:t>月引入少数股东，</w:t>
      </w:r>
      <w:r>
        <w:rPr>
          <w:spacing w:val="-78"/>
        </w:rPr>
        <w:t> </w:t>
      </w:r>
      <w:r>
        <w:rPr>
          <w:spacing w:val="18"/>
        </w:rPr>
        <w:t>对资本公积影响金额为</w:t>
      </w:r>
      <w:r>
        <w:rPr/>
      </w:r>
    </w:p>
    <w:p>
      <w:pPr>
        <w:pStyle w:val="BodyText"/>
        <w:spacing w:line="240" w:lineRule="auto"/>
        <w:ind w:right="0"/>
        <w:jc w:val="left"/>
      </w:pPr>
      <w:r>
        <w:rPr>
          <w:rFonts w:ascii="宋体" w:hAnsi="宋体" w:cs="宋体" w:eastAsia="宋体" w:hint="default"/>
        </w:rPr>
        <w:t>-15,070,048.68</w:t>
      </w:r>
      <w:r>
        <w:rPr/>
        <w:t>元；</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firstLine="423"/>
        <w:jc w:val="left"/>
      </w:pPr>
      <w:r>
        <w:rPr/>
        <w:t>公</w:t>
      </w:r>
      <w:r>
        <w:rPr>
          <w:spacing w:val="-76"/>
        </w:rPr>
        <w:t> </w:t>
      </w:r>
      <w:r>
        <w:rPr/>
        <w:t>司</w:t>
      </w:r>
      <w:r>
        <w:rPr>
          <w:spacing w:val="-76"/>
        </w:rPr>
        <w:t> </w:t>
      </w:r>
      <w:r>
        <w:rPr/>
        <w:t>子</w:t>
      </w:r>
      <w:r>
        <w:rPr>
          <w:spacing w:val="-74"/>
        </w:rPr>
        <w:t> </w:t>
      </w:r>
      <w:r>
        <w:rPr/>
        <w:t>公</w:t>
      </w:r>
      <w:r>
        <w:rPr>
          <w:spacing w:val="-76"/>
        </w:rPr>
        <w:t> </w:t>
      </w:r>
      <w:r>
        <w:rPr/>
        <w:t>司</w:t>
      </w:r>
      <w:r>
        <w:rPr>
          <w:spacing w:val="-74"/>
        </w:rPr>
        <w:t> </w:t>
      </w:r>
      <w:r>
        <w:rPr/>
        <w:t>大</w:t>
      </w:r>
      <w:r>
        <w:rPr>
          <w:spacing w:val="-76"/>
        </w:rPr>
        <w:t> </w:t>
      </w:r>
      <w:r>
        <w:rPr/>
        <w:t>唐</w:t>
      </w:r>
      <w:r>
        <w:rPr>
          <w:spacing w:val="-76"/>
        </w:rPr>
        <w:t> </w:t>
      </w:r>
      <w:r>
        <w:rPr/>
        <w:t>融</w:t>
      </w:r>
      <w:r>
        <w:rPr>
          <w:spacing w:val="-74"/>
        </w:rPr>
        <w:t> </w:t>
      </w:r>
      <w:r>
        <w:rPr/>
        <w:t>合</w:t>
      </w:r>
      <w:r>
        <w:rPr>
          <w:spacing w:val="-76"/>
        </w:rPr>
        <w:t> </w:t>
      </w:r>
      <w:r>
        <w:rPr/>
        <w:t>通</w:t>
      </w:r>
      <w:r>
        <w:rPr>
          <w:spacing w:val="-74"/>
        </w:rPr>
        <w:t> </w:t>
      </w:r>
      <w:r>
        <w:rPr/>
        <w:t>信</w:t>
      </w:r>
      <w:r>
        <w:rPr>
          <w:spacing w:val="-76"/>
        </w:rPr>
        <w:t> </w:t>
      </w:r>
      <w:r>
        <w:rPr/>
        <w:t>股</w:t>
      </w:r>
      <w:r>
        <w:rPr>
          <w:spacing w:val="-76"/>
        </w:rPr>
        <w:t> </w:t>
      </w:r>
      <w:r>
        <w:rPr/>
        <w:t>份</w:t>
      </w:r>
      <w:r>
        <w:rPr>
          <w:spacing w:val="-74"/>
        </w:rPr>
        <w:t> </w:t>
      </w:r>
      <w:r>
        <w:rPr/>
        <w:t>有</w:t>
      </w:r>
      <w:r>
        <w:rPr>
          <w:spacing w:val="-76"/>
        </w:rPr>
        <w:t> </w:t>
      </w:r>
      <w:r>
        <w:rPr/>
        <w:t>限</w:t>
      </w:r>
      <w:r>
        <w:rPr>
          <w:spacing w:val="-74"/>
        </w:rPr>
        <w:t> </w:t>
      </w:r>
      <w:r>
        <w:rPr/>
        <w:t>公</w:t>
      </w:r>
      <w:r>
        <w:rPr>
          <w:spacing w:val="-76"/>
        </w:rPr>
        <w:t> </w:t>
      </w:r>
      <w:r>
        <w:rPr/>
        <w:t>司</w:t>
      </w:r>
      <w:r>
        <w:rPr>
          <w:spacing w:val="-72"/>
        </w:rPr>
        <w:t> </w:t>
      </w:r>
      <w:r>
        <w:rPr>
          <w:rFonts w:ascii="宋体" w:hAnsi="宋体" w:cs="宋体" w:eastAsia="宋体" w:hint="default"/>
        </w:rPr>
        <w:t>2018</w:t>
      </w:r>
      <w:r>
        <w:rPr>
          <w:rFonts w:ascii="宋体" w:hAnsi="宋体" w:cs="宋体" w:eastAsia="宋体" w:hint="default"/>
          <w:spacing w:val="-75"/>
        </w:rPr>
        <w:t> </w:t>
      </w:r>
      <w:r>
        <w:rPr/>
        <w:t>年</w:t>
      </w:r>
      <w:r>
        <w:rPr>
          <w:spacing w:val="-75"/>
        </w:rPr>
        <w:t> </w:t>
      </w:r>
      <w:r>
        <w:rPr>
          <w:rFonts w:ascii="宋体" w:hAnsi="宋体" w:cs="宋体" w:eastAsia="宋体" w:hint="default"/>
        </w:rPr>
        <w:t>2</w:t>
      </w:r>
      <w:r>
        <w:rPr>
          <w:rFonts w:ascii="宋体" w:hAnsi="宋体" w:cs="宋体" w:eastAsia="宋体" w:hint="default"/>
          <w:spacing w:val="-75"/>
        </w:rPr>
        <w:t> </w:t>
      </w:r>
      <w:r>
        <w:rPr/>
        <w:t>月</w:t>
      </w:r>
      <w:r>
        <w:rPr>
          <w:spacing w:val="-76"/>
        </w:rPr>
        <w:t> </w:t>
      </w:r>
      <w:r>
        <w:rPr/>
        <w:t>引</w:t>
      </w:r>
      <w:r>
        <w:rPr>
          <w:spacing w:val="-76"/>
        </w:rPr>
        <w:t> </w:t>
      </w:r>
      <w:r>
        <w:rPr/>
        <w:t>入</w:t>
      </w:r>
      <w:r>
        <w:rPr>
          <w:spacing w:val="-74"/>
        </w:rPr>
        <w:t> </w:t>
      </w:r>
      <w:r>
        <w:rPr/>
        <w:t>少</w:t>
      </w:r>
      <w:r>
        <w:rPr>
          <w:spacing w:val="-74"/>
        </w:rPr>
        <w:t> </w:t>
      </w:r>
      <w:r>
        <w:rPr/>
        <w:t>数</w:t>
      </w:r>
      <w:r>
        <w:rPr>
          <w:spacing w:val="-76"/>
        </w:rPr>
        <w:t> </w:t>
      </w:r>
      <w:r>
        <w:rPr/>
        <w:t>股</w:t>
      </w:r>
      <w:r>
        <w:rPr>
          <w:spacing w:val="-76"/>
        </w:rPr>
        <w:t> </w:t>
      </w:r>
      <w:r>
        <w:rPr/>
        <w:t>东</w:t>
      </w:r>
      <w:r>
        <w:rPr>
          <w:spacing w:val="-74"/>
        </w:rPr>
        <w:t> </w:t>
      </w:r>
      <w:r>
        <w:rPr/>
        <w:t>，</w:t>
      </w:r>
      <w:r>
        <w:rPr>
          <w:spacing w:val="-76"/>
        </w:rPr>
        <w:t> </w:t>
      </w:r>
      <w:r>
        <w:rPr/>
        <w:t>对</w:t>
      </w:r>
      <w:r>
        <w:rPr>
          <w:spacing w:val="-74"/>
        </w:rPr>
        <w:t> </w:t>
      </w:r>
      <w:r>
        <w:rPr/>
        <w:t>资</w:t>
      </w:r>
      <w:r>
        <w:rPr>
          <w:spacing w:val="-76"/>
        </w:rPr>
        <w:t> </w:t>
      </w:r>
      <w:r>
        <w:rPr/>
        <w:t>本</w:t>
      </w:r>
      <w:r>
        <w:rPr>
          <w:spacing w:val="-76"/>
        </w:rPr>
        <w:t> </w:t>
      </w:r>
      <w:r>
        <w:rPr/>
        <w:t>公</w:t>
      </w:r>
      <w:r>
        <w:rPr>
          <w:spacing w:val="-74"/>
        </w:rPr>
        <w:t> </w:t>
      </w:r>
      <w:r>
        <w:rPr/>
        <w:t>积</w:t>
      </w:r>
      <w:r>
        <w:rPr>
          <w:spacing w:val="-76"/>
        </w:rPr>
        <w:t> </w:t>
      </w:r>
      <w:r>
        <w:rPr/>
        <w:t>影</w:t>
      </w:r>
      <w:r>
        <w:rPr>
          <w:spacing w:val="-74"/>
        </w:rPr>
        <w:t> </w:t>
      </w:r>
      <w:r>
        <w:rPr/>
        <w:t>响</w:t>
      </w:r>
      <w:r>
        <w:rPr>
          <w:spacing w:val="-76"/>
        </w:rPr>
        <w:t> </w:t>
      </w:r>
      <w:r>
        <w:rPr/>
        <w:t>金</w:t>
      </w:r>
      <w:r>
        <w:rPr>
          <w:spacing w:val="-76"/>
        </w:rPr>
        <w:t> </w:t>
      </w:r>
      <w:r>
        <w:rPr/>
        <w:t>额</w:t>
      </w:r>
      <w:r>
        <w:rPr>
          <w:spacing w:val="-76"/>
        </w:rPr>
        <w:t> </w:t>
      </w:r>
      <w:r>
        <w:rPr/>
        <w:t>为</w:t>
      </w:r>
      <w:r>
        <w:rPr/>
        <w:t> </w:t>
      </w:r>
      <w:r>
        <w:rPr>
          <w:rFonts w:ascii="宋体" w:hAnsi="宋体" w:cs="宋体" w:eastAsia="宋体" w:hint="default"/>
        </w:rPr>
        <w:t>26,855,310.11</w:t>
      </w:r>
      <w:r>
        <w:rPr/>
        <w:t>元；</w:t>
      </w:r>
    </w:p>
    <w:p>
      <w:pPr>
        <w:pStyle w:val="BodyText"/>
        <w:spacing w:line="273" w:lineRule="auto"/>
        <w:ind w:right="1140" w:firstLine="423"/>
        <w:jc w:val="left"/>
      </w:pPr>
      <w:r>
        <w:rPr>
          <w:rFonts w:ascii="宋体" w:hAnsi="宋体" w:cs="宋体" w:eastAsia="宋体" w:hint="default"/>
        </w:rPr>
        <w:t>2018</w:t>
      </w:r>
      <w:r>
        <w:rPr/>
        <w:t>年</w:t>
      </w:r>
      <w:r>
        <w:rPr>
          <w:rFonts w:ascii="宋体" w:hAnsi="宋体" w:cs="宋体" w:eastAsia="宋体" w:hint="default"/>
        </w:rPr>
        <w:t>5</w:t>
      </w:r>
      <w:r>
        <w:rPr/>
        <w:t>月，公司根据</w:t>
      </w:r>
      <w:r>
        <w:rPr>
          <w:rFonts w:ascii="宋体" w:hAnsi="宋体" w:cs="宋体" w:eastAsia="宋体" w:hint="default"/>
        </w:rPr>
        <w:t>2017</w:t>
      </w:r>
      <w:r>
        <w:rPr/>
        <w:t>年度股东会决议和修改后的章程规定，以资本公积转增股本，对资本公积 影响金额为</w:t>
      </w:r>
      <w:r>
        <w:rPr>
          <w:rFonts w:ascii="宋体" w:hAnsi="宋体" w:cs="宋体" w:eastAsia="宋体" w:hint="default"/>
        </w:rPr>
        <w:t>-259,322,819.00</w:t>
      </w:r>
      <w:r>
        <w:rPr/>
        <w:t>元。</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47、库存股" w:id="362"/>
      <w:bookmarkEnd w:id="362"/>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11,781,000.00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10,663,590.00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1,117,410.00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年度股权激励项目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86,673,600.00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86,673,600.00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98,454,600.00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10,663,590.00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87,791,010.00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73" w:lineRule="auto" w:before="89"/>
        <w:ind w:right="0" w:firstLine="423"/>
        <w:jc w:val="left"/>
      </w:pPr>
      <w:r>
        <w:rPr>
          <w:spacing w:val="-1"/>
        </w:rPr>
        <w:t>本公司</w:t>
      </w:r>
      <w:r>
        <w:rPr>
          <w:rFonts w:ascii="宋体" w:hAnsi="宋体" w:cs="宋体" w:eastAsia="宋体" w:hint="default"/>
          <w:spacing w:val="-1"/>
        </w:rPr>
        <w:t>2014</w:t>
      </w:r>
      <w:r>
        <w:rPr>
          <w:spacing w:val="-1"/>
        </w:rPr>
        <w:t>年限制性股票激励计划第三个解锁期届满且解锁条件成就，解锁股票数量为</w:t>
      </w:r>
      <w:r>
        <w:rPr>
          <w:rFonts w:ascii="宋体" w:hAnsi="宋体" w:cs="宋体" w:eastAsia="宋体" w:hint="default"/>
          <w:spacing w:val="-1"/>
        </w:rPr>
        <w:t>2,031,160</w:t>
      </w:r>
      <w:r>
        <w:rPr>
          <w:spacing w:val="-1"/>
        </w:rPr>
        <w:t>股，</w:t>
      </w:r>
      <w:r>
        <w:rPr/>
        <w:t> 按原授予价格扣除</w:t>
      </w:r>
      <w:r>
        <w:rPr>
          <w:rFonts w:ascii="宋体" w:hAnsi="宋体" w:cs="宋体" w:eastAsia="宋体" w:hint="default"/>
        </w:rPr>
        <w:t>2016</w:t>
      </w:r>
      <w:r>
        <w:rPr/>
        <w:t>年分配现金股利后金额</w:t>
      </w:r>
      <w:r>
        <w:rPr>
          <w:rFonts w:ascii="宋体" w:hAnsi="宋体" w:cs="宋体" w:eastAsia="宋体" w:hint="default"/>
        </w:rPr>
        <w:t>5.25</w:t>
      </w:r>
      <w:r>
        <w:rPr/>
        <w:t>元</w:t>
      </w:r>
      <w:r>
        <w:rPr>
          <w:rFonts w:ascii="宋体" w:hAnsi="宋体" w:cs="宋体" w:eastAsia="宋体" w:hint="default"/>
        </w:rPr>
        <w:t>/</w:t>
      </w:r>
      <w:r>
        <w:rPr/>
        <w:t>股计算减少库存股金额为</w:t>
      </w:r>
      <w:r>
        <w:rPr>
          <w:rFonts w:ascii="宋体" w:hAnsi="宋体" w:cs="宋体" w:eastAsia="宋体" w:hint="default"/>
        </w:rPr>
        <w:t>10,663,590.00</w:t>
      </w:r>
      <w:r>
        <w:rPr/>
        <w:t>元。</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48、其他综合收益" w:id="363"/>
      <w:bookmarkEnd w:id="363"/>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397"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2,858.13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35,071.02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35,071.02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37,929.15</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2,858.13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35,071.02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35,071.02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37,929.15</w:t>
            </w:r>
          </w:p>
        </w:tc>
      </w:tr>
      <w:tr>
        <w:trPr>
          <w:trHeight w:val="402"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2,858.13</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35,071.02</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35,071.02</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37,929.15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9、专项储备" w:id="364"/>
      <w:bookmarkEnd w:id="364"/>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盈余公积" w:id="365"/>
      <w:bookmarkEnd w:id="365"/>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29,835,972.64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29,835,972.64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29,835,972.64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29,835,972.64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1、未分配利润" w:id="366"/>
      <w:bookmarkEnd w:id="366"/>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481,096,732.66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315,101,848.70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481,096,732.66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315,101,848.70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33,964,915.63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179,308,287.39</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816,902.07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12,496,501.36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515,061,648.29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481,096,732.66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pStyle w:val="BodyText"/>
        <w:spacing w:line="240" w:lineRule="auto" w:before="90"/>
        <w:ind w:left="577" w:right="0"/>
        <w:jc w:val="left"/>
      </w:pPr>
      <w:r>
        <w:rPr>
          <w:rFonts w:ascii="宋体" w:hAnsi="宋体" w:cs="宋体" w:eastAsia="宋体" w:hint="default"/>
        </w:rPr>
        <w:t>1)</w:t>
      </w:r>
      <w:r>
        <w:rPr/>
        <w:t>、由于《企业会计准则》及其相关新规定进行追溯调整，影响期初未分配利润</w:t>
      </w:r>
      <w:r>
        <w:rPr>
          <w:rFonts w:ascii="宋体" w:hAnsi="宋体" w:cs="宋体" w:eastAsia="宋体" w:hint="default"/>
        </w:rPr>
        <w:t>0</w:t>
      </w:r>
      <w:r>
        <w:rPr/>
        <w:t>元。</w:t>
      </w:r>
    </w:p>
    <w:p>
      <w:pPr>
        <w:pStyle w:val="BodyText"/>
        <w:spacing w:line="240" w:lineRule="auto" w:before="37"/>
        <w:ind w:left="577" w:right="0"/>
        <w:jc w:val="left"/>
      </w:pPr>
      <w:r>
        <w:rPr>
          <w:rFonts w:ascii="宋体" w:hAnsi="宋体" w:cs="宋体" w:eastAsia="宋体" w:hint="default"/>
        </w:rPr>
        <w:t>2)</w:t>
      </w:r>
      <w:r>
        <w:rPr/>
        <w:t>、由于会计政策变更，影响期初未分配利润</w:t>
      </w:r>
      <w:r>
        <w:rPr>
          <w:rFonts w:ascii="宋体" w:hAnsi="宋体" w:cs="宋体" w:eastAsia="宋体" w:hint="default"/>
        </w:rPr>
        <w:t>0</w:t>
      </w:r>
      <w:r>
        <w:rPr/>
        <w:t>元。</w:t>
      </w:r>
    </w:p>
    <w:p>
      <w:pPr>
        <w:pStyle w:val="BodyText"/>
        <w:spacing w:line="240" w:lineRule="auto" w:before="37"/>
        <w:ind w:left="577" w:right="0"/>
        <w:jc w:val="left"/>
      </w:pPr>
      <w:r>
        <w:rPr>
          <w:rFonts w:ascii="宋体" w:hAnsi="宋体" w:cs="宋体" w:eastAsia="宋体" w:hint="default"/>
        </w:rPr>
        <w:t>3)</w:t>
      </w:r>
      <w:r>
        <w:rPr/>
        <w:t>、由于重大会计差错更正，影响期初未分配利润</w:t>
      </w:r>
      <w:r>
        <w:rPr>
          <w:rFonts w:ascii="宋体" w:hAnsi="宋体" w:cs="宋体" w:eastAsia="宋体" w:hint="default"/>
        </w:rPr>
        <w:t>0</w:t>
      </w:r>
      <w:r>
        <w:rPr/>
        <w:t>元。</w:t>
      </w:r>
    </w:p>
    <w:p>
      <w:pPr>
        <w:pStyle w:val="BodyText"/>
        <w:spacing w:line="240" w:lineRule="auto" w:before="37"/>
        <w:ind w:left="577" w:right="0"/>
        <w:jc w:val="left"/>
      </w:pPr>
      <w:r>
        <w:rPr>
          <w:rFonts w:ascii="宋体" w:hAnsi="宋体" w:cs="宋体" w:eastAsia="宋体" w:hint="default"/>
        </w:rPr>
        <w:t>4)</w:t>
      </w:r>
      <w:r>
        <w:rPr/>
        <w:t>、由于同一控制导致的合并范围变更，影响期初未分配利润</w:t>
      </w:r>
      <w:r>
        <w:rPr>
          <w:rFonts w:ascii="宋体" w:hAnsi="宋体" w:cs="宋体" w:eastAsia="宋体" w:hint="default"/>
        </w:rPr>
        <w:t>0</w:t>
      </w:r>
      <w:r>
        <w:rPr/>
        <w:t>元。</w:t>
      </w:r>
    </w:p>
    <w:p>
      <w:pPr>
        <w:pStyle w:val="BodyText"/>
        <w:spacing w:line="240" w:lineRule="auto" w:before="37"/>
        <w:ind w:left="577" w:right="0"/>
        <w:jc w:val="left"/>
      </w:pPr>
      <w:r>
        <w:rPr>
          <w:rFonts w:ascii="宋体" w:hAnsi="宋体" w:cs="宋体" w:eastAsia="宋体" w:hint="default"/>
        </w:rPr>
        <w:t>5)</w:t>
      </w:r>
      <w:r>
        <w:rPr/>
        <w:t>、其他调整合计影响期初未分配利润</w:t>
      </w:r>
      <w:r>
        <w:rPr>
          <w:rFonts w:ascii="宋体" w:hAnsi="宋体" w:cs="宋体" w:eastAsia="宋体" w:hint="default"/>
        </w:rPr>
        <w:t>0</w:t>
      </w:r>
      <w:r>
        <w:rPr/>
        <w:t>元。</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67"/>
      <w:bookmarkEnd w:id="367"/>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9,252,751,192.53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8,641,110,509.91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8,914,618,148.13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8,436,864,029.62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11,917,967.20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12,168,873.97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61,115,017.08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45,555,716.97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9,264,669,159.73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8,653,279,383.88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8,975,733,165.21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8,482,419,746.59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0"/>
        <w:jc w:val="left"/>
        <w:rPr>
          <w:b w:val="0"/>
          <w:bCs w:val="0"/>
        </w:rPr>
      </w:pPr>
      <w:bookmarkStart w:name="53、税金及附加" w:id="368"/>
      <w:bookmarkEnd w:id="368"/>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8,129,430.92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4,848,286.14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5,830,403.68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3,470,561.72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1,836,547.15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1,812,583.37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729,284.01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738,599.59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24,893.33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25,143.33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2,353,796.83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2,867,593.61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36,740.93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5,613,253.37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378,297.00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270,799.52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24,932,647.22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14,033,619.08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4、销售费用" w:id="369"/>
      <w:bookmarkEnd w:id="369"/>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92,796,177.78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75,547,772.28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28,280,852.78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15,972,083.33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4,355,477.25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2,681,615.72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7,683,060.04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7,178,434.67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5,393,293.15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5,549,238.83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7,500,231.47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7,707,775.61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1,783,632.03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1,452,456.18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3,698,384.36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2,959,303.82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990,865.86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1,321,700.79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385,609.05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549,760.68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1,113,243.54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1,596,964.98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23,320,291.33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22,782,674.70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177,301,118.64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145,299,781.59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5、管理费用" w:id="370"/>
      <w:bookmarkEnd w:id="370"/>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76,103,306.16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75,572,446.68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40,954,202.05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35,612,153.20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3,889,786.25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3,237,460.28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2,940,866.44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3,551,475.27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3,720,725.94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2,280,474.39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6,808,715.27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8,119,565.41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2,215,741.71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2,205,076.99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2,346,396.02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1,965,797.75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4,400,871.69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5,181,904.78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19,705,489.44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13,957,909.48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163,086,100.97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151,684,264.23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6、研发费用" w:id="371"/>
      <w:bookmarkEnd w:id="371"/>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14,315,747.90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42,029,355.80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3,707,058.38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10,663,786.18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设备运维费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2,093,116.38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8,557,744.44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837,125.60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12,028.34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1,054,597.69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3,185,451.71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250,267.95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1,538,648.99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229,812.24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804,763.95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2,868,812.66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369,902.71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1,775,788.87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测试检验费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171,999.51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401,623.59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75,735.26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346,382.30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29,911.46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374,548.76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23,710,226.79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71,983,983.88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7、财务费用" w:id="372"/>
      <w:bookmarkEnd w:id="372"/>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127,037,848.55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118,774,454.76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-16,017,756.36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-6,743,986.29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201,913.74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73,519.38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1,770,991.99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1,479,874.12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112,992,997.92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113,583,861.97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8、资产减值损失" w:id="373"/>
      <w:bookmarkEnd w:id="373"/>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60,027,041.58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14,124,703.74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4,212,275.66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21,954.27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818,773.24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5,999,535.69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34,552,476.41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74,057,626.17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48,699,134.42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9、其他收益" w:id="374"/>
      <w:bookmarkEnd w:id="374"/>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运营补贴资金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18,431,576.04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软件增值税返还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11,393,175.92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7,138,547.18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基于大数据的移动新媒体出版融合平台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医药领域物流、溯源及电子商务管理系 统的研制与应用示范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垂直化数字内容出版集群项目及产业化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749,999.97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面向移动互联网的交互式动画与游戏引 擎研发及产业化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移动互联网图文混排平台研发及产业化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芯片网络处理器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安全引擎系统项目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249,999.96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煤矿安全生产信息化标准体系研究制定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249,999.96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126,673.20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基于移动互联网的动漫内容采集发布平 台示范项目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基于云众包的数字出版升级示范项目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基于可信计算的数字出版众创平台研发 及产业化项目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物资领域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技术应用项目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高可靠高性效入侵防御系统研发与产业 化项目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的电子标签产品研发与标准 研究制定</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1,966,666.87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基于物联网云构架的企业综合管理系统 的研究及产业化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基于云计算模式的智能手机恶意软件实 时检测预警追踪系统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纳税补贴资金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76,959.00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40,631,425.16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58,312,173.06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0、投资收益" w:id="375"/>
      <w:bookmarkEnd w:id="375"/>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1,043,005.66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1,556,482.15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235,675.84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227,585,338.66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2,820,016.36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336,608.50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559,348.12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4,643,562.97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9,301,608.95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229,478,429.31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7" w:right="0"/>
        <w:jc w:val="left"/>
      </w:pPr>
      <w:r>
        <w:rPr/>
        <w:t>其他为子公司保本结构性存款相关的收益。</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61、公允价值变动收益" w:id="376"/>
      <w:bookmarkEnd w:id="376"/>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2、资产处置收益" w:id="377"/>
      <w:bookmarkEnd w:id="377"/>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-309,493.09</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92,643.01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-623,081.75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-932,574.84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92,643.01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78"/>
      <w:bookmarkEnd w:id="378"/>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12,282,079.41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8,370,838.30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12,282,079.41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1,001,073.38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445,480.56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1,001,073.38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13,283,152.79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8,816,318.86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13,283,152.79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170"/>
        <w:gridCol w:w="426"/>
        <w:gridCol w:w="1593"/>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发放 原因</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产业基金奖 励</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武进国家高新 技术产业开发 区财政局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奖励</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5,465,000.00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5,726,100.00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北京科学技 术委员会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年度北 京市高新技 术成果转化 项目款</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55"/>
              <w:jc w:val="left"/>
              <w:rPr>
                <w:rFonts w:ascii="宋体" w:hAnsi="宋体" w:cs="宋体" w:eastAsia="宋体" w:hint="default"/>
                <w:sz w:val="18"/>
                <w:szCs w:val="18"/>
              </w:rPr>
            </w:pPr>
            <w:r>
              <w:rPr>
                <w:rFonts w:ascii="宋体" w:hAnsi="宋体" w:cs="宋体" w:eastAsia="宋体" w:hint="default"/>
                <w:sz w:val="18"/>
                <w:szCs w:val="18"/>
              </w:rPr>
              <w:t>北京科学技术 委员会</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科技扶持资 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无锡市人民政 府新区管理委 员会</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p>
            <w:pPr>
              <w:pStyle w:val="TableParagraph"/>
              <w:spacing w:line="319" w:lineRule="auto" w:before="63"/>
              <w:ind w:left="22" w:right="-54"/>
              <w:jc w:val="left"/>
              <w:rPr>
                <w:rFonts w:ascii="宋体" w:hAnsi="宋体" w:cs="宋体" w:eastAsia="宋体" w:hint="default"/>
                <w:sz w:val="18"/>
                <w:szCs w:val="18"/>
              </w:rPr>
            </w:pPr>
            <w:r>
              <w:rPr>
                <w:rFonts w:ascii="宋体" w:hAnsi="宋体" w:cs="宋体" w:eastAsia="宋体" w:hint="default"/>
                <w:sz w:val="18"/>
                <w:szCs w:val="18"/>
              </w:rPr>
              <w:t>（通用管理） 综合支撑平 台项目款</w:t>
            </w:r>
          </w:p>
        </w:tc>
        <w:tc>
          <w:tcPr>
            <w:tcW w:w="11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6" w:right="55"/>
              <w:jc w:val="left"/>
              <w:rPr>
                <w:rFonts w:ascii="宋体" w:hAnsi="宋体" w:cs="宋体" w:eastAsia="宋体" w:hint="default"/>
                <w:sz w:val="18"/>
                <w:szCs w:val="18"/>
              </w:rPr>
            </w:pPr>
            <w:r>
              <w:rPr>
                <w:rFonts w:ascii="宋体" w:hAnsi="宋体" w:cs="宋体" w:eastAsia="宋体" w:hint="default"/>
                <w:sz w:val="18"/>
                <w:szCs w:val="18"/>
              </w:rPr>
              <w:t>北京科学技术 委员会</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因从事国家鼓励和 </w:t>
            </w:r>
            <w:r>
              <w:rPr>
                <w:rFonts w:ascii="宋体" w:hAnsi="宋体" w:cs="宋体" w:eastAsia="宋体" w:hint="default"/>
                <w:spacing w:val="-10"/>
                <w:sz w:val="18"/>
                <w:szCs w:val="18"/>
              </w:rPr>
              <w:t>扶持特定行业、产业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而获得的补助（按国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家级政策规定依法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北京市海淀区 社会保险基金 管理中心</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148,308.43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239,562.89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见习岗位补 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哈尔滨市人力 资源和社会保 障局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170"/>
        <w:gridCol w:w="426"/>
        <w:gridCol w:w="1593"/>
        <w:gridCol w:w="1063"/>
        <w:gridCol w:w="1063"/>
        <w:gridCol w:w="1064"/>
        <w:gridCol w:w="1062"/>
        <w:gridCol w:w="1063"/>
      </w:tblGrid>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见习岗位补 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沈丘县财政局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94,500.00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见习岗位补 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哈尔滨市失业 保险基金管理 中心</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83,265.81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22"/>
              <w:jc w:val="left"/>
              <w:rPr>
                <w:rFonts w:ascii="宋体" w:hAnsi="宋体" w:cs="宋体" w:eastAsia="宋体" w:hint="default"/>
                <w:sz w:val="18"/>
                <w:szCs w:val="18"/>
              </w:rPr>
            </w:pPr>
            <w:r>
              <w:rPr>
                <w:rFonts w:ascii="宋体" w:hAnsi="宋体" w:cs="宋体" w:eastAsia="宋体" w:hint="default"/>
                <w:spacing w:val="-12"/>
                <w:sz w:val="18"/>
                <w:szCs w:val="18"/>
              </w:rPr>
              <w:t>奖励、扶持资</w:t>
            </w:r>
            <w:r>
              <w:rPr>
                <w:rFonts w:ascii="宋体" w:hAnsi="宋体" w:cs="宋体" w:eastAsia="宋体" w:hint="default"/>
                <w:sz w:val="18"/>
                <w:szCs w:val="18"/>
              </w:rPr>
              <w:t> 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5"/>
              <w:jc w:val="left"/>
              <w:rPr>
                <w:rFonts w:ascii="宋体" w:hAnsi="宋体" w:cs="宋体" w:eastAsia="宋体" w:hint="default"/>
                <w:sz w:val="18"/>
                <w:szCs w:val="18"/>
              </w:rPr>
            </w:pPr>
            <w:r>
              <w:rPr>
                <w:rFonts w:ascii="宋体" w:hAnsi="宋体" w:cs="宋体" w:eastAsia="宋体" w:hint="default"/>
                <w:sz w:val="18"/>
                <w:szCs w:val="18"/>
              </w:rPr>
              <w:t>国家新闻出版 广电总局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因从事国家鼓励和 </w:t>
            </w:r>
            <w:r>
              <w:rPr>
                <w:rFonts w:ascii="宋体" w:hAnsi="宋体" w:cs="宋体" w:eastAsia="宋体" w:hint="default"/>
                <w:spacing w:val="-10"/>
                <w:sz w:val="18"/>
                <w:szCs w:val="18"/>
              </w:rPr>
              <w:t>扶持特定行业、产业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而获得的补助（按国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家级政策规定依法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28,301.89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56,603.77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无锡市劳动 就业管理中 心失业保险 基金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稳岗补贴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5"/>
              <w:jc w:val="left"/>
              <w:rPr>
                <w:rFonts w:ascii="宋体" w:hAnsi="宋体" w:cs="宋体" w:eastAsia="宋体" w:hint="default"/>
                <w:sz w:val="18"/>
                <w:szCs w:val="18"/>
              </w:rPr>
            </w:pPr>
            <w:r>
              <w:rPr>
                <w:rFonts w:ascii="宋体" w:hAnsi="宋体" w:cs="宋体" w:eastAsia="宋体" w:hint="default"/>
                <w:sz w:val="18"/>
                <w:szCs w:val="18"/>
              </w:rPr>
              <w:t>无锡市劳动就 业管理中心</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5"/>
              <w:jc w:val="left"/>
              <w:rPr>
                <w:rFonts w:ascii="宋体" w:hAnsi="宋体" w:cs="宋体" w:eastAsia="宋体" w:hint="default"/>
                <w:sz w:val="18"/>
                <w:szCs w:val="18"/>
              </w:rPr>
            </w:pPr>
            <w:r>
              <w:rPr>
                <w:rFonts w:ascii="宋体" w:hAnsi="宋体" w:cs="宋体" w:eastAsia="宋体" w:hint="default"/>
                <w:sz w:val="18"/>
                <w:szCs w:val="18"/>
              </w:rPr>
              <w:t>南京市社会保 险管理中心</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13,636.09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18,355.83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中关村企业 信用促进会 信用评级津 贴费用</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5"/>
              <w:jc w:val="left"/>
              <w:rPr>
                <w:rFonts w:ascii="宋体" w:hAnsi="宋体" w:cs="宋体" w:eastAsia="宋体" w:hint="default"/>
                <w:sz w:val="18"/>
                <w:szCs w:val="18"/>
              </w:rPr>
            </w:pPr>
            <w:r>
              <w:rPr>
                <w:rFonts w:ascii="宋体" w:hAnsi="宋体" w:cs="宋体" w:eastAsia="宋体" w:hint="default"/>
                <w:sz w:val="18"/>
                <w:szCs w:val="18"/>
              </w:rPr>
              <w:t>中关村企业信 用促进会</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收武汉市文 化局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版权自助费</w:t>
            </w:r>
          </w:p>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（第一批）</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武汉市文化局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4,704.00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防伪税控减 免税额</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5"/>
              <w:jc w:val="left"/>
              <w:rPr>
                <w:rFonts w:ascii="宋体" w:hAnsi="宋体" w:cs="宋体" w:eastAsia="宋体" w:hint="default"/>
                <w:sz w:val="18"/>
                <w:szCs w:val="18"/>
              </w:rPr>
            </w:pPr>
            <w:r>
              <w:rPr>
                <w:rFonts w:ascii="宋体" w:hAnsi="宋体" w:cs="宋体" w:eastAsia="宋体" w:hint="default"/>
                <w:sz w:val="18"/>
                <w:szCs w:val="18"/>
              </w:rPr>
              <w:t>无锡航天信息 有限公司</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left"/>
              <w:rPr>
                <w:rFonts w:ascii="宋体" w:hAnsi="宋体" w:cs="宋体" w:eastAsia="宋体" w:hint="default"/>
                <w:sz w:val="18"/>
                <w:szCs w:val="18"/>
              </w:rPr>
            </w:pPr>
            <w:r>
              <w:rPr>
                <w:rFonts w:ascii="宋体" w:hAnsi="宋体" w:cs="宋体" w:eastAsia="宋体" w:hint="default"/>
                <w:sz w:val="18"/>
                <w:szCs w:val="18"/>
              </w:rPr>
              <w:t>中央服务外 包平台资金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武汉市财政局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因从事国家鼓励和 </w:t>
            </w:r>
            <w:r>
              <w:rPr>
                <w:rFonts w:ascii="宋体" w:hAnsi="宋体" w:cs="宋体" w:eastAsia="宋体" w:hint="default"/>
                <w:spacing w:val="-10"/>
                <w:sz w:val="18"/>
                <w:szCs w:val="18"/>
              </w:rPr>
              <w:t>扶持特定行业、产业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0"/>
                <w:sz w:val="18"/>
                <w:szCs w:val="18"/>
              </w:rPr>
              <w:t>而获得的补助（按国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家级政策规定依法 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专项发展资 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武汉市财政局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footerReference w:type="default" r:id="rId29"/>
          <w:pgSz w:w="11910" w:h="16840"/>
          <w:pgMar w:footer="979" w:header="877" w:top="1060" w:bottom="1160" w:left="980" w:right="0"/>
          <w:pgNumType w:start="20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170"/>
        <w:gridCol w:w="426"/>
        <w:gridCol w:w="1593"/>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车都英才计 划</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武汉经济技术 开发区（汉南 区）财政局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商务发展专 项资金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武汉市财政局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经开区财政 局高新技术 企业培育补 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5"/>
              <w:jc w:val="both"/>
              <w:rPr>
                <w:rFonts w:ascii="宋体" w:hAnsi="宋体" w:cs="宋体" w:eastAsia="宋体" w:hint="default"/>
                <w:sz w:val="18"/>
                <w:szCs w:val="18"/>
              </w:rPr>
            </w:pPr>
            <w:r>
              <w:rPr>
                <w:rFonts w:ascii="宋体" w:hAnsi="宋体" w:cs="宋体" w:eastAsia="宋体" w:hint="default"/>
                <w:sz w:val="18"/>
                <w:szCs w:val="18"/>
              </w:rPr>
              <w:t>武汉经济技术 开发区（汉南 区）财政局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10"/>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商务城企业 发展金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both"/>
              <w:rPr>
                <w:rFonts w:ascii="宋体" w:hAnsi="宋体" w:cs="宋体" w:eastAsia="宋体" w:hint="default"/>
                <w:sz w:val="18"/>
                <w:szCs w:val="18"/>
              </w:rPr>
            </w:pPr>
            <w:r>
              <w:rPr>
                <w:rFonts w:ascii="宋体" w:hAnsi="宋体" w:cs="宋体" w:eastAsia="宋体" w:hint="default"/>
                <w:sz w:val="18"/>
                <w:szCs w:val="18"/>
              </w:rPr>
              <w:t>武汉经济技术 开发区（汉南 区）发展和改 革局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40,580.00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武汉市科学 </w:t>
            </w:r>
            <w:r>
              <w:rPr>
                <w:rFonts w:ascii="宋体" w:hAnsi="宋体" w:cs="宋体" w:eastAsia="宋体" w:hint="default"/>
                <w:spacing w:val="-12"/>
                <w:sz w:val="18"/>
                <w:szCs w:val="18"/>
              </w:rPr>
              <w:t>技术局（武汉</w:t>
            </w:r>
            <w:r>
              <w:rPr>
                <w:rFonts w:ascii="宋体" w:hAnsi="宋体" w:cs="宋体" w:eastAsia="宋体" w:hint="default"/>
                <w:sz w:val="18"/>
                <w:szCs w:val="18"/>
              </w:rPr>
              <w:t> 市知识产权 </w:t>
            </w:r>
            <w:r>
              <w:rPr>
                <w:rFonts w:ascii="宋体" w:hAnsi="宋体" w:cs="宋体" w:eastAsia="宋体" w:hint="default"/>
                <w:spacing w:val="-12"/>
                <w:sz w:val="18"/>
                <w:szCs w:val="18"/>
              </w:rPr>
              <w:t>局）培育企业</w:t>
            </w:r>
            <w:r>
              <w:rPr>
                <w:rFonts w:ascii="宋体" w:hAnsi="宋体" w:cs="宋体" w:eastAsia="宋体" w:hint="default"/>
                <w:sz w:val="18"/>
                <w:szCs w:val="18"/>
              </w:rPr>
              <w:t> 补贴</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5"/>
              <w:jc w:val="left"/>
              <w:rPr>
                <w:rFonts w:ascii="宋体" w:hAnsi="宋体" w:cs="宋体" w:eastAsia="宋体" w:hint="default"/>
                <w:sz w:val="18"/>
                <w:szCs w:val="18"/>
              </w:rPr>
            </w:pPr>
            <w:r>
              <w:rPr>
                <w:rFonts w:ascii="宋体" w:hAnsi="宋体" w:cs="宋体" w:eastAsia="宋体" w:hint="default"/>
                <w:sz w:val="18"/>
                <w:szCs w:val="18"/>
              </w:rPr>
              <w:t>武汉市科学技 术局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pacing w:val="-10"/>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宋体" w:hAnsi="宋体" w:cs="宋体" w:eastAsia="宋体" w:hint="default"/>
                <w:sz w:val="18"/>
                <w:szCs w:val="18"/>
              </w:rPr>
              <w:t>武汉发改局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年小进 规资金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武汉发改局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市级服务贸 易资金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武汉市财政局</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北京市国有 文化资产监 督管理办公 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年文 化创意产业 </w:t>
            </w:r>
            <w:r>
              <w:rPr>
                <w:rFonts w:ascii="Times New Roman" w:hAnsi="Times New Roman" w:cs="Times New Roman" w:eastAsia="Times New Roman" w:hint="default"/>
                <w:sz w:val="18"/>
                <w:szCs w:val="18"/>
              </w:rPr>
              <w:t>“</w:t>
            </w:r>
            <w:r>
              <w:rPr>
                <w:rFonts w:ascii="宋体" w:hAnsi="宋体" w:cs="宋体" w:eastAsia="宋体" w:hint="default"/>
                <w:sz w:val="18"/>
                <w:szCs w:val="18"/>
              </w:rPr>
              <w:t>投贷奖</w:t>
            </w:r>
            <w:r>
              <w:rPr>
                <w:rFonts w:ascii="Times New Roman" w:hAnsi="Times New Roman" w:cs="Times New Roman" w:eastAsia="Times New Roman" w:hint="default"/>
                <w:sz w:val="18"/>
                <w:szCs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5"/>
              <w:jc w:val="both"/>
              <w:rPr>
                <w:rFonts w:ascii="宋体" w:hAnsi="宋体" w:cs="宋体" w:eastAsia="宋体" w:hint="default"/>
                <w:sz w:val="18"/>
                <w:szCs w:val="18"/>
              </w:rPr>
            </w:pPr>
            <w:r>
              <w:rPr>
                <w:rFonts w:ascii="宋体" w:hAnsi="宋体" w:cs="宋体" w:eastAsia="宋体" w:hint="default"/>
                <w:sz w:val="18"/>
                <w:szCs w:val="18"/>
              </w:rPr>
              <w:t>北京市国有文 化资产监督管 理办公室</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765,736.00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无锡国家高 新技术产业 开发区管理 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年企业研究</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55"/>
              <w:jc w:val="both"/>
              <w:rPr>
                <w:rFonts w:ascii="宋体" w:hAnsi="宋体" w:cs="宋体" w:eastAsia="宋体" w:hint="default"/>
                <w:sz w:val="18"/>
                <w:szCs w:val="18"/>
              </w:rPr>
            </w:pPr>
            <w:r>
              <w:rPr>
                <w:rFonts w:ascii="宋体" w:hAnsi="宋体" w:cs="宋体" w:eastAsia="宋体" w:hint="default"/>
                <w:sz w:val="18"/>
                <w:szCs w:val="18"/>
              </w:rPr>
              <w:t>无锡国家高新 技术产业开发 区管理委员会</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21"/>
              <w:jc w:val="left"/>
              <w:rPr>
                <w:rFonts w:ascii="宋体" w:hAnsi="宋体" w:cs="宋体" w:eastAsia="宋体" w:hint="default"/>
                <w:sz w:val="18"/>
                <w:szCs w:val="18"/>
              </w:rPr>
            </w:pPr>
            <w:r>
              <w:rPr>
                <w:rFonts w:ascii="宋体" w:hAnsi="宋体" w:cs="宋体" w:eastAsia="宋体" w:hint="default"/>
                <w:spacing w:val="-10"/>
                <w:sz w:val="18"/>
                <w:szCs w:val="18"/>
              </w:rPr>
              <w:t>因研究开发、技术更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新及改造等获得的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100,700.00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170"/>
        <w:gridCol w:w="426"/>
        <w:gridCol w:w="1593"/>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开发费用</w:t>
            </w:r>
          </w:p>
        </w:tc>
        <w:tc>
          <w:tcPr>
            <w:tcW w:w="1170"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59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奖励扶持资 金</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5"/>
              <w:jc w:val="both"/>
              <w:rPr>
                <w:rFonts w:ascii="宋体" w:hAnsi="宋体" w:cs="宋体" w:eastAsia="宋体" w:hint="default"/>
                <w:sz w:val="18"/>
                <w:szCs w:val="18"/>
              </w:rPr>
            </w:pPr>
            <w:r>
              <w:rPr>
                <w:rFonts w:ascii="宋体" w:hAnsi="宋体" w:cs="宋体" w:eastAsia="宋体" w:hint="default"/>
                <w:sz w:val="18"/>
                <w:szCs w:val="18"/>
              </w:rPr>
              <w:t>浙江义乌工业 园区管理委员 会</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8"/>
              <w:jc w:val="both"/>
              <w:rPr>
                <w:rFonts w:ascii="宋体" w:hAnsi="宋体" w:cs="宋体" w:eastAsia="宋体" w:hint="default"/>
                <w:sz w:val="18"/>
                <w:szCs w:val="18"/>
              </w:rPr>
            </w:pPr>
            <w:r>
              <w:rPr>
                <w:rFonts w:ascii="宋体" w:hAnsi="宋体" w:cs="宋体" w:eastAsia="宋体" w:hint="default"/>
                <w:sz w:val="18"/>
                <w:szCs w:val="18"/>
              </w:rPr>
              <w:t>因符合地方政府招 商引资等地方性扶 持政策而获得的补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819,817.00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4、营业外支出" w:id="379"/>
      <w:bookmarkEnd w:id="379"/>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222,262.25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319,556.71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222,262.25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2,779,378.23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2,779,378.23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3,001,640.48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352,205.88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3,001,640.48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7" w:right="0"/>
        <w:jc w:val="left"/>
      </w:pPr>
      <w:r>
        <w:rPr/>
        <w:t>其他支出主要包括子公司大唐高鸿济宁电子信息技术有限公司支付客户违约金</w:t>
      </w:r>
      <w:r>
        <w:rPr>
          <w:rFonts w:ascii="宋体" w:hAnsi="宋体" w:cs="宋体" w:eastAsia="宋体" w:hint="default"/>
        </w:rPr>
        <w:t>2,054,362.82</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65、所得税费用" w:id="380"/>
      <w:bookmarkEnd w:id="380"/>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81"/>
      <w:bookmarkEnd w:id="38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49,713,418.09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59,494,735.21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-13,363,216.06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-1,659,659.10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36,350,202.03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57,835,076.11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82"/>
      <w:bookmarkEnd w:id="38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947"/>
        <w:gridCol w:w="4737"/>
      </w:tblGrid>
      <w:tr>
        <w:trPr>
          <w:trHeight w:val="402"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94,591,029.72</w:t>
            </w:r>
          </w:p>
        </w:tc>
      </w:tr>
      <w:tr>
        <w:trPr>
          <w:trHeight w:val="402"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23,647,757.43</w:t>
            </w:r>
          </w:p>
        </w:tc>
      </w:tr>
      <w:tr>
        <w:trPr>
          <w:trHeight w:val="402"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-13,462,143.21</w:t>
            </w:r>
          </w:p>
        </w:tc>
      </w:tr>
      <w:tr>
        <w:trPr>
          <w:trHeight w:val="402"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1,405,079.54</w:t>
            </w:r>
          </w:p>
        </w:tc>
      </w:tr>
      <w:tr>
        <w:trPr>
          <w:trHeight w:val="402"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-2,311,717.42</w:t>
            </w:r>
          </w:p>
        </w:tc>
      </w:tr>
      <w:tr>
        <w:trPr>
          <w:trHeight w:val="402"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1,548,922.83</w:t>
            </w:r>
          </w:p>
        </w:tc>
      </w:tr>
      <w:tr>
        <w:trPr>
          <w:trHeight w:val="402" w:hRule="exact"/>
        </w:trPr>
        <w:tc>
          <w:tcPr>
            <w:tcW w:w="4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-2,688,335.94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970"/>
        <w:gridCol w:w="4725"/>
      </w:tblGrid>
      <w:tr>
        <w:trPr>
          <w:trHeight w:val="714" w:hRule="exact"/>
        </w:trPr>
        <w:tc>
          <w:tcPr>
            <w:tcW w:w="4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 的影响</w:t>
            </w:r>
          </w:p>
        </w:tc>
        <w:tc>
          <w:tcPr>
            <w:tcW w:w="4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28,844,830.65</w:t>
            </w:r>
          </w:p>
        </w:tc>
      </w:tr>
      <w:tr>
        <w:trPr>
          <w:trHeight w:val="402" w:hRule="exact"/>
        </w:trPr>
        <w:tc>
          <w:tcPr>
            <w:tcW w:w="4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-634,191.85</w:t>
            </w:r>
            <w:r>
              <w:rPr>
                <w:rFonts w:ascii="Times New Roman"/>
                <w:sz w:val="18"/>
              </w:rPr>
            </w:r>
          </w:p>
        </w:tc>
      </w:tr>
      <w:tr>
        <w:trPr>
          <w:trHeight w:val="402" w:hRule="exact"/>
        </w:trPr>
        <w:tc>
          <w:tcPr>
            <w:tcW w:w="4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36,350,202.03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54" w:right="8368" w:firstLine="0"/>
        <w:jc w:val="left"/>
        <w:rPr>
          <w:rFonts w:ascii="宋体" w:hAnsi="宋体" w:cs="宋体" w:eastAsia="宋体" w:hint="default"/>
          <w:sz w:val="21"/>
          <w:szCs w:val="21"/>
        </w:rPr>
      </w:pPr>
      <w:bookmarkStart w:name="66、其他综合收益" w:id="383"/>
      <w:bookmarkEnd w:id="383"/>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、其他综合收益。 </w:t>
      </w:r>
      <w:bookmarkStart w:name="67、现金流量表项目" w:id="384"/>
      <w:bookmarkEnd w:id="384"/>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385"/>
      <w:bookmarkEnd w:id="38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2,277,821.73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25,426,944.30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34,916,872.93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26,974,234.53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25,597,016.12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56,280,786.43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9,714,243.08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5,535,680.30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16,017,756.36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6,743,986.29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罚款、违约金、赔偿金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574,523.44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15,570,267,639.77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25,954,548,546.18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15,664,115,873.43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26,075,696,908.03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86"/>
      <w:bookmarkEnd w:id="38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45,210,281.40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20,667,527.72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10,712,584.46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11,935,528.98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7,609,034.86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7,754,315.82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10,491,053.88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10,948,471.18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4,125,021.94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4,574,700.86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2,111,697.50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2,867,326.95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649,209.31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974,108.40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4,529,097.08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3,679,484.72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401,938.06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200,060.31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4,351,020.51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2,046,424.91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56,072,565.04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13,053,118.26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5,103,272.88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6,884,166.12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6,887,837.46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8,964,263.00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广告宣传展览费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5,494,893.46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3,667,512.56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5,409,989.26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262,013.52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12,556,389.21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14,826,509.22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1,770,991.99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1,479,874.12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15,678,791,380.42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26,200,341,723.95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15,862,278,258.72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26,315,127,130.60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87"/>
      <w:bookmarkEnd w:id="38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30,608,800.00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390,608,800.00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88"/>
      <w:bookmarkEnd w:id="38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合并范围减少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122,410,520.11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8,242,502.25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1,591,400.00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644,001,920.11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8,242,502.25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pStyle w:val="BodyText"/>
        <w:spacing w:line="240" w:lineRule="auto" w:before="90"/>
        <w:ind w:left="577" w:right="0"/>
        <w:jc w:val="left"/>
      </w:pPr>
      <w:r>
        <w:rPr/>
        <w:t>说明：本期合并范围减少系大唐融合信息服务有限公司期末不再纳入合并范围减少的货币资金。</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5）收到的其他与筹资活动有关的现金" w:id="389"/>
      <w:bookmarkEnd w:id="38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718.709961pt;width:151.25pt;height:40.8pt;mso-position-horizontal-relative:page;mso-position-vertical-relative:page;z-index:-1544920" coordorigin="4467,14374" coordsize="3025,816">
            <v:group style="position:absolute;left:4478;top:14386;width:2;height:392" coordorigin="4478,14386" coordsize="2,392">
              <v:shape style="position:absolute;left:4478;top:14386;width:2;height:392" coordorigin="4478,14386" coordsize="0,392" path="m4478,14386l4478,14777e" filled="false" stroked="true" strokeweight="1.140pt" strokecolor="#ffffff">
                <v:path arrowok="t"/>
              </v:shape>
            </v:group>
            <v:group style="position:absolute;left:4490;top:14386;width:3002;height:392" coordorigin="4490,14386" coordsize="3002,392">
              <v:shape style="position:absolute;left:4490;top:14386;width:3002;height:392" coordorigin="4490,14386" coordsize="3002,392" path="m4490,14777l7491,14777,7491,14386,4490,14386,4490,14777xe" filled="true" fillcolor="#ffffff" stroked="false">
                <v:path arrowok="t"/>
                <v:fill type="solid"/>
              </v:shape>
            </v:group>
            <v:group style="position:absolute;left:4478;top:14788;width:2;height:392" coordorigin="4478,14788" coordsize="2,392">
              <v:shape style="position:absolute;left:4478;top:14788;width:2;height:392" coordorigin="4478,14788" coordsize="0,392" path="m4478,14788l4478,15179e" filled="false" stroked="true" strokeweight="1.140pt" strokecolor="#ffffff">
                <v:path arrowok="t"/>
              </v:shape>
            </v:group>
            <v:group style="position:absolute;left:4490;top:14788;width:3002;height:392" coordorigin="4490,14788" coordsize="3002,392">
              <v:shape style="position:absolute;left:4490;top:14788;width:3002;height:392" coordorigin="4490,14788" coordsize="3002,392" path="m4490,15179l7491,15179,7491,14788,4490,14788,4490,1517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自非金融机构取得借款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90"/>
      <w:bookmarkEnd w:id="39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2,898,800.00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2,338,720.00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偿还非金融机构取得借款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限制性股票解锁股权回购款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2,274,910.00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13,219,395.00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609,322.82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100,162,570.88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405,783,032.82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665,720,685.88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现金流量表补充资料" w:id="391"/>
      <w:bookmarkEnd w:id="391"/>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92"/>
      <w:bookmarkEnd w:id="39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58,240,827.69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186,541,055.70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74,057,626.17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48,699,134.42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22,575,667.76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24,985,609.02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54,742,266.89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49,035,173.45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9,430,436.21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8,511,200.52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932,574.84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-18,910,795.35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222,262.25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319,556.71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116,580,746.46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107,084,638.87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-9,301,608.95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-229,478,429.31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-13,363,216.06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-1,659,659.10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-387,439,817.25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-12,924,110.14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-189,759,124.53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229,556,193.92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-201,470,049.53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-242,694,801.42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-316,802.53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19,258,471.76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-464,868,210.58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168,323,239.05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1,685,505,500.67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1,973,969,561.29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1,973,969,561.29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1,678,355,187.13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-288,464,060.62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295,614,374.16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93"/>
      <w:bookmarkEnd w:id="39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94"/>
      <w:bookmarkEnd w:id="39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深圳大唐高鸿信息技术有限公司</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2,902,210.91</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深圳大唐高鸿信息技术有限公司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2,902,210.91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北京一九付支付科技有限公司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31,197,789.09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95"/>
      <w:bookmarkEnd w:id="39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1,685,505,500.67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1,973,969,561.29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284,581.79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295,972.66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1,672,064,270.74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1,940,871,361.19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13,156,648.14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32,802,227.44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1,685,505,500.67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1,973,969,561.29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96"/>
      <w:bookmarkEnd w:id="396"/>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97"/>
      <w:bookmarkEnd w:id="397"/>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1"/>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23,523,255.58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详见第十一节、七、</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23,523,255.58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1、外币货币性项目" w:id="398"/>
      <w:bookmarkEnd w:id="398"/>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99"/>
      <w:bookmarkEnd w:id="39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2,527,352.74</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443" w:right="0"/>
              <w:jc w:val="left"/>
              <w:rPr>
                <w:rFonts w:ascii="Times New Roman" w:hAnsi="Times New Roman" w:cs="Times New Roman" w:eastAsia="Times New Roman" w:hint="default"/>
                <w:sz w:val="18"/>
                <w:szCs w:val="18"/>
              </w:rPr>
            </w:pPr>
            <w:r>
              <w:rPr>
                <w:rFonts w:ascii="Times New Roman"/>
                <w:sz w:val="18"/>
              </w:rPr>
              <w:t>368,246.99</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w:t>
            </w:r>
          </w:p>
        </w:tc>
        <w:tc>
          <w:tcPr>
            <w:tcW w:w="2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2,527,352.74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18,205.67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18,205.67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400"/>
      <w:bookmarkEnd w:id="40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2、套期" w:id="401"/>
      <w:bookmarkEnd w:id="401"/>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3、政府补助" w:id="402"/>
      <w:bookmarkEnd w:id="402"/>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403"/>
      <w:bookmarkEnd w:id="403"/>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04"/>
        <w:gridCol w:w="1560"/>
        <w:gridCol w:w="1113"/>
        <w:gridCol w:w="2392"/>
      </w:tblGrid>
      <w:tr>
        <w:trPr>
          <w:trHeight w:val="401" w:hRule="exact"/>
        </w:trPr>
        <w:tc>
          <w:tcPr>
            <w:tcW w:w="4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垂直化数字内容出版集群项目及产业化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999,999.96</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面向移动互联网的交互式动画与游戏引擎研发及产业化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500,000.04</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移动互联网图文混排平台研发及产业化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500,000.04</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芯片网络处理器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安全引擎系统项目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CNGI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249,999.96</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煤矿安全生产信息化标准体系研究制定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249,999.96</w:t>
            </w:r>
          </w:p>
        </w:tc>
      </w:tr>
      <w:tr>
        <w:trPr>
          <w:trHeight w:val="715"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3"/>
                <w:sz w:val="18"/>
                <w:szCs w:val="18"/>
              </w:rPr>
              <w:t>医药领域物流、溯源及电子商务管理系统的研制与应用示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04"/>
        <w:gridCol w:w="1560"/>
        <w:gridCol w:w="1113"/>
        <w:gridCol w:w="2392"/>
      </w:tblGrid>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漫画在线创作系统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50,000.04</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基于移动互联网的动漫内容采集发布平台示范项目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智能制造合作项目运营补贴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18,431,576.04</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18,431,576.04</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软件增值税返还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11,393,175.92</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11,393,175.92</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产业基金奖励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5,465,000.00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5,465,000.00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专项发展资金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4,840,580.00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4,840,580.00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基于大数据的移动新媒体出版融合平台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公租房补贴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2,127,544.28</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2,127,544.28</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奖励扶持资金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1,714,554.89</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1,714,554.89</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贷款贴息资金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1,560,000.00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公租房补贴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216,000.00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社会保险基金管理中心稳岗补贴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161,944.52</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161,944.52</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145,000.00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126,673.20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126,673.20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科技扶持资金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国家知识产权专利补贴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28,000.00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404"/>
      <w:bookmarkEnd w:id="404"/>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96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其他说明：</w:t>
      </w:r>
    </w:p>
    <w:p>
      <w:pPr>
        <w:spacing w:line="240" w:lineRule="auto" w:before="12"/>
        <w:rPr>
          <w:rFonts w:ascii="宋体" w:hAnsi="宋体" w:cs="宋体" w:eastAsia="宋体" w:hint="default"/>
          <w:sz w:val="20"/>
          <w:szCs w:val="20"/>
        </w:rPr>
      </w:pPr>
    </w:p>
    <w:p>
      <w:pPr>
        <w:spacing w:line="487" w:lineRule="auto" w:before="0"/>
        <w:ind w:left="154" w:right="8328" w:firstLine="0"/>
        <w:jc w:val="left"/>
        <w:rPr>
          <w:rFonts w:ascii="宋体" w:hAnsi="宋体" w:cs="宋体" w:eastAsia="宋体" w:hint="default"/>
          <w:sz w:val="21"/>
          <w:szCs w:val="21"/>
        </w:rPr>
      </w:pPr>
      <w:bookmarkStart w:name="74、其他" w:id="405"/>
      <w:bookmarkEnd w:id="405"/>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6"/>
      <w:bookmarkEnd w:id="40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7"/>
      <w:bookmarkEnd w:id="4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408"/>
      <w:bookmarkEnd w:id="40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409"/>
      <w:bookmarkEnd w:id="40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2"/>
        <w:rPr>
          <w:rFonts w:ascii="宋体" w:hAnsi="宋体" w:cs="宋体" w:eastAsia="宋体" w:hint="default"/>
          <w:sz w:val="28"/>
          <w:szCs w:val="28"/>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60" w:lineRule="auto" w:before="46"/>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410"/>
      <w:bookmarkEnd w:id="41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411"/>
      <w:bookmarkEnd w:id="41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412"/>
      <w:bookmarkEnd w:id="41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413"/>
      <w:bookmarkEnd w:id="41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414"/>
      <w:bookmarkEnd w:id="41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415"/>
      <w:bookmarkEnd w:id="41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 w:id="416"/>
      <w:bookmarkEnd w:id="41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357"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合并日被合并方资产、负债的账面价值" w:id="417"/>
      <w:bookmarkEnd w:id="41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6" coordorigin="5,5" coordsize="2,816">
              <v:shape style="position:absolute;left:5;top:5;width:2;height:816" coordorigin="5,5" coordsize="0,816"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001pt" strokecolor="#000000">
                <v:path arrowok="t"/>
              </v:shape>
            </v:group>
            <v:group style="position:absolute;left:3195;top:5;width:2;height:816" coordorigin="3195,5" coordsize="2,816">
              <v:shape style="position:absolute;left:3195;top:5;width:2;height:816" coordorigin="3195,5" coordsize="0,816" path="m3195,5l3195,820e" filled="false" stroked="true" strokeweight=".48001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001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001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001pt" strokecolor="#000000">
                <v:path arrowok="t"/>
              </v:shape>
            </v:group>
            <v:group style="position:absolute;left:9576;top:5;width:2;height:816" coordorigin="9576,5" coordsize="2,816">
              <v:shape style="position:absolute;left:9576;top:5;width:2;height:816" coordorigin="9576,5" coordsize="0,816" path="m9576,5l9576,820e" filled="false" stroked="true" strokeweight=".48004pt" strokecolor="#000000">
                <v:path arrowok="t"/>
              </v:shape>
              <v:shape style="position:absolute;left:3183;top:413;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57" w:lineRule="auto" w:before="47"/>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反向购买" w:id="418"/>
      <w:bookmarkEnd w:id="41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4、处置子公司" w:id="419"/>
      <w:bookmarkEnd w:id="41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62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深圳大 唐高鸿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4,100,00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对外出 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交割完 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966,081.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1,025,00</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both"/>
              <w:rPr>
                <w:rFonts w:ascii="宋体" w:hAnsi="宋体" w:cs="宋体" w:eastAsia="宋体" w:hint="default"/>
                <w:sz w:val="18"/>
                <w:szCs w:val="18"/>
              </w:rPr>
            </w:pPr>
            <w:r>
              <w:rPr>
                <w:rFonts w:ascii="宋体" w:hAnsi="宋体" w:cs="宋体" w:eastAsia="宋体" w:hint="default"/>
                <w:sz w:val="18"/>
                <w:szCs w:val="18"/>
              </w:rPr>
              <w:t>根据对 外出售 </w:t>
            </w:r>
            <w:r>
              <w:rPr>
                <w:rFonts w:ascii="Times New Roman" w:hAnsi="Times New Roman" w:cs="Times New Roman" w:eastAsia="Times New Roman" w:hint="default"/>
                <w:sz w:val="18"/>
                <w:szCs w:val="18"/>
              </w:rPr>
              <w:t>80%</w:t>
            </w:r>
            <w:r>
              <w:rPr>
                <w:rFonts w:ascii="宋体" w:hAnsi="宋体" w:cs="宋体" w:eastAsia="宋体" w:hint="default"/>
                <w:sz w:val="18"/>
                <w:szCs w:val="18"/>
              </w:rPr>
              <w:t>的</w:t>
            </w: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市场价 格确定</w:t>
            </w: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其他原因的合并范围变动" w:id="420"/>
      <w:bookmarkEnd w:id="42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73" w:lineRule="auto" w:before="89"/>
        <w:ind w:right="1132" w:firstLine="423"/>
        <w:jc w:val="both"/>
      </w:pPr>
      <w:r>
        <w:rPr>
          <w:spacing w:val="-1"/>
        </w:rPr>
        <w:t>本期减少合并范围</w:t>
      </w:r>
      <w:r>
        <w:rPr>
          <w:rFonts w:ascii="宋体" w:hAnsi="宋体" w:cs="宋体" w:eastAsia="宋体" w:hint="default"/>
          <w:spacing w:val="-1"/>
        </w:rPr>
        <w:t>3</w:t>
      </w:r>
      <w:r>
        <w:rPr>
          <w:spacing w:val="-1"/>
        </w:rPr>
        <w:t>家，本公司子公司大唐融合通信股份有限公司</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31</w:t>
      </w:r>
      <w:r>
        <w:rPr>
          <w:spacing w:val="-1"/>
        </w:rPr>
        <w:t>日将持有大唐融合（盘</w:t>
      </w:r>
      <w:r>
        <w:rPr/>
        <w:t> </w:t>
      </w:r>
      <w:r>
        <w:rPr>
          <w:spacing w:val="-1"/>
        </w:rPr>
        <w:t>锦）科技有限公司</w:t>
      </w:r>
      <w:r>
        <w:rPr>
          <w:rFonts w:ascii="宋体" w:hAnsi="宋体" w:cs="宋体" w:eastAsia="宋体" w:hint="default"/>
          <w:spacing w:val="-1"/>
        </w:rPr>
        <w:t>80%</w:t>
      </w:r>
      <w:r>
        <w:rPr>
          <w:spacing w:val="-1"/>
        </w:rPr>
        <w:t>股权、大唐融合（贵阳）科技有限公司</w:t>
      </w:r>
      <w:r>
        <w:rPr>
          <w:rFonts w:ascii="宋体" w:hAnsi="宋体" w:cs="宋体" w:eastAsia="宋体" w:hint="default"/>
          <w:spacing w:val="-1"/>
        </w:rPr>
        <w:t>80%</w:t>
      </w:r>
      <w:r>
        <w:rPr>
          <w:spacing w:val="-1"/>
        </w:rPr>
        <w:t>股权转让给其子公司大唐融合信息服务有</w:t>
      </w:r>
      <w:r>
        <w:rPr>
          <w:spacing w:val="-85"/>
        </w:rPr>
        <w:t> </w:t>
      </w:r>
      <w:r>
        <w:rPr>
          <w:spacing w:val="-85"/>
        </w:rPr>
      </w:r>
      <w:r>
        <w:rPr/>
        <w:t>限公司。</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日，大唐融合信息服务有限公司增资扩股，以每股</w:t>
      </w:r>
      <w:r>
        <w:rPr>
          <w:rFonts w:ascii="宋体" w:hAnsi="宋体" w:cs="宋体" w:eastAsia="宋体" w:hint="default"/>
        </w:rPr>
        <w:t>1.2</w:t>
      </w:r>
      <w:r>
        <w:rPr/>
        <w:t>元引入新股东，公司及子公</w:t>
      </w:r>
      <w:r>
        <w:rPr>
          <w:spacing w:val="-32"/>
        </w:rPr>
        <w:t> </w:t>
      </w:r>
      <w:r>
        <w:rPr>
          <w:spacing w:val="-32"/>
        </w:rPr>
      </w:r>
      <w:r>
        <w:rPr/>
        <w:t>司大唐融合合计对其持股比例由</w:t>
      </w:r>
      <w:r>
        <w:rPr>
          <w:rFonts w:ascii="宋体" w:hAnsi="宋体" w:cs="宋体" w:eastAsia="宋体" w:hint="default"/>
        </w:rPr>
        <w:t>100%</w:t>
      </w:r>
      <w:r>
        <w:rPr/>
        <w:t>下降到</w:t>
      </w:r>
      <w:r>
        <w:rPr>
          <w:rFonts w:ascii="宋体" w:hAnsi="宋体" w:cs="宋体" w:eastAsia="宋体" w:hint="default"/>
        </w:rPr>
        <w:t>35%</w:t>
      </w:r>
      <w:r>
        <w:rPr/>
        <w:t>，大唐融合信息服务有限公司董事会进行改组，公司对其</w:t>
      </w:r>
      <w:r>
        <w:rPr>
          <w:spacing w:val="-30"/>
        </w:rPr>
        <w:t> </w:t>
      </w:r>
      <w:r>
        <w:rPr>
          <w:spacing w:val="-30"/>
        </w:rPr>
      </w:r>
      <w:r>
        <w:rPr>
          <w:spacing w:val="-1"/>
        </w:rPr>
        <w:t>丧失控制权，大唐融合信息服务有限公司、大唐融合（盘锦）科技有限公司、大唐融合（贵阳）科技有限</w:t>
      </w:r>
      <w:r>
        <w:rPr>
          <w:spacing w:val="-85"/>
        </w:rPr>
        <w:t> </w:t>
      </w:r>
      <w:r>
        <w:rPr>
          <w:spacing w:val="-85"/>
        </w:rPr>
      </w:r>
      <w:r>
        <w:rPr/>
        <w:t>公司不再纳入合并范围。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487" w:lineRule="auto" w:before="0"/>
        <w:ind w:left="154" w:right="7692" w:firstLine="0"/>
        <w:jc w:val="left"/>
        <w:rPr>
          <w:rFonts w:ascii="宋体" w:hAnsi="宋体" w:cs="宋体" w:eastAsia="宋体" w:hint="default"/>
          <w:sz w:val="21"/>
          <w:szCs w:val="21"/>
        </w:rPr>
      </w:pPr>
      <w:bookmarkStart w:name="6、其他" w:id="421"/>
      <w:bookmarkEnd w:id="42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2"/>
      <w:bookmarkEnd w:id="4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3"/>
      <w:bookmarkEnd w:id="42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24"/>
      <w:bookmarkEnd w:id="4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大唐高鸿通信技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贵州大唐高鸿置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贵州省贵阳市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大唐高鸿济宁电 子信息技术有限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山东省济宁市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房地产开发业务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江苏高鸿鼎恒信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销售业务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大唐高鸿信息技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高鸿恒昌科技有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大唐融合通信股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spacing w:after="0" w:line="316"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大唐投资管理</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（北京）有限公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大唐高鸿（香港</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大唐高鸿信息通 </w:t>
            </w:r>
            <w:r>
              <w:rPr>
                <w:rFonts w:ascii="宋体" w:hAnsi="宋体" w:cs="宋体" w:eastAsia="宋体" w:hint="default"/>
                <w:spacing w:val="-9"/>
                <w:sz w:val="18"/>
                <w:szCs w:val="18"/>
              </w:rPr>
              <w:t>信研究院（义乌）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浙江省义乌市</w:t>
            </w: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415" w:lineRule="exact"/>
              <w:ind w:right="-14"/>
              <w:jc w:val="left"/>
              <w:rPr>
                <w:rFonts w:ascii="宋体" w:hAnsi="宋体" w:cs="宋体" w:eastAsia="宋体" w:hint="default"/>
                <w:sz w:val="20"/>
                <w:szCs w:val="20"/>
              </w:rPr>
            </w:pPr>
            <w:r>
              <w:rPr>
                <w:rFonts w:ascii="宋体" w:hAnsi="宋体" w:cs="宋体" w:eastAsia="宋体" w:hint="default"/>
                <w:position w:val="-7"/>
                <w:sz w:val="20"/>
                <w:szCs w:val="20"/>
              </w:rPr>
              <w:pict>
                <v:group style="width:66.7pt;height:20.8pt;mso-position-horizontal-relative:char;mso-position-vertical-relative:line" coordorigin="0,0" coordsize="1334,416">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23;top:11;width:1311;height:393" coordorigin="23,11" coordsize="1311,393">
                    <v:shape style="position:absolute;left:23;top:11;width:1311;height:393" coordorigin="23,11" coordsize="1311,393" path="m23,404l1333,404,1333,11,23,11,23,404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before="13"/>
              <w:ind w:right="0"/>
              <w:jc w:val="left"/>
              <w:rPr>
                <w:rFonts w:ascii="宋体" w:hAnsi="宋体" w:cs="宋体" w:eastAsia="宋体" w:hint="default"/>
                <w:b/>
                <w:bCs/>
                <w:sz w:val="22"/>
                <w:szCs w:val="22"/>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浙江省义乌市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企业信息化业务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w:t>
      </w:r>
    </w:p>
    <w:p>
      <w:pPr>
        <w:pStyle w:val="BodyText"/>
        <w:spacing w:line="273" w:lineRule="auto" w:before="90"/>
        <w:ind w:right="0" w:firstLine="423"/>
        <w:jc w:val="left"/>
      </w:pPr>
      <w:r>
        <w:rPr/>
        <w:t>大唐高鸿济宁电子信息技术有限公司：公司直接持有其</w:t>
      </w:r>
      <w:r>
        <w:rPr>
          <w:rFonts w:ascii="宋体" w:hAnsi="宋体" w:cs="宋体" w:eastAsia="宋体" w:hint="default"/>
        </w:rPr>
        <w:t>98%</w:t>
      </w:r>
      <w:r>
        <w:rPr/>
        <w:t>股权，通过大唐高鸿信息技术有限公司间 接持有其</w:t>
      </w:r>
      <w:r>
        <w:rPr>
          <w:rFonts w:ascii="宋体" w:hAnsi="宋体" w:cs="宋体" w:eastAsia="宋体" w:hint="default"/>
        </w:rPr>
        <w:t>2%</w:t>
      </w:r>
      <w:r>
        <w:rPr/>
        <w:t>股权，因此公司直接、间接共持有大唐高鸿济宁电子信息技术有限公司</w:t>
      </w:r>
      <w:r>
        <w:rPr>
          <w:rFonts w:ascii="宋体" w:hAnsi="宋体" w:cs="宋体" w:eastAsia="宋体" w:hint="default"/>
        </w:rPr>
        <w:t>100%</w:t>
      </w:r>
      <w:r>
        <w:rPr/>
        <w:t>股权；</w:t>
      </w:r>
    </w:p>
    <w:p>
      <w:pPr>
        <w:pStyle w:val="BodyText"/>
        <w:spacing w:line="273" w:lineRule="auto"/>
        <w:ind w:right="0" w:firstLine="423"/>
        <w:jc w:val="left"/>
      </w:pPr>
      <w:r>
        <w:rPr>
          <w:spacing w:val="-1"/>
        </w:rPr>
        <w:t>大唐高鸿信息技术有限公司：公司直接持有其</w:t>
      </w:r>
      <w:r>
        <w:rPr>
          <w:rFonts w:ascii="宋体" w:hAnsi="宋体" w:cs="宋体" w:eastAsia="宋体" w:hint="default"/>
          <w:spacing w:val="-1"/>
        </w:rPr>
        <w:t>91.89%</w:t>
      </w:r>
      <w:r>
        <w:rPr>
          <w:spacing w:val="-1"/>
        </w:rPr>
        <w:t>股权，通过北京大唐高鸿数据网络技术有限公司</w:t>
      </w:r>
      <w:r>
        <w:rPr/>
        <w:t> 间接持有其</w:t>
      </w:r>
      <w:r>
        <w:rPr>
          <w:rFonts w:ascii="宋体" w:hAnsi="宋体" w:cs="宋体" w:eastAsia="宋体" w:hint="default"/>
        </w:rPr>
        <w:t>5.1%</w:t>
      </w:r>
      <w:r>
        <w:rPr/>
        <w:t>股权，因此公司直接、间接共持有大唐高鸿信息技术有限公司</w:t>
      </w:r>
      <w:r>
        <w:rPr>
          <w:rFonts w:ascii="宋体" w:hAnsi="宋体" w:cs="宋体" w:eastAsia="宋体" w:hint="default"/>
        </w:rPr>
        <w:t>96.99%</w:t>
      </w:r>
      <w:r>
        <w:rPr/>
        <w:t>股权。</w:t>
      </w:r>
    </w:p>
    <w:p>
      <w:pPr>
        <w:spacing w:line="360" w:lineRule="auto" w:before="74"/>
        <w:ind w:left="154" w:right="2832"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对于纳入合并范围的重要的结构化主体，控制的依据：</w:t>
      </w:r>
    </w:p>
    <w:p>
      <w:pPr>
        <w:spacing w:line="357"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425"/>
      <w:bookmarkEnd w:id="42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12,387,976.63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236,277,463.85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16,333,504.89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327,515,633.04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23,299.02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10,648,229.26</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大唐投资管理（北京）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-112,223.33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17,736,272.15</w:t>
            </w: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重要非全资子公司的主要财务信息" w:id="426"/>
      <w:bookmarkEnd w:id="42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4415"/>
        <w:gridCol w:w="4403"/>
      </w:tblGrid>
      <w:tr>
        <w:trPr>
          <w:trHeight w:val="402"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8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大唐融 合通信 股份有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684,019,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216.81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89,246,6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85.82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773,265,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902.63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382,240,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082.53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3,071,20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385,311,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282.53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510,039,</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898.51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99,377,3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09.45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609,417,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207.96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328,098,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962.53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14,321,2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342,420,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162.53</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北京高 阳捷迅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898,805,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329.37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33,055,3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92.94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931,860,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722.31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37,889,1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47.49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37,889,1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47.49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827,852,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465.02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10,654,5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88.67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838,507,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053.69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274,776,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241.60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274,776,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241.60</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大唐高 鸿信息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362,670,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059.95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289,129,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036.87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651,799,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096.82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296,624,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391.79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296,624,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391.79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325,589,</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939.51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299,060,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071.06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624,650,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010.57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270,569,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660.60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270,569,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660.60</w:t>
            </w:r>
          </w:p>
        </w:tc>
      </w:tr>
      <w:tr>
        <w:trPr>
          <w:trHeight w:val="1650"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大唐投 资管理</w:t>
            </w:r>
          </w:p>
          <w:p>
            <w:pPr>
              <w:pStyle w:val="TableParagraph"/>
              <w:spacing w:line="316" w:lineRule="auto" w:before="19"/>
              <w:ind w:left="22" w:right="-29"/>
              <w:jc w:val="left"/>
              <w:rPr>
                <w:rFonts w:ascii="宋体" w:hAnsi="宋体" w:cs="宋体" w:eastAsia="宋体" w:hint="default"/>
                <w:sz w:val="18"/>
                <w:szCs w:val="18"/>
              </w:rPr>
            </w:pPr>
            <w:r>
              <w:rPr>
                <w:rFonts w:ascii="宋体" w:hAnsi="宋体" w:cs="宋体" w:eastAsia="宋体" w:hint="default"/>
                <w:sz w:val="18"/>
                <w:szCs w:val="18"/>
              </w:rPr>
              <w:t>（北京） 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15,610,5</w:t>
            </w:r>
          </w:p>
          <w:p>
            <w:pPr>
              <w:pStyle w:val="TableParagraph"/>
              <w:spacing w:line="240" w:lineRule="auto" w:before="106"/>
              <w:ind w:left="287" w:right="0"/>
              <w:jc w:val="left"/>
              <w:rPr>
                <w:rFonts w:ascii="Times New Roman" w:hAnsi="Times New Roman" w:cs="Times New Roman" w:eastAsia="Times New Roman" w:hint="default"/>
                <w:sz w:val="18"/>
                <w:szCs w:val="18"/>
              </w:rPr>
            </w:pPr>
            <w:r>
              <w:rPr>
                <w:rFonts w:ascii="Times New Roman"/>
                <w:sz w:val="18"/>
              </w:rPr>
              <w:t>61.32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40,212,1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40.96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55,822,7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02.28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680,156.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680,156.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13,319,7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21.31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42,307,4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51.97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55,627,1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73.28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253,005.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253,005.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061"/>
        <w:gridCol w:w="1061"/>
        <w:gridCol w:w="1062"/>
        <w:gridCol w:w="1066"/>
        <w:gridCol w:w="127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4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6"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52" w:right="90" w:hanging="360"/>
              <w:jc w:val="left"/>
              <w:rPr>
                <w:rFonts w:ascii="宋体" w:hAnsi="宋体" w:cs="宋体" w:eastAsia="宋体" w:hint="default"/>
                <w:sz w:val="18"/>
                <w:szCs w:val="18"/>
              </w:rPr>
            </w:pPr>
            <w:r>
              <w:rPr>
                <w:rFonts w:ascii="宋体" w:hAnsi="宋体" w:cs="宋体" w:eastAsia="宋体" w:hint="default"/>
                <w:sz w:val="18"/>
                <w:szCs w:val="18"/>
              </w:rPr>
              <w:t>经营活动现金 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大唐融合通 信股份有限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934,487,799.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15,121,628.3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15,121,628.3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-54,495,913.98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648,406,997.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18,744,723.1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18,744,723.1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14,104,239.4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北京高阳捷 迅信息技术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237,681,771.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63,366,942.7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63,366,942.7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15,636,751.16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252,580,369.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213,301,479.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213,301,479.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13,539,452.8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大唐高鸿信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307,601,856.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774,053.80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774,053.80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4,752,748.26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123,644,556.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-586,648.24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-586,648.24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21,822,526.4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大唐投资管 </w:t>
            </w:r>
            <w:r>
              <w:rPr>
                <w:rFonts w:ascii="宋体" w:hAnsi="宋体" w:cs="宋体" w:eastAsia="宋体" w:hint="default"/>
                <w:spacing w:val="-13"/>
                <w:sz w:val="18"/>
                <w:szCs w:val="18"/>
              </w:rPr>
              <w:t>理（北京）有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2,550,943.33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-346,796.46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-346,796.46</w:t>
            </w:r>
            <w:r>
              <w:rPr>
                <w:rFonts w:ascii="Times New Roman"/>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1,615,216.22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2,619,221.87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483,618.62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483,618.62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3,147,181.87</w:t>
            </w:r>
          </w:p>
        </w:tc>
      </w:tr>
    </w:tbl>
    <w:p>
      <w:pPr>
        <w:spacing w:before="51"/>
        <w:ind w:left="194" w:right="0" w:firstLine="0"/>
        <w:jc w:val="left"/>
        <w:rPr>
          <w:rFonts w:ascii="宋体" w:hAnsi="宋体" w:cs="宋体" w:eastAsia="宋体" w:hint="default"/>
          <w:sz w:val="18"/>
          <w:szCs w:val="18"/>
        </w:rPr>
      </w:pPr>
      <w:r>
        <w:rPr>
          <w:rFonts w:ascii="宋体" w:hAnsi="宋体" w:cs="宋体" w:eastAsia="宋体" w:hint="default"/>
          <w:sz w:val="18"/>
          <w:szCs w:val="18"/>
        </w:rPr>
        <w:t>其他说明：无</w:t>
      </w:r>
    </w:p>
    <w:p>
      <w:pPr>
        <w:spacing w:after="0"/>
        <w:jc w:val="left"/>
        <w:rPr>
          <w:rFonts w:ascii="宋体" w:hAnsi="宋体" w:cs="宋体" w:eastAsia="宋体" w:hint="default"/>
          <w:sz w:val="18"/>
          <w:szCs w:val="18"/>
        </w:rPr>
        <w:sectPr>
          <w:pgSz w:w="11910" w:h="16840"/>
          <w:pgMar w:header="877" w:footer="979" w:top="1060" w:bottom="1160" w:left="94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使用企业集团资产和清偿企业集团债务的重大限制" w:id="427"/>
      <w:bookmarkEnd w:id="42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28"/>
      <w:bookmarkEnd w:id="42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29"/>
      <w:bookmarkEnd w:id="42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590" w:lineRule="atLeast" w:before="24"/>
        <w:ind w:left="577" w:right="0" w:hanging="424"/>
        <w:jc w:val="left"/>
        <w:rPr>
          <w:rFonts w:ascii="宋体" w:hAnsi="宋体" w:cs="宋体" w:eastAsia="宋体" w:hint="default"/>
          <w:sz w:val="21"/>
          <w:szCs w:val="21"/>
        </w:rPr>
      </w:pPr>
      <w:bookmarkStart w:name="（1）在子公司所有者权益份额发生变化的情况说明"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月，本公司子公司北京高阳捷迅信息技术有限公司少数股东上海云鑫创业投资有限公司、北</w:t>
      </w:r>
    </w:p>
    <w:p>
      <w:pPr>
        <w:pStyle w:val="BodyText"/>
        <w:spacing w:line="273" w:lineRule="auto" w:before="37"/>
        <w:ind w:right="0"/>
        <w:jc w:val="left"/>
      </w:pPr>
      <w:r>
        <w:rPr/>
        <w:t>京金吾创业投资中心（有限合伙）、嘉兴桔子共享投资合伙企业（有限合伙）增资</w:t>
      </w:r>
      <w:r>
        <w:rPr>
          <w:rFonts w:ascii="宋体" w:hAnsi="宋体" w:cs="宋体" w:eastAsia="宋体" w:hint="default"/>
        </w:rPr>
        <w:t>26,500.00</w:t>
      </w:r>
      <w:r>
        <w:rPr/>
        <w:t>万元，公司</w:t>
      </w:r>
      <w:r>
        <w:rPr>
          <w:spacing w:val="-27"/>
        </w:rPr>
        <w:t> </w:t>
      </w:r>
      <w:r>
        <w:rPr>
          <w:spacing w:val="-27"/>
        </w:rPr>
      </w:r>
      <w:r>
        <w:rPr/>
        <w:t>对其持股比例由</w:t>
      </w:r>
      <w:r>
        <w:rPr>
          <w:rFonts w:ascii="宋体" w:hAnsi="宋体" w:cs="宋体" w:eastAsia="宋体" w:hint="default"/>
        </w:rPr>
        <w:t>96.60%</w:t>
      </w:r>
      <w:r>
        <w:rPr/>
        <w:t>下降为</w:t>
      </w:r>
      <w:r>
        <w:rPr>
          <w:rFonts w:ascii="宋体" w:hAnsi="宋体" w:cs="宋体" w:eastAsia="宋体" w:hint="default"/>
        </w:rPr>
        <w:t>73.63%</w:t>
      </w:r>
      <w:r>
        <w:rPr/>
        <w:t>，仍为其控股股东。</w:t>
      </w:r>
    </w:p>
    <w:p>
      <w:pPr>
        <w:pStyle w:val="BodyText"/>
        <w:spacing w:line="240" w:lineRule="auto"/>
        <w:ind w:right="1139"/>
        <w:jc w:val="right"/>
      </w:pPr>
      <w:r>
        <w:rPr>
          <w:rFonts w:ascii="宋体" w:hAnsi="宋体" w:cs="宋体" w:eastAsia="宋体" w:hint="default"/>
        </w:rPr>
        <w:t>2018</w:t>
      </w:r>
      <w:r>
        <w:rPr/>
        <w:t>年</w:t>
      </w:r>
      <w:r>
        <w:rPr>
          <w:rFonts w:ascii="宋体" w:hAnsi="宋体" w:cs="宋体" w:eastAsia="宋体" w:hint="default"/>
        </w:rPr>
        <w:t>4</w:t>
      </w:r>
      <w:r>
        <w:rPr/>
        <w:t>月，本公司子公司大唐融合通信股份有限公司少数股东深圳市大唐同威高技术创业投资基金</w:t>
      </w:r>
    </w:p>
    <w:p>
      <w:pPr>
        <w:pStyle w:val="BodyText"/>
        <w:spacing w:line="273" w:lineRule="auto" w:before="37"/>
        <w:ind w:right="0"/>
        <w:jc w:val="left"/>
      </w:pPr>
      <w:r>
        <w:rPr>
          <w:spacing w:val="-1"/>
        </w:rPr>
        <w:t>（有限合伙）、福建兴和豪康股权并购合伙企业（有限合伙）、盘锦市创业投资有限公司、盘锦鑫诚投资</w:t>
      </w:r>
      <w:r>
        <w:rPr>
          <w:spacing w:val="-83"/>
        </w:rPr>
        <w:t> </w:t>
      </w:r>
      <w:r>
        <w:rPr>
          <w:spacing w:val="-83"/>
        </w:rPr>
      </w:r>
      <w:r>
        <w:rPr/>
        <w:t>管理有限公司增资</w:t>
      </w:r>
      <w:r>
        <w:rPr>
          <w:rFonts w:ascii="宋体" w:hAnsi="宋体" w:cs="宋体" w:eastAsia="宋体" w:hint="default"/>
        </w:rPr>
        <w:t>11,340.00</w:t>
      </w:r>
      <w:r>
        <w:rPr/>
        <w:t>万元，公司对其持股比例由</w:t>
      </w:r>
      <w:r>
        <w:rPr>
          <w:rFonts w:ascii="宋体" w:hAnsi="宋体" w:cs="宋体" w:eastAsia="宋体" w:hint="default"/>
        </w:rPr>
        <w:t>49.48%</w:t>
      </w:r>
      <w:r>
        <w:rPr/>
        <w:t>下降为</w:t>
      </w:r>
      <w:r>
        <w:rPr>
          <w:rFonts w:ascii="宋体" w:hAnsi="宋体" w:cs="宋体" w:eastAsia="宋体" w:hint="default"/>
        </w:rPr>
        <w:t>40.68%</w:t>
      </w:r>
      <w:r>
        <w:rPr/>
        <w:t>，仍为其控股股东。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交易对于少数股东权益及归属于母公司所有者权益的影响" w:id="431"/>
      <w:bookmarkEnd w:id="43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before="47"/>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32"/>
      <w:bookmarkEnd w:id="43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33"/>
      <w:bookmarkEnd w:id="4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大唐高新创业投 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北京海岸淘金创 业投资有限公司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创业投资业务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贵州大数据旅游 产业股份有限公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海南大唐发控股 权投资基金管理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大唐同威投资管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投资管理服务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理（深圳）有限 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大唐融合信息服 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河南周口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河南周口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呼叫中心坐席外 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中产投科技有限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73" w:lineRule="auto" w:before="75"/>
        <w:ind w:right="0" w:firstLine="423"/>
        <w:jc w:val="left"/>
      </w:pPr>
      <w:r>
        <w:rPr/>
        <w:t>公司虽然持有中产投科技有限公司</w:t>
      </w:r>
      <w:r>
        <w:rPr>
          <w:rFonts w:ascii="宋体" w:hAnsi="宋体" w:cs="宋体" w:eastAsia="宋体" w:hint="default"/>
        </w:rPr>
        <w:t>12.96%</w:t>
      </w:r>
      <w:r>
        <w:rPr/>
        <w:t>的股权，但该公司的</w:t>
      </w:r>
      <w:r>
        <w:rPr>
          <w:rFonts w:ascii="宋体" w:hAnsi="宋体" w:cs="宋体" w:eastAsia="宋体" w:hint="default"/>
        </w:rPr>
        <w:t>9</w:t>
      </w:r>
      <w:r>
        <w:rPr/>
        <w:t>名董事中有</w:t>
      </w:r>
      <w:r>
        <w:rPr>
          <w:rFonts w:ascii="宋体" w:hAnsi="宋体" w:cs="宋体" w:eastAsia="宋体" w:hint="default"/>
        </w:rPr>
        <w:t>1</w:t>
      </w:r>
      <w:r>
        <w:rPr/>
        <w:t>名由本公司人员担任，对 </w:t>
      </w:r>
      <w:r>
        <w:rPr>
          <w:spacing w:val="-1"/>
        </w:rPr>
        <w:t>该公司的财务和经营政策有参与决策的权利，但并不能够控制或者与其他方一起共同控制这些政策的制定。</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重要合营企业的主要财务信息" w:id="434"/>
      <w:bookmarkEnd w:id="43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35"/>
      <w:bookmarkEnd w:id="43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9"/>
        <w:gridCol w:w="637"/>
        <w:gridCol w:w="638"/>
        <w:gridCol w:w="638"/>
        <w:gridCol w:w="637"/>
        <w:gridCol w:w="639"/>
        <w:gridCol w:w="638"/>
        <w:gridCol w:w="637"/>
        <w:gridCol w:w="638"/>
        <w:gridCol w:w="638"/>
        <w:gridCol w:w="638"/>
        <w:gridCol w:w="638"/>
        <w:gridCol w:w="638"/>
        <w:gridCol w:w="637"/>
        <w:gridCol w:w="638"/>
      </w:tblGrid>
      <w:tr>
        <w:trPr>
          <w:trHeight w:val="402" w:hRule="exact"/>
        </w:trPr>
        <w:tc>
          <w:tcPr>
            <w:tcW w:w="639" w:type="dxa"/>
            <w:tcBorders>
              <w:top w:val="single" w:sz="4" w:space="0" w:color="000000"/>
              <w:left w:val="single" w:sz="4" w:space="0" w:color="000000"/>
              <w:bottom w:val="single" w:sz="4" w:space="0" w:color="000000"/>
              <w:right w:val="single" w:sz="4" w:space="0" w:color="000000"/>
            </w:tcBorders>
          </w:tcPr>
          <w:p>
            <w:pPr/>
          </w:p>
        </w:tc>
        <w:tc>
          <w:tcPr>
            <w:tcW w:w="446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46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9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962" w:hRule="exact"/>
        </w:trPr>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 w:right="42"/>
              <w:jc w:val="both"/>
              <w:rPr>
                <w:rFonts w:ascii="宋体" w:hAnsi="宋体" w:cs="宋体" w:eastAsia="宋体" w:hint="default"/>
                <w:sz w:val="18"/>
                <w:szCs w:val="18"/>
              </w:rPr>
            </w:pPr>
            <w:r>
              <w:rPr>
                <w:rFonts w:ascii="宋体" w:hAnsi="宋体" w:cs="宋体" w:eastAsia="宋体" w:hint="default"/>
                <w:sz w:val="18"/>
                <w:szCs w:val="18"/>
              </w:rPr>
              <w:t>大唐高 新创业 投资有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北京海 岸淘金 创业投 资有限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贵州大 数据旅 游产业 股份有 限公司</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3" w:right="42"/>
              <w:jc w:val="both"/>
              <w:rPr>
                <w:rFonts w:ascii="宋体" w:hAnsi="宋体" w:cs="宋体" w:eastAsia="宋体" w:hint="default"/>
                <w:sz w:val="18"/>
                <w:szCs w:val="18"/>
              </w:rPr>
            </w:pPr>
            <w:r>
              <w:rPr>
                <w:rFonts w:ascii="宋体" w:hAnsi="宋体" w:cs="宋体" w:eastAsia="宋体" w:hint="default"/>
                <w:sz w:val="18"/>
                <w:szCs w:val="18"/>
              </w:rPr>
              <w:t>海南大 唐发控 股权投 资基金 管理有 限公司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大唐同 威投资 管理</w:t>
            </w:r>
          </w:p>
          <w:p>
            <w:pPr>
              <w:pStyle w:val="TableParagraph"/>
              <w:spacing w:line="319" w:lineRule="auto" w:before="19"/>
              <w:ind w:left="44" w:right="42" w:firstLine="90"/>
              <w:jc w:val="left"/>
              <w:rPr>
                <w:rFonts w:ascii="宋体" w:hAnsi="宋体" w:cs="宋体" w:eastAsia="宋体" w:hint="default"/>
                <w:sz w:val="18"/>
                <w:szCs w:val="18"/>
              </w:rPr>
            </w:pPr>
            <w:r>
              <w:rPr>
                <w:rFonts w:ascii="宋体" w:hAnsi="宋体" w:cs="宋体" w:eastAsia="宋体" w:hint="default"/>
                <w:sz w:val="18"/>
                <w:szCs w:val="18"/>
              </w:rPr>
              <w:t>（深 圳）有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 w:right="43"/>
              <w:jc w:val="both"/>
              <w:rPr>
                <w:rFonts w:ascii="宋体" w:hAnsi="宋体" w:cs="宋体" w:eastAsia="宋体" w:hint="default"/>
                <w:sz w:val="18"/>
                <w:szCs w:val="18"/>
              </w:rPr>
            </w:pPr>
            <w:r>
              <w:rPr>
                <w:rFonts w:ascii="宋体" w:hAnsi="宋体" w:cs="宋体" w:eastAsia="宋体" w:hint="default"/>
                <w:sz w:val="18"/>
                <w:szCs w:val="18"/>
              </w:rPr>
              <w:t>大唐融 合信息 服务有 限公司</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中产投 科技有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4" w:right="42"/>
              <w:jc w:val="both"/>
              <w:rPr>
                <w:rFonts w:ascii="宋体" w:hAnsi="宋体" w:cs="宋体" w:eastAsia="宋体" w:hint="default"/>
                <w:sz w:val="18"/>
                <w:szCs w:val="18"/>
              </w:rPr>
            </w:pPr>
            <w:r>
              <w:rPr>
                <w:rFonts w:ascii="宋体" w:hAnsi="宋体" w:cs="宋体" w:eastAsia="宋体" w:hint="default"/>
                <w:sz w:val="18"/>
                <w:szCs w:val="18"/>
              </w:rPr>
              <w:t>大唐高 新创业 投资有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北京海 岸淘金 创业投 资有限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贵州大 数据旅 游产业 股份有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4" w:right="42"/>
              <w:jc w:val="both"/>
              <w:rPr>
                <w:rFonts w:ascii="宋体" w:hAnsi="宋体" w:cs="宋体" w:eastAsia="宋体" w:hint="default"/>
                <w:sz w:val="18"/>
                <w:szCs w:val="18"/>
              </w:rPr>
            </w:pPr>
            <w:r>
              <w:rPr>
                <w:rFonts w:ascii="宋体" w:hAnsi="宋体" w:cs="宋体" w:eastAsia="宋体" w:hint="default"/>
                <w:sz w:val="18"/>
                <w:szCs w:val="18"/>
              </w:rPr>
              <w:t>海南大 唐发控 股权投 资基金 管理有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43" w:right="43"/>
              <w:jc w:val="both"/>
              <w:rPr>
                <w:rFonts w:ascii="宋体" w:hAnsi="宋体" w:cs="宋体" w:eastAsia="宋体" w:hint="default"/>
                <w:sz w:val="18"/>
                <w:szCs w:val="18"/>
              </w:rPr>
            </w:pPr>
            <w:r>
              <w:rPr>
                <w:rFonts w:ascii="宋体" w:hAnsi="宋体" w:cs="宋体" w:eastAsia="宋体" w:hint="default"/>
                <w:sz w:val="18"/>
                <w:szCs w:val="18"/>
              </w:rPr>
              <w:t>大唐同 威投资 管理</w:t>
            </w:r>
          </w:p>
          <w:p>
            <w:pPr>
              <w:pStyle w:val="TableParagraph"/>
              <w:spacing w:line="319" w:lineRule="auto" w:before="19"/>
              <w:ind w:left="43" w:right="43" w:firstLine="90"/>
              <w:jc w:val="left"/>
              <w:rPr>
                <w:rFonts w:ascii="宋体" w:hAnsi="宋体" w:cs="宋体" w:eastAsia="宋体" w:hint="default"/>
                <w:sz w:val="18"/>
                <w:szCs w:val="18"/>
              </w:rPr>
            </w:pPr>
            <w:r>
              <w:rPr>
                <w:rFonts w:ascii="宋体" w:hAnsi="宋体" w:cs="宋体" w:eastAsia="宋体" w:hint="default"/>
                <w:sz w:val="18"/>
                <w:szCs w:val="18"/>
              </w:rPr>
              <w:t>（深 圳）有 限公司</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 w:right="42"/>
              <w:jc w:val="both"/>
              <w:rPr>
                <w:rFonts w:ascii="宋体" w:hAnsi="宋体" w:cs="宋体" w:eastAsia="宋体" w:hint="default"/>
                <w:sz w:val="18"/>
                <w:szCs w:val="18"/>
              </w:rPr>
            </w:pPr>
            <w:r>
              <w:rPr>
                <w:rFonts w:ascii="宋体" w:hAnsi="宋体" w:cs="宋体" w:eastAsia="宋体" w:hint="default"/>
                <w:sz w:val="18"/>
                <w:szCs w:val="18"/>
              </w:rPr>
              <w:t>大唐融 合信息 服务有 限公司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中产投 科技有 限公司</w:t>
            </w: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33,968,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528.83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1,417,9</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46.48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49,477,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186.76</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15,492,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598.67</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3,956,9</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69.13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155,26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1,918.9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100,97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9,947.7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33,705,</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512.03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2,448,8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07.11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37,971,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230.81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9,939,5</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82.96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6,221,0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83.81</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115,553</w:t>
            </w:r>
          </w:p>
          <w:p>
            <w:pPr>
              <w:pStyle w:val="TableParagraph"/>
              <w:spacing w:line="240" w:lineRule="auto" w:before="105"/>
              <w:ind w:left="64" w:right="0"/>
              <w:jc w:val="left"/>
              <w:rPr>
                <w:rFonts w:ascii="Times New Roman" w:hAnsi="Times New Roman" w:cs="Times New Roman" w:eastAsia="Times New Roman" w:hint="default"/>
                <w:sz w:val="18"/>
                <w:szCs w:val="18"/>
              </w:rPr>
            </w:pPr>
            <w:r>
              <w:rPr>
                <w:rFonts w:ascii="Times New Roman"/>
                <w:sz w:val="18"/>
              </w:rPr>
              <w:t>,284.08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 w:right="0"/>
              <w:jc w:val="left"/>
              <w:rPr>
                <w:rFonts w:ascii="Times New Roman" w:hAnsi="Times New Roman" w:cs="Times New Roman" w:eastAsia="Times New Roman" w:hint="default"/>
                <w:sz w:val="18"/>
                <w:szCs w:val="18"/>
              </w:rPr>
            </w:pPr>
            <w:r>
              <w:rPr>
                <w:rFonts w:ascii="Times New Roman"/>
                <w:sz w:val="18"/>
              </w:rPr>
              <w:t>25,142,</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981.38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24,318,</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305.67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2,345,0</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20.69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2,531,8</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19.94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28,901,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612.04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8" w:right="0"/>
              <w:jc w:val="center"/>
              <w:rPr>
                <w:rFonts w:ascii="Times New Roman" w:hAnsi="Times New Roman" w:cs="Times New Roman" w:eastAsia="Times New Roman" w:hint="default"/>
                <w:sz w:val="18"/>
                <w:szCs w:val="18"/>
              </w:rPr>
            </w:pPr>
            <w:r>
              <w:rPr>
                <w:rFonts w:ascii="Times New Roman"/>
                <w:sz w:val="18"/>
              </w:rPr>
              <w:t>462,63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9.95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115,874</w:t>
            </w:r>
          </w:p>
          <w:p>
            <w:pPr>
              <w:pStyle w:val="TableParagraph"/>
              <w:spacing w:line="240" w:lineRule="auto" w:before="105"/>
              <w:ind w:left="65" w:right="0"/>
              <w:jc w:val="left"/>
              <w:rPr>
                <w:rFonts w:ascii="Times New Roman" w:hAnsi="Times New Roman" w:cs="Times New Roman" w:eastAsia="Times New Roman" w:hint="default"/>
                <w:sz w:val="18"/>
                <w:szCs w:val="18"/>
              </w:rPr>
            </w:pPr>
            <w:r>
              <w:rPr>
                <w:rFonts w:ascii="Times New Roman"/>
                <w:sz w:val="18"/>
              </w:rPr>
              <w:t>,180.25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25,142,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981.38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21,252,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804.41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2,594,5</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37.66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2,535,5</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77.20</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149,52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1,812.9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26,560,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927.86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73,795,</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492.43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17,837,</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619.36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6,488,7</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89.07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184,16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3,530.9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101,44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2,587.7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9,692.2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27,591,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788.49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59,224,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035.22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12,534,</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120.62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8,756,6</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61.01</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64"/>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1,574,4</w:t>
            </w:r>
          </w:p>
          <w:p>
            <w:pPr>
              <w:pStyle w:val="TableParagraph"/>
              <w:spacing w:line="240" w:lineRule="auto" w:before="105"/>
              <w:ind w:left="179" w:right="0"/>
              <w:jc w:val="center"/>
              <w:rPr>
                <w:rFonts w:ascii="Times New Roman" w:hAnsi="Times New Roman" w:cs="Times New Roman" w:eastAsia="Times New Roman" w:hint="default"/>
                <w:sz w:val="18"/>
                <w:szCs w:val="18"/>
              </w:rPr>
            </w:pPr>
            <w:r>
              <w:rPr>
                <w:rFonts w:ascii="Times New Roman"/>
                <w:sz w:val="18"/>
              </w:rPr>
              <w:t>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31,682,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409.71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4,419,3</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68.38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396,62</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5.65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57,064,</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012.80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4,004,7</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42.08</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1,524,6</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99.00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20,422,</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919.14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9" w:right="0"/>
              <w:jc w:val="center"/>
              <w:rPr>
                <w:rFonts w:ascii="Times New Roman" w:hAnsi="Times New Roman" w:cs="Times New Roman" w:eastAsia="Times New Roman" w:hint="default"/>
                <w:sz w:val="18"/>
                <w:szCs w:val="18"/>
              </w:rPr>
            </w:pPr>
            <w:r>
              <w:rPr>
                <w:rFonts w:ascii="Times New Roman"/>
                <w:sz w:val="18"/>
              </w:rPr>
              <w:t>625,65</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7.50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803,08</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2.18</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4"/>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196,90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4.00</w:t>
            </w: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9"/>
        <w:gridCol w:w="637"/>
        <w:gridCol w:w="638"/>
        <w:gridCol w:w="638"/>
        <w:gridCol w:w="637"/>
        <w:gridCol w:w="639"/>
        <w:gridCol w:w="638"/>
        <w:gridCol w:w="637"/>
        <w:gridCol w:w="638"/>
        <w:gridCol w:w="638"/>
        <w:gridCol w:w="638"/>
        <w:gridCol w:w="638"/>
        <w:gridCol w:w="638"/>
        <w:gridCol w:w="637"/>
        <w:gridCol w:w="638"/>
      </w:tblGrid>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1,574,4</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50.00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31,879,</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313.71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4,419,3</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68.38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396,62</w:t>
            </w:r>
          </w:p>
          <w:p>
            <w:pPr>
              <w:pStyle w:val="TableParagraph"/>
              <w:spacing w:line="240" w:lineRule="auto" w:before="106"/>
              <w:ind w:left="269" w:right="0"/>
              <w:jc w:val="center"/>
              <w:rPr>
                <w:rFonts w:ascii="Times New Roman" w:hAnsi="Times New Roman" w:cs="Times New Roman" w:eastAsia="Times New Roman" w:hint="default"/>
                <w:sz w:val="18"/>
                <w:szCs w:val="18"/>
              </w:rPr>
            </w:pPr>
            <w:r>
              <w:rPr>
                <w:rFonts w:ascii="Times New Roman"/>
                <w:sz w:val="18"/>
              </w:rPr>
              <w:t>5.65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57,064,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012.80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4,004,7</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42.08</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1,524,6</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99.00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20,422,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919.14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625,65</w:t>
            </w:r>
          </w:p>
          <w:p>
            <w:pPr>
              <w:pStyle w:val="TableParagraph"/>
              <w:spacing w:line="240" w:lineRule="auto" w:before="106"/>
              <w:ind w:left="269" w:right="0"/>
              <w:jc w:val="center"/>
              <w:rPr>
                <w:rFonts w:ascii="Times New Roman" w:hAnsi="Times New Roman" w:cs="Times New Roman" w:eastAsia="Times New Roman" w:hint="default"/>
                <w:sz w:val="18"/>
                <w:szCs w:val="18"/>
              </w:rPr>
            </w:pPr>
            <w:r>
              <w:rPr>
                <w:rFonts w:ascii="Times New Roman"/>
                <w:sz w:val="18"/>
              </w:rPr>
              <w:t>7.50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803,08</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2.18</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7,599,9</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47.33</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归属于 母公司 股东权 益</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1,812.9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24,986,</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477.86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41,916,</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178.72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13,418,</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250.98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6,092,1</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63.42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119,499</w:t>
            </w:r>
          </w:p>
          <w:p>
            <w:pPr>
              <w:pStyle w:val="TableParagraph"/>
              <w:spacing w:line="240" w:lineRule="auto" w:before="106"/>
              <w:ind w:left="64" w:right="0"/>
              <w:jc w:val="left"/>
              <w:rPr>
                <w:rFonts w:ascii="Times New Roman" w:hAnsi="Times New Roman" w:cs="Times New Roman" w:eastAsia="Times New Roman" w:hint="default"/>
                <w:sz w:val="18"/>
                <w:szCs w:val="18"/>
              </w:rPr>
            </w:pPr>
            <w:r>
              <w:rPr>
                <w:rFonts w:ascii="Times New Roman"/>
                <w:sz w:val="18"/>
              </w:rPr>
              <w:t>,570.84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97,437,</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845.66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9,692.2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26,067,</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089.49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38,801,</w:t>
            </w:r>
          </w:p>
          <w:p>
            <w:pPr>
              <w:pStyle w:val="TableParagraph"/>
              <w:spacing w:line="240" w:lineRule="auto" w:before="106"/>
              <w:ind w:left="116" w:right="0"/>
              <w:jc w:val="left"/>
              <w:rPr>
                <w:rFonts w:ascii="Times New Roman" w:hAnsi="Times New Roman" w:cs="Times New Roman" w:eastAsia="Times New Roman" w:hint="default"/>
                <w:sz w:val="18"/>
                <w:szCs w:val="18"/>
              </w:rPr>
            </w:pPr>
            <w:r>
              <w:rPr>
                <w:rFonts w:ascii="Times New Roman"/>
                <w:sz w:val="18"/>
              </w:rPr>
              <w:t>116.08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11,908,</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463.12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7,953,5</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78.83</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按持股 比例计 算的净 资产份 额</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56,713,</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623.64</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7,413,4</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87.98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12,574,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853.62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6,574,9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42.98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2,436,8</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65.37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41,824,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849.79</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12,627,</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944.80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56,735,</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577.28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7,734,1</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05.45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11,640,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334.82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5,835,1</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46.93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3,181,4</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31.53</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551,49</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5.31</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175,15</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0.21</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551,49</w:t>
            </w:r>
          </w:p>
          <w:p>
            <w:pPr>
              <w:pStyle w:val="TableParagraph"/>
              <w:spacing w:line="240" w:lineRule="auto" w:before="106"/>
              <w:ind w:left="269" w:right="0"/>
              <w:jc w:val="center"/>
              <w:rPr>
                <w:rFonts w:ascii="Times New Roman" w:hAnsi="Times New Roman" w:cs="Times New Roman" w:eastAsia="Times New Roman" w:hint="default"/>
                <w:sz w:val="18"/>
                <w:szCs w:val="18"/>
              </w:rPr>
            </w:pPr>
            <w:r>
              <w:rPr>
                <w:rFonts w:ascii="Times New Roman"/>
                <w:sz w:val="18"/>
              </w:rPr>
              <w:t>5.31</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00.00</w:t>
            </w: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2,480,6</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40.00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2,400,0</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00.01</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对联营 企业权 益投资 的账面 价值</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57,265,</w:t>
            </w:r>
          </w:p>
          <w:p>
            <w:pPr>
              <w:pStyle w:val="TableParagraph"/>
              <w:spacing w:line="240" w:lineRule="auto" w:before="106"/>
              <w:ind w:left="116" w:right="0"/>
              <w:jc w:val="left"/>
              <w:rPr>
                <w:rFonts w:ascii="Times New Roman" w:hAnsi="Times New Roman" w:cs="Times New Roman" w:eastAsia="Times New Roman" w:hint="default"/>
                <w:sz w:val="18"/>
                <w:szCs w:val="18"/>
              </w:rPr>
            </w:pPr>
            <w:r>
              <w:rPr>
                <w:rFonts w:ascii="Times New Roman"/>
                <w:sz w:val="18"/>
              </w:rPr>
              <w:t>118.95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7,413,4</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87.98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14,374,</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853.62</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6,574,9</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42.98</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2,436,8</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65.37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42,000,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000.00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15,108,</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584.80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57,287,</w:t>
            </w:r>
          </w:p>
          <w:p>
            <w:pPr>
              <w:pStyle w:val="TableParagraph"/>
              <w:spacing w:line="240" w:lineRule="auto" w:before="106"/>
              <w:ind w:left="111" w:right="0"/>
              <w:jc w:val="left"/>
              <w:rPr>
                <w:rFonts w:ascii="Times New Roman" w:hAnsi="Times New Roman" w:cs="Times New Roman" w:eastAsia="Times New Roman" w:hint="default"/>
                <w:sz w:val="18"/>
                <w:szCs w:val="18"/>
              </w:rPr>
            </w:pPr>
            <w:r>
              <w:rPr>
                <w:rFonts w:ascii="Times New Roman"/>
                <w:sz w:val="18"/>
              </w:rPr>
              <w:t>072.59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7,734,1</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05.45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14,040,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334.83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5,634,5</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63.48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3,181,4</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31.53</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营业收 入</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36,950,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658.71</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4,097,8</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61.25</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4,716,9</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81.12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95,555,</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221.18</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8,758,4</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90.57</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30,594,</w:t>
            </w:r>
          </w:p>
          <w:p>
            <w:pPr>
              <w:pStyle w:val="TableParagraph"/>
              <w:spacing w:line="240" w:lineRule="auto" w:before="106"/>
              <w:ind w:left="116" w:right="0"/>
              <w:jc w:val="left"/>
              <w:rPr>
                <w:rFonts w:ascii="Times New Roman" w:hAnsi="Times New Roman" w:cs="Times New Roman" w:eastAsia="Times New Roman" w:hint="default"/>
                <w:sz w:val="18"/>
                <w:szCs w:val="18"/>
              </w:rPr>
            </w:pPr>
            <w:r>
              <w:rPr>
                <w:rFonts w:ascii="Times New Roman"/>
                <w:sz w:val="18"/>
              </w:rPr>
              <w:t>583.11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5,258,3</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44.08</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4,854,3</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68.94</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-57,879</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-1,080,</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611.63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1,115,0</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62.64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1,655,2</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58.66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325,38</w:t>
            </w:r>
          </w:p>
          <w:p>
            <w:pPr>
              <w:pStyle w:val="TableParagraph"/>
              <w:spacing w:line="240" w:lineRule="auto" w:before="106"/>
              <w:ind w:left="269" w:right="0"/>
              <w:jc w:val="center"/>
              <w:rPr>
                <w:rFonts w:ascii="Times New Roman" w:hAnsi="Times New Roman" w:cs="Times New Roman" w:eastAsia="Times New Roman" w:hint="default"/>
                <w:sz w:val="18"/>
                <w:szCs w:val="18"/>
              </w:rPr>
            </w:pPr>
            <w:r>
              <w:rPr>
                <w:rFonts w:ascii="Times New Roman"/>
                <w:sz w:val="18"/>
              </w:rPr>
              <w:t>4.79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967,43</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8.03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837,84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5.66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-279,29</w:t>
            </w:r>
          </w:p>
          <w:p>
            <w:pPr>
              <w:pStyle w:val="TableParagraph"/>
              <w:spacing w:line="240" w:lineRule="auto" w:before="106"/>
              <w:ind w:left="291" w:right="0"/>
              <w:jc w:val="left"/>
              <w:rPr>
                <w:rFonts w:ascii="Times New Roman" w:hAnsi="Times New Roman" w:cs="Times New Roman" w:eastAsia="Times New Roman" w:hint="default"/>
                <w:sz w:val="18"/>
                <w:szCs w:val="18"/>
              </w:rPr>
            </w:pPr>
            <w:r>
              <w:rPr>
                <w:rFonts w:ascii="Times New Roman"/>
                <w:sz w:val="18"/>
              </w:rPr>
              <w:t>0.50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-342,65</w:t>
            </w:r>
          </w:p>
          <w:p>
            <w:pPr>
              <w:pStyle w:val="TableParagraph"/>
              <w:spacing w:line="240" w:lineRule="auto" w:before="106"/>
              <w:ind w:left="290" w:right="0"/>
              <w:jc w:val="left"/>
              <w:rPr>
                <w:rFonts w:ascii="Times New Roman" w:hAnsi="Times New Roman" w:cs="Times New Roman" w:eastAsia="Times New Roman" w:hint="default"/>
                <w:sz w:val="18"/>
                <w:szCs w:val="18"/>
              </w:rPr>
            </w:pPr>
            <w:r>
              <w:rPr>
                <w:rFonts w:ascii="Times New Roman"/>
                <w:sz w:val="18"/>
              </w:rPr>
              <w:t>4.52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521,26</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3.29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2,422,8</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93.82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1,701,7</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76.38</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综合收 益总额</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-57,879</w:t>
            </w:r>
          </w:p>
          <w:p>
            <w:pPr>
              <w:pStyle w:val="TableParagraph"/>
              <w:spacing w:line="240" w:lineRule="auto" w:before="106"/>
              <w:ind w:left="380" w:right="0"/>
              <w:jc w:val="left"/>
              <w:rPr>
                <w:rFonts w:ascii="Times New Roman" w:hAnsi="Times New Roman" w:cs="Times New Roman" w:eastAsia="Times New Roman" w:hint="default"/>
                <w:sz w:val="18"/>
                <w:szCs w:val="18"/>
              </w:rPr>
            </w:pPr>
            <w:r>
              <w:rPr>
                <w:rFonts w:ascii="Times New Roman"/>
                <w:sz w:val="18"/>
              </w:rPr>
              <w:t>.37</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-1,080,</w:t>
            </w:r>
          </w:p>
          <w:p>
            <w:pPr>
              <w:pStyle w:val="TableParagraph"/>
              <w:spacing w:line="240" w:lineRule="auto" w:before="106"/>
              <w:ind w:left="117" w:right="0"/>
              <w:jc w:val="left"/>
              <w:rPr>
                <w:rFonts w:ascii="Times New Roman" w:hAnsi="Times New Roman" w:cs="Times New Roman" w:eastAsia="Times New Roman" w:hint="default"/>
                <w:sz w:val="18"/>
                <w:szCs w:val="18"/>
              </w:rPr>
            </w:pPr>
            <w:r>
              <w:rPr>
                <w:rFonts w:ascii="Times New Roman"/>
                <w:sz w:val="18"/>
              </w:rPr>
              <w:t>611.63</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1,115,0</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62.64</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1,655,2</w:t>
            </w:r>
          </w:p>
          <w:p>
            <w:pPr>
              <w:pStyle w:val="TableParagraph"/>
              <w:spacing w:line="240" w:lineRule="auto" w:before="106"/>
              <w:ind w:left="178" w:right="0"/>
              <w:jc w:val="center"/>
              <w:rPr>
                <w:rFonts w:ascii="Times New Roman" w:hAnsi="Times New Roman" w:cs="Times New Roman" w:eastAsia="Times New Roman" w:hint="default"/>
                <w:sz w:val="18"/>
                <w:szCs w:val="18"/>
              </w:rPr>
            </w:pPr>
            <w:r>
              <w:rPr>
                <w:rFonts w:ascii="Times New Roman"/>
                <w:sz w:val="18"/>
              </w:rPr>
              <w:t>58.66</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325,38</w:t>
            </w:r>
          </w:p>
          <w:p>
            <w:pPr>
              <w:pStyle w:val="TableParagraph"/>
              <w:spacing w:line="240" w:lineRule="auto" w:before="106"/>
              <w:ind w:left="269" w:right="0"/>
              <w:jc w:val="center"/>
              <w:rPr>
                <w:rFonts w:ascii="Times New Roman" w:hAnsi="Times New Roman" w:cs="Times New Roman" w:eastAsia="Times New Roman" w:hint="default"/>
                <w:sz w:val="18"/>
                <w:szCs w:val="18"/>
              </w:rPr>
            </w:pPr>
            <w:r>
              <w:rPr>
                <w:rFonts w:ascii="Times New Roman"/>
                <w:sz w:val="18"/>
              </w:rPr>
              <w:t>4.79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967,43</w:t>
            </w:r>
          </w:p>
          <w:p>
            <w:pPr>
              <w:pStyle w:val="TableParagraph"/>
              <w:spacing w:line="240" w:lineRule="auto" w:before="106"/>
              <w:ind w:left="267" w:right="0"/>
              <w:jc w:val="center"/>
              <w:rPr>
                <w:rFonts w:ascii="Times New Roman" w:hAnsi="Times New Roman" w:cs="Times New Roman" w:eastAsia="Times New Roman" w:hint="default"/>
                <w:sz w:val="18"/>
                <w:szCs w:val="18"/>
              </w:rPr>
            </w:pPr>
            <w:r>
              <w:rPr>
                <w:rFonts w:ascii="Times New Roman"/>
                <w:sz w:val="18"/>
              </w:rPr>
              <w:t>8.03</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837,84</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5.66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-279,29</w:t>
            </w:r>
          </w:p>
          <w:p>
            <w:pPr>
              <w:pStyle w:val="TableParagraph"/>
              <w:spacing w:line="240" w:lineRule="auto" w:before="106"/>
              <w:ind w:left="291" w:right="0"/>
              <w:jc w:val="left"/>
              <w:rPr>
                <w:rFonts w:ascii="Times New Roman" w:hAnsi="Times New Roman" w:cs="Times New Roman" w:eastAsia="Times New Roman" w:hint="default"/>
                <w:sz w:val="18"/>
                <w:szCs w:val="18"/>
              </w:rPr>
            </w:pPr>
            <w:r>
              <w:rPr>
                <w:rFonts w:ascii="Times New Roman"/>
                <w:sz w:val="18"/>
              </w:rPr>
              <w:t>0.50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-342,65</w:t>
            </w:r>
          </w:p>
          <w:p>
            <w:pPr>
              <w:pStyle w:val="TableParagraph"/>
              <w:spacing w:line="240" w:lineRule="auto" w:before="106"/>
              <w:ind w:left="290" w:right="0"/>
              <w:jc w:val="left"/>
              <w:rPr>
                <w:rFonts w:ascii="Times New Roman" w:hAnsi="Times New Roman" w:cs="Times New Roman" w:eastAsia="Times New Roman" w:hint="default"/>
                <w:sz w:val="18"/>
                <w:szCs w:val="18"/>
              </w:rPr>
            </w:pPr>
            <w:r>
              <w:rPr>
                <w:rFonts w:ascii="Times New Roman"/>
                <w:sz w:val="18"/>
              </w:rPr>
              <w:t>4.52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521,26</w:t>
            </w:r>
          </w:p>
          <w:p>
            <w:pPr>
              <w:pStyle w:val="TableParagraph"/>
              <w:spacing w:line="240" w:lineRule="auto" w:before="106"/>
              <w:ind w:left="268" w:right="0"/>
              <w:jc w:val="center"/>
              <w:rPr>
                <w:rFonts w:ascii="Times New Roman" w:hAnsi="Times New Roman" w:cs="Times New Roman" w:eastAsia="Times New Roman" w:hint="default"/>
                <w:sz w:val="18"/>
                <w:szCs w:val="18"/>
              </w:rPr>
            </w:pPr>
            <w:r>
              <w:rPr>
                <w:rFonts w:ascii="Times New Roman"/>
                <w:sz w:val="18"/>
              </w:rPr>
              <w:t>3.29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2,422,8</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93.82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1,701,7</w:t>
            </w:r>
          </w:p>
          <w:p>
            <w:pPr>
              <w:pStyle w:val="TableParagraph"/>
              <w:spacing w:line="240" w:lineRule="auto" w:before="106"/>
              <w:ind w:left="177" w:right="0"/>
              <w:jc w:val="center"/>
              <w:rPr>
                <w:rFonts w:ascii="Times New Roman" w:hAnsi="Times New Roman" w:cs="Times New Roman" w:eastAsia="Times New Roman" w:hint="default"/>
                <w:sz w:val="18"/>
                <w:szCs w:val="18"/>
              </w:rPr>
            </w:pPr>
            <w:r>
              <w:rPr>
                <w:rFonts w:ascii="Times New Roman"/>
                <w:sz w:val="18"/>
              </w:rPr>
              <w:t>76.38</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4"/>
              <w:jc w:val="both"/>
              <w:rPr>
                <w:rFonts w:ascii="宋体" w:hAnsi="宋体" w:cs="宋体" w:eastAsia="宋体" w:hint="default"/>
                <w:sz w:val="18"/>
                <w:szCs w:val="18"/>
              </w:rPr>
            </w:pPr>
            <w:r>
              <w:rPr>
                <w:rFonts w:ascii="宋体" w:hAnsi="宋体" w:cs="宋体" w:eastAsia="宋体" w:hint="default"/>
                <w:sz w:val="18"/>
                <w:szCs w:val="18"/>
              </w:rPr>
              <w:t>本年度 收到的 来自联 营企业 的股利</w:t>
            </w: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874,72</w:t>
            </w:r>
          </w:p>
          <w:p>
            <w:pPr>
              <w:pStyle w:val="TableParagraph"/>
              <w:spacing w:line="240" w:lineRule="auto" w:before="106"/>
              <w:ind w:left="269" w:right="0"/>
              <w:jc w:val="center"/>
              <w:rPr>
                <w:rFonts w:ascii="Times New Roman" w:hAnsi="Times New Roman" w:cs="Times New Roman" w:eastAsia="Times New Roman" w:hint="default"/>
                <w:sz w:val="18"/>
                <w:szCs w:val="18"/>
              </w:rPr>
            </w:pPr>
            <w:r>
              <w:rPr>
                <w:rFonts w:ascii="Times New Roman"/>
                <w:sz w:val="18"/>
              </w:rPr>
              <w:t>0.08</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946,00</w:t>
            </w:r>
          </w:p>
          <w:p>
            <w:pPr>
              <w:pStyle w:val="TableParagraph"/>
              <w:spacing w:line="240" w:lineRule="auto" w:before="106"/>
              <w:ind w:left="269" w:right="0"/>
              <w:jc w:val="center"/>
              <w:rPr>
                <w:rFonts w:ascii="Times New Roman" w:hAnsi="Times New Roman" w:cs="Times New Roman" w:eastAsia="Times New Roman" w:hint="default"/>
                <w:sz w:val="18"/>
                <w:szCs w:val="18"/>
              </w:rPr>
            </w:pPr>
            <w:r>
              <w:rPr>
                <w:rFonts w:ascii="Times New Roman"/>
                <w:sz w:val="18"/>
              </w:rPr>
              <w:t>1.90</w:t>
            </w: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1,544,9</w:t>
            </w:r>
          </w:p>
          <w:p>
            <w:pPr>
              <w:pStyle w:val="TableParagraph"/>
              <w:spacing w:line="240" w:lineRule="auto" w:before="106"/>
              <w:ind w:left="179" w:right="0"/>
              <w:jc w:val="center"/>
              <w:rPr>
                <w:rFonts w:ascii="Times New Roman" w:hAnsi="Times New Roman" w:cs="Times New Roman" w:eastAsia="Times New Roman" w:hint="default"/>
                <w:sz w:val="18"/>
                <w:szCs w:val="18"/>
              </w:rPr>
            </w:pPr>
            <w:r>
              <w:rPr>
                <w:rFonts w:ascii="Times New Roman"/>
                <w:sz w:val="18"/>
              </w:rPr>
              <w:t>40.46</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36"/>
      <w:bookmarkEnd w:id="43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2,106,715.63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4,068,885.63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-128,060.24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-80,071.00</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-128,060.24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-80,071.00</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37"/>
      <w:bookmarkEnd w:id="43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38"/>
      <w:bookmarkEnd w:id="43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大唐融合（盘锦）科技有限公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9" w:right="0"/>
              <w:jc w:val="left"/>
              <w:rPr>
                <w:rFonts w:ascii="Times New Roman" w:hAnsi="Times New Roman" w:cs="Times New Roman" w:eastAsia="Times New Roman" w:hint="default"/>
                <w:sz w:val="18"/>
                <w:szCs w:val="18"/>
              </w:rPr>
            </w:pPr>
            <w:r>
              <w:rPr>
                <w:rFonts w:ascii="Times New Roman"/>
                <w:sz w:val="18"/>
              </w:rPr>
              <w:t>-135,713.19</w:t>
            </w:r>
          </w:p>
        </w:tc>
        <w:tc>
          <w:tcPr>
            <w:tcW w:w="239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39"/>
      <w:bookmarkEnd w:id="43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40"/>
      <w:bookmarkEnd w:id="44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41"/>
      <w:bookmarkEnd w:id="44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42"/>
      <w:bookmarkEnd w:id="44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 w:id="443"/>
      <w:bookmarkEnd w:id="443"/>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44"/>
      <w:bookmarkEnd w:id="444"/>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7" w:right="0"/>
        <w:jc w:val="left"/>
      </w:pPr>
      <w:r>
        <w:rPr/>
        <w:t>本公司在经营过程中面临各种金融风险：信用风险、市场风险和流动性风险。本公司总经理办公会在</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032"/>
        <w:jc w:val="both"/>
      </w:pPr>
      <w:r>
        <w:rPr/>
        <w:t>董事会的授权下，全面主持公司生产经营管理工作，审定各部门风险管理工作职责，研究、确定公司金融 风险事项及应对预案、审定资产管理部提交的风险管理报告，批准风险应对预案。本公司董事会下设审计 委员会，负责指导内部审计部门开展全面风险管理相关工作，对全面风险管理进行监督与评价。本公司风 险管理的总体目标是在不过度影响公司竞争力和应变力的情况下，制定尽可能降低风险的风险管理政策。</w:t>
      </w:r>
    </w:p>
    <w:p>
      <w:pPr>
        <w:pStyle w:val="BodyText"/>
        <w:spacing w:line="273" w:lineRule="auto" w:before="8"/>
        <w:ind w:left="577" w:right="1118" w:hanging="424"/>
        <w:jc w:val="left"/>
      </w:pPr>
      <w:r>
        <w:rPr>
          <w:rFonts w:ascii="宋体" w:hAnsi="宋体" w:cs="宋体" w:eastAsia="宋体" w:hint="default"/>
          <w:b/>
          <w:bCs/>
        </w:rPr>
        <w:t>（一）信用风险</w:t>
      </w:r>
      <w:r>
        <w:rPr>
          <w:rFonts w:ascii="宋体" w:hAnsi="宋体" w:cs="宋体" w:eastAsia="宋体" w:hint="default"/>
          <w:b/>
          <w:bCs/>
          <w:w w:val="99"/>
        </w:rPr>
        <w:t> </w:t>
      </w:r>
      <w:r>
        <w:rPr>
          <w:spacing w:val="-1"/>
        </w:rPr>
        <w:t>信用风险是指金融工具的一方不履行义务，造成另一方发生财务损失的风险。本公司主要面临赊销导</w:t>
      </w:r>
    </w:p>
    <w:p>
      <w:pPr>
        <w:pStyle w:val="BodyText"/>
        <w:spacing w:line="273" w:lineRule="auto"/>
        <w:ind w:right="1131"/>
        <w:jc w:val="both"/>
      </w:pPr>
      <w:r>
        <w:rPr>
          <w:spacing w:val="-1"/>
        </w:rPr>
        <w:t>致的客户信用风险。在签订新合同之前，本公司会对新客户的信用风险进行评估，包括外部信用评级和在</w:t>
      </w:r>
      <w:r>
        <w:rPr>
          <w:spacing w:val="-83"/>
        </w:rPr>
        <w:t> </w:t>
      </w:r>
      <w:r>
        <w:rPr>
          <w:spacing w:val="-83"/>
        </w:rPr>
      </w:r>
      <w:r>
        <w:rPr>
          <w:spacing w:val="-1"/>
        </w:rPr>
        <w:t>某些情况下的银行资信证明（当此信息可获取时）。公司对每一客户均设置了赊销限额，该限额为无需获</w:t>
      </w:r>
      <w:r>
        <w:rPr>
          <w:spacing w:val="-86"/>
        </w:rPr>
        <w:t> </w:t>
      </w:r>
      <w:r>
        <w:rPr>
          <w:spacing w:val="-86"/>
        </w:rPr>
      </w:r>
      <w:r>
        <w:rPr/>
        <w:t>得额外批准的最大额度。</w:t>
      </w:r>
    </w:p>
    <w:p>
      <w:pPr>
        <w:pStyle w:val="BodyText"/>
        <w:spacing w:line="273" w:lineRule="auto"/>
        <w:ind w:right="0" w:firstLine="423"/>
        <w:jc w:val="left"/>
      </w:pPr>
      <w:r>
        <w:rPr/>
        <w:t>公司通过对已有客户信用评级的季度监控以及应收账款账龄分析的月度审核来确保公司的整体信用 </w:t>
      </w:r>
      <w:r>
        <w:rPr>
          <w:spacing w:val="-1"/>
        </w:rPr>
        <w:t>风险在可控的范围内。在监控客户的信用风险时，按照客户的信用特征对其分组。被评为“高风险”级别</w:t>
      </w:r>
      <w:r>
        <w:rPr>
          <w:spacing w:val="-82"/>
        </w:rPr>
        <w:t> </w:t>
      </w:r>
      <w:r>
        <w:rPr>
          <w:spacing w:val="-82"/>
        </w:rPr>
      </w:r>
      <w:r>
        <w:rPr>
          <w:spacing w:val="-1"/>
        </w:rPr>
        <w:t>的客户会放在受限制客户名单里，并且只有在额外批准的前提下，公司才可在未来期间内对其赊销，否则</w:t>
      </w:r>
      <w:r>
        <w:rPr>
          <w:spacing w:val="-83"/>
        </w:rPr>
        <w:t> </w:t>
      </w:r>
      <w:r>
        <w:rPr>
          <w:spacing w:val="-83"/>
        </w:rPr>
      </w:r>
      <w:r>
        <w:rPr/>
        <w:t>必须要求其提前支付相应款项。</w:t>
      </w:r>
    </w:p>
    <w:p>
      <w:pPr>
        <w:pStyle w:val="BodyText"/>
        <w:spacing w:line="273" w:lineRule="auto"/>
        <w:ind w:left="577" w:right="1017" w:hanging="424"/>
        <w:jc w:val="left"/>
      </w:pPr>
      <w:r>
        <w:rPr>
          <w:rFonts w:ascii="宋体" w:hAnsi="宋体" w:cs="宋体" w:eastAsia="宋体" w:hint="default"/>
          <w:b/>
          <w:bCs/>
        </w:rPr>
        <w:t>（二）市场风险</w:t>
      </w:r>
      <w:r>
        <w:rPr>
          <w:rFonts w:ascii="宋体" w:hAnsi="宋体" w:cs="宋体" w:eastAsia="宋体" w:hint="default"/>
          <w:b/>
          <w:bCs/>
          <w:w w:val="99"/>
        </w:rPr>
        <w:t> </w:t>
      </w:r>
      <w:r>
        <w:rPr/>
        <w:t>金融工具的市场风险，是指金融工具的公允价值或未来现金流量因市场价格变动而发生波动的风险，</w:t>
      </w:r>
    </w:p>
    <w:p>
      <w:pPr>
        <w:pStyle w:val="BodyText"/>
        <w:spacing w:line="273" w:lineRule="auto"/>
        <w:ind w:left="577" w:right="0" w:hanging="424"/>
        <w:jc w:val="left"/>
      </w:pPr>
      <w:r>
        <w:rPr/>
        <w:t>包括汇率风险、利率风险和其他价格风险。 </w:t>
      </w:r>
      <w:r>
        <w:rPr>
          <w:spacing w:val="-1"/>
        </w:rPr>
        <w:t>本公司主要涉及利率风险。利率风险，是指金融工具的公允价值或未来现金流量因市场利率变动而发</w:t>
      </w:r>
    </w:p>
    <w:p>
      <w:pPr>
        <w:pStyle w:val="BodyText"/>
        <w:spacing w:line="273" w:lineRule="auto"/>
        <w:ind w:right="1131"/>
        <w:jc w:val="both"/>
      </w:pPr>
      <w:r>
        <w:rPr>
          <w:spacing w:val="-1"/>
        </w:rPr>
        <w:t>生波动的风险。本公司面临的利率风险主要来源于银行短期借款。公司通过建立良好的银企关系，对授信</w:t>
      </w:r>
      <w:r>
        <w:rPr>
          <w:spacing w:val="-83"/>
        </w:rPr>
        <w:t> </w:t>
      </w:r>
      <w:r>
        <w:rPr>
          <w:spacing w:val="-83"/>
        </w:rPr>
      </w:r>
      <w:r>
        <w:rPr>
          <w:spacing w:val="-1"/>
        </w:rPr>
        <w:t>额度、授信品种以及授信期限进行合理的设计，保障银行授信额度充足，满足公司各类短期融资需求。并</w:t>
      </w:r>
      <w:r>
        <w:rPr>
          <w:spacing w:val="-85"/>
        </w:rPr>
        <w:t> </w:t>
      </w:r>
      <w:r>
        <w:rPr>
          <w:spacing w:val="-85"/>
        </w:rPr>
      </w:r>
      <w:r>
        <w:rPr/>
        <w:t>且通过缩短单笔借款的期限，特别约定提前还款条款，合理降低利率波动风险。</w:t>
      </w:r>
    </w:p>
    <w:p>
      <w:pPr>
        <w:pStyle w:val="BodyText"/>
        <w:spacing w:line="273" w:lineRule="auto"/>
        <w:ind w:right="0" w:firstLine="423"/>
        <w:jc w:val="left"/>
      </w:pPr>
      <w:r>
        <w:rPr/>
        <w:t>于</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日，在其他变量保持不变的情况下，如果以浮动利率计算的借款利率上升或下降</w:t>
      </w:r>
      <w:r>
        <w:rPr>
          <w:rFonts w:ascii="宋体" w:hAnsi="宋体" w:cs="宋体" w:eastAsia="宋体" w:hint="default"/>
        </w:rPr>
        <w:t>100 </w:t>
      </w:r>
      <w:r>
        <w:rPr>
          <w:spacing w:val="-1"/>
        </w:rPr>
        <w:t>个基点，则本公司的净利润将减少或增加</w:t>
      </w:r>
      <w:r>
        <w:rPr>
          <w:rFonts w:ascii="宋体" w:hAnsi="宋体" w:cs="宋体" w:eastAsia="宋体" w:hint="default"/>
          <w:spacing w:val="-1"/>
        </w:rPr>
        <w:t>1,601.24</w:t>
      </w:r>
      <w:r>
        <w:rPr>
          <w:spacing w:val="-1"/>
        </w:rPr>
        <w:t>万元（</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w:t>
      </w:r>
      <w:r>
        <w:rPr>
          <w:rFonts w:ascii="宋体" w:hAnsi="宋体" w:cs="宋体" w:eastAsia="宋体" w:hint="default"/>
          <w:spacing w:val="-1"/>
        </w:rPr>
        <w:t>1,313.42</w:t>
      </w:r>
      <w:r>
        <w:rPr>
          <w:spacing w:val="-1"/>
        </w:rPr>
        <w:t>万元）。管理层认为</w:t>
      </w:r>
      <w:r>
        <w:rPr>
          <w:spacing w:val="-75"/>
        </w:rPr>
        <w:t> </w:t>
      </w:r>
      <w:r>
        <w:rPr>
          <w:spacing w:val="-75"/>
        </w:rPr>
      </w:r>
      <w:r>
        <w:rPr>
          <w:rFonts w:ascii="宋体" w:hAnsi="宋体" w:cs="宋体" w:eastAsia="宋体" w:hint="default"/>
        </w:rPr>
        <w:t>100</w:t>
      </w:r>
      <w:r>
        <w:rPr/>
        <w:t>个基点合理反映了下一年度利率可能发生变动的合理范围。</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bookmarkStart w:name="十一、公允价值的披露" w:id="445"/>
      <w:bookmarkEnd w:id="445"/>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以公允价值计量的资产和负债的期末公允价值" w:id="446"/>
      <w:bookmarkEnd w:id="44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持续和非持续第一层次公允价值计量项目市价的确定依据" w:id="447"/>
      <w:bookmarkEnd w:id="44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48"/>
      <w:bookmarkEnd w:id="44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49"/>
      <w:bookmarkEnd w:id="44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50"/>
      <w:bookmarkEnd w:id="45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51"/>
      <w:bookmarkEnd w:id="45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52"/>
      <w:bookmarkEnd w:id="45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53"/>
      <w:bookmarkEnd w:id="45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0"/>
        <w:jc w:val="left"/>
      </w:pPr>
      <w:r>
        <w:rPr/>
        <w:t>本公司金融工具应收账款、其他应收款的账面价值与公允价值差异较小，因此采用账面价值计量。 </w:t>
      </w:r>
      <w:r>
        <w:rPr>
          <w:spacing w:val="-1"/>
        </w:rPr>
        <w:t>本公司金融工具可供出售金融资产中的权益工具投资，因在活跃市场中没有报价且其公允价值不能可靠计</w:t>
      </w:r>
      <w:r>
        <w:rPr>
          <w:spacing w:val="-81"/>
        </w:rPr>
        <w:t> </w:t>
      </w:r>
      <w:r>
        <w:rPr>
          <w:spacing w:val="-81"/>
        </w:rPr>
      </w:r>
      <w:r>
        <w:rPr/>
        <w:t>量，按照成本计量。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487" w:lineRule="auto" w:before="0"/>
        <w:ind w:left="154" w:right="7692" w:firstLine="0"/>
        <w:jc w:val="left"/>
        <w:rPr>
          <w:rFonts w:ascii="宋体" w:hAnsi="宋体" w:cs="宋体" w:eastAsia="宋体" w:hint="default"/>
          <w:sz w:val="21"/>
          <w:szCs w:val="21"/>
        </w:rPr>
      </w:pPr>
      <w:bookmarkStart w:name="9、其他" w:id="454"/>
      <w:bookmarkEnd w:id="45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5"/>
      <w:bookmarkEnd w:id="45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6"/>
      <w:bookmarkEnd w:id="45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电信科学技术研究 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通信、电子设备的开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发、生产、销售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7,800,000,000.00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12.81%</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本企业最终控制方是国务院国有资产监督管理委员会。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本企业的子公司情况" w:id="457"/>
      <w:bookmarkEnd w:id="45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本企业子公司的情况详见附注九、在其他主体中的权益。</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458"/>
      <w:bookmarkEnd w:id="45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其他关联方情况" w:id="459"/>
      <w:bookmarkEnd w:id="4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中国信息通信科技集团有限公司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公司间接控股股东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大唐电信科技产业控股有限公司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大唐投资控股发展（上海）有限公司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大唐创业投资</w:t>
            </w:r>
            <w:r>
              <w:rPr>
                <w:rFonts w:ascii="Times New Roman" w:hAnsi="Times New Roman" w:cs="Times New Roman" w:eastAsia="Times New Roman" w:hint="default"/>
                <w:sz w:val="18"/>
                <w:szCs w:val="18"/>
              </w:rPr>
              <w:t>(</w:t>
            </w:r>
            <w:r>
              <w:rPr>
                <w:rFonts w:ascii="宋体" w:hAnsi="宋体" w:cs="宋体" w:eastAsia="宋体" w:hint="default"/>
                <w:sz w:val="18"/>
                <w:szCs w:val="18"/>
              </w:rPr>
              <w:t>海南</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电信科学技术半导体研究所有限公司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电信科学技术第五研究所有限公司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电信科学技术仪表研究所有限公司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数据通信科学技术研究所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辰芯科技有限公司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电信科学技术第四研究所有限公司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大唐实创（北京）投资有限公司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国家无线电频谱管理研究所有限公司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电信科学技术第十研究所有限公司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电信科学技术第一研究所有限公司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大唐电信集团财务有限公司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武汉邮电科学研究院有限公司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北京北方烽火科技有限公司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烽火科技集团有限公司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武汉光谷烽火科技创业投资有限公司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武汉烽火富华电气有限责任公司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武汉藏龙光电子股权投资基金企业（有限合伙）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武汉银泰科技电源股份有限公司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武汉银泰科技燃料电池有限公司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武汉烽火银泰电源有限责任公司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烽火通信科技股份有限公司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LATAMFIBERHOMECABLEC.LTDA</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成都大唐线缆有限公司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烽火海洋网络设备有限公司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烽火藤仓光纤科技有限公司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烽火云科技有限公司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南京第三代通信科技有限公司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南京华信藤仓光通信有限公司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烽火超微信息科技有限公司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锐光信通科技有限公司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武汉飞思灵微电子技术有限公司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武汉烽火光网信息技术有限公司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FIBERHOMETELECOMUSA,INC.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武汉烽火锐拓科技有限公司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武汉烽火通信产业投资管理有限公司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武汉市烽视威科技有限公司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西安北方光通信有限责任公司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西安烽火数字技术有限公司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新疆烽火光通信有限公司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长春烽火技术有限公司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w:t>
            </w:r>
            <w:r>
              <w:rPr>
                <w:rFonts w:ascii="Times New Roman" w:hAnsi="Times New Roman" w:cs="Times New Roman" w:eastAsia="Times New Roman" w:hint="default"/>
                <w:sz w:val="18"/>
                <w:szCs w:val="18"/>
              </w:rPr>
              <w:t>(</w:t>
            </w:r>
            <w:r>
              <w:rPr>
                <w:rFonts w:ascii="宋体" w:hAnsi="宋体" w:cs="宋体" w:eastAsia="宋体" w:hint="default"/>
                <w:sz w:val="18"/>
                <w:szCs w:val="18"/>
              </w:rPr>
              <w:t>德国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烽火国际（巴西）技术有限责任公司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武汉烽火国际（马来西亚）有限责任公司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武汉烽火国际技术（菲律宾）有限责任公司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w:t>
            </w:r>
            <w:r>
              <w:rPr>
                <w:rFonts w:ascii="Times New Roman" w:hAnsi="Times New Roman" w:cs="Times New Roman" w:eastAsia="Times New Roman" w:hint="default"/>
                <w:sz w:val="18"/>
                <w:szCs w:val="18"/>
              </w:rPr>
              <w:t>(</w:t>
            </w:r>
            <w:r>
              <w:rPr>
                <w:rFonts w:ascii="宋体" w:hAnsi="宋体" w:cs="宋体" w:eastAsia="宋体" w:hint="default"/>
                <w:sz w:val="18"/>
                <w:szCs w:val="18"/>
              </w:rPr>
              <w:t>泰国</w:t>
            </w:r>
            <w:r>
              <w:rPr>
                <w:rFonts w:ascii="Times New Roman" w:hAnsi="Times New Roman" w:cs="Times New Roman" w:eastAsia="Times New Roman" w:hint="default"/>
                <w:sz w:val="18"/>
                <w:szCs w:val="18"/>
              </w:rPr>
              <w:t>)</w:t>
            </w:r>
            <w:r>
              <w:rPr>
                <w:rFonts w:ascii="宋体" w:hAnsi="宋体" w:cs="宋体" w:eastAsia="宋体" w:hint="default"/>
                <w:sz w:val="18"/>
                <w:szCs w:val="18"/>
              </w:rPr>
              <w:t>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烽火国际（波兰）有限责任公司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缅甸国际光纤通信技术有限责任公司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烽火国际（印度尼西亚）有限责任公司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烽火国际智利子公司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烽火国际（沙特）技术有限责任公司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武汉烽火国际技术有限责任公司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中东网络科技有限责任公司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烽火国际电信外贸有限责任公司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烽火阿根廷有限责任公司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烽火国际（越南）技术有限责任公司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烽火国际（巴基斯坦）私人有限责任公司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烽火国际（俄罗斯）技术有限责任公司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烽火国际技术（肯尼亚）有限公司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烽火通信印度私人有限责任公司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武汉烽火信息集成技术有限公司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南京烽火星空通信发展有限公司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西安烽火软件科技有限公司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南京烽火软件科技有限公司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南京烽火天地通信科技有限公司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江苏海量数据技术研究所有限公司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武汉烽火网络有限责任公司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武汉光谷智慧科技有限公司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北京烽火汇鑫信息技术有限公司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武汉烽火立云网络科技有限公司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武汉烽火云创软件技术有限公司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武汉虹信通信技术有限责任公司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武汉虹信技术服务有限责任公司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武汉虹翼信息有限公司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武汉虹信科技发展有限责任公司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武汉烽火移动通信有限公司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武汉虹旭信息技术有限责任公司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武汉烽合智达信息技术有限责任公司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武汉光迅科技股份有限公司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武汉电信器件有限公司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武汉光迅电子技术有限公司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光迅美国有限公司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光迅欧洲有限责任公司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光迅香港有限公司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光迅丹麦有限公司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大连藏龙光电子科技有限公司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阿尔玛伊技术有限公司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武汉长江通信产业集团股份有限公司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武汉长江通信智联技术有限公司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武汉长通产业园资产管理有限责任公司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武汉长盈科技投资发展有限公司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武汉烽火众智数字技术有限公司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武汉烽火众智软件技术有限公司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广州烽火众智数字技术有限公司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武汉红图技术有限公司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武汉烽火众智智慧之星科技有限公司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武汉烽火创新谷管理有限公司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武汉光谷管理学院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武汉网锐检测科技有限公司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武汉同博科技有限公司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武汉同博物业管理有限公司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深圳市亚光通信有限公司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美国美光通信有限公司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香港金迅科技有限公司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香港金唐电讯有限公司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大唐控股（香港）投资有限公司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上海大唐移动通信设备有限公司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河北卓唐钢结构有限公司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上海原动力通信科技有限公司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成都泰瑞通信设备检测有限公司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四川现代传输杂志社有限公司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北京大唐联电科技有限公司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北京兴唐开元智能物业科技有限公司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北京通和实益电信科学技术研究所有限公司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大唐奇安网络科技有限公司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西安通和电信设备检测有限公司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迪爱斯信息技术股份有限公司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上海迪爱斯通信技术有限公司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上海通信计量站有限公司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上海易梭通信科技有限公司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上海友益通信服务有限公司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上海友益职业技术培训中心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大唐电信（成都）信息技术有限公司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联芯科技（香港）有限公司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大唐电信（香港）有限公司（单体）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大唐创新港投资（北京）有限公司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大唐终端技术有限公司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盛耀无线通讯科技（北京）有限公司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大唐终端设备有限公司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大唐恩智浦半导体有限公司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大唐电信（天津）技术服务有限公司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江苏安防科技有限公司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江苏大唐智慧管网技术有限公司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北京大唐志诚软件技术有限公司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广州要玩娱乐网络技术股份有限公司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上海要玩网络技术有限公司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无锡要玩娱乐网络技术有限公司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上海要娱网络技术有限公司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上海邀玩网络技术有限公司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北京光科时代科技有限公司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武汉理工光科股份有限公司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武汉理工光科信息技术有限公司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武汉烽理光电信息技术有限公司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公司董监高拥有重大影响公司</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关联交易情况" w:id="460"/>
      <w:bookmarkEnd w:id="4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61"/>
      <w:bookmarkEnd w:id="4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8,321,846.89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4,787,370.38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大唐电信国际技术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3,238,766.98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1,371,770.74</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北京兴鸿达物业管 理服务有限责任公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1,539,905.38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北京大唐志诚软件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902,547.13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1,593,676.09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846,153.85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674,398.73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9,804,716.98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电信科学技术研究 院有限公司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74,815.00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电信科学技术仪表 研究所有限公司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65,323.08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365,408.21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武汉虹信通信技术 有限责任公司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55,000.00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北京通和实益电信 科学技术研究所有 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23,584.91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广州要玩娱乐网络 技术股份有限公司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1,278.23</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无锡要玩娱乐网络 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25,786.18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高鸿新能源科技有限公司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14,704,563.81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2,952,605.62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3,487,461.22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751,528.32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75,303.41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上海大唐移动通信设备有限公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725,052.50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580,871.78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大唐联诚信息系统技术有限公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459,029.19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8,165,306.61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大唐高新创业投资有限公司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377,358.48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593,434.90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124,528.32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147,490.87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大唐电信科技产业控股有限公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101,063.76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269,196.06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武汉虹信技术服务有限责任公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52,981.08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大唐奇安网络科技有限公司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18,867.92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电信科学技术研究院有限公司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12,006.11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547,849.27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9,631.62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89,266.68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北京大唐志诚软件技术有限公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92,991.46</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35,588.88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大唐联仪科技有限公司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25,256.41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大唐半导体设计有限公司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22,894.03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大唐电信国际技术有限公司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22,649.58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大唐电信国际技术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20,269.59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大唐实创（北京）投资有限公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19,786.32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北京大唐物业管理有限公司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15,367.52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电信科学技术仪表研究所有限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15,170.94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大唐创新港投资（北京）有限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10,837.61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上海原动力通信科技有限公司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7,094.02</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盛唐威讯数媒科技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4,665.81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公司与中国信科及其下属单位的关联方采购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1,574.25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万元，关联方销售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558.47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日在深圳证</w:t>
      </w:r>
    </w:p>
    <w:p>
      <w:pPr>
        <w:spacing w:before="63"/>
        <w:ind w:left="154"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券交易所网站及巨潮资讯网披露《关联交易公告》显示：</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日累计向同一关联方采购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843.16</w:t>
      </w:r>
    </w:p>
    <w:p>
      <w:pPr>
        <w:spacing w:before="64"/>
        <w:ind w:left="154" w:right="0" w:firstLine="0"/>
        <w:jc w:val="left"/>
        <w:rPr>
          <w:rFonts w:ascii="宋体" w:hAnsi="宋体" w:cs="宋体" w:eastAsia="宋体" w:hint="default"/>
          <w:sz w:val="18"/>
          <w:szCs w:val="18"/>
        </w:rPr>
      </w:pPr>
      <w:r>
        <w:rPr>
          <w:rFonts w:ascii="宋体" w:hAnsi="宋体" w:cs="宋体" w:eastAsia="宋体" w:hint="default"/>
          <w:sz w:val="18"/>
          <w:szCs w:val="18"/>
        </w:rPr>
        <w:t>万元，向同一关联方销售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关联受托管理/承包及委托管理/出包情况" w:id="462"/>
      <w:bookmarkEnd w:id="46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877" w:footer="979" w:top="1060" w:bottom="1160" w:left="980" w:right="0"/>
        </w:sectPr>
      </w:pPr>
    </w:p>
    <w:p>
      <w:pPr>
        <w:spacing w:line="340" w:lineRule="auto"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374"/>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463"/>
      <w:bookmarkEnd w:id="46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2,112,654.80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1,954,258.07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北京兴唐开元智能物业科技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库房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313,552.38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285,047.62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电信科学技术研究院有限公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2,490,348.55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3,226,055.13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64"/>
      <w:bookmarkEnd w:id="46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41,792,400.00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北京大唐高鸿科技发展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8,207,600.00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220,896.00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369,998.86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619,699.30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650,909.05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4,607,942.68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1,344,438.79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14,060,200.00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14,010,360.00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北京大唐高鸿数据网络 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北京高阳捷迅信息技术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大唐高鸿信息技术有限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大唐广电科技（武汉）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大唐广电科技（武汉）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大唐融合（贵阳）科技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大唐融合（贵阳）科技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大唐融合（贵阳）科技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大唐融合（贵阳）科技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大唐融合（贵阳）科技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大唐融合（哈尔滨）云 数科技有限公司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大唐融合（哈尔滨）云 数科技有限公司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大唐融合信息服务有限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大唐融合信息服务有限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大唐融合（盘锦）科技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大唐融合（盘锦）科技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大唐融合（盘锦）科技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大唐融合（盘锦）科技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大唐融合（盘锦）科技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5,785,725.00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2,886,800.00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2,955,410.25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1,105,565.60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526,682.10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917,492.80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99,018.00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9,546,589.75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5,453,410.25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大唐融合通信无锡有限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大唐融合通信无锡有限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贵州大唐高鸿置业有限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江苏高鸿鼎恒信息技术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14,997,650.00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18,679,491.79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江苏高鸿鼎远信息科技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关联方资金拆借" w:id="465"/>
      <w:bookmarkEnd w:id="46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此款由不再纳入合并范 围的大唐融合（河南） 公司借款，截止到报告 日已归还。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大唐电信集团财务有限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大唐电信科技产业控股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报告日前已归还</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报告日前已归还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大唐电信科技产业控股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已归还</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电信科学技术研究院有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关联方资产转让、债务重组情况" w:id="466"/>
      <w:bookmarkEnd w:id="46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67"/>
      <w:bookmarkEnd w:id="46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7,894,000.00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其他关联交易" w:id="468"/>
      <w:bookmarkEnd w:id="46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jc w:val="left"/>
      </w:pPr>
      <w:r>
        <w:rPr>
          <w:spacing w:val="-2"/>
        </w:rPr>
        <w:t>本公司本年末在关联金融企业存款大唐电信集团财务有限公司余额为</w:t>
      </w:r>
      <w:r>
        <w:rPr>
          <w:rFonts w:ascii="Times New Roman" w:hAnsi="Times New Roman" w:cs="Times New Roman" w:eastAsia="Times New Roman" w:hint="default"/>
          <w:spacing w:val="-2"/>
        </w:rPr>
        <w:t>426,025,380.78</w:t>
      </w:r>
      <w:r>
        <w:rPr>
          <w:spacing w:val="-2"/>
        </w:rPr>
        <w:t>元。本年度自大唐电信</w:t>
      </w:r>
      <w:r>
        <w:rPr>
          <w:spacing w:val="-73"/>
        </w:rPr>
        <w:t> </w:t>
      </w:r>
      <w:r>
        <w:rPr>
          <w:spacing w:val="-73"/>
        </w:rPr>
      </w:r>
      <w:r>
        <w:rPr/>
        <w:t>集团财务有限公司处取得利息收入金额为：</w:t>
      </w:r>
      <w:r>
        <w:rPr>
          <w:rFonts w:ascii="Times New Roman" w:hAnsi="Times New Roman" w:cs="Times New Roman" w:eastAsia="Times New Roman" w:hint="default"/>
        </w:rPr>
        <w:t>2,368,182.63</w:t>
      </w:r>
      <w:r>
        <w:rPr/>
        <w:t>元。</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6、关联方应收应付款项" w:id="469"/>
      <w:bookmarkEnd w:id="46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70"/>
      <w:bookmarkEnd w:id="47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高鸿新能源科技有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17,057,294.00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85,286.47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大唐联诚信息系统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763,148.50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7,315.97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866,648.50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4,333.24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大唐软件技术股份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484,650.00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2,423.25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大唐移动通信设备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633,827.37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4,764.23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兴唐通信科技有限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21,450.00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数据通信科学技术 研究所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24.10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上海大唐移动通信 设备有限公司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395.50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西安大唐电信有限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高鸿亿利</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信 息技术有限公司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71"/>
      <w:bookmarkEnd w:id="47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5,796,150.84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26,184,597.02</w:t>
            </w:r>
          </w:p>
        </w:tc>
      </w:tr>
      <w:tr>
        <w:trPr>
          <w:trHeight w:val="714" w:hRule="exact"/>
        </w:trPr>
        <w:tc>
          <w:tcPr>
            <w:tcW w:w="2392" w:type="dxa"/>
            <w:vMerge/>
            <w:tcBorders>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2,051,951.26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2,007,537.47</w:t>
            </w:r>
          </w:p>
        </w:tc>
      </w:tr>
      <w:tr>
        <w:trPr>
          <w:trHeight w:val="403" w:hRule="exact"/>
        </w:trPr>
        <w:tc>
          <w:tcPr>
            <w:tcW w:w="2392" w:type="dxa"/>
            <w:vMerge/>
            <w:tcBorders>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大唐联诚信息系统技术有限</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1,766,224.68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1,724,974.68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vMerge w:val="restart"/>
            <w:tcBorders>
              <w:top w:val="nil" w:sz="6" w:space="0" w:color="auto"/>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vMerge/>
            <w:tcBorders>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大唐软件技术股份有限公司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1,564,848.73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890,450.00</w:t>
            </w:r>
          </w:p>
        </w:tc>
      </w:tr>
      <w:tr>
        <w:trPr>
          <w:trHeight w:val="402" w:hRule="exact"/>
        </w:trPr>
        <w:tc>
          <w:tcPr>
            <w:tcW w:w="2392" w:type="dxa"/>
            <w:vMerge/>
            <w:tcBorders>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463,872.75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463,872.75</w:t>
            </w:r>
          </w:p>
        </w:tc>
      </w:tr>
      <w:tr>
        <w:trPr>
          <w:trHeight w:val="714" w:hRule="exact"/>
        </w:trPr>
        <w:tc>
          <w:tcPr>
            <w:tcW w:w="2392" w:type="dxa"/>
            <w:vMerge/>
            <w:tcBorders>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电信科学技术仪表研究所有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122,586.62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114,818.98</w:t>
            </w:r>
          </w:p>
        </w:tc>
      </w:tr>
      <w:tr>
        <w:trPr>
          <w:trHeight w:val="714" w:hRule="exact"/>
        </w:trPr>
        <w:tc>
          <w:tcPr>
            <w:tcW w:w="2392" w:type="dxa"/>
            <w:vMerge/>
            <w:tcBorders>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广州要玩娱乐网络技术股份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1,161.25</w:t>
            </w:r>
          </w:p>
        </w:tc>
      </w:tr>
      <w:tr>
        <w:trPr>
          <w:trHeight w:val="714"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无锡要玩娱乐网络技术有限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8.55</w:t>
            </w:r>
          </w:p>
        </w:tc>
      </w:tr>
      <w:tr>
        <w:trPr>
          <w:trHeight w:val="402"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西安大唐电信有限公司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w:t>
            </w:r>
          </w:p>
        </w:tc>
      </w:tr>
      <w:tr>
        <w:trPr>
          <w:trHeight w:val="402"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22,264.00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电信科学技术研究院有限公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355,780,796.52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352,191,479.71</w:t>
            </w:r>
          </w:p>
        </w:tc>
      </w:tr>
      <w:tr>
        <w:trPr>
          <w:trHeight w:val="714" w:hRule="exact"/>
        </w:trPr>
        <w:tc>
          <w:tcPr>
            <w:tcW w:w="2392" w:type="dxa"/>
            <w:vMerge/>
            <w:tcBorders>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大唐电信科技产业控股有限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2392" w:type="dxa"/>
            <w:vMerge/>
            <w:tcBorders>
              <w:left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大唐移动通信设备有限公司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738,541.00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1,493,541.00</w:t>
            </w:r>
          </w:p>
        </w:tc>
      </w:tr>
      <w:tr>
        <w:trPr>
          <w:trHeight w:val="714" w:hRule="exact"/>
        </w:trPr>
        <w:tc>
          <w:tcPr>
            <w:tcW w:w="2392" w:type="dxa"/>
            <w:vMerge/>
            <w:tcBorders>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北京大唐志诚软件技术有限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674,090.00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72"/>
      <w:bookmarkEnd w:id="47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73"/>
      <w:bookmarkEnd w:id="4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4"/>
      <w:bookmarkEnd w:id="47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0" w:firstLine="423"/>
        <w:jc w:val="left"/>
      </w:pPr>
      <w:r>
        <w:rPr>
          <w:rFonts w:ascii="宋体" w:hAnsi="宋体" w:cs="宋体" w:eastAsia="宋体" w:hint="default"/>
        </w:rPr>
        <w:t>1</w:t>
      </w:r>
      <w:r>
        <w:rPr/>
        <w:t>、本公司</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23</w:t>
      </w:r>
      <w:r>
        <w:rPr/>
        <w:t>日召开的</w:t>
      </w:r>
      <w:r>
        <w:rPr>
          <w:rFonts w:ascii="宋体" w:hAnsi="宋体" w:cs="宋体" w:eastAsia="宋体" w:hint="default"/>
        </w:rPr>
        <w:t>2014</w:t>
      </w:r>
      <w:r>
        <w:rPr/>
        <w:t>年度第五次临时股东大会决议通过了《大唐高鸿数据网络技术 </w:t>
      </w:r>
      <w:r>
        <w:rPr>
          <w:spacing w:val="-1"/>
        </w:rPr>
        <w:t>股份有限公司限制性股票激励计划（草案修订稿）及其摘要》，该激励计划经国务院国有资产监督管理委</w:t>
      </w:r>
      <w:r>
        <w:rPr>
          <w:spacing w:val="-86"/>
        </w:rPr>
        <w:t> </w:t>
      </w:r>
      <w:r>
        <w:rPr>
          <w:spacing w:val="-86"/>
        </w:rPr>
      </w:r>
      <w:r>
        <w:rPr/>
        <w:t>员会办公厅国资厅分配【</w:t>
      </w:r>
      <w:r>
        <w:rPr>
          <w:rFonts w:ascii="宋体" w:hAnsi="宋体" w:cs="宋体" w:eastAsia="宋体" w:hint="default"/>
        </w:rPr>
        <w:t>2014</w:t>
      </w:r>
      <w:r>
        <w:rPr/>
        <w:t>】</w:t>
      </w:r>
      <w:r>
        <w:rPr>
          <w:rFonts w:ascii="宋体" w:hAnsi="宋体" w:cs="宋体" w:eastAsia="宋体" w:hint="default"/>
        </w:rPr>
        <w:t>400</w:t>
      </w:r>
      <w:r>
        <w:rPr/>
        <w:t>号文件同意及中国证券监督管理委员会备案无异议。本次股权激励事 项计划向</w:t>
      </w:r>
      <w:r>
        <w:rPr>
          <w:rFonts w:ascii="宋体" w:hAnsi="宋体" w:cs="宋体" w:eastAsia="宋体" w:hint="default"/>
        </w:rPr>
        <w:t>150</w:t>
      </w:r>
      <w:r>
        <w:rPr/>
        <w:t>名激励对象发行人民币普通股</w:t>
      </w:r>
      <w:r>
        <w:rPr>
          <w:rFonts w:ascii="宋体" w:hAnsi="宋体" w:cs="宋体" w:eastAsia="宋体" w:hint="default"/>
        </w:rPr>
        <w:t>7,450,000.00</w:t>
      </w:r>
      <w:r>
        <w:rPr/>
        <w:t>股，每股发行价格为人民币</w:t>
      </w:r>
      <w:r>
        <w:rPr>
          <w:rFonts w:ascii="宋体" w:hAnsi="宋体" w:cs="宋体" w:eastAsia="宋体" w:hint="default"/>
        </w:rPr>
        <w:t>5.27</w:t>
      </w:r>
      <w:r>
        <w:rPr/>
        <w:t>元。实际接受激 励对象</w:t>
      </w:r>
      <w:r>
        <w:rPr>
          <w:rFonts w:ascii="宋体" w:hAnsi="宋体" w:cs="宋体" w:eastAsia="宋体" w:hint="default"/>
        </w:rPr>
        <w:t>144</w:t>
      </w:r>
      <w:r>
        <w:rPr/>
        <w:t>名，发行人民币普通股</w:t>
      </w:r>
      <w:r>
        <w:rPr>
          <w:rFonts w:ascii="宋体" w:hAnsi="宋体" w:cs="宋体" w:eastAsia="宋体" w:hint="default"/>
        </w:rPr>
        <w:t>7,250,000.00</w:t>
      </w:r>
      <w:r>
        <w:rPr/>
        <w:t>股，其中：新增注册资本人民币</w:t>
      </w:r>
      <w:r>
        <w:rPr>
          <w:rFonts w:ascii="宋体" w:hAnsi="宋体" w:cs="宋体" w:eastAsia="宋体" w:hint="default"/>
        </w:rPr>
        <w:t>7,250,000.00</w:t>
      </w:r>
      <w:r>
        <w:rPr/>
        <w:t>元，出资额 溢价部分为人民币</w:t>
      </w:r>
      <w:r>
        <w:rPr>
          <w:rFonts w:ascii="宋体" w:hAnsi="宋体" w:cs="宋体" w:eastAsia="宋体" w:hint="default"/>
        </w:rPr>
        <w:t>30,957,500.00</w:t>
      </w:r>
      <w:r>
        <w:rPr/>
        <w:t>元，全部计入资本公积。</w:t>
      </w:r>
    </w:p>
    <w:p>
      <w:pPr>
        <w:pStyle w:val="BodyText"/>
        <w:spacing w:line="240" w:lineRule="auto"/>
        <w:ind w:left="577" w:right="0"/>
        <w:jc w:val="left"/>
      </w:pPr>
      <w:r>
        <w:rPr/>
        <w:t>公司授予的各项权益工具总额：</w:t>
      </w:r>
      <w:r>
        <w:rPr>
          <w:rFonts w:ascii="宋体" w:hAnsi="宋体" w:cs="宋体" w:eastAsia="宋体" w:hint="default"/>
        </w:rPr>
        <w:t>725.00</w:t>
      </w:r>
      <w:r>
        <w:rPr/>
        <w:t>万股。</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left="577" w:right="0"/>
        <w:jc w:val="left"/>
      </w:pPr>
      <w:r>
        <w:rPr/>
        <w:t>公司行权的各项权益工具总额：</w:t>
      </w:r>
      <w:r>
        <w:rPr>
          <w:rFonts w:ascii="宋体" w:hAnsi="宋体" w:cs="宋体" w:eastAsia="宋体" w:hint="default"/>
        </w:rPr>
        <w:t>725.00</w:t>
      </w:r>
      <w:r>
        <w:rPr/>
        <w:t>万股。 </w:t>
      </w:r>
      <w:r>
        <w:rPr>
          <w:spacing w:val="-1"/>
        </w:rPr>
        <w:t>股权激励事项经立信会计师事务所（特殊普通合伙）报告号为信会师报字</w:t>
      </w:r>
      <w:r>
        <w:rPr>
          <w:rFonts w:ascii="宋体" w:hAnsi="宋体" w:cs="宋体" w:eastAsia="宋体" w:hint="default"/>
          <w:spacing w:val="-1"/>
        </w:rPr>
        <w:t>[2014]</w:t>
      </w:r>
      <w:r>
        <w:rPr>
          <w:spacing w:val="-1"/>
        </w:rPr>
        <w:t>第</w:t>
      </w:r>
      <w:r>
        <w:rPr>
          <w:rFonts w:ascii="宋体" w:hAnsi="宋体" w:cs="宋体" w:eastAsia="宋体" w:hint="default"/>
          <w:spacing w:val="-1"/>
        </w:rPr>
        <w:t>711258</w:t>
      </w:r>
      <w:r>
        <w:rPr>
          <w:spacing w:val="-1"/>
        </w:rPr>
        <w:t>号验资报告</w:t>
      </w:r>
    </w:p>
    <w:p>
      <w:pPr>
        <w:pStyle w:val="BodyText"/>
        <w:spacing w:line="240" w:lineRule="auto"/>
        <w:ind w:right="0"/>
        <w:jc w:val="left"/>
      </w:pPr>
      <w:r>
        <w:rPr/>
        <w:t>进行审验。</w:t>
      </w:r>
    </w:p>
    <w:p>
      <w:pPr>
        <w:pStyle w:val="BodyText"/>
        <w:spacing w:line="273" w:lineRule="auto" w:before="37"/>
        <w:ind w:right="0" w:firstLine="423"/>
        <w:jc w:val="left"/>
      </w:pPr>
      <w:r>
        <w:rPr>
          <w:rFonts w:ascii="宋体" w:hAnsi="宋体" w:cs="宋体" w:eastAsia="宋体" w:hint="default"/>
          <w:spacing w:val="-1"/>
        </w:rPr>
        <w:t>2</w:t>
      </w:r>
      <w:r>
        <w:rPr>
          <w:spacing w:val="-1"/>
        </w:rPr>
        <w:t>、本公司于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日召开的</w:t>
      </w:r>
      <w:r>
        <w:rPr>
          <w:rFonts w:ascii="宋体" w:hAnsi="宋体" w:cs="宋体" w:eastAsia="宋体" w:hint="default"/>
          <w:spacing w:val="-1"/>
        </w:rPr>
        <w:t>2017</w:t>
      </w:r>
      <w:r>
        <w:rPr>
          <w:spacing w:val="-1"/>
        </w:rPr>
        <w:t>年度第二次临时股东大会决议通过了《大唐高鸿数据网络技术</w:t>
      </w:r>
      <w:r>
        <w:rPr/>
        <w:t> </w:t>
      </w:r>
      <w:r>
        <w:rPr>
          <w:spacing w:val="-1"/>
        </w:rPr>
        <w:t>股份有限公司限制性股票激励计划（草案修订稿）及其摘要》，该激励计划经国务院国有资产监督管理委</w:t>
      </w:r>
      <w:r>
        <w:rPr>
          <w:spacing w:val="-86"/>
        </w:rPr>
        <w:t> </w:t>
      </w:r>
      <w:r>
        <w:rPr>
          <w:spacing w:val="-86"/>
        </w:rPr>
      </w:r>
      <w:r>
        <w:rPr/>
        <w:t>员会办公厅国资厅考分【</w:t>
      </w:r>
      <w:r>
        <w:rPr>
          <w:rFonts w:ascii="宋体" w:hAnsi="宋体" w:cs="宋体" w:eastAsia="宋体" w:hint="default"/>
        </w:rPr>
        <w:t>2017</w:t>
      </w:r>
      <w:r>
        <w:rPr/>
        <w:t>】</w:t>
      </w:r>
      <w:r>
        <w:rPr>
          <w:rFonts w:ascii="宋体" w:hAnsi="宋体" w:cs="宋体" w:eastAsia="宋体" w:hint="default"/>
        </w:rPr>
        <w:t>543</w:t>
      </w:r>
      <w:r>
        <w:rPr/>
        <w:t>号文件同意及中国证券监督管理委员会备案无异议。本次股权激励事 项计划向</w:t>
      </w:r>
      <w:r>
        <w:rPr>
          <w:rFonts w:ascii="宋体" w:hAnsi="宋体" w:cs="宋体" w:eastAsia="宋体" w:hint="default"/>
        </w:rPr>
        <w:t>256</w:t>
      </w:r>
      <w:r>
        <w:rPr/>
        <w:t>名激励对象发行人民币普通股</w:t>
      </w:r>
      <w:r>
        <w:rPr>
          <w:rFonts w:ascii="宋体" w:hAnsi="宋体" w:cs="宋体" w:eastAsia="宋体" w:hint="default"/>
        </w:rPr>
        <w:t>18,980,000</w:t>
      </w:r>
      <w:r>
        <w:rPr/>
        <w:t>股，每股发行价格为人民币</w:t>
      </w:r>
      <w:r>
        <w:rPr>
          <w:rFonts w:ascii="宋体" w:hAnsi="宋体" w:cs="宋体" w:eastAsia="宋体" w:hint="default"/>
        </w:rPr>
        <w:t>4.63</w:t>
      </w:r>
      <w:r>
        <w:rPr/>
        <w:t>元。实际接受激励 </w:t>
      </w:r>
      <w:r>
        <w:rPr>
          <w:spacing w:val="-1"/>
        </w:rPr>
        <w:t>对象</w:t>
      </w:r>
      <w:r>
        <w:rPr>
          <w:rFonts w:ascii="宋体" w:hAnsi="宋体" w:cs="宋体" w:eastAsia="宋体" w:hint="default"/>
          <w:spacing w:val="-1"/>
        </w:rPr>
        <w:t>230</w:t>
      </w:r>
      <w:r>
        <w:rPr>
          <w:spacing w:val="-1"/>
        </w:rPr>
        <w:t>名，发行人民币普通股</w:t>
      </w:r>
      <w:r>
        <w:rPr>
          <w:rFonts w:ascii="宋体" w:hAnsi="宋体" w:cs="宋体" w:eastAsia="宋体" w:hint="default"/>
          <w:spacing w:val="-1"/>
        </w:rPr>
        <w:t>18,720,000</w:t>
      </w:r>
      <w:r>
        <w:rPr>
          <w:spacing w:val="-1"/>
        </w:rPr>
        <w:t>股，其中：新增注册资本人民币</w:t>
      </w:r>
      <w:r>
        <w:rPr>
          <w:rFonts w:ascii="宋体" w:hAnsi="宋体" w:cs="宋体" w:eastAsia="宋体" w:hint="default"/>
          <w:spacing w:val="-1"/>
        </w:rPr>
        <w:t>18,720,000.00</w:t>
      </w:r>
      <w:r>
        <w:rPr>
          <w:spacing w:val="-1"/>
        </w:rPr>
        <w:t>元，出资额溢价</w:t>
      </w:r>
      <w:r>
        <w:rPr>
          <w:spacing w:val="-73"/>
        </w:rPr>
        <w:t> </w:t>
      </w:r>
      <w:r>
        <w:rPr>
          <w:spacing w:val="-73"/>
        </w:rPr>
      </w:r>
      <w:r>
        <w:rPr/>
        <w:t>部分为人民币</w:t>
      </w:r>
      <w:r>
        <w:rPr>
          <w:rFonts w:ascii="宋体" w:hAnsi="宋体" w:cs="宋体" w:eastAsia="宋体" w:hint="default"/>
        </w:rPr>
        <w:t>67,953,600.00</w:t>
      </w:r>
      <w:r>
        <w:rPr/>
        <w:t>元，全部计入资本公积。</w:t>
      </w:r>
    </w:p>
    <w:p>
      <w:pPr>
        <w:pStyle w:val="BodyText"/>
        <w:spacing w:line="273" w:lineRule="auto"/>
        <w:ind w:left="577" w:right="5919"/>
        <w:jc w:val="left"/>
      </w:pPr>
      <w:r>
        <w:rPr/>
        <w:t>公司授予的各项权益工具总额：</w:t>
      </w:r>
      <w:r>
        <w:rPr>
          <w:rFonts w:ascii="宋体" w:hAnsi="宋体" w:cs="宋体" w:eastAsia="宋体" w:hint="default"/>
        </w:rPr>
        <w:t>1,872.00</w:t>
      </w:r>
      <w:r>
        <w:rPr/>
        <w:t>万股。 公司行权的各项权益工具总额：</w:t>
      </w:r>
      <w:r>
        <w:rPr>
          <w:rFonts w:ascii="宋体" w:hAnsi="宋体" w:cs="宋体" w:eastAsia="宋体" w:hint="default"/>
        </w:rPr>
        <w:t>1,872.00</w:t>
      </w:r>
      <w:r>
        <w:rPr/>
        <w:t>万股。</w:t>
      </w:r>
    </w:p>
    <w:p>
      <w:pPr>
        <w:pStyle w:val="BodyText"/>
        <w:spacing w:line="273" w:lineRule="auto"/>
        <w:ind w:right="1194" w:firstLine="423"/>
        <w:jc w:val="left"/>
      </w:pPr>
      <w:r>
        <w:rPr/>
        <w:t>股权激励事项经立信会计师事务所（特殊普通合伙）报告号为信会师报字</w:t>
      </w:r>
      <w:r>
        <w:rPr>
          <w:rFonts w:ascii="宋体" w:hAnsi="宋体" w:cs="宋体" w:eastAsia="宋体" w:hint="default"/>
        </w:rPr>
        <w:t>[2017]</w:t>
      </w:r>
      <w:r>
        <w:rPr/>
        <w:t>第</w:t>
      </w:r>
      <w:r>
        <w:rPr>
          <w:rFonts w:ascii="宋体" w:hAnsi="宋体" w:cs="宋体" w:eastAsia="宋体" w:hint="default"/>
        </w:rPr>
        <w:t>ZG12172</w:t>
      </w:r>
      <w:r>
        <w:rPr/>
        <w:t>号验资报 告进行审验。</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以权益结算的股份支付情况" w:id="476"/>
      <w:bookmarkEnd w:id="47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市价法模型计算。</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以对可行权权益工具数量的最佳估计为基础，按照权益工 具在授予日的公允价值计算相关的费用成本。</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42,741,430.65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12,431,608.57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0"/>
        <w:ind w:right="0" w:firstLine="423"/>
        <w:jc w:val="left"/>
      </w:pPr>
      <w:r>
        <w:rPr>
          <w:rFonts w:ascii="宋体" w:hAnsi="宋体" w:cs="宋体" w:eastAsia="宋体" w:hint="default"/>
          <w:spacing w:val="-3"/>
        </w:rPr>
        <w:t>2014</w:t>
      </w:r>
      <w:r>
        <w:rPr>
          <w:spacing w:val="-3"/>
        </w:rPr>
        <w:t>年股权激励事项授予日权益工具公允价值的确定方法：采用</w:t>
      </w:r>
      <w:r>
        <w:rPr>
          <w:rFonts w:ascii="宋体" w:hAnsi="宋体" w:cs="宋体" w:eastAsia="宋体" w:hint="default"/>
          <w:spacing w:val="-3"/>
        </w:rPr>
        <w:t>Black-Scholes</w:t>
      </w:r>
      <w:r>
        <w:rPr>
          <w:spacing w:val="-3"/>
        </w:rPr>
        <w:t>（布莱克－斯科尔斯）</w:t>
      </w:r>
      <w:r>
        <w:rPr/>
        <w:t> 模型（简称―BS‖模型）计算。</w:t>
      </w:r>
    </w:p>
    <w:p>
      <w:pPr>
        <w:pStyle w:val="BodyText"/>
        <w:spacing w:line="273" w:lineRule="auto"/>
        <w:ind w:left="577" w:right="0"/>
        <w:jc w:val="left"/>
      </w:pPr>
      <w:r>
        <w:rPr/>
        <w:t>资本公积中以权益结算的股份支付的累计金额：</w:t>
      </w:r>
      <w:r>
        <w:rPr>
          <w:rFonts w:ascii="宋体" w:hAnsi="宋体" w:cs="宋体" w:eastAsia="宋体" w:hint="default"/>
        </w:rPr>
        <w:t>17,918,170.65</w:t>
      </w:r>
      <w:r>
        <w:rPr/>
        <w:t>元（计入资本公积金额）。 </w:t>
      </w:r>
      <w:r>
        <w:rPr>
          <w:spacing w:val="-1"/>
        </w:rPr>
        <w:t>本期因以权益结算的股份支付而确认的费用总额：</w:t>
      </w:r>
      <w:r>
        <w:rPr>
          <w:rFonts w:ascii="宋体" w:hAnsi="宋体" w:cs="宋体" w:eastAsia="宋体" w:hint="default"/>
          <w:spacing w:val="-1"/>
        </w:rPr>
        <w:t>1,602,228.67</w:t>
      </w:r>
      <w:r>
        <w:rPr>
          <w:spacing w:val="-1"/>
        </w:rPr>
        <w:t>元；部分人员考核未达标需回购涉及</w:t>
      </w:r>
    </w:p>
    <w:p>
      <w:pPr>
        <w:pStyle w:val="BodyText"/>
        <w:spacing w:line="273" w:lineRule="auto"/>
        <w:ind w:left="577" w:right="0" w:hanging="424"/>
        <w:jc w:val="left"/>
      </w:pPr>
      <w:r>
        <w:rPr/>
        <w:t>的股权部分，冲销金额为</w:t>
      </w:r>
      <w:r>
        <w:rPr>
          <w:rFonts w:ascii="宋体" w:hAnsi="宋体" w:cs="宋体" w:eastAsia="宋体" w:hint="default"/>
        </w:rPr>
        <w:t>195,717.60</w:t>
      </w:r>
      <w:r>
        <w:rPr/>
        <w:t>元。 </w:t>
      </w:r>
      <w:r>
        <w:rPr>
          <w:rFonts w:ascii="宋体" w:hAnsi="宋体" w:cs="宋体" w:eastAsia="宋体" w:hint="default"/>
        </w:rPr>
        <w:t>2017</w:t>
      </w:r>
      <w:r>
        <w:rPr/>
        <w:t>年股权激励事项授予日权益工具公允价值的确定方法：市价法模型计算。 资本公积中以权益结算的股份支付的累计金额：</w:t>
      </w:r>
      <w:r>
        <w:rPr>
          <w:rFonts w:ascii="宋体" w:hAnsi="宋体" w:cs="宋体" w:eastAsia="宋体" w:hint="default"/>
        </w:rPr>
        <w:t>24,823,260.00</w:t>
      </w:r>
      <w:r>
        <w:rPr/>
        <w:t>元（计入资本公积金额）。 本期因以权益结算的股份支付而确认的费用总额：</w:t>
      </w:r>
      <w:r>
        <w:rPr>
          <w:rFonts w:ascii="宋体" w:hAnsi="宋体" w:cs="宋体" w:eastAsia="宋体" w:hint="default"/>
        </w:rPr>
        <w:t>41,068,003.46</w:t>
      </w:r>
      <w:r>
        <w:rPr/>
        <w:t>元；第一期股权解锁条件预期无法</w:t>
      </w:r>
    </w:p>
    <w:p>
      <w:pPr>
        <w:pStyle w:val="BodyText"/>
        <w:spacing w:line="240" w:lineRule="auto"/>
        <w:ind w:right="0"/>
        <w:jc w:val="left"/>
      </w:pPr>
      <w:r>
        <w:rPr/>
        <w:t>完成及部分人员离职涉及的股权部分，冲销金额为</w:t>
      </w:r>
      <w:r>
        <w:rPr>
          <w:rFonts w:ascii="宋体" w:hAnsi="宋体" w:cs="宋体" w:eastAsia="宋体" w:hint="default"/>
        </w:rPr>
        <w:t>30,042,905.96</w:t>
      </w:r>
      <w:r>
        <w:rPr/>
        <w:t>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3、以现金结算的股份支付情况" w:id="477"/>
      <w:bookmarkEnd w:id="47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w:t>
      </w:r>
      <w:bookmarkStart w:name="4、股份支付的修改、终止情况" w:id="478"/>
      <w:bookmarkEnd w:id="478"/>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after="0" w:line="544"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4" w:right="8412" w:firstLine="0"/>
        <w:jc w:val="left"/>
        <w:rPr>
          <w:rFonts w:ascii="宋体" w:hAnsi="宋体" w:cs="宋体" w:eastAsia="宋体" w:hint="default"/>
          <w:sz w:val="21"/>
          <w:szCs w:val="21"/>
        </w:rPr>
      </w:pPr>
      <w:bookmarkStart w:name="5、其他" w:id="479"/>
      <w:bookmarkEnd w:id="47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0"/>
      <w:bookmarkEnd w:id="48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81"/>
      <w:bookmarkEnd w:id="481"/>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Heading4"/>
        <w:spacing w:line="273" w:lineRule="auto" w:before="90"/>
        <w:ind w:right="0"/>
        <w:jc w:val="left"/>
        <w:rPr>
          <w:b w:val="0"/>
          <w:bCs w:val="0"/>
        </w:rPr>
      </w:pPr>
      <w:r>
        <w:rPr/>
        <w:t>（</w:t>
      </w:r>
      <w:r>
        <w:rPr>
          <w:rFonts w:ascii="宋体" w:hAnsi="宋体" w:cs="宋体" w:eastAsia="宋体" w:hint="default"/>
        </w:rPr>
        <w:t>1</w:t>
      </w:r>
      <w:r>
        <w:rPr/>
        <w:t>）、已签订的正在或准备履行的租赁合同及财务影响。</w:t>
      </w:r>
      <w:r>
        <w:rPr>
          <w:w w:val="99"/>
        </w:rPr>
        <w:t> </w:t>
      </w:r>
      <w:r>
        <w:rPr>
          <w:w w:val="95"/>
        </w:rPr>
        <w:t>至资产负债表日，本公司对外签订的不可撤销的经营租赁合约情况如下：</w:t>
      </w:r>
      <w:r>
        <w:rPr>
          <w:b w:val="0"/>
          <w:bCs w:val="0"/>
        </w:rPr>
      </w:r>
    </w:p>
    <w:tbl>
      <w:tblPr>
        <w:tblW w:w="0" w:type="auto"/>
        <w:jc w:val="left"/>
        <w:tblInd w:w="137" w:type="dxa"/>
        <w:tblLayout w:type="fixed"/>
        <w:tblCellMar>
          <w:top w:w="0" w:type="dxa"/>
          <w:left w:w="0" w:type="dxa"/>
          <w:bottom w:w="0" w:type="dxa"/>
          <w:right w:w="0" w:type="dxa"/>
        </w:tblCellMar>
        <w:tblLook w:val="01E0"/>
      </w:tblPr>
      <w:tblGrid>
        <w:gridCol w:w="4216"/>
        <w:gridCol w:w="2720"/>
        <w:gridCol w:w="2722"/>
      </w:tblGrid>
      <w:tr>
        <w:trPr>
          <w:trHeight w:val="347" w:hRule="exact"/>
        </w:trPr>
        <w:tc>
          <w:tcPr>
            <w:tcW w:w="4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项目</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年初余额</w:t>
            </w:r>
          </w:p>
        </w:tc>
      </w:tr>
      <w:tr>
        <w:trPr>
          <w:trHeight w:val="347" w:hRule="exact"/>
        </w:trPr>
        <w:tc>
          <w:tcPr>
            <w:tcW w:w="4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不可撤销经营租赁的最低租赁付款额</w:t>
            </w:r>
          </w:p>
        </w:tc>
        <w:tc>
          <w:tcPr>
            <w:tcW w:w="2720" w:type="dxa"/>
            <w:tcBorders>
              <w:top w:val="single" w:sz="6" w:space="0" w:color="000000"/>
              <w:left w:val="single" w:sz="6" w:space="0" w:color="000000"/>
              <w:bottom w:val="single" w:sz="6" w:space="0" w:color="000000"/>
              <w:right w:val="single" w:sz="6" w:space="0" w:color="000000"/>
            </w:tcBorders>
          </w:tcPr>
          <w:p>
            <w:pPr/>
          </w:p>
        </w:tc>
        <w:tc>
          <w:tcPr>
            <w:tcW w:w="27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资产负债表日后第</w:t>
            </w:r>
            <w:r>
              <w:rPr>
                <w:rFonts w:ascii="Times New Roman" w:hAnsi="Times New Roman" w:cs="Times New Roman" w:eastAsia="Times New Roman" w:hint="default"/>
                <w:sz w:val="16"/>
                <w:szCs w:val="16"/>
              </w:rPr>
              <w:t>1</w:t>
            </w:r>
            <w:r>
              <w:rPr>
                <w:rFonts w:ascii="宋体" w:hAnsi="宋体" w:cs="宋体" w:eastAsia="宋体" w:hint="default"/>
                <w:sz w:val="16"/>
                <w:szCs w:val="16"/>
              </w:rPr>
              <w:t>年</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6,515,165.83</w:t>
            </w:r>
            <w:r>
              <w:rPr>
                <w:rFonts w:ascii="Times New Roman"/>
                <w:sz w:val="16"/>
              </w:rPr>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8,104,920.91</w:t>
            </w:r>
            <w:r>
              <w:rPr>
                <w:rFonts w:ascii="Times New Roman"/>
                <w:sz w:val="16"/>
              </w:rPr>
            </w:r>
          </w:p>
        </w:tc>
      </w:tr>
      <w:tr>
        <w:trPr>
          <w:trHeight w:val="347" w:hRule="exact"/>
        </w:trPr>
        <w:tc>
          <w:tcPr>
            <w:tcW w:w="4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以后年度</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6,807,499.20</w:t>
            </w:r>
            <w:r>
              <w:rPr>
                <w:rFonts w:ascii="Times New Roman"/>
                <w:sz w:val="16"/>
              </w:rPr>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9,365,305.60</w:t>
            </w:r>
            <w:r>
              <w:rPr>
                <w:rFonts w:ascii="Times New Roman"/>
                <w:sz w:val="16"/>
              </w:rPr>
            </w:r>
          </w:p>
        </w:tc>
      </w:tr>
      <w:tr>
        <w:trPr>
          <w:trHeight w:val="348" w:hRule="exact"/>
        </w:trPr>
        <w:tc>
          <w:tcPr>
            <w:tcW w:w="4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13,322,665.03</w:t>
            </w:r>
          </w:p>
        </w:tc>
        <w:tc>
          <w:tcPr>
            <w:tcW w:w="2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17,470,226.51</w:t>
            </w:r>
          </w:p>
        </w:tc>
      </w:tr>
    </w:tbl>
    <w:p>
      <w:pPr>
        <w:pStyle w:val="Heading4"/>
        <w:spacing w:line="273" w:lineRule="auto" w:before="7"/>
        <w:ind w:right="6536"/>
        <w:jc w:val="left"/>
        <w:rPr>
          <w:b w:val="0"/>
          <w:bCs w:val="0"/>
        </w:rPr>
      </w:pPr>
      <w:r>
        <w:rPr/>
        <w:t>（</w:t>
      </w:r>
      <w:r>
        <w:rPr>
          <w:rFonts w:ascii="宋体" w:hAnsi="宋体" w:cs="宋体" w:eastAsia="宋体" w:hint="default"/>
        </w:rPr>
        <w:t>2</w:t>
      </w:r>
      <w:r>
        <w:rPr/>
        <w:t>）、其他重大财务承诺事项</w:t>
      </w:r>
      <w:r>
        <w:rPr>
          <w:w w:val="99"/>
        </w:rPr>
        <w:t> </w:t>
      </w:r>
      <w:r>
        <w:rPr/>
        <w:t>为其他单体提供承诺债务担保尚未到期事项：</w:t>
      </w:r>
      <w:r>
        <w:rPr>
          <w:b w:val="0"/>
          <w:bCs w:val="0"/>
        </w:rPr>
      </w:r>
    </w:p>
    <w:tbl>
      <w:tblPr>
        <w:tblW w:w="0" w:type="auto"/>
        <w:jc w:val="left"/>
        <w:tblInd w:w="137" w:type="dxa"/>
        <w:tblLayout w:type="fixed"/>
        <w:tblCellMar>
          <w:top w:w="0" w:type="dxa"/>
          <w:left w:w="0" w:type="dxa"/>
          <w:bottom w:w="0" w:type="dxa"/>
          <w:right w:w="0" w:type="dxa"/>
        </w:tblCellMar>
        <w:tblLook w:val="01E0"/>
      </w:tblPr>
      <w:tblGrid>
        <w:gridCol w:w="3730"/>
        <w:gridCol w:w="3077"/>
        <w:gridCol w:w="2852"/>
      </w:tblGrid>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被担保方</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938" w:right="0"/>
              <w:jc w:val="left"/>
              <w:rPr>
                <w:rFonts w:ascii="宋体" w:hAnsi="宋体" w:cs="宋体" w:eastAsia="宋体" w:hint="default"/>
                <w:sz w:val="16"/>
                <w:szCs w:val="16"/>
              </w:rPr>
            </w:pPr>
            <w:r>
              <w:rPr>
                <w:rFonts w:ascii="宋体" w:hAnsi="宋体" w:cs="宋体" w:eastAsia="宋体" w:hint="default"/>
                <w:sz w:val="16"/>
                <w:szCs w:val="16"/>
              </w:rPr>
              <w:t>承诺担保金额</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平安银行知春路支行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80,000,000.00</w:t>
            </w:r>
          </w:p>
        </w:tc>
      </w:tr>
      <w:tr>
        <w:trPr>
          <w:trHeight w:val="348"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30,000,000.00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6"/>
                <w:szCs w:val="16"/>
              </w:rPr>
            </w:pPr>
            <w:r>
              <w:rPr>
                <w:rFonts w:ascii="Times New Roman"/>
                <w:spacing w:val="-1"/>
                <w:sz w:val="16"/>
              </w:rPr>
              <w:t>20,000,000.00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北京大唐高鸿数据网络技术有限公司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浦发银行复兴路支行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宁波银行南京建康支行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r>
      <w:tr>
        <w:trPr>
          <w:trHeight w:val="348"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光大银行湖北路支行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江苏高鸿鼎恒信息技术有限公司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15,002,350.00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大唐融合通信股份有限公司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大唐融合通信股份有限公司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r>
      <w:tr>
        <w:trPr>
          <w:trHeight w:val="347" w:hRule="exact"/>
        </w:trPr>
        <w:tc>
          <w:tcPr>
            <w:tcW w:w="3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大唐融合通信股份有限公司</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5,000,000.00</w:t>
            </w:r>
            <w:r>
              <w:rPr>
                <w:rFonts w:ascii="Times New Roman"/>
                <w:sz w:val="16"/>
              </w:rPr>
            </w:r>
          </w:p>
        </w:tc>
      </w:tr>
      <w:tr>
        <w:trPr>
          <w:trHeight w:val="348" w:hRule="exact"/>
        </w:trPr>
        <w:tc>
          <w:tcPr>
            <w:tcW w:w="6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2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450,002,350.00</w:t>
            </w:r>
          </w:p>
        </w:tc>
      </w:tr>
    </w:tbl>
    <w:p>
      <w:pPr>
        <w:pStyle w:val="Heading4"/>
        <w:spacing w:line="240" w:lineRule="auto" w:before="7"/>
        <w:ind w:right="0"/>
        <w:jc w:val="left"/>
        <w:rPr>
          <w:b w:val="0"/>
          <w:bCs w:val="0"/>
        </w:rPr>
      </w:pPr>
      <w:r>
        <w:rPr/>
        <w:t>（</w:t>
      </w:r>
      <w:r>
        <w:rPr>
          <w:rFonts w:ascii="Times New Roman" w:hAnsi="Times New Roman" w:cs="Times New Roman" w:eastAsia="Times New Roman" w:hint="default"/>
        </w:rPr>
        <w:t>3</w:t>
      </w:r>
      <w:r>
        <w:rPr/>
        <w:t>）、其他</w:t>
      </w:r>
      <w:r>
        <w:rPr>
          <w:b w:val="0"/>
          <w:bCs w:val="0"/>
        </w:rPr>
      </w:r>
    </w:p>
    <w:p>
      <w:pPr>
        <w:pStyle w:val="BodyText"/>
        <w:spacing w:line="273" w:lineRule="auto" w:before="21"/>
        <w:ind w:right="0" w:firstLine="423"/>
        <w:jc w:val="left"/>
      </w:pPr>
      <w:r>
        <w:rPr>
          <w:spacing w:val="-1"/>
        </w:rPr>
        <w:t>本公司为子公司大唐高鸿济宁电子信息技术有限公司商品房承购人向银行提供按揭贷款担保，尚未结</w:t>
      </w:r>
      <w:r>
        <w:rPr/>
        <w:t> 清的担保金额</w:t>
      </w:r>
      <w:r>
        <w:rPr>
          <w:rFonts w:ascii="Times New Roman" w:hAnsi="Times New Roman" w:cs="Times New Roman" w:eastAsia="Times New Roman" w:hint="default"/>
        </w:rPr>
        <w:t>2,072.00</w:t>
      </w:r>
      <w:r>
        <w:rPr/>
        <w:t>万元。</w:t>
      </w:r>
    </w:p>
    <w:p>
      <w:pPr>
        <w:spacing w:line="240" w:lineRule="auto" w:before="2"/>
        <w:rPr>
          <w:rFonts w:ascii="宋体" w:hAnsi="宋体" w:cs="宋体" w:eastAsia="宋体" w:hint="default"/>
          <w:sz w:val="22"/>
          <w:szCs w:val="22"/>
        </w:rPr>
      </w:pPr>
    </w:p>
    <w:p>
      <w:pPr>
        <w:pStyle w:val="Heading4"/>
        <w:spacing w:line="240" w:lineRule="auto"/>
        <w:ind w:right="0"/>
        <w:jc w:val="left"/>
        <w:rPr>
          <w:b w:val="0"/>
          <w:bCs w:val="0"/>
        </w:rPr>
      </w:pPr>
      <w:bookmarkStart w:name="2、或有事项" w:id="482"/>
      <w:bookmarkEnd w:id="482"/>
      <w:r>
        <w:rPr>
          <w:b w:val="0"/>
          <w:bCs w:val="0"/>
        </w:rPr>
      </w:r>
      <w:r>
        <w:rPr>
          <w:rFonts w:ascii="Times New Roman" w:hAnsi="Times New Roman" w:cs="Times New Roman" w:eastAsia="Times New Roman" w:hint="default"/>
        </w:rPr>
        <w:t>2</w:t>
      </w:r>
      <w:r>
        <w:rPr/>
        <w:t>、或有事项</w:t>
      </w:r>
      <w:r>
        <w:rPr>
          <w:b w:val="0"/>
          <w:bCs w:val="0"/>
        </w:rPr>
      </w:r>
    </w:p>
    <w:p>
      <w:pPr>
        <w:pStyle w:val="Heading4"/>
        <w:spacing w:line="590" w:lineRule="atLeast" w:before="23"/>
        <w:ind w:right="2652"/>
        <w:jc w:val="left"/>
        <w:rPr>
          <w:b w:val="0"/>
          <w:bCs w:val="0"/>
        </w:rPr>
      </w:pPr>
      <w:bookmarkStart w:name="（1）资产负债表日存在的重要或有事项" w:id="483"/>
      <w:bookmarkEnd w:id="483"/>
      <w:r>
        <w:rPr>
          <w:b w:val="0"/>
          <w:bCs w:val="0"/>
        </w:rPr>
      </w:r>
      <w:r>
        <w:rPr/>
        <w:t>（</w:t>
      </w:r>
      <w:r>
        <w:rPr>
          <w:rFonts w:ascii="Times New Roman" w:hAnsi="Times New Roman" w:cs="Times New Roman" w:eastAsia="Times New Roman" w:hint="default"/>
        </w:rPr>
        <w:t>1</w:t>
      </w:r>
      <w:r>
        <w:rPr/>
        <w:t>）资产负债表日存在的重要或有事项</w:t>
      </w:r>
      <w:r>
        <w:rPr>
          <w:w w:val="99"/>
        </w:rPr>
        <w:t> </w:t>
      </w:r>
      <w:r>
        <w:rPr>
          <w:w w:val="95"/>
        </w:rPr>
        <w:t>为其他单位提供债务担保形成的或有负债及其财务影响</w:t>
      </w:r>
      <w:r>
        <w:rPr>
          <w:b w:val="0"/>
          <w:bCs w:val="0"/>
        </w:rPr>
      </w:r>
    </w:p>
    <w:p>
      <w:pPr>
        <w:pStyle w:val="Heading4"/>
        <w:spacing w:line="240" w:lineRule="auto" w:before="37"/>
        <w:ind w:right="0"/>
        <w:jc w:val="left"/>
        <w:rPr>
          <w:b w:val="0"/>
          <w:bCs w:val="0"/>
        </w:rPr>
      </w:pPr>
      <w:r>
        <w:rPr>
          <w:rFonts w:ascii="Times New Roman" w:hAnsi="Times New Roman" w:cs="Times New Roman" w:eastAsia="Times New Roman" w:hint="default"/>
        </w:rPr>
        <w:t>a</w:t>
      </w:r>
      <w:r>
        <w:rPr/>
        <w:t>、为北京大唐高鸿数据网络技术有限公司提供担保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60"/>
        <w:gridCol w:w="2171"/>
        <w:gridCol w:w="2181"/>
        <w:gridCol w:w="2347"/>
      </w:tblGrid>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82" w:right="0"/>
              <w:jc w:val="left"/>
              <w:rPr>
                <w:rFonts w:ascii="宋体" w:hAnsi="宋体" w:cs="宋体" w:eastAsia="宋体" w:hint="default"/>
                <w:sz w:val="16"/>
                <w:szCs w:val="16"/>
              </w:rPr>
            </w:pPr>
            <w:r>
              <w:rPr>
                <w:rFonts w:ascii="宋体" w:hAnsi="宋体" w:cs="宋体" w:eastAsia="宋体" w:hint="default"/>
                <w:sz w:val="16"/>
                <w:szCs w:val="16"/>
              </w:rPr>
              <w:t>债务到期日</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46" w:right="0"/>
              <w:jc w:val="left"/>
              <w:rPr>
                <w:rFonts w:ascii="宋体" w:hAnsi="宋体" w:cs="宋体" w:eastAsia="宋体" w:hint="default"/>
                <w:sz w:val="16"/>
                <w:szCs w:val="16"/>
              </w:rPr>
            </w:pPr>
            <w:r>
              <w:rPr>
                <w:rFonts w:ascii="宋体" w:hAnsi="宋体" w:cs="宋体" w:eastAsia="宋体" w:hint="default"/>
                <w:sz w:val="16"/>
                <w:szCs w:val="16"/>
              </w:rPr>
              <w:t>对本公司的财务影响</w:t>
            </w:r>
          </w:p>
        </w:tc>
      </w:tr>
    </w:tbl>
    <w:p>
      <w:pPr>
        <w:spacing w:after="0" w:line="240" w:lineRule="auto"/>
        <w:jc w:val="left"/>
        <w:rPr>
          <w:rFonts w:ascii="宋体" w:hAnsi="宋体" w:cs="宋体" w:eastAsia="宋体" w:hint="default"/>
          <w:sz w:val="16"/>
          <w:szCs w:val="16"/>
        </w:rPr>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2960"/>
        <w:gridCol w:w="2171"/>
        <w:gridCol w:w="2181"/>
        <w:gridCol w:w="2347"/>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2018-1-11</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2018-2-8</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369,998.86</w:t>
            </w:r>
            <w:r>
              <w:rPr>
                <w:rFonts w:ascii="Times New Roman"/>
                <w:sz w:val="16"/>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2018-3-23</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619,699.30</w:t>
            </w:r>
            <w:r>
              <w:rPr>
                <w:rFonts w:ascii="Times New Roman"/>
                <w:sz w:val="16"/>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2018-3-23</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2018-4-19</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2018-6-4</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2018-6-13</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2018-6-14</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14,060,200.00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2018-6-25</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浙商银行北京分行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2018-6-27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2018-9-12</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70,000,000.00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2018-11-13</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华夏银行北京分行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70,000,000.00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2018-11-15</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2018-11-19</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14,010,360.00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2018-12-27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光大银行清华园支行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2019-3-27</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40,000,000.00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2019-4-27</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220,896.00</w:t>
            </w:r>
            <w:r>
              <w:rPr>
                <w:rFonts w:ascii="Times New Roman"/>
                <w:sz w:val="16"/>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2019-4-30</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85,000,000.00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2019-6-6</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2019-6-14</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平安银行知春路支行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Times New Roman" w:hAnsi="Times New Roman" w:cs="Times New Roman" w:eastAsia="Times New Roman" w:hint="default"/>
                <w:sz w:val="16"/>
                <w:szCs w:val="16"/>
              </w:rPr>
            </w:pPr>
            <w:r>
              <w:rPr>
                <w:rFonts w:ascii="Times New Roman"/>
                <w:sz w:val="16"/>
              </w:rPr>
              <w:t>2019-7-5</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650,909.05</w:t>
            </w:r>
            <w:r>
              <w:rPr>
                <w:rFonts w:ascii="Times New Roman"/>
                <w:sz w:val="16"/>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2019-7-21</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70,000,000.00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2019-8-26</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2019-9-12</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2019-11-13</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民生银行电子城支行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70,000,000.00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2019-11-14</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宁波银行北京分行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2019-11-16</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北京银行广源支行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2019-11-27</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浦发银行复兴路支行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40,000,000.00</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sz w:val="16"/>
              </w:rPr>
              <w:t>2019-12-19</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4,607,942.68</w:t>
            </w:r>
            <w:r>
              <w:rPr>
                <w:rFonts w:ascii="Times New Roman"/>
                <w:sz w:val="16"/>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2019-12-26</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1,344,438.79</w:t>
            </w:r>
            <w:r>
              <w:rPr>
                <w:rFonts w:ascii="Times New Roman"/>
                <w:sz w:val="16"/>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2020-12-26</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420,000.00</w:t>
            </w:r>
            <w:r>
              <w:rPr>
                <w:rFonts w:ascii="Times New Roman"/>
                <w:sz w:val="16"/>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2020-12-30</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招商银行亚运村支行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1,128,000.00</w:t>
            </w:r>
            <w:r>
              <w:rPr>
                <w:rFonts w:ascii="Times New Roman"/>
                <w:sz w:val="16"/>
              </w:rPr>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2022-5-10</w:t>
            </w:r>
          </w:p>
        </w:tc>
        <w:tc>
          <w:tcPr>
            <w:tcW w:w="2347"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1,202,432,444.68</w:t>
            </w:r>
          </w:p>
        </w:tc>
        <w:tc>
          <w:tcPr>
            <w:tcW w:w="2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76" w:lineRule="exact"/>
        <w:ind w:right="0"/>
        <w:jc w:val="left"/>
        <w:rPr>
          <w:b w:val="0"/>
          <w:bCs w:val="0"/>
        </w:rPr>
      </w:pPr>
      <w:r>
        <w:rPr>
          <w:rFonts w:ascii="Times New Roman" w:hAnsi="Times New Roman" w:cs="Times New Roman" w:eastAsia="Times New Roman" w:hint="default"/>
        </w:rPr>
        <w:t>b</w:t>
      </w:r>
      <w:r>
        <w:rPr/>
        <w:t>、为北京大唐高鸿科技发展有限公司提供担保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8"/>
        <w:gridCol w:w="2338"/>
        <w:gridCol w:w="2182"/>
        <w:gridCol w:w="2180"/>
      </w:tblGrid>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Times New Roman" w:hAnsi="Times New Roman" w:cs="Times New Roman" w:eastAsia="Times New Roman" w:hint="default"/>
                <w:sz w:val="16"/>
                <w:szCs w:val="16"/>
              </w:rPr>
            </w:pPr>
            <w:r>
              <w:rPr>
                <w:rFonts w:ascii="Times New Roman"/>
                <w:sz w:val="16"/>
              </w:rPr>
              <w:t>2018-10-29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41,792,400.00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2019-10-30</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8,207,600.00</w:t>
            </w:r>
            <w:r>
              <w:rPr>
                <w:rFonts w:ascii="Times New Roman"/>
                <w:sz w:val="16"/>
              </w:rPr>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2019-12-12</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after="0" w:line="240" w:lineRule="auto"/>
        <w:jc w:val="center"/>
        <w:rPr>
          <w:rFonts w:ascii="Times New Roman" w:hAnsi="Times New Roman" w:cs="Times New Roman" w:eastAsia="Times New Roman" w:hint="default"/>
          <w:sz w:val="16"/>
          <w:szCs w:val="16"/>
        </w:rPr>
        <w:sectPr>
          <w:pgSz w:w="11910" w:h="16840"/>
          <w:pgMar w:header="877" w:footer="979" w:top="1060" w:bottom="1160" w:left="980" w:right="0"/>
        </w:sectPr>
      </w:pPr>
    </w:p>
    <w:p>
      <w:pPr>
        <w:spacing w:line="240" w:lineRule="auto" w:before="9"/>
        <w:rPr>
          <w:rFonts w:ascii="宋体" w:hAnsi="宋体" w:cs="宋体" w:eastAsia="宋体" w:hint="default"/>
          <w:b/>
          <w:bCs/>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c</w:t>
      </w:r>
      <w:r>
        <w:rPr/>
        <w:t>、为北京高阳捷迅信息技术有限公司提供担保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60"/>
        <w:gridCol w:w="2337"/>
        <w:gridCol w:w="2182"/>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683"/>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88"/>
              <w:jc w:val="right"/>
              <w:rPr>
                <w:rFonts w:ascii="Times New Roman" w:hAnsi="Times New Roman" w:cs="Times New Roman" w:eastAsia="Times New Roman" w:hint="default"/>
                <w:sz w:val="16"/>
                <w:szCs w:val="16"/>
              </w:rPr>
            </w:pPr>
            <w:r>
              <w:rPr>
                <w:rFonts w:ascii="Times New Roman"/>
                <w:spacing w:val="-1"/>
                <w:sz w:val="16"/>
              </w:rPr>
              <w:t>2018-1-4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49"/>
              <w:jc w:val="right"/>
              <w:rPr>
                <w:rFonts w:ascii="Times New Roman" w:hAnsi="Times New Roman" w:cs="Times New Roman" w:eastAsia="Times New Roman" w:hint="default"/>
                <w:sz w:val="16"/>
                <w:szCs w:val="16"/>
              </w:rPr>
            </w:pPr>
            <w:r>
              <w:rPr>
                <w:rFonts w:ascii="Times New Roman"/>
                <w:spacing w:val="-1"/>
                <w:sz w:val="16"/>
              </w:rPr>
              <w:t>2018-1-10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工商银行地安门支行</w:t>
            </w:r>
          </w:p>
        </w:tc>
        <w:tc>
          <w:tcPr>
            <w:tcW w:w="2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49"/>
              <w:jc w:val="right"/>
              <w:rPr>
                <w:rFonts w:ascii="Times New Roman" w:hAnsi="Times New Roman" w:cs="Times New Roman" w:eastAsia="Times New Roman" w:hint="default"/>
                <w:sz w:val="16"/>
                <w:szCs w:val="16"/>
              </w:rPr>
            </w:pPr>
            <w:r>
              <w:rPr>
                <w:rFonts w:ascii="Times New Roman"/>
                <w:spacing w:val="-1"/>
                <w:sz w:val="16"/>
              </w:rPr>
              <w:t>2018-1-18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40,000,000.00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76" w:lineRule="exact"/>
        <w:ind w:right="0"/>
        <w:jc w:val="left"/>
        <w:rPr>
          <w:b w:val="0"/>
          <w:bCs w:val="0"/>
        </w:rPr>
      </w:pPr>
      <w:r>
        <w:rPr>
          <w:rFonts w:ascii="Times New Roman" w:hAnsi="Times New Roman" w:cs="Times New Roman" w:eastAsia="Times New Roman" w:hint="default"/>
        </w:rPr>
        <w:t>d</w:t>
      </w:r>
      <w:r>
        <w:rPr/>
        <w:t>、为大唐高鸿信息技术有限公司提供担保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8"/>
        <w:gridCol w:w="2338"/>
        <w:gridCol w:w="2182"/>
        <w:gridCol w:w="2180"/>
      </w:tblGrid>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2018-8-22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华夏银行北京分行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2018-10-17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2018-11-5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2019-8-21</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2019-10-15</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北京银行广安支行</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2019-11-8</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150,000,000.00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76" w:lineRule="exact"/>
        <w:ind w:right="0"/>
        <w:jc w:val="left"/>
        <w:rPr>
          <w:b w:val="0"/>
          <w:bCs w:val="0"/>
        </w:rPr>
      </w:pPr>
      <w:r>
        <w:rPr>
          <w:rFonts w:ascii="Times New Roman" w:hAnsi="Times New Roman" w:cs="Times New Roman" w:eastAsia="Times New Roman" w:hint="default"/>
        </w:rPr>
        <w:t>e</w:t>
      </w:r>
      <w:r>
        <w:rPr/>
        <w:t>、为大唐融合通信股份有限公司提供担保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60"/>
        <w:gridCol w:w="2171"/>
        <w:gridCol w:w="2348"/>
        <w:gridCol w:w="2180"/>
      </w:tblGrid>
      <w:tr>
        <w:trPr>
          <w:trHeight w:val="42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766"/>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5,785,725.00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2018-1-13</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1,105,565.60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2018-1-17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797,200.00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2018-1-18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6"/>
                <w:szCs w:val="16"/>
              </w:rPr>
            </w:pPr>
            <w:r>
              <w:rPr>
                <w:rFonts w:ascii="Times New Roman"/>
                <w:w w:val="95"/>
                <w:sz w:val="16"/>
              </w:rPr>
              <w:t>2,886,800.00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832"/>
              <w:jc w:val="right"/>
              <w:rPr>
                <w:rFonts w:ascii="Times New Roman" w:hAnsi="Times New Roman" w:cs="Times New Roman" w:eastAsia="Times New Roman" w:hint="default"/>
                <w:sz w:val="16"/>
                <w:szCs w:val="16"/>
              </w:rPr>
            </w:pPr>
            <w:r>
              <w:rPr>
                <w:rFonts w:ascii="Times New Roman"/>
                <w:spacing w:val="-1"/>
                <w:sz w:val="16"/>
              </w:rPr>
              <w:t>2018-1-19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1,913,000.00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32"/>
              <w:jc w:val="right"/>
              <w:rPr>
                <w:rFonts w:ascii="Times New Roman" w:hAnsi="Times New Roman" w:cs="Times New Roman" w:eastAsia="Times New Roman" w:hint="default"/>
                <w:sz w:val="16"/>
                <w:szCs w:val="16"/>
              </w:rPr>
            </w:pPr>
            <w:r>
              <w:rPr>
                <w:rFonts w:ascii="Times New Roman"/>
                <w:spacing w:val="-1"/>
                <w:sz w:val="16"/>
              </w:rPr>
              <w:t>2018-4-18</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585,000.00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2018-4-20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2,955,410.25</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2018-4-27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526,682.10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71"/>
              <w:jc w:val="right"/>
              <w:rPr>
                <w:rFonts w:ascii="Times New Roman" w:hAnsi="Times New Roman" w:cs="Times New Roman" w:eastAsia="Times New Roman" w:hint="default"/>
                <w:sz w:val="16"/>
                <w:szCs w:val="16"/>
              </w:rPr>
            </w:pPr>
            <w:r>
              <w:rPr>
                <w:rFonts w:ascii="Times New Roman"/>
                <w:spacing w:val="-1"/>
                <w:sz w:val="16"/>
              </w:rPr>
              <w:t>2018-6-2</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917,492.80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71"/>
              <w:jc w:val="right"/>
              <w:rPr>
                <w:rFonts w:ascii="Times New Roman" w:hAnsi="Times New Roman" w:cs="Times New Roman" w:eastAsia="Times New Roman" w:hint="default"/>
                <w:sz w:val="16"/>
                <w:szCs w:val="16"/>
              </w:rPr>
            </w:pPr>
            <w:r>
              <w:rPr>
                <w:rFonts w:ascii="Times New Roman"/>
                <w:spacing w:val="-1"/>
                <w:sz w:val="16"/>
              </w:rPr>
              <w:t>2018-6-7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15,000,000.00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2018-7-20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6,000,000.00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32"/>
              <w:jc w:val="right"/>
              <w:rPr>
                <w:rFonts w:ascii="Times New Roman" w:hAnsi="Times New Roman" w:cs="Times New Roman" w:eastAsia="Times New Roman" w:hint="default"/>
                <w:sz w:val="16"/>
                <w:szCs w:val="16"/>
              </w:rPr>
            </w:pPr>
            <w:r>
              <w:rPr>
                <w:rFonts w:ascii="Times New Roman"/>
                <w:spacing w:val="-1"/>
                <w:sz w:val="16"/>
              </w:rPr>
              <w:t>2018-7-20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9,000,000.00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2018-8-10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2018-8-14</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118,500.00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91"/>
              <w:jc w:val="right"/>
              <w:rPr>
                <w:rFonts w:ascii="Times New Roman" w:hAnsi="Times New Roman" w:cs="Times New Roman" w:eastAsia="Times New Roman" w:hint="default"/>
                <w:sz w:val="16"/>
                <w:szCs w:val="16"/>
              </w:rPr>
            </w:pPr>
            <w:r>
              <w:rPr>
                <w:rFonts w:ascii="Times New Roman"/>
                <w:spacing w:val="-1"/>
                <w:sz w:val="16"/>
              </w:rPr>
              <w:t>2018-12-18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99,018.00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91"/>
              <w:jc w:val="right"/>
              <w:rPr>
                <w:rFonts w:ascii="Times New Roman" w:hAnsi="Times New Roman" w:cs="Times New Roman" w:eastAsia="Times New Roman" w:hint="default"/>
                <w:sz w:val="16"/>
                <w:szCs w:val="16"/>
              </w:rPr>
            </w:pPr>
            <w:r>
              <w:rPr>
                <w:rFonts w:ascii="Times New Roman"/>
                <w:spacing w:val="-1"/>
                <w:sz w:val="16"/>
              </w:rPr>
              <w:t>2018-12-18</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兴业银行西直门支行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2019-3-19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9,546,589.75</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32"/>
              <w:jc w:val="right"/>
              <w:rPr>
                <w:rFonts w:ascii="Times New Roman" w:hAnsi="Times New Roman" w:cs="Times New Roman" w:eastAsia="Times New Roman" w:hint="default"/>
                <w:sz w:val="16"/>
                <w:szCs w:val="16"/>
              </w:rPr>
            </w:pPr>
            <w:r>
              <w:rPr>
                <w:rFonts w:ascii="Times New Roman"/>
                <w:spacing w:val="-1"/>
                <w:sz w:val="16"/>
              </w:rPr>
              <w:t>2019-3-26</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8,100,000.00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2019-4-20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2018-9-30</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民生银行首体支行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6"/>
                <w:szCs w:val="16"/>
              </w:rPr>
            </w:pPr>
            <w:r>
              <w:rPr>
                <w:rFonts w:ascii="Times New Roman"/>
                <w:w w:val="95"/>
                <w:sz w:val="16"/>
              </w:rPr>
              <w:t>5,453,410.25</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832"/>
              <w:jc w:val="right"/>
              <w:rPr>
                <w:rFonts w:ascii="Times New Roman" w:hAnsi="Times New Roman" w:cs="Times New Roman" w:eastAsia="Times New Roman" w:hint="default"/>
                <w:sz w:val="16"/>
                <w:szCs w:val="16"/>
              </w:rPr>
            </w:pPr>
            <w:r>
              <w:rPr>
                <w:rFonts w:ascii="Times New Roman"/>
                <w:spacing w:val="-1"/>
                <w:sz w:val="16"/>
              </w:rPr>
              <w:t>2019-6-19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8,000,000.00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2019-7-24</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12,000,000.00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2019-7-24</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北京银行世纪城支行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871"/>
              <w:jc w:val="right"/>
              <w:rPr>
                <w:rFonts w:ascii="Times New Roman" w:hAnsi="Times New Roman" w:cs="Times New Roman" w:eastAsia="Times New Roman" w:hint="default"/>
                <w:sz w:val="16"/>
                <w:szCs w:val="16"/>
              </w:rPr>
            </w:pPr>
            <w:r>
              <w:rPr>
                <w:rFonts w:ascii="Times New Roman"/>
                <w:spacing w:val="-1"/>
                <w:sz w:val="16"/>
              </w:rPr>
              <w:t>2019-9-3</w:t>
            </w:r>
          </w:p>
        </w:tc>
        <w:tc>
          <w:tcPr>
            <w:tcW w:w="218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2960"/>
        <w:gridCol w:w="2171"/>
        <w:gridCol w:w="2348"/>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5,000,000.00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2019-9-6</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南京银行车公庄支行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16,900,000.00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2019-9-19</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142,730,393.75</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76" w:lineRule="exact"/>
        <w:ind w:right="0"/>
        <w:jc w:val="left"/>
        <w:rPr>
          <w:b w:val="0"/>
          <w:bCs w:val="0"/>
        </w:rPr>
      </w:pPr>
      <w:r>
        <w:rPr>
          <w:rFonts w:ascii="Times New Roman" w:hAnsi="Times New Roman" w:cs="Times New Roman" w:eastAsia="Times New Roman" w:hint="default"/>
        </w:rPr>
        <w:t>f</w:t>
      </w:r>
      <w:r>
        <w:rPr/>
        <w:t>、为大唐广电科技（武汉）有限公司提供担保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8"/>
        <w:gridCol w:w="2172"/>
        <w:gridCol w:w="2348"/>
        <w:gridCol w:w="2180"/>
      </w:tblGrid>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20,000,000.00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2018-10-31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20,000,000.00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2019-11-12</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40,000,000.00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76" w:lineRule="exact"/>
        <w:ind w:right="0"/>
        <w:jc w:val="left"/>
        <w:rPr>
          <w:b w:val="0"/>
          <w:bCs w:val="0"/>
        </w:rPr>
      </w:pPr>
      <w:r>
        <w:rPr>
          <w:rFonts w:ascii="Times New Roman" w:hAnsi="Times New Roman" w:cs="Times New Roman" w:eastAsia="Times New Roman" w:hint="default"/>
        </w:rPr>
        <w:t>g</w:t>
      </w:r>
      <w:r>
        <w:rPr/>
        <w:t>、为大唐融合（贵阳）科技有限公司提供担保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8"/>
        <w:gridCol w:w="2172"/>
        <w:gridCol w:w="2348"/>
        <w:gridCol w:w="2180"/>
      </w:tblGrid>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20,000,000.00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2018-7-27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900,000.00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2018-12-27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w w:val="95"/>
                <w:sz w:val="16"/>
              </w:rPr>
              <w:t>1,100,000.00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2018-12-27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1,000,000.00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2018-12-27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w w:val="95"/>
                <w:sz w:val="16"/>
              </w:rPr>
              <w:t>700,000.00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2018-12-27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己到期</w:t>
            </w: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23,700,000.00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h</w:t>
      </w:r>
      <w:r>
        <w:rPr/>
        <w:t>、为大唐融合（哈尔滨）云数科技有限公司提供担保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8"/>
        <w:gridCol w:w="2172"/>
        <w:gridCol w:w="2348"/>
        <w:gridCol w:w="2180"/>
      </w:tblGrid>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15,000,000.00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2018-10-23</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2"/>
              <w:jc w:val="right"/>
              <w:rPr>
                <w:rFonts w:ascii="Times New Roman" w:hAnsi="Times New Roman" w:cs="Times New Roman" w:eastAsia="Times New Roman" w:hint="default"/>
                <w:sz w:val="16"/>
                <w:szCs w:val="16"/>
              </w:rPr>
            </w:pPr>
            <w:r>
              <w:rPr>
                <w:rFonts w:ascii="Times New Roman"/>
                <w:spacing w:val="-1"/>
                <w:sz w:val="16"/>
              </w:rPr>
              <w:t>15,000,000.00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center"/>
              <w:rPr>
                <w:rFonts w:ascii="Times New Roman" w:hAnsi="Times New Roman" w:cs="Times New Roman" w:eastAsia="Times New Roman" w:hint="default"/>
                <w:sz w:val="16"/>
                <w:szCs w:val="16"/>
              </w:rPr>
            </w:pPr>
            <w:r>
              <w:rPr>
                <w:rFonts w:ascii="Times New Roman"/>
                <w:sz w:val="16"/>
              </w:rPr>
              <w:t>2019-11-8</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
              <w:jc w:val="right"/>
              <w:rPr>
                <w:rFonts w:ascii="Times New Roman" w:hAnsi="Times New Roman" w:cs="Times New Roman" w:eastAsia="Times New Roman" w:hint="default"/>
                <w:sz w:val="16"/>
                <w:szCs w:val="16"/>
              </w:rPr>
            </w:pPr>
            <w:r>
              <w:rPr>
                <w:rFonts w:ascii="Times New Roman"/>
                <w:spacing w:val="-1"/>
                <w:sz w:val="16"/>
              </w:rPr>
              <w:t>30,000,000.00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76" w:lineRule="exact"/>
        <w:ind w:right="0"/>
        <w:jc w:val="left"/>
        <w:rPr>
          <w:b w:val="0"/>
          <w:bCs w:val="0"/>
        </w:rPr>
      </w:pPr>
      <w:r>
        <w:rPr>
          <w:rFonts w:ascii="Times New Roman" w:hAnsi="Times New Roman" w:cs="Times New Roman" w:eastAsia="Times New Roman" w:hint="default"/>
        </w:rPr>
        <w:t>i</w:t>
      </w:r>
      <w:r>
        <w:rPr/>
        <w:t>、为大唐融合信息服务有限公司提供担保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60"/>
        <w:gridCol w:w="2171"/>
        <w:gridCol w:w="2348"/>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766"/>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32"/>
              <w:jc w:val="right"/>
              <w:rPr>
                <w:rFonts w:ascii="Times New Roman" w:hAnsi="Times New Roman" w:cs="Times New Roman" w:eastAsia="Times New Roman" w:hint="default"/>
                <w:sz w:val="16"/>
                <w:szCs w:val="16"/>
              </w:rPr>
            </w:pPr>
            <w:r>
              <w:rPr>
                <w:rFonts w:ascii="Times New Roman"/>
                <w:spacing w:val="-1"/>
                <w:sz w:val="16"/>
              </w:rPr>
              <w:t>2018-3-13</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71"/>
              <w:jc w:val="right"/>
              <w:rPr>
                <w:rFonts w:ascii="Times New Roman" w:hAnsi="Times New Roman" w:cs="Times New Roman" w:eastAsia="Times New Roman" w:hint="default"/>
                <w:sz w:val="16"/>
                <w:szCs w:val="16"/>
              </w:rPr>
            </w:pPr>
            <w:r>
              <w:rPr>
                <w:rFonts w:ascii="Times New Roman"/>
                <w:spacing w:val="-1"/>
                <w:sz w:val="16"/>
              </w:rPr>
              <w:t>2019-4-1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76" w:lineRule="exact"/>
        <w:ind w:right="0"/>
        <w:jc w:val="left"/>
        <w:rPr>
          <w:b w:val="0"/>
          <w:bCs w:val="0"/>
        </w:rPr>
      </w:pPr>
      <w:r>
        <w:rPr>
          <w:rFonts w:ascii="Times New Roman" w:hAnsi="Times New Roman" w:cs="Times New Roman" w:eastAsia="Times New Roman" w:hint="default"/>
        </w:rPr>
        <w:t>j</w:t>
      </w:r>
      <w:r>
        <w:rPr/>
        <w:t>、为大唐融合（盘锦）科技有限公司提供担保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60"/>
        <w:gridCol w:w="2171"/>
        <w:gridCol w:w="2348"/>
        <w:gridCol w:w="2180"/>
      </w:tblGrid>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2018-7-27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1,700,000.00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2018-12-27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w w:val="95"/>
                <w:sz w:val="16"/>
              </w:rPr>
              <w:t>2,200,000.00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center"/>
              <w:rPr>
                <w:rFonts w:ascii="Times New Roman" w:hAnsi="Times New Roman" w:cs="Times New Roman" w:eastAsia="Times New Roman" w:hint="default"/>
                <w:sz w:val="16"/>
                <w:szCs w:val="16"/>
              </w:rPr>
            </w:pPr>
            <w:r>
              <w:rPr>
                <w:rFonts w:ascii="Times New Roman"/>
                <w:sz w:val="16"/>
              </w:rPr>
              <w:t>2018-12-27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1,500,000.00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2018-12-27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w w:val="95"/>
                <w:sz w:val="16"/>
              </w:rPr>
              <w:t>1,700,000.00</w:t>
            </w:r>
            <w:r>
              <w:rPr>
                <w:rFonts w:ascii="Times New Roman"/>
                <w:sz w:val="16"/>
              </w:rPr>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sz w:val="16"/>
              </w:rPr>
              <w:t>2018-12-27</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27,100,000.00</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76" w:lineRule="exact"/>
        <w:ind w:right="0"/>
        <w:jc w:val="left"/>
        <w:rPr>
          <w:b w:val="0"/>
          <w:bCs w:val="0"/>
        </w:rPr>
      </w:pPr>
      <w:r>
        <w:rPr>
          <w:rFonts w:ascii="Times New Roman" w:hAnsi="Times New Roman" w:cs="Times New Roman" w:eastAsia="Times New Roman" w:hint="default"/>
        </w:rPr>
        <w:t>k</w:t>
      </w:r>
      <w:r>
        <w:rPr/>
        <w:t>、为大唐融合通信无锡有限公司提供担保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7"/>
        <w:gridCol w:w="2225"/>
        <w:gridCol w:w="2297"/>
        <w:gridCol w:w="2179"/>
      </w:tblGrid>
      <w:tr>
        <w:trPr>
          <w:trHeight w:val="3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2018-11-6</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大唐电信集团财务有限公司</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2019-11-8</w:t>
            </w:r>
          </w:p>
        </w:tc>
        <w:tc>
          <w:tcPr>
            <w:tcW w:w="217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60,000,000.00</w:t>
            </w:r>
          </w:p>
        </w:tc>
        <w:tc>
          <w:tcPr>
            <w:tcW w:w="2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after="0" w:line="240" w:lineRule="auto"/>
        <w:jc w:val="center"/>
        <w:rPr>
          <w:rFonts w:ascii="Times New Roman" w:hAnsi="Times New Roman" w:cs="Times New Roman" w:eastAsia="Times New Roman" w:hint="default"/>
          <w:sz w:val="16"/>
          <w:szCs w:val="16"/>
        </w:rPr>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8"/>
          <w:szCs w:val="28"/>
        </w:rPr>
      </w:pPr>
    </w:p>
    <w:p>
      <w:pPr>
        <w:pStyle w:val="Heading4"/>
        <w:spacing w:line="240" w:lineRule="auto" w:before="35"/>
        <w:ind w:right="0"/>
        <w:jc w:val="left"/>
        <w:rPr>
          <w:b w:val="0"/>
          <w:bCs w:val="0"/>
        </w:rPr>
      </w:pPr>
      <w:r>
        <w:rPr>
          <w:rFonts w:ascii="Times New Roman" w:hAnsi="Times New Roman" w:cs="Times New Roman" w:eastAsia="Times New Roman" w:hint="default"/>
        </w:rPr>
        <w:t>l</w:t>
      </w:r>
      <w:r>
        <w:rPr/>
        <w:t>、为江苏高鸿鼎恒信息技术有限公司提供担保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8"/>
        <w:gridCol w:w="2504"/>
        <w:gridCol w:w="2016"/>
        <w:gridCol w:w="2180"/>
      </w:tblGrid>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599"/>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2018-7-11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光大银行湖北路支行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6"/>
                <w:szCs w:val="16"/>
              </w:rPr>
            </w:pPr>
            <w:r>
              <w:rPr>
                <w:rFonts w:ascii="Times New Roman"/>
                <w:spacing w:val="-1"/>
                <w:sz w:val="16"/>
              </w:rPr>
              <w:t>70,000,000.00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624"/>
              <w:jc w:val="right"/>
              <w:rPr>
                <w:rFonts w:ascii="Times New Roman" w:hAnsi="Times New Roman" w:cs="Times New Roman" w:eastAsia="Times New Roman" w:hint="default"/>
                <w:sz w:val="16"/>
                <w:szCs w:val="16"/>
              </w:rPr>
            </w:pPr>
            <w:r>
              <w:rPr>
                <w:rFonts w:ascii="Times New Roman"/>
                <w:spacing w:val="-1"/>
                <w:sz w:val="16"/>
              </w:rPr>
              <w:t>2018-11-15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24"/>
              <w:jc w:val="right"/>
              <w:rPr>
                <w:rFonts w:ascii="Times New Roman" w:hAnsi="Times New Roman" w:cs="Times New Roman" w:eastAsia="Times New Roman" w:hint="default"/>
                <w:sz w:val="16"/>
                <w:szCs w:val="16"/>
              </w:rPr>
            </w:pPr>
            <w:r>
              <w:rPr>
                <w:rFonts w:ascii="Times New Roman"/>
                <w:spacing w:val="-1"/>
                <w:sz w:val="16"/>
              </w:rPr>
              <w:t>2018-12-11</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04"/>
              <w:jc w:val="right"/>
              <w:rPr>
                <w:rFonts w:ascii="Times New Roman" w:hAnsi="Times New Roman" w:cs="Times New Roman" w:eastAsia="Times New Roman" w:hint="default"/>
                <w:sz w:val="16"/>
                <w:szCs w:val="16"/>
              </w:rPr>
            </w:pPr>
            <w:r>
              <w:rPr>
                <w:rFonts w:ascii="Times New Roman"/>
                <w:spacing w:val="-1"/>
                <w:sz w:val="16"/>
              </w:rPr>
              <w:t>2019-1-4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04"/>
              <w:jc w:val="right"/>
              <w:rPr>
                <w:rFonts w:ascii="Times New Roman" w:hAnsi="Times New Roman" w:cs="Times New Roman" w:eastAsia="Times New Roman" w:hint="default"/>
                <w:sz w:val="16"/>
                <w:szCs w:val="16"/>
              </w:rPr>
            </w:pPr>
            <w:r>
              <w:rPr>
                <w:rFonts w:ascii="Times New Roman"/>
                <w:spacing w:val="-1"/>
                <w:sz w:val="16"/>
              </w:rPr>
              <w:t>2019-1-9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民生银行南京分行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04"/>
              <w:jc w:val="right"/>
              <w:rPr>
                <w:rFonts w:ascii="Times New Roman" w:hAnsi="Times New Roman" w:cs="Times New Roman" w:eastAsia="Times New Roman" w:hint="default"/>
                <w:sz w:val="16"/>
                <w:szCs w:val="16"/>
              </w:rPr>
            </w:pPr>
            <w:r>
              <w:rPr>
                <w:rFonts w:ascii="Times New Roman"/>
                <w:spacing w:val="-1"/>
                <w:sz w:val="16"/>
              </w:rPr>
              <w:t>2019-2-9</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报告日前已到期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2019-5-16</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江苏银行南京新街口支行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2019-8-29</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光大银行湖北路支行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70,000,000.00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6"/>
              <w:jc w:val="right"/>
              <w:rPr>
                <w:rFonts w:ascii="Times New Roman" w:hAnsi="Times New Roman" w:cs="Times New Roman" w:eastAsia="Times New Roman" w:hint="default"/>
                <w:sz w:val="16"/>
                <w:szCs w:val="16"/>
              </w:rPr>
            </w:pPr>
            <w:r>
              <w:rPr>
                <w:rFonts w:ascii="Times New Roman"/>
                <w:spacing w:val="-1"/>
                <w:sz w:val="16"/>
              </w:rPr>
              <w:t>2019-11-8</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南京银行百子亭支行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14,997,650.00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624"/>
              <w:jc w:val="right"/>
              <w:rPr>
                <w:rFonts w:ascii="Times New Roman" w:hAnsi="Times New Roman" w:cs="Times New Roman" w:eastAsia="Times New Roman" w:hint="default"/>
                <w:sz w:val="16"/>
                <w:szCs w:val="16"/>
              </w:rPr>
            </w:pPr>
            <w:r>
              <w:rPr>
                <w:rFonts w:ascii="Times New Roman"/>
                <w:spacing w:val="-1"/>
                <w:sz w:val="16"/>
              </w:rPr>
              <w:t>2019-12-27</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404,997,650.00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m</w:t>
      </w:r>
      <w:r>
        <w:rPr/>
        <w:t>、为江苏高鸿鼎远信息科技有限公司提供担保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8"/>
        <w:gridCol w:w="2504"/>
        <w:gridCol w:w="2016"/>
        <w:gridCol w:w="2180"/>
      </w:tblGrid>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599"/>
              <w:jc w:val="right"/>
              <w:rPr>
                <w:rFonts w:ascii="宋体" w:hAnsi="宋体" w:cs="宋体" w:eastAsia="宋体" w:hint="default"/>
                <w:sz w:val="16"/>
                <w:szCs w:val="16"/>
              </w:rPr>
            </w:pPr>
            <w:r>
              <w:rPr>
                <w:rFonts w:ascii="宋体" w:hAnsi="宋体" w:cs="宋体" w:eastAsia="宋体" w:hint="default"/>
                <w:w w:val="95"/>
                <w:sz w:val="16"/>
                <w:szCs w:val="16"/>
              </w:rPr>
              <w:t>债务到期日</w:t>
            </w:r>
            <w:r>
              <w:rPr>
                <w:rFonts w:ascii="宋体" w:hAnsi="宋体" w:cs="宋体" w:eastAsia="宋体" w:hint="default"/>
                <w:sz w:val="16"/>
                <w:szCs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50,000,000.00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04"/>
              <w:jc w:val="right"/>
              <w:rPr>
                <w:rFonts w:ascii="Times New Roman" w:hAnsi="Times New Roman" w:cs="Times New Roman" w:eastAsia="Times New Roman" w:hint="default"/>
                <w:sz w:val="16"/>
                <w:szCs w:val="16"/>
              </w:rPr>
            </w:pPr>
            <w:r>
              <w:rPr>
                <w:rFonts w:ascii="Times New Roman"/>
                <w:spacing w:val="-1"/>
                <w:sz w:val="16"/>
              </w:rPr>
              <w:t>2018-1-4</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18,679,491.79</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2018-3-22</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2018-7-27</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665"/>
              <w:jc w:val="right"/>
              <w:rPr>
                <w:rFonts w:ascii="Times New Roman" w:hAnsi="Times New Roman" w:cs="Times New Roman" w:eastAsia="Times New Roman" w:hint="default"/>
                <w:sz w:val="16"/>
                <w:szCs w:val="16"/>
              </w:rPr>
            </w:pPr>
            <w:r>
              <w:rPr>
                <w:rFonts w:ascii="Times New Roman"/>
                <w:spacing w:val="-1"/>
                <w:sz w:val="16"/>
              </w:rPr>
              <w:t>2018-7-31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2018-7-11</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2018-8-13</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704"/>
              <w:jc w:val="right"/>
              <w:rPr>
                <w:rFonts w:ascii="Times New Roman" w:hAnsi="Times New Roman" w:cs="Times New Roman" w:eastAsia="Times New Roman" w:hint="default"/>
                <w:sz w:val="16"/>
                <w:szCs w:val="16"/>
              </w:rPr>
            </w:pPr>
            <w:r>
              <w:rPr>
                <w:rFonts w:ascii="Times New Roman"/>
                <w:spacing w:val="-1"/>
                <w:sz w:val="16"/>
              </w:rPr>
              <w:t>2018-8-5</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18,680,000.00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2018-8-13</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已到期</w:t>
            </w: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04"/>
              <w:jc w:val="right"/>
              <w:rPr>
                <w:rFonts w:ascii="Times New Roman" w:hAnsi="Times New Roman" w:cs="Times New Roman" w:eastAsia="Times New Roman" w:hint="default"/>
                <w:sz w:val="16"/>
                <w:szCs w:val="16"/>
              </w:rPr>
            </w:pPr>
            <w:r>
              <w:rPr>
                <w:rFonts w:ascii="Times New Roman"/>
                <w:spacing w:val="-1"/>
                <w:sz w:val="16"/>
              </w:rPr>
              <w:t>2019-8-1</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渤海银行南京分行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704"/>
              <w:jc w:val="right"/>
              <w:rPr>
                <w:rFonts w:ascii="Times New Roman" w:hAnsi="Times New Roman" w:cs="Times New Roman" w:eastAsia="Times New Roman" w:hint="default"/>
                <w:sz w:val="16"/>
                <w:szCs w:val="16"/>
              </w:rPr>
            </w:pPr>
            <w:r>
              <w:rPr>
                <w:rFonts w:ascii="Times New Roman"/>
                <w:spacing w:val="-1"/>
                <w:sz w:val="16"/>
              </w:rPr>
              <w:t>2019-8-6</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浦发银行南京分行</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100,000,000.00</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665"/>
              <w:jc w:val="right"/>
              <w:rPr>
                <w:rFonts w:ascii="Times New Roman" w:hAnsi="Times New Roman" w:cs="Times New Roman" w:eastAsia="Times New Roman" w:hint="default"/>
                <w:sz w:val="16"/>
                <w:szCs w:val="16"/>
              </w:rPr>
            </w:pPr>
            <w:r>
              <w:rPr>
                <w:rFonts w:ascii="Times New Roman"/>
                <w:spacing w:val="-1"/>
                <w:sz w:val="16"/>
              </w:rPr>
              <w:t>2019-6-14</w:t>
            </w:r>
            <w:r>
              <w:rPr>
                <w:rFonts w:ascii="Times New Roman"/>
                <w:sz w:val="16"/>
              </w:rPr>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307,359,491.79</w:t>
            </w:r>
          </w:p>
        </w:tc>
        <w:tc>
          <w:tcPr>
            <w:tcW w:w="2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spacing w:line="240" w:lineRule="auto" w:before="0"/>
        <w:rPr>
          <w:rFonts w:ascii="宋体" w:hAnsi="宋体" w:cs="宋体" w:eastAsia="宋体" w:hint="default"/>
          <w:b/>
          <w:bCs/>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n</w:t>
      </w:r>
      <w:r>
        <w:rPr/>
        <w:t>、为贵州大唐高鸿置业有限公司提供担保</w:t>
      </w:r>
      <w:r>
        <w:rPr>
          <w:b w:val="0"/>
          <w:bCs w:val="0"/>
        </w:rPr>
      </w:r>
    </w:p>
    <w:p>
      <w:pPr>
        <w:spacing w:line="240" w:lineRule="auto" w:before="10"/>
        <w:rPr>
          <w:rFonts w:ascii="宋体" w:hAnsi="宋体" w:cs="宋体" w:eastAsia="宋体" w:hint="default"/>
          <w:b/>
          <w:bCs/>
          <w:sz w:val="2"/>
          <w:szCs w:val="2"/>
        </w:rPr>
      </w:pPr>
    </w:p>
    <w:tbl>
      <w:tblPr>
        <w:tblW w:w="0" w:type="auto"/>
        <w:jc w:val="left"/>
        <w:tblInd w:w="137" w:type="dxa"/>
        <w:tblLayout w:type="fixed"/>
        <w:tblCellMar>
          <w:top w:w="0" w:type="dxa"/>
          <w:left w:w="0" w:type="dxa"/>
          <w:bottom w:w="0" w:type="dxa"/>
          <w:right w:w="0" w:type="dxa"/>
        </w:tblCellMar>
        <w:tblLook w:val="01E0"/>
      </w:tblPr>
      <w:tblGrid>
        <w:gridCol w:w="2957"/>
        <w:gridCol w:w="2525"/>
        <w:gridCol w:w="1996"/>
        <w:gridCol w:w="2180"/>
      </w:tblGrid>
      <w:tr>
        <w:trPr>
          <w:trHeight w:val="3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借款银行</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担保金额</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
              <w:jc w:val="center"/>
              <w:rPr>
                <w:rFonts w:ascii="宋体" w:hAnsi="宋体" w:cs="宋体" w:eastAsia="宋体" w:hint="default"/>
                <w:sz w:val="16"/>
                <w:szCs w:val="16"/>
              </w:rPr>
            </w:pPr>
            <w:r>
              <w:rPr>
                <w:rFonts w:ascii="宋体" w:hAnsi="宋体" w:cs="宋体" w:eastAsia="宋体" w:hint="default"/>
                <w:sz w:val="16"/>
                <w:szCs w:val="16"/>
              </w:rPr>
              <w:t>债务到期日</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对本公司的财务影响</w:t>
            </w:r>
          </w:p>
        </w:tc>
      </w:tr>
      <w:tr>
        <w:trPr>
          <w:trHeight w:val="347"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贵州农村商业银行龙王支行</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200,000,000.00</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6"/>
                <w:szCs w:val="16"/>
              </w:rPr>
            </w:pPr>
            <w:r>
              <w:rPr>
                <w:rFonts w:ascii="Times New Roman"/>
                <w:sz w:val="16"/>
              </w:rPr>
              <w:t>2023-12-25</w:t>
            </w:r>
          </w:p>
        </w:tc>
        <w:tc>
          <w:tcPr>
            <w:tcW w:w="218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合计</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200,000,000.00</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3"/>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c>
          <w:tcPr>
            <w:tcW w:w="2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p>
        </w:tc>
      </w:tr>
    </w:tbl>
    <w:p>
      <w:pPr>
        <w:pStyle w:val="Heading4"/>
        <w:spacing w:line="260" w:lineRule="exact"/>
        <w:ind w:right="0"/>
        <w:jc w:val="left"/>
        <w:rPr>
          <w:b w:val="0"/>
          <w:bCs w:val="0"/>
        </w:rPr>
      </w:pPr>
      <w:r>
        <w:rPr/>
        <w:t>其他</w:t>
      </w:r>
      <w:r>
        <w:rPr>
          <w:b w:val="0"/>
          <w:bCs w:val="0"/>
        </w:rPr>
      </w:r>
    </w:p>
    <w:p>
      <w:pPr>
        <w:pStyle w:val="BodyText"/>
        <w:spacing w:line="240" w:lineRule="auto" w:before="37"/>
        <w:ind w:left="830"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日，公司尙有未到期履约保函人民币</w:t>
      </w:r>
      <w:r>
        <w:rPr>
          <w:rFonts w:ascii="Times New Roman" w:hAnsi="Times New Roman" w:cs="Times New Roman" w:eastAsia="Times New Roman" w:hint="default"/>
        </w:rPr>
        <w:t>27,360,786.67</w:t>
      </w:r>
      <w:r>
        <w:rPr/>
        <w:t>元、质量保函</w:t>
      </w:r>
      <w:r>
        <w:rPr>
          <w:rFonts w:ascii="Times New Roman" w:hAnsi="Times New Roman" w:cs="Times New Roman" w:eastAsia="Times New Roman" w:hint="default"/>
        </w:rPr>
        <w:t>22,956.24</w:t>
      </w:r>
      <w:r>
        <w:rPr/>
        <w:t>元。</w:t>
      </w:r>
    </w:p>
    <w:p>
      <w:pPr>
        <w:spacing w:line="240" w:lineRule="auto" w:before="13"/>
        <w:rPr>
          <w:rFonts w:ascii="宋体" w:hAnsi="宋体" w:cs="宋体" w:eastAsia="宋体" w:hint="default"/>
          <w:sz w:val="21"/>
          <w:szCs w:val="21"/>
        </w:rPr>
      </w:pPr>
    </w:p>
    <w:p>
      <w:pPr>
        <w:pStyle w:val="Heading4"/>
        <w:spacing w:line="240" w:lineRule="auto" w:before="35"/>
        <w:ind w:right="0"/>
        <w:jc w:val="left"/>
        <w:rPr>
          <w:b w:val="0"/>
          <w:bCs w:val="0"/>
        </w:rPr>
      </w:pPr>
      <w:bookmarkStart w:name="（2）公司没有需要披露的重要或有事项，也应予以说明" w:id="484"/>
      <w:bookmarkEnd w:id="48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7692" w:firstLine="0"/>
        <w:jc w:val="left"/>
        <w:rPr>
          <w:rFonts w:ascii="宋体" w:hAnsi="宋体" w:cs="宋体" w:eastAsia="宋体" w:hint="default"/>
          <w:sz w:val="21"/>
          <w:szCs w:val="21"/>
        </w:rPr>
      </w:pPr>
      <w:bookmarkStart w:name="3、其他" w:id="485"/>
      <w:bookmarkEnd w:id="4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6"/>
      <w:bookmarkEnd w:id="48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7"/>
      <w:bookmarkEnd w:id="48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利润分配情况" w:id="488"/>
      <w:bookmarkEnd w:id="48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销售退回" w:id="489"/>
      <w:bookmarkEnd w:id="48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90"/>
      <w:bookmarkEnd w:id="49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91"/>
      <w:bookmarkEnd w:id="491"/>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92"/>
      <w:bookmarkEnd w:id="49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right="0"/>
        <w:jc w:val="left"/>
        <w:rPr>
          <w:b w:val="0"/>
          <w:bCs w:val="0"/>
        </w:rPr>
      </w:pPr>
      <w:bookmarkStart w:name="（1）追溯重述法" w:id="493"/>
      <w:bookmarkEnd w:id="49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94"/>
      <w:bookmarkEnd w:id="49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债务重组" w:id="495"/>
      <w:bookmarkEnd w:id="49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96"/>
      <w:bookmarkEnd w:id="49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97"/>
      <w:bookmarkEnd w:id="49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98"/>
      <w:bookmarkEnd w:id="49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99"/>
      <w:bookmarkEnd w:id="4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500"/>
      <w:bookmarkEnd w:id="5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分部信息" w:id="501"/>
      <w:bookmarkEnd w:id="501"/>
      <w:r>
        <w:rPr>
          <w:b w:val="0"/>
          <w:bCs w:val="0"/>
        </w:rPr>
      </w:r>
      <w:r>
        <w:rPr>
          <w:rFonts w:ascii="Times New Roman" w:hAnsi="Times New Roman" w:cs="Times New Roman" w:eastAsia="Times New Roman" w:hint="default"/>
        </w:rPr>
        <w:t>6</w:t>
      </w:r>
      <w:r>
        <w:rPr/>
        <w:t>、分部信息</w:t>
      </w:r>
      <w:r>
        <w:rPr>
          <w:b w:val="0"/>
          <w:bCs w:val="0"/>
        </w:rPr>
      </w:r>
    </w:p>
    <w:p>
      <w:pPr>
        <w:spacing w:line="590" w:lineRule="atLeast" w:before="24"/>
        <w:ind w:left="577" w:right="0" w:hanging="424"/>
        <w:jc w:val="left"/>
        <w:rPr>
          <w:rFonts w:ascii="宋体" w:hAnsi="宋体" w:cs="宋体" w:eastAsia="宋体" w:hint="default"/>
          <w:sz w:val="21"/>
          <w:szCs w:val="21"/>
        </w:rPr>
      </w:pPr>
      <w:bookmarkStart w:name="（1）报告分部的确定依据与会计政策" w:id="502"/>
      <w:bookmarkEnd w:id="5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根据本公司的内部组织结构及管理要求，本公司的经营业务划分为企业信息化服务、信息服务业务、</w:t>
      </w:r>
    </w:p>
    <w:p>
      <w:pPr>
        <w:pStyle w:val="BodyText"/>
        <w:spacing w:line="273" w:lineRule="auto" w:before="37"/>
        <w:ind w:right="0"/>
        <w:jc w:val="left"/>
      </w:pPr>
      <w:r>
        <w:rPr>
          <w:rFonts w:ascii="宋体" w:hAnsi="宋体" w:cs="宋体" w:eastAsia="宋体" w:hint="default"/>
          <w:spacing w:val="-1"/>
        </w:rPr>
        <w:t>IT</w:t>
      </w:r>
      <w:r>
        <w:rPr>
          <w:spacing w:val="-1"/>
        </w:rPr>
        <w:t>销售业务和其他四个报告分部。这些报告分部是以公司日常内部管理要求的财务信息为基础确定的。集</w:t>
      </w:r>
      <w:r>
        <w:rPr>
          <w:spacing w:val="-82"/>
        </w:rPr>
        <w:t> </w:t>
      </w:r>
      <w:r>
        <w:rPr>
          <w:spacing w:val="-82"/>
        </w:rPr>
      </w:r>
      <w:r>
        <w:rPr/>
        <w:t>团的管理层定期评价这些报告分部的经营成果，以决定向其分配资源及评价其业绩。</w:t>
      </w:r>
    </w:p>
    <w:p>
      <w:pPr>
        <w:pStyle w:val="BodyText"/>
        <w:spacing w:line="240" w:lineRule="auto" w:before="47"/>
        <w:ind w:left="577" w:right="0"/>
        <w:jc w:val="left"/>
      </w:pPr>
      <w:r>
        <w:rPr/>
        <w:t>本公司报告分部包括：</w:t>
      </w:r>
    </w:p>
    <w:p>
      <w:pPr>
        <w:pStyle w:val="BodyText"/>
        <w:spacing w:line="240" w:lineRule="auto" w:before="76"/>
        <w:ind w:left="577" w:right="0"/>
        <w:jc w:val="left"/>
      </w:pPr>
      <w:r>
        <w:rPr/>
        <w:t>①企业信息化服务分部；</w:t>
      </w:r>
    </w:p>
    <w:p>
      <w:pPr>
        <w:pStyle w:val="BodyText"/>
        <w:spacing w:line="240" w:lineRule="auto" w:before="78"/>
        <w:ind w:left="577" w:right="0"/>
        <w:jc w:val="left"/>
      </w:pPr>
      <w:r>
        <w:rPr/>
        <w:t>②信息服务业务分部；</w:t>
      </w:r>
    </w:p>
    <w:p>
      <w:pPr>
        <w:pStyle w:val="BodyText"/>
        <w:spacing w:line="240" w:lineRule="auto" w:before="76"/>
        <w:ind w:left="577" w:right="0"/>
        <w:jc w:val="left"/>
      </w:pPr>
      <w:r>
        <w:rPr/>
        <w:t>③</w:t>
      </w:r>
      <w:r>
        <w:rPr>
          <w:rFonts w:ascii="宋体" w:hAnsi="宋体" w:cs="宋体" w:eastAsia="宋体" w:hint="default"/>
        </w:rPr>
        <w:t>IT</w:t>
      </w:r>
      <w:r>
        <w:rPr/>
        <w:t>销售业务分部；</w:t>
      </w:r>
    </w:p>
    <w:p>
      <w:pPr>
        <w:pStyle w:val="BodyText"/>
        <w:spacing w:line="307" w:lineRule="auto" w:before="76"/>
        <w:ind w:left="577" w:right="1118"/>
        <w:jc w:val="left"/>
      </w:pPr>
      <w:r>
        <w:rPr/>
        <w:t>④其他分部 </w:t>
      </w:r>
      <w:r>
        <w:rPr>
          <w:spacing w:val="-1"/>
        </w:rPr>
        <w:t>分部报告信息根据各分部向管理层报告时采用的会计政策及计量标准披露，这些会计政策及计量基础</w:t>
      </w:r>
    </w:p>
    <w:p>
      <w:pPr>
        <w:pStyle w:val="BodyText"/>
        <w:spacing w:line="254" w:lineRule="exact" w:before="0"/>
        <w:ind w:right="0"/>
        <w:jc w:val="left"/>
      </w:pPr>
      <w:r>
        <w:rPr/>
        <w:t>与编制财务报表时的会计政策及计量基础保持一致。</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报告分部的财务信息" w:id="503"/>
      <w:bookmarkEnd w:id="5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9"/>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571"/>
        <w:gridCol w:w="1571"/>
        <w:gridCol w:w="1317"/>
        <w:gridCol w:w="1571"/>
        <w:gridCol w:w="1317"/>
        <w:gridCol w:w="708"/>
        <w:gridCol w:w="1640"/>
      </w:tblGrid>
      <w:tr>
        <w:trPr>
          <w:trHeight w:val="714"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企业信息化服务</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信息服务业务</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销售业务</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67" w:right="78" w:hanging="90"/>
              <w:jc w:val="left"/>
              <w:rPr>
                <w:rFonts w:ascii="宋体" w:hAnsi="宋体" w:cs="宋体" w:eastAsia="宋体" w:hint="default"/>
                <w:sz w:val="18"/>
                <w:szCs w:val="18"/>
              </w:rPr>
            </w:pPr>
            <w:r>
              <w:rPr>
                <w:rFonts w:ascii="宋体" w:hAnsi="宋体" w:cs="宋体" w:eastAsia="宋体" w:hint="default"/>
                <w:sz w:val="18"/>
                <w:szCs w:val="18"/>
              </w:rPr>
              <w:t>分部间 抵销</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本期主营业务收入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3,098,752,494.04</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322,628,635.94</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5,688,614,056.23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142,756,006.32</w:t>
            </w:r>
          </w:p>
        </w:tc>
        <w:tc>
          <w:tcPr>
            <w:tcW w:w="7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9,252,751,192.53</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本期主营业务成本</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2,756,581,975.12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255,585,042.97</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5,524,746,690.69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104,196,801.13</w:t>
            </w:r>
          </w:p>
        </w:tc>
        <w:tc>
          <w:tcPr>
            <w:tcW w:w="7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8,641,110,509.91</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上期主营业务收入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2,534,456,496.40</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316,880,700.05</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6,058,625,826.97</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4,655,124.71</w:t>
            </w:r>
          </w:p>
        </w:tc>
        <w:tc>
          <w:tcPr>
            <w:tcW w:w="7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8,914,618,148.13</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上期主营业务成本</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sz w:val="18"/>
              </w:rPr>
              <w:t>2,261,306,009.06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244,503,487.90</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5" w:right="0"/>
              <w:jc w:val="center"/>
              <w:rPr>
                <w:rFonts w:ascii="宋体" w:hAnsi="宋体" w:cs="宋体" w:eastAsia="宋体" w:hint="default"/>
                <w:sz w:val="18"/>
                <w:szCs w:val="18"/>
              </w:rPr>
            </w:pPr>
            <w:r>
              <w:rPr>
                <w:rFonts w:ascii="宋体"/>
                <w:sz w:val="18"/>
              </w:rPr>
              <w:t>5,929,475,035.08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1,579,497.58</w:t>
            </w:r>
          </w:p>
        </w:tc>
        <w:tc>
          <w:tcPr>
            <w:tcW w:w="7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8,436,864,029.62</w:t>
            </w:r>
          </w:p>
        </w:tc>
      </w:tr>
    </w:tbl>
    <w:p>
      <w:pPr>
        <w:spacing w:after="0" w:line="240" w:lineRule="auto"/>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3）公司无报告分部的，或者不能披露各报告分部的资产总额和负债总额的，应说明原因" w:id="504"/>
      <w:bookmarkEnd w:id="50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4）其他说明" w:id="505"/>
      <w:bookmarkEnd w:id="505"/>
      <w:r>
        <w:rPr>
          <w:b w:val="0"/>
          <w:bCs w:val="0"/>
        </w:rPr>
      </w:r>
      <w:r>
        <w:rPr/>
        <w:t>（</w:t>
      </w:r>
      <w:r>
        <w:rPr>
          <w:rFonts w:ascii="Times New Roman" w:hAnsi="Times New Roman" w:cs="Times New Roman" w:eastAsia="Times New Roman" w:hint="default"/>
        </w:rPr>
        <w:t>4</w:t>
      </w:r>
      <w:r>
        <w:rPr/>
        <w:t>）其他说明</w:t>
      </w:r>
      <w:r>
        <w:rPr>
          <w:b w:val="0"/>
          <w:bCs w:val="0"/>
        </w:rPr>
      </w:r>
    </w:p>
    <w:p>
      <w:pPr>
        <w:spacing w:line="590" w:lineRule="atLeast" w:before="23"/>
        <w:ind w:left="577" w:right="0" w:hanging="424"/>
        <w:jc w:val="left"/>
        <w:rPr>
          <w:rFonts w:ascii="宋体" w:hAnsi="宋体" w:cs="宋体" w:eastAsia="宋体" w:hint="default"/>
          <w:sz w:val="21"/>
          <w:szCs w:val="21"/>
        </w:rPr>
      </w:pPr>
      <w:bookmarkStart w:name="7、其他对投资者决策有影响的重要交易和事项" w:id="506"/>
      <w:bookmarkEnd w:id="50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本公司子公司大唐高鸿信息技术有限公司与天津凯乐投资管理有限公司于</w:t>
      </w:r>
      <w:r>
        <w:rPr>
          <w:rFonts w:ascii="宋体" w:hAnsi="宋体" w:cs="宋体" w:eastAsia="宋体" w:hint="default"/>
          <w:spacing w:val="3"/>
          <w:sz w:val="21"/>
          <w:szCs w:val="21"/>
        </w:rPr>
        <w:t>2014</w:t>
      </w:r>
      <w:r>
        <w:rPr>
          <w:rFonts w:ascii="宋体" w:hAnsi="宋体" w:cs="宋体" w:eastAsia="宋体" w:hint="default"/>
          <w:spacing w:val="3"/>
          <w:sz w:val="21"/>
          <w:szCs w:val="21"/>
        </w:rPr>
        <w:t>年签订房屋长期租赁</w:t>
      </w:r>
    </w:p>
    <w:p>
      <w:pPr>
        <w:pStyle w:val="BodyText"/>
        <w:spacing w:line="273" w:lineRule="auto" w:before="37"/>
        <w:ind w:right="1130"/>
        <w:jc w:val="both"/>
      </w:pPr>
      <w:r>
        <w:rPr>
          <w:spacing w:val="-1"/>
        </w:rPr>
        <w:t>协议，标的房产为位于天津市河东区中山门中心区域凯旋广场</w:t>
      </w:r>
      <w:r>
        <w:rPr>
          <w:rFonts w:ascii="宋体" w:hAnsi="宋体" w:cs="宋体" w:eastAsia="宋体" w:hint="default"/>
          <w:spacing w:val="-1"/>
        </w:rPr>
        <w:t>2</w:t>
      </w:r>
      <w:r>
        <w:rPr>
          <w:spacing w:val="-1"/>
        </w:rPr>
        <w:t>号楼，租赁面积</w:t>
      </w:r>
      <w:r>
        <w:rPr>
          <w:rFonts w:ascii="宋体" w:hAnsi="宋体" w:cs="宋体" w:eastAsia="宋体" w:hint="default"/>
          <w:spacing w:val="-1"/>
        </w:rPr>
        <w:t>10000</w:t>
      </w:r>
      <w:r>
        <w:rPr>
          <w:spacing w:val="-1"/>
        </w:rPr>
        <w:t>平方米，租金为</w:t>
      </w:r>
      <w:r>
        <w:rPr>
          <w:rFonts w:ascii="宋体" w:hAnsi="宋体" w:cs="宋体" w:eastAsia="宋体" w:hint="default"/>
          <w:spacing w:val="-1"/>
        </w:rPr>
        <w:t>0.65</w:t>
      </w:r>
      <w:r>
        <w:rPr>
          <w:rFonts w:ascii="宋体" w:hAnsi="宋体" w:cs="宋体" w:eastAsia="宋体" w:hint="default"/>
          <w:spacing w:val="-80"/>
        </w:rPr>
        <w:t> </w:t>
      </w:r>
      <w:r>
        <w:rPr>
          <w:spacing w:val="-1"/>
        </w:rPr>
        <w:t>元</w:t>
      </w:r>
      <w:r>
        <w:rPr>
          <w:rFonts w:ascii="宋体" w:hAnsi="宋体" w:cs="宋体" w:eastAsia="宋体" w:hint="default"/>
          <w:spacing w:val="-1"/>
        </w:rPr>
        <w:t>/</w:t>
      </w:r>
      <w:r>
        <w:rPr>
          <w:spacing w:val="-1"/>
        </w:rPr>
        <w:t>平方米</w:t>
      </w:r>
      <w:r>
        <w:rPr>
          <w:rFonts w:ascii="宋体" w:hAnsi="宋体" w:cs="宋体" w:eastAsia="宋体" w:hint="default"/>
          <w:spacing w:val="-1"/>
        </w:rPr>
        <w:t>/</w:t>
      </w:r>
      <w:r>
        <w:rPr>
          <w:spacing w:val="-1"/>
        </w:rPr>
        <w:t>天，租赁期限</w:t>
      </w:r>
      <w:r>
        <w:rPr>
          <w:rFonts w:ascii="宋体" w:hAnsi="宋体" w:cs="宋体" w:eastAsia="宋体" w:hint="default"/>
          <w:spacing w:val="-1"/>
        </w:rPr>
        <w:t>40</w:t>
      </w:r>
      <w:r>
        <w:rPr>
          <w:spacing w:val="-1"/>
        </w:rPr>
        <w:t>年，租赁起始日为房屋建设完成交付日期。租赁协议由世界华商（北京）投资</w:t>
      </w:r>
      <w:r>
        <w:rPr>
          <w:spacing w:val="-84"/>
        </w:rPr>
        <w:t> </w:t>
      </w:r>
      <w:r>
        <w:rPr>
          <w:spacing w:val="-84"/>
        </w:rPr>
      </w:r>
      <w:r>
        <w:rPr>
          <w:spacing w:val="-1"/>
        </w:rPr>
        <w:t>担保有限公司提供连带责任担保，保证期间为自大唐高鸿信息技术有限公司向天津凯乐投资管理有限公司</w:t>
      </w:r>
      <w:r>
        <w:rPr>
          <w:spacing w:val="-80"/>
        </w:rPr>
        <w:t> </w:t>
      </w:r>
      <w:r>
        <w:rPr>
          <w:spacing w:val="-80"/>
        </w:rPr>
      </w:r>
      <w:r>
        <w:rPr/>
        <w:t>支付第一笔款项之日起至支付最后一笔款项之日起满</w:t>
      </w:r>
      <w:r>
        <w:rPr>
          <w:rFonts w:ascii="宋体" w:hAnsi="宋体" w:cs="宋体" w:eastAsia="宋体" w:hint="default"/>
        </w:rPr>
        <w:t>5</w:t>
      </w:r>
      <w:r>
        <w:rPr/>
        <w:t>年。</w:t>
      </w:r>
    </w:p>
    <w:p>
      <w:pPr>
        <w:pStyle w:val="BodyText"/>
        <w:spacing w:line="273" w:lineRule="auto"/>
        <w:ind w:left="577" w:right="0"/>
        <w:jc w:val="left"/>
      </w:pPr>
      <w:r>
        <w:rPr>
          <w:rFonts w:ascii="宋体" w:hAnsi="宋体" w:cs="宋体" w:eastAsia="宋体" w:hint="default"/>
        </w:rPr>
        <w:t>2015-2017</w:t>
      </w:r>
      <w:r>
        <w:rPr/>
        <w:t>年公司共计支付租金</w:t>
      </w:r>
      <w:r>
        <w:rPr>
          <w:rFonts w:ascii="宋体" w:hAnsi="宋体" w:cs="宋体" w:eastAsia="宋体" w:hint="default"/>
        </w:rPr>
        <w:t>92,328,097.41</w:t>
      </w:r>
      <w:r>
        <w:rPr/>
        <w:t>元，支付房屋装修费用</w:t>
      </w:r>
      <w:r>
        <w:rPr>
          <w:rFonts w:ascii="宋体" w:hAnsi="宋体" w:cs="宋体" w:eastAsia="宋体" w:hint="default"/>
        </w:rPr>
        <w:t>45,880,000.00</w:t>
      </w:r>
      <w:r>
        <w:rPr/>
        <w:t>元。 </w:t>
      </w:r>
      <w:r>
        <w:rPr>
          <w:spacing w:val="-1"/>
        </w:rPr>
        <w:t>标的房产于</w:t>
      </w:r>
      <w:r>
        <w:rPr>
          <w:rFonts w:ascii="宋体" w:hAnsi="宋体" w:cs="宋体" w:eastAsia="宋体" w:hint="default"/>
          <w:spacing w:val="-1"/>
        </w:rPr>
        <w:t>2016</w:t>
      </w:r>
      <w:r>
        <w:rPr>
          <w:spacing w:val="-1"/>
        </w:rPr>
        <w:t>年底交付本公司，标的房产所在地土地产权隶属于军队，根据《关于军队和武警部队</w:t>
      </w:r>
    </w:p>
    <w:p>
      <w:pPr>
        <w:pStyle w:val="BodyText"/>
        <w:spacing w:line="273" w:lineRule="auto"/>
        <w:ind w:right="0"/>
        <w:jc w:val="left"/>
      </w:pPr>
      <w:r>
        <w:rPr>
          <w:spacing w:val="-1"/>
        </w:rPr>
        <w:t>全面停止有偿服务活动的通知》（军发【</w:t>
      </w:r>
      <w:r>
        <w:rPr>
          <w:rFonts w:ascii="宋体" w:hAnsi="宋体" w:cs="宋体" w:eastAsia="宋体" w:hint="default"/>
          <w:spacing w:val="-1"/>
        </w:rPr>
        <w:t>2016</w:t>
      </w:r>
      <w:r>
        <w:rPr>
          <w:spacing w:val="-1"/>
        </w:rPr>
        <w:t>】</w:t>
      </w:r>
      <w:r>
        <w:rPr>
          <w:rFonts w:ascii="宋体" w:hAnsi="宋体" w:cs="宋体" w:eastAsia="宋体" w:hint="default"/>
          <w:spacing w:val="-1"/>
        </w:rPr>
        <w:t>58</w:t>
      </w:r>
      <w:r>
        <w:rPr>
          <w:spacing w:val="-1"/>
        </w:rPr>
        <w:t>号），该房产无法按照原规划投入使用，目前等候军队</w:t>
      </w:r>
      <w:r>
        <w:rPr>
          <w:spacing w:val="-84"/>
        </w:rPr>
        <w:t> </w:t>
      </w:r>
      <w:r>
        <w:rPr>
          <w:spacing w:val="-84"/>
        </w:rPr>
      </w:r>
      <w:r>
        <w:rPr/>
        <w:t>审批机关批复处置办法。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8、其他" w:id="507"/>
      <w:bookmarkEnd w:id="507"/>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0" w:firstLine="423"/>
        <w:jc w:val="left"/>
      </w:pPr>
      <w:r>
        <w:rPr/>
        <w:t>（</w:t>
      </w:r>
      <w:r>
        <w:rPr>
          <w:rFonts w:ascii="宋体" w:hAnsi="宋体" w:cs="宋体" w:eastAsia="宋体" w:hint="default"/>
        </w:rPr>
        <w:t>1</w:t>
      </w:r>
      <w:r>
        <w:rPr/>
        <w:t>）、公司控股股东电信科学技术研究院有限公司于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27</w:t>
      </w:r>
      <w:r>
        <w:rPr/>
        <w:t>日收到国务院国有资产监督管理委 员会通知，经国务院批准，同意电信科学技术研究院有限公司与武汉邮电科学研究院有限公司实施联合重 组。新设公司，由国务院国有资产监督管理委员会代表国务院履行出资人职责，将电信科学技术研究院有 </w:t>
      </w:r>
      <w:r>
        <w:rPr>
          <w:spacing w:val="-1"/>
        </w:rPr>
        <w:t>限公司和武汉邮电科学研究院有限公司整体无偿划入新公司中国信息通信科技集团有限公司。重组完成后，</w:t>
      </w:r>
      <w:r>
        <w:rPr>
          <w:spacing w:val="-80"/>
        </w:rPr>
        <w:t> </w:t>
      </w:r>
      <w:r>
        <w:rPr>
          <w:spacing w:val="-80"/>
        </w:rPr>
      </w:r>
      <w:r>
        <w:rPr/>
        <w:t>电信科学技术研究院有限公司持有本公司的股份数量及股权比例未发生变化，最终实际控制人国务院国有</w:t>
      </w:r>
      <w:r>
        <w:rPr/>
        <w:t> 资产监督管理委员会未发生变化。</w:t>
      </w:r>
    </w:p>
    <w:p>
      <w:pPr>
        <w:pStyle w:val="BodyText"/>
        <w:spacing w:line="273" w:lineRule="auto"/>
        <w:ind w:right="1131" w:firstLine="423"/>
        <w:jc w:val="both"/>
      </w:pPr>
      <w:r>
        <w:rPr/>
        <w:t>（</w:t>
      </w:r>
      <w:r>
        <w:rPr>
          <w:rFonts w:ascii="宋体" w:hAnsi="宋体" w:cs="宋体" w:eastAsia="宋体" w:hint="default"/>
        </w:rPr>
        <w:t>2</w:t>
      </w:r>
      <w:r>
        <w:rPr/>
        <w:t>）、</w:t>
      </w:r>
      <w:r>
        <w:rPr>
          <w:rFonts w:ascii="宋体" w:hAnsi="宋体" w:cs="宋体" w:eastAsia="宋体" w:hint="default"/>
        </w:rPr>
        <w:t>2018</w:t>
      </w:r>
      <w:r>
        <w:rPr/>
        <w:t>年</w:t>
      </w:r>
      <w:r>
        <w:rPr>
          <w:rFonts w:ascii="宋体" w:hAnsi="宋体" w:cs="宋体" w:eastAsia="宋体" w:hint="default"/>
        </w:rPr>
        <w:t>10</w:t>
      </w:r>
      <w:r>
        <w:rPr/>
        <w:t>月，公司根据对业务的整体规划，拟对外转让全资子公司江苏高鸿鼎恒信息技术有 </w:t>
      </w:r>
      <w:r>
        <w:rPr>
          <w:spacing w:val="-1"/>
        </w:rPr>
        <w:t>限公司</w:t>
      </w:r>
      <w:r>
        <w:rPr>
          <w:rFonts w:ascii="宋体" w:hAnsi="宋体" w:cs="宋体" w:eastAsia="宋体" w:hint="default"/>
          <w:spacing w:val="-1"/>
        </w:rPr>
        <w:t>100%</w:t>
      </w:r>
      <w:r>
        <w:rPr>
          <w:spacing w:val="-1"/>
        </w:rPr>
        <w:t>股权。本次交易挂牌地点为北京产权交易所，交易价格将不低于评估价值，目前资产评估报告</w:t>
      </w:r>
      <w:r>
        <w:rPr>
          <w:spacing w:val="-81"/>
        </w:rPr>
        <w:t> </w:t>
      </w:r>
      <w:r>
        <w:rPr>
          <w:spacing w:val="-81"/>
        </w:rPr>
      </w:r>
      <w:r>
        <w:rPr>
          <w:spacing w:val="-1"/>
        </w:rPr>
        <w:t>尚未完成国有资产的审核备案等工作。待交易价格确定后，本次交易需再次提交本公司董事会审议，提交</w:t>
      </w:r>
      <w:r>
        <w:rPr>
          <w:spacing w:val="-83"/>
        </w:rPr>
        <w:t> </w:t>
      </w:r>
      <w:r>
        <w:rPr>
          <w:spacing w:val="-83"/>
        </w:rPr>
      </w:r>
      <w:r>
        <w:rPr/>
        <w:t>本公司股东大会（如决策程序需要）审议，存在撤回预披露信息或不发布正式挂牌公告的可能。</w:t>
      </w:r>
    </w:p>
    <w:p>
      <w:pPr>
        <w:pStyle w:val="BodyText"/>
        <w:spacing w:line="273" w:lineRule="auto"/>
        <w:ind w:right="1130" w:firstLine="423"/>
        <w:jc w:val="both"/>
      </w:pPr>
      <w:r>
        <w:rPr>
          <w:spacing w:val="-1"/>
        </w:rPr>
        <w:t>（</w:t>
      </w:r>
      <w:r>
        <w:rPr>
          <w:rFonts w:ascii="宋体" w:hAnsi="宋体" w:cs="宋体" w:eastAsia="宋体" w:hint="default"/>
          <w:spacing w:val="-1"/>
        </w:rPr>
        <w:t>3</w:t>
      </w:r>
      <w:r>
        <w:rPr>
          <w:spacing w:val="-1"/>
        </w:rPr>
        <w:t>）、公司于</w:t>
      </w:r>
      <w:r>
        <w:rPr>
          <w:rFonts w:ascii="宋体" w:hAnsi="宋体" w:cs="宋体" w:eastAsia="宋体" w:hint="default"/>
          <w:spacing w:val="-1"/>
        </w:rPr>
        <w:t>2016</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21</w:t>
      </w:r>
      <w:r>
        <w:rPr>
          <w:spacing w:val="-1"/>
        </w:rPr>
        <w:t>日面向合格投资者公开发行公司债券，债券期限为</w:t>
      </w:r>
      <w:r>
        <w:rPr>
          <w:rFonts w:ascii="宋体" w:hAnsi="宋体" w:cs="宋体" w:eastAsia="宋体" w:hint="default"/>
          <w:spacing w:val="-1"/>
        </w:rPr>
        <w:t>5</w:t>
      </w:r>
      <w:r>
        <w:rPr>
          <w:spacing w:val="-1"/>
        </w:rPr>
        <w:t>年，附第</w:t>
      </w:r>
      <w:r>
        <w:rPr>
          <w:rFonts w:ascii="宋体" w:hAnsi="宋体" w:cs="宋体" w:eastAsia="宋体" w:hint="default"/>
          <w:spacing w:val="-1"/>
        </w:rPr>
        <w:t>3</w:t>
      </w:r>
      <w:r>
        <w:rPr>
          <w:spacing w:val="-1"/>
        </w:rPr>
        <w:t>年末发行人</w:t>
      </w:r>
      <w:r>
        <w:rPr/>
        <w:t> </w:t>
      </w:r>
      <w:r>
        <w:rPr>
          <w:spacing w:val="-1"/>
        </w:rPr>
        <w:t>上调票面利率选择权及投资者回售选择权。根据</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20</w:t>
      </w:r>
      <w:r>
        <w:rPr>
          <w:spacing w:val="-1"/>
        </w:rPr>
        <w:t>日、</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21</w:t>
      </w:r>
      <w:r>
        <w:rPr>
          <w:spacing w:val="-1"/>
        </w:rPr>
        <w:t>日、</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24</w:t>
      </w:r>
      <w:r>
        <w:rPr>
          <w:spacing w:val="-1"/>
        </w:rPr>
        <w:t>日回售</w:t>
      </w:r>
      <w:r>
        <w:rPr>
          <w:spacing w:val="-80"/>
        </w:rPr>
        <w:t> </w:t>
      </w:r>
      <w:r>
        <w:rPr>
          <w:spacing w:val="-1"/>
        </w:rPr>
        <w:t>登记日数据显示，“16高鸿债”回售数量为</w:t>
      </w:r>
      <w:r>
        <w:rPr>
          <w:rFonts w:ascii="宋体" w:hAnsi="宋体" w:cs="宋体" w:eastAsia="宋体" w:hint="default"/>
          <w:spacing w:val="-1"/>
        </w:rPr>
        <w:t>4,928,810</w:t>
      </w:r>
      <w:r>
        <w:rPr>
          <w:spacing w:val="-1"/>
        </w:rPr>
        <w:t>张，回售金额为</w:t>
      </w:r>
      <w:r>
        <w:rPr>
          <w:rFonts w:ascii="宋体" w:hAnsi="宋体" w:cs="宋体" w:eastAsia="宋体" w:hint="default"/>
          <w:spacing w:val="-1"/>
        </w:rPr>
        <w:t>492,881,000</w:t>
      </w:r>
      <w:r>
        <w:rPr>
          <w:spacing w:val="-1"/>
        </w:rPr>
        <w:t>元（不含利息），剩余</w:t>
      </w:r>
      <w:r>
        <w:rPr>
          <w:spacing w:val="-75"/>
        </w:rPr>
        <w:t> </w:t>
      </w:r>
      <w:r>
        <w:rPr>
          <w:spacing w:val="-75"/>
        </w:rPr>
      </w:r>
      <w:r>
        <w:rPr/>
        <w:t>托管量为</w:t>
      </w:r>
      <w:r>
        <w:rPr>
          <w:rFonts w:ascii="宋体" w:hAnsi="宋体" w:cs="宋体" w:eastAsia="宋体" w:hint="default"/>
        </w:rPr>
        <w:t>21,190</w:t>
      </w:r>
      <w:r>
        <w:rPr/>
        <w:t>张。</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21</w:t>
      </w:r>
      <w:r>
        <w:rPr/>
        <w:t>日公司完成债券回售资金支付。</w:t>
      </w:r>
    </w:p>
    <w:p>
      <w:pPr>
        <w:pStyle w:val="BodyText"/>
        <w:spacing w:line="273" w:lineRule="auto"/>
        <w:ind w:right="1131" w:firstLine="423"/>
        <w:jc w:val="both"/>
      </w:pPr>
      <w:r>
        <w:rPr>
          <w:spacing w:val="-1"/>
        </w:rPr>
        <w:t>（</w:t>
      </w:r>
      <w:r>
        <w:rPr>
          <w:rFonts w:ascii="宋体" w:hAnsi="宋体" w:cs="宋体" w:eastAsia="宋体" w:hint="default"/>
          <w:spacing w:val="-1"/>
        </w:rPr>
        <w:t>4</w:t>
      </w:r>
      <w:r>
        <w:rPr>
          <w:spacing w:val="-1"/>
        </w:rPr>
        <w:t>）、</w:t>
      </w:r>
      <w:r>
        <w:rPr>
          <w:rFonts w:ascii="宋体" w:hAnsi="宋体" w:cs="宋体" w:eastAsia="宋体" w:hint="default"/>
          <w:spacing w:val="-1"/>
        </w:rPr>
        <w:t>2019</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31</w:t>
      </w:r>
      <w:r>
        <w:rPr>
          <w:spacing w:val="-1"/>
        </w:rPr>
        <w:t>日，公司</w:t>
      </w:r>
      <w:r>
        <w:rPr>
          <w:rFonts w:ascii="宋体" w:hAnsi="宋体" w:cs="宋体" w:eastAsia="宋体" w:hint="default"/>
          <w:spacing w:val="-1"/>
        </w:rPr>
        <w:t>2019</w:t>
      </w:r>
      <w:r>
        <w:rPr>
          <w:spacing w:val="-1"/>
        </w:rPr>
        <w:t>年第二次临时股东大会审议通过《关于公开发行公司债券方案的议</w:t>
      </w:r>
      <w:r>
        <w:rPr/>
        <w:t> </w:t>
      </w:r>
      <w:r>
        <w:rPr>
          <w:spacing w:val="-1"/>
        </w:rPr>
        <w:t>案》、《关于授权董事会办理本次公开发行公司债券相关事项的议案》。发行的公司债券本金总额不超过</w:t>
      </w:r>
      <w:r>
        <w:rPr>
          <w:spacing w:val="-82"/>
        </w:rPr>
        <w:t> </w:t>
      </w:r>
      <w:r>
        <w:rPr>
          <w:spacing w:val="-82"/>
        </w:rPr>
      </w:r>
      <w:r>
        <w:rPr>
          <w:rFonts w:ascii="宋体" w:hAnsi="宋体" w:cs="宋体" w:eastAsia="宋体" w:hint="default"/>
          <w:spacing w:val="-1"/>
        </w:rPr>
        <w:t>5</w:t>
      </w:r>
      <w:r>
        <w:rPr>
          <w:spacing w:val="-1"/>
        </w:rPr>
        <w:t>亿元（含</w:t>
      </w:r>
      <w:r>
        <w:rPr>
          <w:rFonts w:ascii="宋体" w:hAnsi="宋体" w:cs="宋体" w:eastAsia="宋体" w:hint="default"/>
          <w:spacing w:val="-1"/>
        </w:rPr>
        <w:t>5</w:t>
      </w:r>
      <w:r>
        <w:rPr>
          <w:spacing w:val="-1"/>
        </w:rPr>
        <w:t>亿元），为固定利率债券，期限不超过</w:t>
      </w:r>
      <w:r>
        <w:rPr>
          <w:rFonts w:ascii="宋体" w:hAnsi="宋体" w:cs="宋体" w:eastAsia="宋体" w:hint="default"/>
          <w:spacing w:val="-1"/>
        </w:rPr>
        <w:t>3</w:t>
      </w:r>
      <w:r>
        <w:rPr>
          <w:spacing w:val="-1"/>
        </w:rPr>
        <w:t>年（含</w:t>
      </w:r>
      <w:r>
        <w:rPr>
          <w:rFonts w:ascii="宋体" w:hAnsi="宋体" w:cs="宋体" w:eastAsia="宋体" w:hint="default"/>
          <w:spacing w:val="-1"/>
        </w:rPr>
        <w:t>3</w:t>
      </w:r>
      <w:r>
        <w:rPr>
          <w:spacing w:val="-1"/>
        </w:rPr>
        <w:t>年）。具体方案需经中国证监会核准后方可实</w:t>
      </w:r>
      <w:r>
        <w:rPr>
          <w:spacing w:val="-86"/>
        </w:rPr>
        <w:t> </w:t>
      </w:r>
      <w:r>
        <w:rPr>
          <w:spacing w:val="-86"/>
        </w:rPr>
      </w:r>
      <w:r>
        <w:rPr/>
        <w:t>施，并最终以中国证监会核准的方案为准。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ind w:right="0"/>
        <w:jc w:val="both"/>
        <w:rPr>
          <w:b w:val="0"/>
          <w:bCs w:val="0"/>
        </w:rPr>
      </w:pPr>
      <w:bookmarkStart w:name="十七、母公司财务报表主要项目注释" w:id="508"/>
      <w:bookmarkEnd w:id="508"/>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应收票据及应收账款" w:id="509"/>
      <w:bookmarkEnd w:id="509"/>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spacing w:before="0"/>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18,980,877.38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4,028,286.10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18,980,877.38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4,028,286.10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510"/>
      <w:bookmarkEnd w:id="510"/>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511"/>
      <w:bookmarkEnd w:id="511"/>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账款" w:id="512"/>
      <w:bookmarkEnd w:id="51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26,572,6</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93.48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7,591,81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28.57%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18,980,87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10,846,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160.98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6,817,874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62.86%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4,028,286.1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26,572,6</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93.48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7,591,81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28.57%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18,980,87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7.38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10,846,</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160.98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6,817,874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62.86%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4,028,286.1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组合中，按账龄分析法计提坏账准备的应收账款：</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14,350,379.28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71,751.90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14,350,379.28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71,751.90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10,324,314.20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7,520,064.20</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5,608,500.00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2,804,250.00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4,715,814.20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4,715,814.20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24,674,693.48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7,591,816.10</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组合中，采用其他方法计提坏账准备的应收账款：</w:t>
      </w:r>
    </w:p>
    <w:p>
      <w:pPr>
        <w:spacing w:line="240" w:lineRule="auto" w:before="4"/>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3807"/>
        <w:gridCol w:w="2453"/>
        <w:gridCol w:w="1929"/>
        <w:gridCol w:w="1470"/>
      </w:tblGrid>
      <w:tr>
        <w:trPr>
          <w:trHeight w:val="347" w:hRule="exact"/>
        </w:trPr>
        <w:tc>
          <w:tcPr>
            <w:tcW w:w="3807" w:type="dxa"/>
            <w:vMerge w:val="restart"/>
            <w:tcBorders>
              <w:top w:val="single" w:sz="6" w:space="0" w:color="000000"/>
              <w:left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58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8" w:hRule="exact"/>
        </w:trPr>
        <w:tc>
          <w:tcPr>
            <w:tcW w:w="3807" w:type="dxa"/>
            <w:vMerge/>
            <w:tcBorders>
              <w:left w:val="single" w:sz="6" w:space="0" w:color="000000"/>
              <w:bottom w:val="single" w:sz="6" w:space="0" w:color="000000"/>
              <w:right w:val="single" w:sz="6" w:space="0" w:color="000000"/>
            </w:tcBorders>
          </w:tcPr>
          <w:p>
            <w:pP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9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3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380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无风险应收账款</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1,898,000.00</w:t>
            </w:r>
          </w:p>
        </w:tc>
        <w:tc>
          <w:tcPr>
            <w:tcW w:w="192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0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1,898,000.00</w:t>
            </w:r>
          </w:p>
        </w:tc>
        <w:tc>
          <w:tcPr>
            <w:tcW w:w="1929" w:type="dxa"/>
            <w:tcBorders>
              <w:top w:val="single" w:sz="6" w:space="0" w:color="000000"/>
              <w:left w:val="single" w:sz="6" w:space="0" w:color="000000"/>
              <w:bottom w:val="single" w:sz="6" w:space="0" w:color="000000"/>
              <w:right w:val="single" w:sz="6" w:space="0" w:color="000000"/>
            </w:tcBorders>
          </w:tcPr>
          <w:p>
            <w:pPr/>
          </w:p>
        </w:tc>
        <w:tc>
          <w:tcPr>
            <w:tcW w:w="147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060" w:bottom="1160" w:left="980" w:right="0"/>
        </w:sectPr>
      </w:pPr>
    </w:p>
    <w:p>
      <w:pPr>
        <w:spacing w:before="44"/>
        <w:ind w:left="154"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7"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773,941.22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095" w:space="2824"/>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3984"/>
        <w:gridCol w:w="5675"/>
      </w:tblGrid>
      <w:tr>
        <w:trPr>
          <w:trHeight w:val="348"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567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71" w:lineRule="exact"/>
        <w:jc w:val="center"/>
        <w:rPr>
          <w:rFonts w:ascii="宋体" w:hAnsi="宋体" w:cs="宋体" w:eastAsia="宋体" w:hint="default"/>
          <w:sz w:val="21"/>
          <w:szCs w:val="21"/>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984"/>
        <w:gridCol w:w="1723"/>
        <w:gridCol w:w="1833"/>
        <w:gridCol w:w="2119"/>
      </w:tblGrid>
      <w:tr>
        <w:trPr>
          <w:trHeight w:val="659" w:hRule="exact"/>
        </w:trPr>
        <w:tc>
          <w:tcPr>
            <w:tcW w:w="3984" w:type="dxa"/>
            <w:tcBorders>
              <w:top w:val="single" w:sz="6" w:space="0" w:color="000000"/>
              <w:left w:val="single" w:sz="6" w:space="0" w:color="000000"/>
              <w:bottom w:val="single" w:sz="6" w:space="0" w:color="000000"/>
              <w:right w:val="single" w:sz="6" w:space="0" w:color="000000"/>
            </w:tcBorders>
          </w:tcPr>
          <w:p>
            <w:pP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36" w:right="69" w:hanging="369"/>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占应收账款合计数 的比例</w:t>
            </w:r>
            <w:r>
              <w:rPr>
                <w:rFonts w:ascii="Times New Roman" w:hAnsi="Times New Roman" w:cs="Times New Roman" w:eastAsia="Times New Roman" w:hint="default"/>
                <w:sz w:val="21"/>
                <w:szCs w:val="21"/>
              </w:rPr>
              <w:t>(%)</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南京东州科技有限公司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9,999,999.97</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37.63</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50,000.00</w:t>
            </w:r>
          </w:p>
        </w:tc>
      </w:tr>
      <w:tr>
        <w:trPr>
          <w:trHeight w:val="347"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珠海祺利通信科技有限公司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5,608,500.00</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21.11</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2,804,250.00</w:t>
            </w:r>
          </w:p>
        </w:tc>
      </w:tr>
      <w:tr>
        <w:trPr>
          <w:trHeight w:val="427"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贵州久湛智通科技有限公司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4,350,379.31</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z w:val="21"/>
              </w:rPr>
              <w:t>16.37</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Times New Roman"/>
                <w:sz w:val="21"/>
              </w:rPr>
              <w:t>21,751.90</w:t>
            </w:r>
          </w:p>
        </w:tc>
      </w:tr>
      <w:tr>
        <w:trPr>
          <w:trHeight w:val="347"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大唐高鸿济宁电子信息技术有限公司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1,800,000.00</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6.77</w:t>
            </w:r>
          </w:p>
        </w:tc>
        <w:tc>
          <w:tcPr>
            <w:tcW w:w="211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云南云天化联合商务有限公司</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413,350.00</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1.56</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413,350.00</w:t>
            </w:r>
          </w:p>
        </w:tc>
      </w:tr>
      <w:tr>
        <w:trPr>
          <w:trHeight w:val="347" w:hRule="exact"/>
        </w:trPr>
        <w:tc>
          <w:tcPr>
            <w:tcW w:w="398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22,172,229.28</w:t>
            </w:r>
          </w:p>
        </w:tc>
        <w:tc>
          <w:tcPr>
            <w:tcW w:w="1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83.44</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3,289,351.90</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p>
    <w:p>
      <w:pPr>
        <w:spacing w:line="338" w:lineRule="auto" w:before="10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其他应收款" w:id="513"/>
      <w:bookmarkEnd w:id="51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820,016.36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674,212,887.79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907,873,045.97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675,032,904.15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907,873,045.97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514"/>
      <w:bookmarkEnd w:id="51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股利" w:id="515"/>
      <w:bookmarkEnd w:id="51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昆山雷石雨花股权投资合伙企业（有限 合伙）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820,016.36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820,016.36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2"/>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应收款" w:id="516"/>
      <w:bookmarkEnd w:id="51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686,523,</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327.31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12,310,4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39.52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674,212,8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87.79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920,517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,790.17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12,644,74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907,873,04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5.97</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686,523,</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327.31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12,310,4</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39.52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1.79%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674,212,8</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87.79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920,517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,790.17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12,644,74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4.20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1.37%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907,873,04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5.97</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44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147,764.52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738.82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147,764.52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738.82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34,946.11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698.92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3,219,585.98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321,958.60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14,790,988.22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11,987,043.18</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1,289,400.00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386,820.00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3,802,730.08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1,901,365.04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9,698,858.14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9,698,858.14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18,193,284.83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12,310,439.52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21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6"/>
        <w:ind w:left="21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 组合中，采用其他方法计提坏账准备的其他应收款：</w:t>
      </w:r>
    </w:p>
    <w:p>
      <w:pPr>
        <w:spacing w:before="40"/>
        <w:ind w:left="21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4064"/>
        <w:gridCol w:w="2324"/>
        <w:gridCol w:w="1967"/>
        <w:gridCol w:w="1500"/>
      </w:tblGrid>
      <w:tr>
        <w:trPr>
          <w:trHeight w:val="323" w:hRule="exact"/>
        </w:trPr>
        <w:tc>
          <w:tcPr>
            <w:tcW w:w="4064" w:type="dxa"/>
            <w:vMerge w:val="restart"/>
            <w:tcBorders>
              <w:top w:val="single" w:sz="4" w:space="0" w:color="000000"/>
              <w:left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57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22" w:hRule="exact"/>
        </w:trPr>
        <w:tc>
          <w:tcPr>
            <w:tcW w:w="4064" w:type="dxa"/>
            <w:vMerge/>
            <w:tcBorders>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25"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22"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无风险应收账款</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668,330,042.48</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0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668,330,042.48</w:t>
            </w:r>
          </w:p>
        </w:tc>
        <w:tc>
          <w:tcPr>
            <w:tcW w:w="1967"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77" w:footer="979" w:top="1060" w:bottom="1160" w:left="920" w:right="0"/>
        </w:sectPr>
      </w:pPr>
    </w:p>
    <w:p>
      <w:pPr>
        <w:spacing w:before="44"/>
        <w:ind w:left="214"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before="103"/>
        <w:ind w:left="21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334,304.68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214"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2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20" w:right="0"/>
          <w:cols w:num="2" w:equalWidth="0">
            <w:col w:w="6154" w:space="2765"/>
            <w:col w:w="2071"/>
          </w:cols>
        </w:sectPr>
      </w:pP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214" w:right="6642"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9" w:lineRule="auto"/>
        <w:jc w:val="left"/>
        <w:rPr>
          <w:rFonts w:ascii="宋体" w:hAnsi="宋体" w:cs="宋体" w:eastAsia="宋体" w:hint="default"/>
          <w:sz w:val="18"/>
          <w:szCs w:val="18"/>
        </w:rPr>
        <w:sectPr>
          <w:type w:val="continuous"/>
          <w:pgSz w:w="11910" w:h="16840"/>
          <w:pgMar w:top="1060" w:bottom="1160" w:left="920" w:right="0"/>
        </w:sectPr>
      </w:pPr>
    </w:p>
    <w:p>
      <w:pPr>
        <w:spacing w:before="51"/>
        <w:ind w:left="21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21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2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20" w:right="0"/>
          <w:cols w:num="2" w:equalWidth="0">
            <w:col w:w="2885" w:space="6035"/>
            <w:col w:w="2070"/>
          </w:cols>
        </w:sectPr>
      </w:pP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686,366,048.79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920,432,531.75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73,586.03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13,278.52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11,672.39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686,523,327.31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920,517,790.17</w:t>
            </w:r>
          </w:p>
        </w:tc>
      </w:tr>
    </w:tbl>
    <w:p>
      <w:pPr>
        <w:spacing w:before="51"/>
        <w:ind w:left="2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1684"/>
        <w:gridCol w:w="1118"/>
        <w:gridCol w:w="1276"/>
        <w:gridCol w:w="2262"/>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贵州大唐高鸿置业有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282,488,100.83</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270,488,100.83;1-2</w:t>
            </w:r>
          </w:p>
          <w:p>
            <w:pPr>
              <w:pStyle w:val="TableParagraph"/>
              <w:spacing w:line="240" w:lineRule="auto" w:before="6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12,000,000.00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北京大唐高鸿数据网 络技术有限公司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171,600,385.19</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22" w:right="29"/>
              <w:jc w:val="left"/>
              <w:rPr>
                <w:rFonts w:ascii="宋体" w:hAnsi="宋体" w:cs="宋体" w:eastAsia="宋体" w:hint="default"/>
                <w:sz w:val="18"/>
                <w:szCs w:val="18"/>
              </w:rPr>
            </w:pPr>
            <w:r>
              <w:rPr>
                <w:rFonts w:ascii="宋体" w:hAnsi="宋体" w:cs="宋体" w:eastAsia="宋体" w:hint="default"/>
                <w:sz w:val="18"/>
                <w:szCs w:val="18"/>
              </w:rPr>
              <w:t>江苏高鸿鼎恒信息技 术有限公司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87,000,000.00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86,000,000.00</w:t>
            </w:r>
            <w:r>
              <w:rPr>
                <w:rFonts w:ascii="宋体" w:hAnsi="宋体" w:cs="宋体" w:eastAsia="宋体" w:hint="default"/>
                <w:sz w:val="18"/>
                <w:szCs w:val="18"/>
              </w:rPr>
              <w:t>；</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浙江高鸿电子技术有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71,500,000.00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8,500,000.00;2-3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35,000,000.00</w:t>
            </w:r>
            <w:r>
              <w:rPr>
                <w:rFonts w:ascii="宋体" w:hAnsi="宋体" w:cs="宋体" w:eastAsia="宋体" w:hint="default"/>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2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118"/>
        <w:gridCol w:w="1276"/>
        <w:gridCol w:w="2262"/>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sz w:val="18"/>
              </w:rPr>
              <w:t>28,000,000.00</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大唐高鸿信息技术有 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42"/>
              <w:jc w:val="right"/>
              <w:rPr>
                <w:rFonts w:ascii="宋体" w:hAnsi="宋体" w:cs="宋体" w:eastAsia="宋体" w:hint="default"/>
                <w:sz w:val="18"/>
                <w:szCs w:val="18"/>
              </w:rPr>
            </w:pPr>
            <w:r>
              <w:rPr>
                <w:rFonts w:ascii="宋体" w:hAnsi="宋体" w:cs="宋体" w:eastAsia="宋体" w:hint="default"/>
                <w:sz w:val="18"/>
                <w:szCs w:val="18"/>
              </w:rPr>
              <w:t>往来款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55,732,042.46</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92"/>
              <w:jc w:val="right"/>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668,320,528.48</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97.35%</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w:t>
      </w:r>
    </w:p>
    <w:p>
      <w:pPr>
        <w:spacing w:line="338" w:lineRule="auto" w:before="103"/>
        <w:ind w:left="154" w:right="66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长期股权投资" w:id="517"/>
      <w:bookmarkEnd w:id="51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3,062,702,472.50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35,645,142.55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3,027,057,329.95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2,712,702,472.50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2,712,702,472.50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114,206,060.76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114,206,060.76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70,626,949.18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70,626,949.18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3,176,908,533.26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35,645,142.55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3,141,263,390.71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2,783,329,421.68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2,783,329,421.68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518"/>
      <w:bookmarkEnd w:id="51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北京高阳捷迅信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890,533,089.00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890,533,089.00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北京大唐高鸿数 据网络技术有限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419,405,856.90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769,405,856.90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江苏高鸿鼎恒信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494,187,718.80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494,187,718.80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大唐高鸿信息技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271,620,800.00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271,620,800.00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贵州大唐高鸿置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大唐高鸿通信技</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184,930,000.00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大唐高鸿济宁电 子信息技术有限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大唐高鸿信息通 信研究院（义乌） 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高鸿恒昌科技有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41,204,418.09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41,204,418.09</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35,645,142.55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35,645,142.55</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大唐投资管理（北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京）有限公司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36,142,737.35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36,142,737.35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大唐融合通信股 份有限公司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35,423,622.36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35,423,622.36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北京大唐高鸿软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大唐高鸿</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454,230.00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454,230.00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2,712,702,472.50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350,000,000.00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3,062,702,472.50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35,645,142.55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35,645,142.55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519"/>
      <w:bookmarkEnd w:id="51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北京海岸 淘金创业 投资有限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7,734,105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-320,617.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7,413,487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大唐高新 创业投资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26,336,84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-10,377.7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26,326,46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贵州大数 据旅游产 业股份有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14,040,33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334,518.7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14,374,85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大唐融合 信息服务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5,612,839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24,613.52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92,918.29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35,730,37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浙江高鸿 电子科技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16,902,82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-1,650,52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15,252,30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0.18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中产投科 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108,584.8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15,108,58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70,626,94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-1,513,80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92,918.29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114,206,0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60.76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70,626,94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-1,513,80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92,918.29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114,206,0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60.76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520"/>
      <w:bookmarkEnd w:id="52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521"/>
      <w:bookmarkEnd w:id="52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13,680,297.76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4,526,375.58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70,058.63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13,680,297.76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4,526,375.58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70,699.66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投资收益" w:id="522"/>
      <w:bookmarkEnd w:id="52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101,270,950.45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-1,513,806.71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-2,513,908.08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2,820,016.36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579,160.31</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53,306,209.65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99,336,202.68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其他" w:id="523"/>
      <w:bookmarkEnd w:id="52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24"/>
      <w:bookmarkEnd w:id="524"/>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25"/>
      <w:bookmarkEnd w:id="52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before="103"/>
        <w:ind w:left="154"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5026"/>
        <w:gridCol w:w="4657"/>
      </w:tblGrid>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-696,899.00</w:t>
            </w:r>
            <w:r>
              <w:rPr>
                <w:rFonts w:ascii="Times New Roman"/>
                <w:sz w:val="18"/>
              </w:rPr>
            </w:r>
          </w:p>
        </w:tc>
      </w:tr>
      <w:tr>
        <w:trPr>
          <w:trHeight w:val="714"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标准定额或定量享受的政府补助除外）</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45,596,872.93</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-2,000,567.10</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5,202,911.09</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3,517,079.86</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19,524,550.94</w:t>
            </w:r>
          </w:p>
        </w:tc>
      </w:tr>
      <w:tr>
        <w:trPr>
          <w:trHeight w:val="402" w:hRule="exact"/>
        </w:trPr>
        <w:tc>
          <w:tcPr>
            <w:tcW w:w="5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25,060,687.12</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4"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软件企业增值税即征即退</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97" w:right="0"/>
              <w:jc w:val="left"/>
              <w:rPr>
                <w:rFonts w:ascii="Times New Roman" w:hAnsi="Times New Roman" w:cs="Times New Roman" w:eastAsia="Times New Roman" w:hint="default"/>
                <w:sz w:val="18"/>
                <w:szCs w:val="18"/>
              </w:rPr>
            </w:pPr>
            <w:r>
              <w:rPr>
                <w:rFonts w:ascii="Times New Roman"/>
                <w:sz w:val="18"/>
              </w:rPr>
              <w:t>11,393,175.92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both"/>
              <w:rPr>
                <w:rFonts w:ascii="宋体" w:hAnsi="宋体" w:cs="宋体" w:eastAsia="宋体" w:hint="default"/>
                <w:sz w:val="18"/>
                <w:szCs w:val="18"/>
              </w:rPr>
            </w:pPr>
            <w:r>
              <w:rPr>
                <w:rFonts w:ascii="宋体" w:hAnsi="宋体" w:cs="宋体" w:eastAsia="宋体" w:hint="default"/>
                <w:sz w:val="18"/>
                <w:szCs w:val="18"/>
              </w:rPr>
              <w:t>与公司主营业务密切相关，符合国家政 策规定，按照一定标准定额持续享受的 政府补助</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净资产收益率及每股收益" w:id="526"/>
      <w:bookmarkEnd w:id="52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0.0374</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0.0098</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27"/>
      <w:bookmarkEnd w:id="52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28"/>
      <w:bookmarkEnd w:id="52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同时按照境外会计准则与按中国会计准则披露的财务报告中净利润和净资产差异情况" w:id="529"/>
      <w:bookmarkEnd w:id="52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30"/>
      <w:bookmarkEnd w:id="53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31"/>
      <w:bookmarkEnd w:id="53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2059" w:right="3040"/>
        <w:jc w:val="center"/>
        <w:rPr>
          <w:b w:val="0"/>
          <w:bCs w:val="0"/>
        </w:rPr>
      </w:pPr>
      <w:bookmarkStart w:name="第十二节备查文件目录" w:id="532"/>
      <w:bookmarkEnd w:id="532"/>
      <w:r>
        <w:rPr>
          <w:b w:val="0"/>
          <w:bCs w:val="0"/>
        </w:rPr>
      </w:r>
      <w:bookmarkStart w:name="_bookmark11" w:id="533"/>
      <w:bookmarkEnd w:id="533"/>
      <w:r>
        <w:rPr>
          <w:b w:val="0"/>
          <w:bCs w:val="0"/>
        </w:rPr>
      </w:r>
      <w:r>
        <w:rPr/>
        <w:t>第十二节备查文件目录</w:t>
      </w:r>
      <w:r>
        <w:rPr>
          <w:b w:val="0"/>
          <w:bCs w:val="0"/>
        </w:rPr>
      </w:r>
    </w:p>
    <w:p>
      <w:pPr>
        <w:spacing w:line="240" w:lineRule="auto" w:before="10"/>
        <w:rPr>
          <w:rFonts w:ascii="宋体" w:hAnsi="宋体" w:cs="宋体" w:eastAsia="宋体" w:hint="default"/>
          <w:b/>
          <w:bCs/>
          <w:sz w:val="38"/>
          <w:szCs w:val="38"/>
        </w:rPr>
      </w:pPr>
    </w:p>
    <w:p>
      <w:pPr>
        <w:pStyle w:val="Heading3"/>
        <w:spacing w:line="240" w:lineRule="auto"/>
        <w:ind w:right="0"/>
        <w:jc w:val="left"/>
      </w:pPr>
      <w:r>
        <w:rPr>
          <w:rFonts w:ascii="Times New Roman" w:hAnsi="Times New Roman" w:cs="Times New Roman" w:eastAsia="Times New Roman" w:hint="default"/>
        </w:rPr>
        <w:t>1</w:t>
      </w:r>
      <w:r>
        <w:rPr/>
        <w:t>、载有董事长签名的年度报告文本；</w:t>
      </w:r>
    </w:p>
    <w:p>
      <w:pPr>
        <w:pStyle w:val="Heading3"/>
        <w:spacing w:line="240" w:lineRule="auto" w:before="21"/>
        <w:ind w:right="0"/>
        <w:jc w:val="left"/>
      </w:pPr>
      <w:r>
        <w:rPr>
          <w:rFonts w:ascii="Times New Roman" w:hAnsi="Times New Roman" w:cs="Times New Roman" w:eastAsia="Times New Roman" w:hint="default"/>
        </w:rPr>
        <w:t>2</w:t>
      </w:r>
      <w:r>
        <w:rPr/>
        <w:t>、载有单位负责人、主管会计工作的负责人、会计机构负责人签名并盖章的财务报告文本；</w:t>
      </w:r>
    </w:p>
    <w:p>
      <w:pPr>
        <w:pStyle w:val="Heading3"/>
        <w:spacing w:line="240" w:lineRule="auto" w:before="19"/>
        <w:ind w:right="0"/>
        <w:jc w:val="left"/>
      </w:pPr>
      <w:r>
        <w:rPr>
          <w:rFonts w:ascii="Times New Roman" w:hAnsi="Times New Roman" w:cs="Times New Roman" w:eastAsia="Times New Roman" w:hint="default"/>
        </w:rPr>
        <w:t>3</w:t>
      </w:r>
      <w:r>
        <w:rPr/>
        <w:t>、载有会计师事务所盖章、注册会计师签名并盖章的审计报告原件；</w:t>
      </w:r>
    </w:p>
    <w:p>
      <w:pPr>
        <w:pStyle w:val="Heading3"/>
        <w:spacing w:line="240" w:lineRule="auto" w:before="19"/>
        <w:ind w:right="0"/>
        <w:jc w:val="left"/>
      </w:pPr>
      <w:r>
        <w:rPr>
          <w:rFonts w:ascii="Times New Roman" w:hAnsi="Times New Roman" w:cs="Times New Roman" w:eastAsia="Times New Roman" w:hint="default"/>
        </w:rPr>
        <w:t>4</w:t>
      </w:r>
      <w:r>
        <w:rPr/>
        <w:t>、报告期内在《公司章程》指定披露报刊及网站上公开披露过的所有文件文本；</w:t>
      </w:r>
    </w:p>
    <w:p>
      <w:pPr>
        <w:pStyle w:val="Heading3"/>
        <w:spacing w:line="240" w:lineRule="auto" w:before="20"/>
        <w:ind w:right="0"/>
        <w:jc w:val="left"/>
      </w:pPr>
      <w:r>
        <w:rPr>
          <w:rFonts w:ascii="宋体" w:hAnsi="宋体" w:cs="宋体" w:eastAsia="宋体" w:hint="default"/>
        </w:rPr>
        <w:t>5</w:t>
      </w:r>
      <w:r>
        <w:rPr/>
        <w:t>、《公司章程》文本；</w:t>
      </w:r>
    </w:p>
    <w:p>
      <w:pPr>
        <w:pStyle w:val="Heading3"/>
        <w:spacing w:line="240" w:lineRule="auto" w:before="37"/>
        <w:ind w:right="0"/>
        <w:jc w:val="left"/>
      </w:pPr>
      <w:r>
        <w:rPr>
          <w:rFonts w:ascii="Times New Roman" w:hAnsi="Times New Roman" w:cs="Times New Roman" w:eastAsia="Times New Roman" w:hint="default"/>
        </w:rPr>
        <w:t>6</w:t>
      </w:r>
      <w:r>
        <w:rPr/>
        <w:t>、其他有关资料。</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1"/>
          <w:szCs w:val="31"/>
        </w:rPr>
      </w:pPr>
    </w:p>
    <w:p>
      <w:pPr>
        <w:pStyle w:val="Heading3"/>
        <w:spacing w:line="240" w:lineRule="auto"/>
        <w:ind w:right="1131"/>
        <w:jc w:val="right"/>
      </w:pPr>
      <w:r>
        <w:rPr/>
        <w:t>大唐高鸿数据网络技术股份有限公司</w:t>
      </w:r>
    </w:p>
    <w:p>
      <w:pPr>
        <w:pStyle w:val="Heading3"/>
        <w:spacing w:line="240" w:lineRule="auto" w:before="37"/>
        <w:ind w:right="1130"/>
        <w:jc w:val="right"/>
      </w:pPr>
      <w:r>
        <w:rPr/>
        <w:t>董事长：付景林</w:t>
      </w:r>
    </w:p>
    <w:p>
      <w:pPr>
        <w:pStyle w:val="Heading3"/>
        <w:spacing w:line="240" w:lineRule="auto" w:before="38"/>
        <w:ind w:right="1130"/>
        <w:jc w:val="righ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宋体" w:hAnsi="宋体" w:cs="宋体" w:eastAsia="宋体" w:hint="default"/>
        </w:rPr>
        <w:t>22</w:t>
      </w:r>
      <w:r>
        <w:rPr/>
        <w:t>日</w:t>
      </w:r>
    </w:p>
    <w:sectPr>
      <w:pgSz w:w="11910" w:h="16840"/>
      <w:pgMar w:header="87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6288" type="#_x0000_t75" stroked="false">
          <v:imagedata r:id="rId1" o:title=""/>
        </v:shape>
      </w:pict>
    </w:r>
    <w:r>
      <w:rPr/>
      <w:pict>
        <v:shape style="position:absolute;margin-left:294.420013pt;margin-top:795.517944pt;width:6.5pt;height:11pt;mso-position-horizontal-relative:page;mso-position-vertical-relative:page;z-index:-154626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6240" type="#_x0000_t75" stroked="false">
          <v:imagedata r:id="rId1" o:title=""/>
        </v:shape>
      </w:pict>
    </w:r>
    <w:r>
      <w:rPr/>
      <w:pict>
        <v:shape style="position:absolute;margin-left:291.200012pt;margin-top:781.957947pt;width:13pt;height:11pt;mso-position-horizontal-relative:page;mso-position-vertical-relative:page;z-index:-1546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46168" type="#_x0000_t75" stroked="false">
          <v:imagedata r:id="rId1" o:title=""/>
        </v:shape>
      </w:pict>
    </w:r>
    <w:r>
      <w:rPr/>
      <w:pict>
        <v:shape style="position:absolute;margin-left:414.480011pt;margin-top:535.357971pt;width:13pt;height:11pt;mso-position-horizontal-relative:page;mso-position-vertical-relative:page;z-index:-1546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6072" type="#_x0000_t75" stroked="false">
          <v:imagedata r:id="rId1" o:title=""/>
        </v:shape>
      </w:pict>
    </w:r>
    <w:r>
      <w:rPr/>
      <w:pict>
        <v:shape style="position:absolute;margin-left:291.200012pt;margin-top:781.957947pt;width:13pt;height:11pt;mso-position-horizontal-relative:page;mso-position-vertical-relative:page;z-index:-1546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6024" type="#_x0000_t75" stroked="false">
          <v:imagedata r:id="rId1" o:title=""/>
        </v:shape>
      </w:pict>
    </w:r>
    <w:r>
      <w:rPr/>
      <w:pict>
        <v:shape style="position:absolute;margin-left:289.920013pt;margin-top:781.957947pt;width:15.5pt;height:11pt;mso-position-horizontal-relative:page;mso-position-vertical-relative:page;z-index:-1546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5976" type="#_x0000_t75" stroked="false">
          <v:imagedata r:id="rId1" o:title=""/>
        </v:shape>
      </w:pict>
    </w:r>
    <w:r>
      <w:rPr/>
      <w:pict>
        <v:shape style="position:absolute;margin-left:288.920013pt;margin-top:781.957947pt;width:17.5pt;height:11pt;mso-position-horizontal-relative:page;mso-position-vertical-relative:page;z-index:-1545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545904" type="#_x0000_t75" stroked="false">
          <v:imagedata r:id="rId1" o:title=""/>
        </v:shape>
      </w:pict>
    </w:r>
    <w:r>
      <w:rPr/>
      <w:pict>
        <v:shape style="position:absolute;margin-left:412.200012pt;margin-top:535.357971pt;width:17.5pt;height:11pt;mso-position-horizontal-relative:page;mso-position-vertical-relative:page;z-index:-1545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5808" type="#_x0000_t75" stroked="false">
          <v:imagedata r:id="rId1" o:title=""/>
        </v:shape>
      </w:pict>
    </w:r>
    <w:r>
      <w:rPr/>
      <w:pict>
        <v:shape style="position:absolute;margin-left:288.920013pt;margin-top:781.957947pt;width:17.5pt;height:11pt;mso-position-horizontal-relative:page;mso-position-vertical-relative:page;z-index:-154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545760" type="#_x0000_t75" stroked="false">
          <v:imagedata r:id="rId1" o:title=""/>
        </v:shape>
      </w:pict>
    </w:r>
    <w:r>
      <w:rPr/>
      <w:pict>
        <v:shape style="position:absolute;margin-left:288.920013pt;margin-top:781.957947pt;width:17.5pt;height:11pt;mso-position-horizontal-relative:page;mso-position-vertical-relative:page;z-index:-1545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160004pt;margin-top:36.325607pt;width:231.55pt;height:11.5pt;mso-position-horizontal-relative:page;mso-position-vertical-relative:page;z-index:-15463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60022pt;margin-top:42.865631pt;width:231.55pt;height:11.5pt;mso-position-horizontal-relative:page;mso-position-vertical-relative:page;z-index:-1546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54612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08.160004pt;margin-top:42.865608pt;width:231.55pt;height:11.5pt;mso-position-horizontal-relative:page;mso-position-vertical-relative:page;z-index:-1546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60022pt;margin-top:42.865631pt;width:231.55pt;height:11.5pt;mso-position-horizontal-relative:page;mso-position-vertical-relative:page;z-index:-1545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154585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08.160004pt;margin-top:42.865608pt;width:231.55pt;height:11.5pt;mso-position-horizontal-relative:page;mso-position-vertical-relative:page;z-index:-15458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大唐高鸿数据网络技术股份有限公司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7"/>
      <w:ind w:left="154"/>
    </w:pPr>
    <w:rPr>
      <w:rFonts w:ascii="宋体" w:hAnsi="宋体" w:eastAsia="宋体"/>
      <w:sz w:val="28"/>
      <w:szCs w:val="28"/>
    </w:rPr>
  </w:style>
  <w:style w:styleId="BodyText" w:type="paragraph">
    <w:name w:val="Body Text"/>
    <w:basedOn w:val="Normal"/>
    <w:uiPriority w:val="1"/>
    <w:qFormat/>
    <w:pPr>
      <w:spacing w:before="7"/>
      <w:ind w:left="154"/>
    </w:pPr>
    <w:rPr>
      <w:rFonts w:ascii="宋体" w:hAnsi="宋体" w:eastAsia="宋体"/>
      <w:sz w:val="21"/>
      <w:szCs w:val="21"/>
    </w:rPr>
  </w:style>
  <w:style w:styleId="Heading1" w:type="paragraph">
    <w:name w:val="Heading 1"/>
    <w:basedOn w:val="Normal"/>
    <w:uiPriority w:val="1"/>
    <w:qFormat/>
    <w:pPr>
      <w:spacing w:before="1"/>
      <w:ind w:left="206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ohigh.com.cn/" TargetMode="External"/><Relationship Id="rId10" Type="http://schemas.openxmlformats.org/officeDocument/2006/relationships/hyperlink" Target="mailto:gohigh@gohigh.com.cn" TargetMode="External"/><Relationship Id="rId11" Type="http://schemas.openxmlformats.org/officeDocument/2006/relationships/hyperlink" Target="mailto:dingmingfeng@gohigh.com.cn" TargetMode="External"/><Relationship Id="rId12" Type="http://schemas.openxmlformats.org/officeDocument/2006/relationships/hyperlink" Target="mailto:sunyinghui@gohigh.com.cn" TargetMode="External"/><Relationship Id="rId13" Type="http://schemas.openxmlformats.org/officeDocument/2006/relationships/hyperlink" Target="http://www.cninfo.com.cn/" TargetMode="External"/><Relationship Id="rId14" Type="http://schemas.openxmlformats.org/officeDocument/2006/relationships/hyperlink" Target="http://w/" TargetMode="External"/><Relationship Id="rId15" Type="http://schemas.openxmlformats.org/officeDocument/2006/relationships/hyperlink" Target="http://irm.cninfo.com.cn/ircs/search?keyword=000851" TargetMode="Externa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image" Target="media/image3.jpeg"/><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hyperlink" Target="http://www.szse.cn/" TargetMode="External"/><Relationship Id="rId24" Type="http://schemas.openxmlformats.org/officeDocument/2006/relationships/hyperlink" Target="http://www.cninfo.com.cn/cninfo-new/index" TargetMode="External"/><Relationship Id="rId25" Type="http://schemas.openxmlformats.org/officeDocument/2006/relationships/header" Target="header4.xml"/><Relationship Id="rId26" Type="http://schemas.openxmlformats.org/officeDocument/2006/relationships/footer" Target="footer7.xml"/><Relationship Id="rId27" Type="http://schemas.openxmlformats.org/officeDocument/2006/relationships/header" Target="header5.xml"/><Relationship Id="rId28" Type="http://schemas.openxmlformats.org/officeDocument/2006/relationships/footer" Target="footer8.xml"/><Relationship Id="rId29"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大唐高鸿数据网络技术股份有限公司</dc:creator>
  <dc:title>大唐高鸿数据网络技术股份有限公司2018年年度报告全文</dc:title>
  <dcterms:created xsi:type="dcterms:W3CDTF">2020-05-05T01:23:03Z</dcterms:created>
  <dcterms:modified xsi:type="dcterms:W3CDTF">2020-05-05T01:23:03Z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Creator">
    <vt:lpwstr>Microsoft® Office Word 2007</vt:lpwstr>
  </property>
  <property fmtid="{D5CDD505-2E9C-101B-9397-08002B2CF9AE}" pid="4" name="LastSaved">
    <vt:filetime>2020-05-04T00:00:00Z</vt:filetime>
  </property>
</Properties>
</file>