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1137" w:lineRule="exact"/>
        <w:ind w:left="37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732496" cy="7223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732496" cy="722376"/>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180" w:lineRule="auto" w:before="80"/>
        <w:ind w:left="718" w:right="2282" w:firstLine="0"/>
        <w:jc w:val="center"/>
        <w:rPr>
          <w:rFonts w:ascii="Microsoft JhengHei" w:hAnsi="Microsoft JhengHei" w:cs="Microsoft JhengHei" w:eastAsia="Microsoft JhengHei" w:hint="default"/>
          <w:sz w:val="72"/>
          <w:szCs w:val="72"/>
        </w:rPr>
      </w:pPr>
      <w:r>
        <w:rPr>
          <w:rFonts w:ascii="Microsoft JhengHei" w:hAnsi="Microsoft JhengHei" w:cs="Microsoft JhengHei" w:eastAsia="Microsoft JhengHei" w:hint="default"/>
          <w:b/>
          <w:bCs/>
          <w:color w:val="FF0000"/>
          <w:sz w:val="72"/>
          <w:szCs w:val="72"/>
        </w:rPr>
        <w:t>茂业物流股份有限公司</w:t>
      </w:r>
      <w:r>
        <w:rPr>
          <w:rFonts w:ascii="Microsoft JhengHei" w:hAnsi="Microsoft JhengHei" w:cs="Microsoft JhengHei" w:eastAsia="Microsoft JhengHei" w:hint="default"/>
          <w:b/>
          <w:bCs/>
          <w:color w:val="FF0000"/>
          <w:spacing w:val="-166"/>
          <w:sz w:val="72"/>
          <w:szCs w:val="72"/>
        </w:rPr>
        <w:t> </w:t>
      </w:r>
      <w:r>
        <w:rPr>
          <w:rFonts w:ascii="Times New Roman" w:hAnsi="Times New Roman" w:cs="Times New Roman" w:eastAsia="Times New Roman" w:hint="default"/>
          <w:b/>
          <w:bCs/>
          <w:color w:val="FF0000"/>
          <w:sz w:val="72"/>
          <w:szCs w:val="72"/>
        </w:rPr>
        <w:t>2014</w:t>
      </w:r>
      <w:r>
        <w:rPr>
          <w:rFonts w:ascii="Times New Roman" w:hAnsi="Times New Roman" w:cs="Times New Roman" w:eastAsia="Times New Roman" w:hint="default"/>
          <w:b/>
          <w:bCs/>
          <w:color w:val="FF0000"/>
          <w:spacing w:val="19"/>
          <w:sz w:val="72"/>
          <w:szCs w:val="72"/>
        </w:rPr>
        <w:t> </w:t>
      </w:r>
      <w:r>
        <w:rPr>
          <w:rFonts w:ascii="Microsoft JhengHei" w:hAnsi="Microsoft JhengHei" w:cs="Microsoft JhengHei" w:eastAsia="Microsoft JhengHei" w:hint="default"/>
          <w:b/>
          <w:bCs/>
          <w:color w:val="FF0000"/>
          <w:sz w:val="72"/>
          <w:szCs w:val="72"/>
        </w:rPr>
        <w:t>年年度报告</w:t>
      </w:r>
      <w:r>
        <w:rPr>
          <w:rFonts w:ascii="Microsoft JhengHei" w:hAnsi="Microsoft JhengHei" w:cs="Microsoft JhengHei" w:eastAsia="Microsoft JhengHei" w:hint="default"/>
          <w:sz w:val="72"/>
          <w:szCs w:val="72"/>
        </w:rPr>
      </w: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14"/>
        <w:rPr>
          <w:rFonts w:ascii="Microsoft JhengHei" w:hAnsi="Microsoft JhengHei" w:cs="Microsoft JhengHei" w:eastAsia="Microsoft JhengHei" w:hint="default"/>
          <w:b/>
          <w:bCs/>
          <w:sz w:val="59"/>
          <w:szCs w:val="59"/>
        </w:rPr>
      </w:pPr>
    </w:p>
    <w:p>
      <w:pPr>
        <w:pStyle w:val="Heading1"/>
        <w:spacing w:line="240" w:lineRule="auto"/>
        <w:ind w:left="718" w:right="2282"/>
        <w:jc w:val="center"/>
        <w:rPr>
          <w:rFonts w:ascii="宋体" w:hAnsi="宋体" w:cs="宋体" w:eastAsia="宋体" w:hint="default"/>
          <w:b w:val="0"/>
          <w:bCs w:val="0"/>
        </w:rPr>
      </w:pPr>
      <w:r>
        <w:rPr>
          <w:rFonts w:ascii="宋体" w:hAnsi="宋体" w:cs="宋体" w:eastAsia="宋体" w:hint="default"/>
        </w:rPr>
        <w:t>2015</w:t>
      </w:r>
      <w:r>
        <w:rPr>
          <w:rFonts w:ascii="宋体" w:hAnsi="宋体" w:cs="宋体" w:eastAsia="宋体" w:hint="default"/>
          <w:spacing w:val="-82"/>
        </w:rPr>
        <w:t> </w:t>
      </w:r>
      <w:r>
        <w:rPr/>
        <w:t>年</w:t>
      </w:r>
      <w:r>
        <w:rPr>
          <w:spacing w:val="-84"/>
        </w:rPr>
        <w:t> </w:t>
      </w:r>
      <w:r>
        <w:rPr>
          <w:rFonts w:ascii="宋体" w:hAnsi="宋体" w:cs="宋体" w:eastAsia="宋体" w:hint="default"/>
        </w:rPr>
        <w:t>3</w:t>
      </w:r>
      <w:r>
        <w:rPr>
          <w:rFonts w:ascii="宋体" w:hAnsi="宋体" w:cs="宋体" w:eastAsia="宋体" w:hint="default"/>
          <w:spacing w:val="-83"/>
        </w:rPr>
        <w:t> </w:t>
      </w:r>
      <w:r>
        <w:rPr/>
        <w:t>月</w:t>
      </w:r>
      <w:r>
        <w:rPr>
          <w:spacing w:val="-84"/>
        </w:rPr>
        <w:t> </w:t>
      </w:r>
      <w:r>
        <w:rPr>
          <w:rFonts w:ascii="宋体" w:hAnsi="宋体" w:cs="宋体" w:eastAsia="宋体" w:hint="default"/>
        </w:rPr>
        <w:t>5</w:t>
      </w:r>
      <w:r>
        <w:rPr>
          <w:rFonts w:ascii="宋体" w:hAnsi="宋体" w:cs="宋体" w:eastAsia="宋体" w:hint="default"/>
          <w:spacing w:val="-82"/>
        </w:rPr>
        <w:t> </w:t>
      </w:r>
      <w:r>
        <w:rPr/>
        <w:t>日编制</w:t>
      </w:r>
      <w:r>
        <w:rPr>
          <w:rFonts w:ascii="宋体" w:hAnsi="宋体" w:cs="宋体" w:eastAsia="宋体" w:hint="default"/>
        </w:rPr>
        <w:t>(4</w:t>
      </w:r>
      <w:r>
        <w:rPr>
          <w:rFonts w:ascii="宋体" w:hAnsi="宋体" w:cs="宋体" w:eastAsia="宋体" w:hint="default"/>
          <w:spacing w:val="-84"/>
        </w:rPr>
        <w:t> </w:t>
      </w:r>
      <w:r>
        <w:rPr/>
        <w:t>月</w:t>
      </w:r>
      <w:r>
        <w:rPr>
          <w:spacing w:val="-83"/>
        </w:rPr>
        <w:t> </w:t>
      </w:r>
      <w:r>
        <w:rPr>
          <w:rFonts w:ascii="宋体" w:hAnsi="宋体" w:cs="宋体" w:eastAsia="宋体" w:hint="default"/>
        </w:rPr>
        <w:t>21</w:t>
      </w:r>
      <w:r>
        <w:rPr>
          <w:rFonts w:ascii="宋体" w:hAnsi="宋体" w:cs="宋体" w:eastAsia="宋体" w:hint="default"/>
          <w:spacing w:val="-83"/>
        </w:rPr>
        <w:t> </w:t>
      </w:r>
      <w:r>
        <w:rPr/>
        <w:t>日补充内容</w:t>
      </w:r>
      <w:r>
        <w:rPr>
          <w:rFonts w:ascii="宋体" w:hAnsi="宋体" w:cs="宋体" w:eastAsia="宋体" w:hint="default"/>
        </w:rPr>
        <w:t>)</w:t>
      </w:r>
      <w:r>
        <w:rPr>
          <w:rFonts w:ascii="宋体" w:hAnsi="宋体" w:cs="宋体" w:eastAsia="宋体" w:hint="default"/>
          <w:b w:val="0"/>
          <w:bCs w:val="0"/>
        </w:rPr>
      </w:r>
    </w:p>
    <w:p>
      <w:pPr>
        <w:spacing w:after="0" w:line="240" w:lineRule="auto"/>
        <w:jc w:val="center"/>
        <w:rPr>
          <w:rFonts w:ascii="宋体" w:hAnsi="宋体" w:cs="宋体" w:eastAsia="宋体" w:hint="default"/>
        </w:rPr>
        <w:sectPr>
          <w:footerReference w:type="default" r:id="rId5"/>
          <w:type w:val="continuous"/>
          <w:pgSz w:w="11910" w:h="16840"/>
          <w:pgMar w:footer="570" w:top="1580" w:bottom="76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3"/>
        <w:ind w:left="2681" w:right="1066"/>
        <w:jc w:val="left"/>
        <w:rPr>
          <w:b w:val="0"/>
          <w:bCs w:val="0"/>
        </w:rPr>
      </w:pPr>
      <w:r>
        <w:rPr/>
        <w:t>第一章</w:t>
      </w:r>
      <w:r>
        <w:rPr>
          <w:spacing w:val="-11"/>
        </w:rPr>
        <w:t> </w:t>
      </w:r>
      <w:r>
        <w:rPr/>
        <w:t>重要提示、目录和释义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ind w:right="1066"/>
        <w:jc w:val="left"/>
        <w:rPr>
          <w:b w:val="0"/>
          <w:bCs w:val="0"/>
        </w:rPr>
      </w:pPr>
      <w:r>
        <w:rPr/>
        <w:t>重要提示</w:t>
      </w:r>
      <w:r>
        <w:rPr>
          <w:b w:val="0"/>
          <w:bCs w:val="0"/>
        </w:rPr>
      </w:r>
    </w:p>
    <w:p>
      <w:pPr>
        <w:spacing w:line="240" w:lineRule="auto" w:before="12"/>
        <w:rPr>
          <w:rFonts w:ascii="宋体" w:hAnsi="宋体" w:cs="宋体" w:eastAsia="宋体" w:hint="default"/>
          <w:b/>
          <w:bCs/>
          <w:sz w:val="35"/>
          <w:szCs w:val="35"/>
        </w:rPr>
      </w:pPr>
    </w:p>
    <w:p>
      <w:pPr>
        <w:pStyle w:val="BodyText"/>
        <w:spacing w:line="273" w:lineRule="auto" w:before="0"/>
        <w:ind w:left="144" w:right="1194" w:firstLine="420"/>
        <w:jc w:val="both"/>
      </w:pPr>
      <w:r>
        <w:rPr>
          <w:rFonts w:ascii="宋体" w:hAnsi="宋体" w:cs="宋体" w:eastAsia="宋体" w:hint="default"/>
        </w:rPr>
        <w:t>1</w:t>
      </w:r>
      <w:r>
        <w:rPr/>
        <w:t>、本公司董事会、监事会及董事、监事、高级管理人员保证年度报告内容的真实、准确、完整， 不存在虚假记载、误导性陈述或重大遗漏，并承担个别和连带的法律责任。</w:t>
      </w:r>
    </w:p>
    <w:p>
      <w:pPr>
        <w:spacing w:line="240" w:lineRule="auto" w:before="6"/>
        <w:rPr>
          <w:rFonts w:ascii="宋体" w:hAnsi="宋体" w:cs="宋体" w:eastAsia="宋体" w:hint="default"/>
          <w:sz w:val="24"/>
          <w:szCs w:val="24"/>
        </w:rPr>
      </w:pPr>
    </w:p>
    <w:p>
      <w:pPr>
        <w:pStyle w:val="BodyText"/>
        <w:spacing w:line="240" w:lineRule="auto" w:before="0"/>
        <w:ind w:left="564" w:right="1066"/>
        <w:jc w:val="left"/>
      </w:pPr>
      <w:r>
        <w:rPr>
          <w:rFonts w:ascii="宋体" w:hAnsi="宋体" w:cs="宋体" w:eastAsia="宋体" w:hint="default"/>
        </w:rPr>
        <w:t>2</w:t>
      </w:r>
      <w:r>
        <w:rPr/>
        <w:t>、所有董事亲自出席了审议本次年报的董事会会议。</w:t>
      </w:r>
    </w:p>
    <w:p>
      <w:pPr>
        <w:spacing w:line="240" w:lineRule="auto" w:before="9"/>
        <w:rPr>
          <w:rFonts w:ascii="宋体" w:hAnsi="宋体" w:cs="宋体" w:eastAsia="宋体" w:hint="default"/>
          <w:sz w:val="26"/>
          <w:szCs w:val="26"/>
        </w:rPr>
      </w:pPr>
    </w:p>
    <w:p>
      <w:pPr>
        <w:pStyle w:val="BodyText"/>
        <w:spacing w:line="240" w:lineRule="auto" w:before="0"/>
        <w:ind w:left="564" w:right="1066"/>
        <w:jc w:val="left"/>
      </w:pPr>
      <w:r>
        <w:rPr>
          <w:rFonts w:ascii="宋体" w:hAnsi="宋体" w:cs="宋体" w:eastAsia="宋体" w:hint="default"/>
        </w:rPr>
        <w:t>3</w:t>
      </w:r>
      <w:r>
        <w:rPr/>
        <w:t>、公司经本次董事会审议通过的利润分配预案为：以</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日的公司总股本为基数，向</w:t>
      </w:r>
    </w:p>
    <w:p>
      <w:pPr>
        <w:pStyle w:val="BodyText"/>
        <w:spacing w:line="240" w:lineRule="auto" w:before="37"/>
        <w:ind w:left="144" w:right="1066"/>
        <w:jc w:val="left"/>
      </w:pPr>
      <w:r>
        <w:rPr/>
        <w:t>全体股东每</w:t>
      </w:r>
      <w:r>
        <w:rPr>
          <w:spacing w:val="-55"/>
        </w:rPr>
        <w:t> </w:t>
      </w:r>
      <w:r>
        <w:rPr>
          <w:rFonts w:ascii="宋体" w:hAnsi="宋体" w:cs="宋体" w:eastAsia="宋体" w:hint="default"/>
        </w:rPr>
        <w:t>10</w:t>
      </w:r>
      <w:r>
        <w:rPr>
          <w:rFonts w:ascii="宋体" w:hAnsi="宋体" w:cs="宋体" w:eastAsia="宋体" w:hint="default"/>
          <w:spacing w:val="-54"/>
        </w:rPr>
        <w:t> </w:t>
      </w:r>
      <w:r>
        <w:rPr/>
        <w:t>股派发现金红利</w:t>
      </w:r>
      <w:r>
        <w:rPr>
          <w:spacing w:val="-55"/>
        </w:rPr>
        <w:t> </w:t>
      </w:r>
      <w:r>
        <w:rPr>
          <w:rFonts w:ascii="宋体" w:hAnsi="宋体" w:cs="宋体" w:eastAsia="宋体" w:hint="default"/>
        </w:rPr>
        <w:t>0.16</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，不送红股，不以资本公积金转增股本。</w:t>
      </w:r>
    </w:p>
    <w:p>
      <w:pPr>
        <w:spacing w:line="240" w:lineRule="auto" w:before="9"/>
        <w:rPr>
          <w:rFonts w:ascii="宋体" w:hAnsi="宋体" w:cs="宋体" w:eastAsia="宋体" w:hint="default"/>
          <w:sz w:val="26"/>
          <w:szCs w:val="26"/>
        </w:rPr>
      </w:pPr>
    </w:p>
    <w:p>
      <w:pPr>
        <w:pStyle w:val="BodyText"/>
        <w:spacing w:line="273" w:lineRule="auto" w:before="0"/>
        <w:ind w:left="144" w:right="1194" w:firstLine="420"/>
        <w:jc w:val="both"/>
      </w:pPr>
      <w:r>
        <w:rPr>
          <w:rFonts w:ascii="宋体" w:hAnsi="宋体" w:cs="宋体" w:eastAsia="宋体" w:hint="default"/>
        </w:rPr>
        <w:t>4</w:t>
      </w:r>
      <w:r>
        <w:rPr/>
        <w:t>、公司负责人刘宏、费自力、主管会计工作负责人王歌及会计机构负责人张雷声明：保证年度报 告中财务报告的真实、准确、完整。</w:t>
      </w:r>
    </w:p>
    <w:p>
      <w:pPr>
        <w:spacing w:line="240" w:lineRule="auto" w:before="6"/>
        <w:rPr>
          <w:rFonts w:ascii="宋体" w:hAnsi="宋体" w:cs="宋体" w:eastAsia="宋体" w:hint="default"/>
          <w:sz w:val="24"/>
          <w:szCs w:val="24"/>
        </w:rPr>
      </w:pPr>
    </w:p>
    <w:p>
      <w:pPr>
        <w:pStyle w:val="BodyText"/>
        <w:spacing w:line="240" w:lineRule="auto" w:before="0"/>
        <w:ind w:left="564" w:right="1066"/>
        <w:jc w:val="left"/>
      </w:pPr>
      <w:r>
        <w:rPr>
          <w:rFonts w:ascii="宋体" w:hAnsi="宋体" w:cs="宋体" w:eastAsia="宋体" w:hint="default"/>
        </w:rPr>
        <w:t>5</w:t>
      </w:r>
      <w:r>
        <w:rPr/>
        <w:t>、执行审计的中兴华会计师事务所</w:t>
      </w:r>
      <w:r>
        <w:rPr>
          <w:rFonts w:ascii="宋体" w:hAnsi="宋体" w:cs="宋体" w:eastAsia="宋体" w:hint="default"/>
        </w:rPr>
        <w:t>(</w:t>
      </w:r>
      <w:r>
        <w:rPr/>
        <w:t>特殊普通合伙</w:t>
      </w:r>
      <w:r>
        <w:rPr>
          <w:rFonts w:ascii="宋体" w:hAnsi="宋体" w:cs="宋体" w:eastAsia="宋体" w:hint="default"/>
        </w:rPr>
        <w:t>)</w:t>
      </w:r>
      <w:r>
        <w:rPr/>
        <w:t>对公司出具了标准无保留意见的审计报告。</w:t>
      </w:r>
    </w:p>
    <w:p>
      <w:pPr>
        <w:spacing w:line="240" w:lineRule="auto" w:before="9"/>
        <w:rPr>
          <w:rFonts w:ascii="宋体" w:hAnsi="宋体" w:cs="宋体" w:eastAsia="宋体" w:hint="default"/>
          <w:sz w:val="26"/>
          <w:szCs w:val="26"/>
        </w:rPr>
      </w:pPr>
    </w:p>
    <w:p>
      <w:pPr>
        <w:pStyle w:val="BodyText"/>
        <w:spacing w:line="273" w:lineRule="auto" w:before="0"/>
        <w:ind w:left="144" w:right="1186" w:firstLine="420"/>
        <w:jc w:val="both"/>
      </w:pPr>
      <w:r>
        <w:rPr>
          <w:rFonts w:ascii="宋体" w:hAnsi="宋体" w:cs="宋体" w:eastAsia="宋体" w:hint="default"/>
        </w:rPr>
        <w:t>6</w:t>
      </w:r>
      <w:r>
        <w:rPr/>
        <w:t>、公司年度报告涉及未来计划等前瞻性陈述，同时附有相应的警示性陈述，声明该计划不构成公 司对投资者的实质承诺，请投资者注意投资风险。</w:t>
      </w:r>
    </w:p>
    <w:p>
      <w:pPr>
        <w:spacing w:line="240" w:lineRule="auto" w:before="6"/>
        <w:rPr>
          <w:rFonts w:ascii="宋体" w:hAnsi="宋体" w:cs="宋体" w:eastAsia="宋体" w:hint="default"/>
          <w:sz w:val="24"/>
          <w:szCs w:val="24"/>
        </w:rPr>
      </w:pPr>
    </w:p>
    <w:p>
      <w:pPr>
        <w:pStyle w:val="BodyText"/>
        <w:spacing w:line="273" w:lineRule="auto" w:before="0"/>
        <w:ind w:left="144" w:right="1187" w:firstLine="421"/>
        <w:jc w:val="both"/>
      </w:pPr>
      <w:r>
        <w:rPr>
          <w:rFonts w:ascii="宋体" w:hAnsi="宋体" w:cs="宋体" w:eastAsia="宋体" w:hint="default"/>
        </w:rPr>
        <w:t>7</w:t>
      </w:r>
      <w:r>
        <w:rPr/>
        <w:t>、接深交所公司管理部年报问询函，就公司全资子公司北京创世漫道科技有限公司报告期内取得 的运营商业务酬金情况，对本报告第十章财务报告附注五</w:t>
      </w:r>
      <w:r>
        <w:rPr>
          <w:rFonts w:ascii="宋体" w:hAnsi="宋体" w:cs="宋体" w:eastAsia="宋体" w:hint="default"/>
        </w:rPr>
        <w:t>.</w:t>
      </w:r>
      <w:r>
        <w:rPr/>
        <w:t>注释</w:t>
      </w:r>
      <w:r>
        <w:rPr>
          <w:spacing w:val="-73"/>
        </w:rPr>
        <w:t> </w:t>
      </w:r>
      <w:r>
        <w:rPr>
          <w:rFonts w:ascii="宋体" w:hAnsi="宋体" w:cs="宋体" w:eastAsia="宋体" w:hint="default"/>
        </w:rPr>
        <w:t>29</w:t>
      </w:r>
      <w:r>
        <w:rPr>
          <w:rFonts w:ascii="宋体" w:hAnsi="宋体" w:cs="宋体" w:eastAsia="宋体" w:hint="default"/>
          <w:spacing w:val="-72"/>
        </w:rPr>
        <w:t> </w:t>
      </w:r>
      <w:r>
        <w:rPr/>
        <w:t>补充了相关内容，包括列示运营商业 务酬金收入、来源和会计处理。</w:t>
      </w:r>
    </w:p>
    <w:p>
      <w:pPr>
        <w:spacing w:after="0" w:line="273" w:lineRule="auto"/>
        <w:jc w:val="both"/>
        <w:sectPr>
          <w:headerReference w:type="default" r:id="rId7"/>
          <w:footerReference w:type="default" r:id="rId8"/>
          <w:pgSz w:w="11910" w:h="16840"/>
          <w:pgMar w:header="883" w:footer="1219" w:top="1140" w:bottom="1400" w:left="11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5"/>
        <w:ind w:right="1066"/>
        <w:jc w:val="left"/>
        <w:rPr>
          <w:b w:val="0"/>
          <w:bCs w:val="0"/>
        </w:rPr>
      </w:pPr>
      <w:r>
        <w:rPr/>
        <w:t>目录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529" w:type="dxa"/>
        <w:tblLayout w:type="fixed"/>
        <w:tblCellMar>
          <w:top w:w="0" w:type="dxa"/>
          <w:left w:w="0" w:type="dxa"/>
          <w:bottom w:w="0" w:type="dxa"/>
          <w:right w:w="0" w:type="dxa"/>
        </w:tblCellMar>
        <w:tblLook w:val="01E0"/>
      </w:tblPr>
      <w:tblGrid>
        <w:gridCol w:w="718"/>
        <w:gridCol w:w="7979"/>
        <w:gridCol w:w="298"/>
      </w:tblGrid>
      <w:tr>
        <w:trPr>
          <w:trHeight w:val="43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
              <w:jc w:val="center"/>
              <w:rPr>
                <w:rFonts w:ascii="宋体" w:hAnsi="宋体" w:cs="宋体" w:eastAsia="宋体" w:hint="default"/>
                <w:sz w:val="21"/>
                <w:szCs w:val="21"/>
              </w:rPr>
            </w:pPr>
            <w:r>
              <w:rPr>
                <w:rFonts w:ascii="宋体" w:hAnsi="宋体" w:cs="宋体" w:eastAsia="宋体" w:hint="default"/>
                <w:sz w:val="21"/>
                <w:szCs w:val="21"/>
              </w:rPr>
              <w:t>第一章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30"/>
                <w:sz w:val="21"/>
                <w:szCs w:val="21"/>
              </w:rPr>
              <w:t>重要提示、目录和释义</w:t>
            </w:r>
            <w:r>
              <w:rPr>
                <w:rFonts w:ascii="宋体" w:hAnsi="宋体" w:cs="宋体" w:eastAsia="宋体" w:hint="default"/>
                <w:spacing w:val="-9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宋体" w:hAnsi="宋体" w:cs="宋体" w:eastAsia="宋体" w:hint="default"/>
                <w:sz w:val="21"/>
                <w:szCs w:val="21"/>
              </w:rPr>
            </w:pPr>
            <w:r>
              <w:rPr>
                <w:rFonts w:ascii="宋体"/>
                <w:sz w:val="21"/>
              </w:rPr>
              <w:t>1</w:t>
            </w:r>
          </w:p>
        </w:tc>
      </w:tr>
      <w:tr>
        <w:trPr>
          <w:trHeight w:val="46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第二章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公司简介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3</w:t>
            </w:r>
          </w:p>
        </w:tc>
      </w:tr>
      <w:tr>
        <w:trPr>
          <w:trHeight w:val="46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第三章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20"/>
                <w:sz w:val="21"/>
                <w:szCs w:val="21"/>
              </w:rPr>
              <w:t>会计数据和财务指标摘要</w:t>
            </w:r>
            <w:r>
              <w:rPr>
                <w:rFonts w:ascii="宋体" w:hAnsi="宋体" w:cs="宋体" w:eastAsia="宋体" w:hint="default"/>
                <w:spacing w:val="60"/>
                <w:w w:val="12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5</w:t>
            </w:r>
          </w:p>
        </w:tc>
      </w:tr>
      <w:tr>
        <w:trPr>
          <w:trHeight w:val="40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第四章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董事会报告  </w:t>
            </w:r>
            <w:r>
              <w:rPr>
                <w:rFonts w:ascii="宋体" w:hAnsi="宋体" w:cs="宋体" w:eastAsia="宋体" w:hint="default"/>
                <w:spacing w:val="48"/>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6</w:t>
            </w:r>
          </w:p>
        </w:tc>
      </w:tr>
      <w:tr>
        <w:trPr>
          <w:trHeight w:val="32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
              <w:jc w:val="center"/>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w w:val="130"/>
                <w:sz w:val="21"/>
                <w:szCs w:val="21"/>
              </w:rPr>
              <w:t>报告期内公司经营情况</w:t>
            </w:r>
            <w:r>
              <w:rPr>
                <w:rFonts w:ascii="宋体" w:hAnsi="宋体" w:cs="宋体" w:eastAsia="宋体" w:hint="default"/>
                <w:spacing w:val="-9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0"/>
              <w:jc w:val="left"/>
              <w:rPr>
                <w:rFonts w:ascii="宋体" w:hAnsi="宋体" w:cs="宋体" w:eastAsia="宋体" w:hint="default"/>
                <w:sz w:val="21"/>
                <w:szCs w:val="21"/>
              </w:rPr>
            </w:pPr>
            <w:r>
              <w:rPr>
                <w:rFonts w:ascii="宋体"/>
                <w:sz w:val="21"/>
              </w:rPr>
              <w:t>8</w:t>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对公司未来发展的展望</w:t>
            </w:r>
            <w:r>
              <w:rPr>
                <w:rFonts w:ascii="宋体" w:hAnsi="宋体" w:cs="宋体" w:eastAsia="宋体" w:hint="default"/>
                <w:spacing w:val="-9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16</w:t>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第三节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利润分配预案 </w:t>
            </w:r>
            <w:r>
              <w:rPr>
                <w:rFonts w:ascii="宋体" w:hAnsi="宋体" w:cs="宋体" w:eastAsia="宋体" w:hint="default"/>
                <w:spacing w:val="101"/>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19</w:t>
            </w:r>
          </w:p>
        </w:tc>
      </w:tr>
      <w:tr>
        <w:trPr>
          <w:trHeight w:val="39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第四节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公司履行社会责任情况</w:t>
            </w:r>
            <w:r>
              <w:rPr>
                <w:rFonts w:ascii="宋体" w:hAnsi="宋体" w:cs="宋体" w:eastAsia="宋体" w:hint="default"/>
                <w:spacing w:val="-9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20</w:t>
            </w:r>
          </w:p>
        </w:tc>
      </w:tr>
      <w:tr>
        <w:trPr>
          <w:trHeight w:val="40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第五章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重要事项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21</w:t>
            </w:r>
          </w:p>
        </w:tc>
      </w:tr>
      <w:tr>
        <w:trPr>
          <w:trHeight w:val="32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
              <w:jc w:val="center"/>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w w:val="130"/>
                <w:sz w:val="21"/>
                <w:szCs w:val="21"/>
              </w:rPr>
              <w:t>诉讼、仲裁等事项</w:t>
            </w:r>
            <w:r>
              <w:rPr>
                <w:rFonts w:ascii="宋体" w:hAnsi="宋体" w:cs="宋体" w:eastAsia="宋体" w:hint="default"/>
                <w:spacing w:val="6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0"/>
              <w:jc w:val="left"/>
              <w:rPr>
                <w:rFonts w:ascii="宋体" w:hAnsi="宋体" w:cs="宋体" w:eastAsia="宋体" w:hint="default"/>
                <w:sz w:val="21"/>
                <w:szCs w:val="21"/>
              </w:rPr>
            </w:pPr>
            <w:r>
              <w:rPr>
                <w:rFonts w:ascii="宋体"/>
                <w:sz w:val="21"/>
              </w:rPr>
              <w:t>21</w:t>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重大资产收购情况</w:t>
            </w:r>
            <w:r>
              <w:rPr>
                <w:rFonts w:ascii="宋体" w:hAnsi="宋体" w:cs="宋体" w:eastAsia="宋体" w:hint="default"/>
                <w:spacing w:val="6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21</w:t>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第三节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合同及其履行情况</w:t>
            </w:r>
            <w:r>
              <w:rPr>
                <w:rFonts w:ascii="宋体" w:hAnsi="宋体" w:cs="宋体" w:eastAsia="宋体" w:hint="default"/>
                <w:spacing w:val="6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23</w:t>
            </w:r>
          </w:p>
        </w:tc>
      </w:tr>
      <w:tr>
        <w:trPr>
          <w:trHeight w:val="39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第四节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承诺及其他事项 </w:t>
            </w:r>
            <w:r>
              <w:rPr>
                <w:rFonts w:ascii="宋体" w:hAnsi="宋体" w:cs="宋体" w:eastAsia="宋体" w:hint="default"/>
                <w:spacing w:val="18"/>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25</w:t>
            </w:r>
          </w:p>
        </w:tc>
      </w:tr>
      <w:tr>
        <w:trPr>
          <w:trHeight w:val="40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第六章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股份变动及股东情况</w:t>
            </w:r>
            <w:r>
              <w:rPr>
                <w:rFonts w:ascii="宋体" w:hAnsi="宋体" w:cs="宋体" w:eastAsia="宋体" w:hint="default"/>
                <w:spacing w:val="-15"/>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32</w:t>
            </w:r>
          </w:p>
        </w:tc>
      </w:tr>
      <w:tr>
        <w:trPr>
          <w:trHeight w:val="327"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
              <w:jc w:val="center"/>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w w:val="130"/>
                <w:sz w:val="21"/>
                <w:szCs w:val="21"/>
              </w:rPr>
              <w:t>股份变动情况 </w:t>
            </w:r>
            <w:r>
              <w:rPr>
                <w:rFonts w:ascii="宋体" w:hAnsi="宋体" w:cs="宋体" w:eastAsia="宋体" w:hint="default"/>
                <w:spacing w:val="101"/>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0"/>
              <w:jc w:val="left"/>
              <w:rPr>
                <w:rFonts w:ascii="宋体" w:hAnsi="宋体" w:cs="宋体" w:eastAsia="宋体" w:hint="default"/>
                <w:sz w:val="21"/>
                <w:szCs w:val="21"/>
              </w:rPr>
            </w:pPr>
            <w:r>
              <w:rPr>
                <w:rFonts w:ascii="宋体"/>
                <w:sz w:val="21"/>
              </w:rPr>
              <w:t>33</w:t>
            </w:r>
          </w:p>
        </w:tc>
      </w:tr>
      <w:tr>
        <w:trPr>
          <w:trHeight w:val="39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股东和实际控制人情况</w:t>
            </w:r>
            <w:r>
              <w:rPr>
                <w:rFonts w:ascii="宋体" w:hAnsi="宋体" w:cs="宋体" w:eastAsia="宋体" w:hint="default"/>
                <w:spacing w:val="-99"/>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34</w:t>
            </w:r>
          </w:p>
        </w:tc>
      </w:tr>
      <w:tr>
        <w:trPr>
          <w:trHeight w:val="40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第七章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20"/>
                <w:sz w:val="21"/>
                <w:szCs w:val="21"/>
              </w:rPr>
              <w:t>董事、监事、高级管理人员和员工情况</w:t>
            </w:r>
            <w:r>
              <w:rPr>
                <w:rFonts w:ascii="宋体" w:hAnsi="宋体" w:cs="宋体" w:eastAsia="宋体" w:hint="default"/>
                <w:spacing w:val="-3"/>
                <w:w w:val="120"/>
                <w:sz w:val="21"/>
                <w:szCs w:val="21"/>
              </w:rPr>
              <w:t> </w:t>
            </w:r>
            <w:r>
              <w:rPr>
                <w:rFonts w:ascii="宋体" w:hAnsi="宋体" w:cs="宋体" w:eastAsia="宋体" w:hint="default"/>
                <w:w w:val="165"/>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37</w:t>
            </w:r>
          </w:p>
        </w:tc>
      </w:tr>
      <w:tr>
        <w:trPr>
          <w:trHeight w:val="32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
              <w:jc w:val="center"/>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w w:val="130"/>
                <w:sz w:val="21"/>
                <w:szCs w:val="21"/>
              </w:rPr>
              <w:t>高层人员情况 </w:t>
            </w:r>
            <w:r>
              <w:rPr>
                <w:rFonts w:ascii="宋体" w:hAnsi="宋体" w:cs="宋体" w:eastAsia="宋体" w:hint="default"/>
                <w:spacing w:val="101"/>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0"/>
              <w:jc w:val="left"/>
              <w:rPr>
                <w:rFonts w:ascii="宋体" w:hAnsi="宋体" w:cs="宋体" w:eastAsia="宋体" w:hint="default"/>
                <w:sz w:val="21"/>
                <w:szCs w:val="21"/>
              </w:rPr>
            </w:pPr>
            <w:r>
              <w:rPr>
                <w:rFonts w:ascii="宋体"/>
                <w:sz w:val="21"/>
              </w:rPr>
              <w:t>37</w:t>
            </w:r>
          </w:p>
        </w:tc>
      </w:tr>
      <w:tr>
        <w:trPr>
          <w:trHeight w:val="39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61" w:lineRule="exact"/>
              <w:ind w:right="15"/>
              <w:jc w:val="center"/>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30"/>
                <w:sz w:val="21"/>
                <w:szCs w:val="21"/>
              </w:rPr>
              <w:t>员工情况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sz w:val="21"/>
              </w:rPr>
              <w:t>41</w:t>
            </w:r>
          </w:p>
        </w:tc>
      </w:tr>
      <w:tr>
        <w:trPr>
          <w:trHeight w:val="46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第八章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公司治理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43</w:t>
            </w:r>
          </w:p>
        </w:tc>
      </w:tr>
      <w:tr>
        <w:trPr>
          <w:trHeight w:val="46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第九章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内部控制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46</w:t>
            </w:r>
          </w:p>
        </w:tc>
      </w:tr>
      <w:tr>
        <w:trPr>
          <w:trHeight w:val="43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第十章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30"/>
                <w:sz w:val="21"/>
                <w:szCs w:val="21"/>
              </w:rPr>
              <w:t>财务报告  </w:t>
            </w:r>
            <w:r>
              <w:rPr>
                <w:rFonts w:ascii="宋体" w:hAnsi="宋体" w:cs="宋体" w:eastAsia="宋体" w:hint="default"/>
                <w:spacing w:val="132"/>
                <w:w w:val="130"/>
                <w:sz w:val="21"/>
                <w:szCs w:val="21"/>
              </w:rPr>
              <w:t> </w:t>
            </w:r>
            <w:r>
              <w:rPr>
                <w:rFonts w:ascii="宋体" w:hAnsi="宋体" w:cs="宋体" w:eastAsia="宋体" w:hint="default"/>
                <w:w w:val="180"/>
                <w:sz w:val="21"/>
                <w:szCs w:val="21"/>
              </w:rPr>
              <w:t>„„„„„„„„„„„„„„„„„„„„„„„„„„„„„„„„„</w:t>
            </w:r>
            <w:r>
              <w:rPr>
                <w:rFonts w:ascii="宋体" w:hAnsi="宋体" w:cs="宋体" w:eastAsia="宋体" w:hint="default"/>
                <w:sz w:val="21"/>
                <w:szCs w:val="21"/>
              </w:rPr>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 w:right="0"/>
              <w:jc w:val="left"/>
              <w:rPr>
                <w:rFonts w:ascii="宋体" w:hAnsi="宋体" w:cs="宋体" w:eastAsia="宋体" w:hint="default"/>
                <w:sz w:val="21"/>
                <w:szCs w:val="21"/>
              </w:rPr>
            </w:pPr>
            <w:r>
              <w:rPr>
                <w:rFonts w:ascii="宋体"/>
                <w:sz w:val="21"/>
              </w:rPr>
              <w:t>47</w:t>
            </w:r>
          </w:p>
        </w:tc>
      </w:tr>
    </w:tbl>
    <w:p>
      <w:pPr>
        <w:pStyle w:val="BodyText"/>
        <w:spacing w:line="250" w:lineRule="exact" w:before="0"/>
        <w:ind w:left="547" w:right="1129"/>
        <w:jc w:val="center"/>
        <w:rPr>
          <w:rFonts w:ascii="宋体" w:hAnsi="宋体" w:cs="宋体" w:eastAsia="宋体" w:hint="default"/>
        </w:rPr>
      </w:pPr>
      <w:r>
        <w:rPr>
          <w:w w:val="120"/>
        </w:rPr>
        <w:t>审计报告正文   </w:t>
      </w:r>
      <w:r>
        <w:rPr>
          <w:w w:val="180"/>
        </w:rPr>
        <w:t>„„„„„„„„„„„„„„„„„„„„„„„„„„„„„„„„„„</w:t>
      </w:r>
      <w:r>
        <w:rPr>
          <w:spacing w:val="60"/>
          <w:w w:val="180"/>
        </w:rPr>
        <w:t> </w:t>
      </w:r>
      <w:r>
        <w:rPr>
          <w:rFonts w:ascii="宋体" w:hAnsi="宋体" w:cs="宋体" w:eastAsia="宋体" w:hint="default"/>
          <w:w w:val="120"/>
        </w:rPr>
        <w:t>48</w:t>
      </w:r>
    </w:p>
    <w:p>
      <w:pPr>
        <w:pStyle w:val="BodyText"/>
        <w:spacing w:line="240" w:lineRule="auto" w:before="37"/>
        <w:ind w:left="547" w:right="1129"/>
        <w:jc w:val="center"/>
        <w:rPr>
          <w:rFonts w:ascii="宋体" w:hAnsi="宋体" w:cs="宋体" w:eastAsia="宋体" w:hint="default"/>
        </w:rPr>
      </w:pPr>
      <w:r>
        <w:rPr>
          <w:w w:val="130"/>
        </w:rPr>
        <w:t>财务报表  </w:t>
      </w:r>
      <w:r>
        <w:rPr>
          <w:w w:val="180"/>
        </w:rPr>
        <w:t>„„„„„„„„„„„„„„„„„„„„„„„„„„„„„„„„„„„„</w:t>
      </w:r>
      <w:r>
        <w:rPr>
          <w:spacing w:val="186"/>
          <w:w w:val="180"/>
        </w:rPr>
        <w:t> </w:t>
      </w:r>
      <w:r>
        <w:rPr>
          <w:rFonts w:ascii="宋体" w:hAnsi="宋体" w:cs="宋体" w:eastAsia="宋体" w:hint="default"/>
          <w:w w:val="130"/>
        </w:rPr>
        <w:t>49</w:t>
      </w:r>
    </w:p>
    <w:p>
      <w:pPr>
        <w:pStyle w:val="BodyText"/>
        <w:spacing w:line="240" w:lineRule="auto" w:before="37"/>
        <w:ind w:left="547" w:right="1129"/>
        <w:jc w:val="center"/>
        <w:rPr>
          <w:rFonts w:ascii="宋体" w:hAnsi="宋体" w:cs="宋体" w:eastAsia="宋体" w:hint="default"/>
        </w:rPr>
      </w:pPr>
      <w:r>
        <w:rPr>
          <w:w w:val="120"/>
        </w:rPr>
        <w:t>财务报表附注   </w:t>
      </w:r>
      <w:r>
        <w:rPr>
          <w:w w:val="180"/>
        </w:rPr>
        <w:t>„„„„„„„„„„„„„„„„„„„„„„„„„„„„„„„„„„</w:t>
      </w:r>
      <w:r>
        <w:rPr>
          <w:spacing w:val="60"/>
          <w:w w:val="180"/>
        </w:rPr>
        <w:t> </w:t>
      </w:r>
      <w:r>
        <w:rPr>
          <w:rFonts w:ascii="宋体" w:hAnsi="宋体" w:cs="宋体" w:eastAsia="宋体" w:hint="default"/>
          <w:w w:val="120"/>
        </w:rPr>
        <w:t>61</w:t>
      </w:r>
    </w:p>
    <w:p>
      <w:pPr>
        <w:spacing w:line="240" w:lineRule="auto" w:before="10"/>
        <w:rPr>
          <w:rFonts w:ascii="宋体" w:hAnsi="宋体" w:cs="宋体" w:eastAsia="宋体" w:hint="default"/>
          <w:sz w:val="14"/>
          <w:szCs w:val="14"/>
        </w:rPr>
      </w:pPr>
    </w:p>
    <w:p>
      <w:pPr>
        <w:pStyle w:val="BodyText"/>
        <w:spacing w:line="240" w:lineRule="auto" w:before="0"/>
        <w:ind w:left="547" w:right="1170"/>
        <w:jc w:val="center"/>
        <w:rPr>
          <w:rFonts w:ascii="宋体" w:hAnsi="宋体" w:cs="宋体" w:eastAsia="宋体" w:hint="default"/>
        </w:rPr>
      </w:pPr>
      <w:r>
        <w:rPr>
          <w:w w:val="120"/>
        </w:rPr>
        <w:t>第十一章 备查文件目录 </w:t>
      </w:r>
      <w:r>
        <w:rPr>
          <w:w w:val="180"/>
        </w:rPr>
        <w:t>„„„„„„„„„„„„„„„„„„„„„„„„„„„„„„</w:t>
      </w:r>
      <w:r>
        <w:rPr>
          <w:spacing w:val="-20"/>
          <w:w w:val="180"/>
        </w:rPr>
        <w:t> </w:t>
      </w:r>
      <w:r>
        <w:rPr>
          <w:rFonts w:ascii="宋体" w:hAnsi="宋体" w:cs="宋体" w:eastAsia="宋体" w:hint="default"/>
          <w:w w:val="120"/>
        </w:rPr>
        <w:t>113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spacing w:line="240" w:lineRule="auto" w:before="0"/>
        <w:ind w:right="1066"/>
        <w:jc w:val="left"/>
        <w:rPr>
          <w:b w:val="0"/>
          <w:bCs w:val="0"/>
        </w:rPr>
      </w:pPr>
      <w:r>
        <w:rPr/>
        <w:t>重大风险提示：</w:t>
      </w:r>
      <w:r>
        <w:rPr>
          <w:b w:val="0"/>
          <w:bCs w:val="0"/>
        </w:rPr>
      </w:r>
    </w:p>
    <w:p>
      <w:pPr>
        <w:pStyle w:val="BodyText"/>
        <w:spacing w:line="273" w:lineRule="auto" w:before="158"/>
        <w:ind w:left="144" w:right="1187" w:firstLine="420"/>
        <w:jc w:val="both"/>
      </w:pPr>
      <w:r>
        <w:rPr>
          <w:spacing w:val="-1"/>
        </w:rPr>
        <w:t>本公司请投资者认真阅读本年度报告全文，公司可能面对的风险包括零售业的竞争风险因素、信息</w:t>
      </w:r>
      <w:r>
        <w:rPr/>
        <w:t> </w:t>
      </w:r>
      <w:r>
        <w:rPr>
          <w:spacing w:val="3"/>
        </w:rPr>
        <w:t>服务的客户集中度上升及新技术替代、房地产业务的风险因素，有关内容可阅读本年报第四章第二节</w:t>
      </w:r>
      <w:r>
        <w:rPr>
          <w:spacing w:val="-90"/>
        </w:rPr>
        <w:t> </w:t>
      </w:r>
      <w:r>
        <w:rPr>
          <w:spacing w:val="-90"/>
        </w:rPr>
      </w:r>
      <w:r>
        <w:rPr/>
        <w:t>“五、可能面对的风险”部分。</w:t>
      </w:r>
    </w:p>
    <w:p>
      <w:pPr>
        <w:spacing w:after="0" w:line="273" w:lineRule="auto"/>
        <w:jc w:val="both"/>
        <w:sectPr>
          <w:pgSz w:w="11910" w:h="16840"/>
          <w:pgMar w:header="883" w:footer="1219" w:top="1140" w:bottom="1400" w:left="1160" w:right="0"/>
        </w:sectPr>
      </w:pPr>
    </w:p>
    <w:p>
      <w:pPr>
        <w:spacing w:line="240" w:lineRule="auto" w:before="10"/>
        <w:rPr>
          <w:rFonts w:ascii="宋体" w:hAnsi="宋体" w:cs="宋体" w:eastAsia="宋体" w:hint="default"/>
          <w:sz w:val="18"/>
          <w:szCs w:val="18"/>
        </w:rPr>
      </w:pPr>
    </w:p>
    <w:p>
      <w:pPr>
        <w:pStyle w:val="Heading2"/>
        <w:spacing w:line="240" w:lineRule="auto"/>
        <w:ind w:left="404" w:right="5945"/>
        <w:jc w:val="left"/>
        <w:rPr>
          <w:b w:val="0"/>
          <w:bCs w:val="0"/>
        </w:rPr>
      </w:pPr>
      <w:r>
        <w:rPr/>
        <w:t>释义</w:t>
      </w:r>
      <w:r>
        <w:rPr>
          <w:b w:val="0"/>
          <w:bCs w:val="0"/>
        </w:rPr>
      </w:r>
    </w:p>
    <w:p>
      <w:pPr>
        <w:spacing w:line="240" w:lineRule="auto" w:before="3"/>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1419"/>
        <w:gridCol w:w="518"/>
        <w:gridCol w:w="7988"/>
      </w:tblGrid>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公司或本公司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茂业物流股份有限公司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公司控股股东中兆投资管理有限公司</w:t>
            </w:r>
          </w:p>
        </w:tc>
      </w:tr>
      <w:tr>
        <w:trPr>
          <w:trHeight w:val="2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鹰溪谷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公司第二大股东孝昌鹰溪谷投资中心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峰幽投资</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上海峰幽投资管理中心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公司全资子公司秦皇岛茂业控股有限公</w:t>
            </w:r>
            <w:r>
              <w:rPr>
                <w:rFonts w:ascii="宋体" w:hAnsi="宋体" w:cs="宋体" w:eastAsia="宋体" w:hint="default"/>
                <w:spacing w:val="-41"/>
                <w:sz w:val="18"/>
                <w:szCs w:val="18"/>
              </w:rPr>
              <w:t>司</w:t>
            </w:r>
            <w:r>
              <w:rPr>
                <w:rFonts w:ascii="宋体" w:hAnsi="宋体" w:cs="宋体" w:eastAsia="宋体" w:hint="default"/>
                <w:spacing w:val="-20"/>
                <w:sz w:val="18"/>
                <w:szCs w:val="18"/>
              </w:rPr>
              <w:t>(</w:t>
            </w:r>
            <w:r>
              <w:rPr>
                <w:rFonts w:ascii="宋体" w:hAnsi="宋体" w:cs="宋体" w:eastAsia="宋体" w:hint="default"/>
                <w:sz w:val="18"/>
                <w:szCs w:val="18"/>
              </w:rPr>
              <w:t>报告期更名之前名称</w:t>
            </w:r>
            <w:r>
              <w:rPr>
                <w:rFonts w:ascii="宋体" w:hAnsi="宋体" w:cs="宋体" w:eastAsia="宋体" w:hint="default"/>
                <w:spacing w:val="-90"/>
                <w:sz w:val="18"/>
                <w:szCs w:val="18"/>
              </w:rPr>
              <w:t>：</w:t>
            </w:r>
            <w:r>
              <w:rPr>
                <w:rFonts w:ascii="宋体" w:hAnsi="宋体" w:cs="宋体" w:eastAsia="宋体" w:hint="default"/>
                <w:sz w:val="18"/>
                <w:szCs w:val="18"/>
              </w:rPr>
              <w:t>秦皇</w:t>
            </w:r>
            <w:r>
              <w:rPr>
                <w:rFonts w:ascii="宋体" w:hAnsi="宋体" w:cs="宋体" w:eastAsia="宋体" w:hint="default"/>
                <w:spacing w:val="1"/>
                <w:sz w:val="18"/>
                <w:szCs w:val="18"/>
              </w:rPr>
              <w:t>岛</w:t>
            </w:r>
            <w:r>
              <w:rPr>
                <w:rFonts w:ascii="宋体" w:hAnsi="宋体" w:cs="宋体" w:eastAsia="宋体" w:hint="default"/>
                <w:sz w:val="18"/>
                <w:szCs w:val="18"/>
              </w:rPr>
              <w:t>茂业商厦经营管理有限公司</w:t>
            </w:r>
            <w:r>
              <w:rPr>
                <w:rFonts w:ascii="宋体" w:hAnsi="宋体" w:cs="宋体" w:eastAsia="宋体" w:hint="default"/>
                <w:sz w:val="18"/>
                <w:szCs w:val="18"/>
              </w:rPr>
              <w:t>)</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公司全资子公司北京创世漫道科技有限公司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安徽国润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公司控股子公司安徽国润投资发展有限公司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滁州茂业</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公司间接控股公司滁州茂业投资发展有限公司</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淮南茂业</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公司间接控股公司淮南茂业投资发展有限公司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年度发生并实施完毕的公司发行股份及支付现金购买资产并向特定对象募集配套资金事项</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年度发生并实施完毕的公司发行股份购买资产暨关联交易事项</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茂业国际</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公司间接控股股东茂业国际控股有限公司</w:t>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z w:val="18"/>
                <w:szCs w:val="18"/>
              </w:rPr>
              <w:t>00848.HK)</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成商集团</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上海证券交易所上市公司成商集团股份有限公司</w:t>
            </w:r>
            <w:r>
              <w:rPr>
                <w:rFonts w:ascii="宋体" w:hAnsi="宋体" w:cs="宋体" w:eastAsia="宋体" w:hint="default"/>
                <w:sz w:val="18"/>
                <w:szCs w:val="18"/>
              </w:rPr>
              <w:t>(600828)</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6"/>
                <w:sz w:val="18"/>
                <w:szCs w:val="18"/>
              </w:rPr>
              <w:t> </w:t>
            </w:r>
            <w:r>
              <w:rPr>
                <w:rFonts w:ascii="宋体" w:hAnsi="宋体" w:cs="宋体" w:eastAsia="宋体" w:hint="default"/>
                <w:sz w:val="18"/>
                <w:szCs w:val="18"/>
              </w:rPr>
              <w:t>商城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上海证券交易所上市公司沈阳商业城股份有限公司</w:t>
            </w:r>
            <w:r>
              <w:rPr>
                <w:rFonts w:ascii="宋体" w:hAnsi="宋体" w:cs="宋体" w:eastAsia="宋体" w:hint="default"/>
                <w:sz w:val="18"/>
                <w:szCs w:val="18"/>
              </w:rPr>
              <w:t>(600306)</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华普天健</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华普天健会计师事务所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中企华</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北京中企华资产评估有限责任公司</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茂业物流股份有限公司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年年度报告</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中国证监会指定公司信息披露网站</w:t>
            </w:r>
            <w:r>
              <w:rPr>
                <w:rFonts w:ascii="宋体" w:hAnsi="宋体" w:cs="宋体" w:eastAsia="宋体" w:hint="default"/>
                <w:sz w:val="18"/>
                <w:szCs w:val="18"/>
              </w:rPr>
              <w:t>(</w:t>
            </w:r>
            <w:r>
              <w:rPr>
                <w:rFonts w:ascii="宋体" w:hAnsi="宋体" w:cs="宋体" w:eastAsia="宋体" w:hint="default"/>
                <w:sz w:val="18"/>
                <w:szCs w:val="18"/>
              </w:rPr>
              <w:t>网址</w:t>
            </w:r>
            <w:r>
              <w:rPr>
                <w:rFonts w:ascii="宋体" w:hAnsi="宋体" w:cs="宋体" w:eastAsia="宋体" w:hint="default"/>
                <w:spacing w:val="-46"/>
                <w:sz w:val="18"/>
                <w:szCs w:val="18"/>
              </w:rPr>
              <w:t> </w:t>
            </w:r>
            <w:r>
              <w:rPr>
                <w:rFonts w:ascii="宋体" w:hAnsi="宋体" w:cs="宋体" w:eastAsia="宋体" w:hint="default"/>
                <w:sz w:val="18"/>
                <w:szCs w:val="18"/>
              </w:rPr>
              <w:t>http://www.cninfo.com.cn)</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三会一层</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指</w:t>
            </w:r>
          </w:p>
        </w:tc>
        <w:tc>
          <w:tcPr>
            <w:tcW w:w="7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股东大会、董事会、监事会、管理层</w:t>
            </w:r>
          </w:p>
        </w:tc>
      </w:tr>
    </w:tbl>
    <w:p>
      <w:pPr>
        <w:spacing w:line="240" w:lineRule="auto" w:before="1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3" w:footer="1219" w:top="1140" w:bottom="1400" w:left="90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3"/>
        <w:spacing w:line="240" w:lineRule="auto" w:before="0"/>
        <w:ind w:left="404" w:right="0"/>
        <w:jc w:val="left"/>
        <w:rPr>
          <w:b w:val="0"/>
          <w:bCs w:val="0"/>
        </w:rPr>
      </w:pPr>
      <w:r>
        <w:rPr>
          <w:w w:val="95"/>
        </w:rPr>
        <w:t>一、公司信息</w:t>
      </w:r>
      <w:r>
        <w:rPr>
          <w:b w:val="0"/>
          <w:bCs w:val="0"/>
        </w:rPr>
      </w:r>
    </w:p>
    <w:p>
      <w:pPr>
        <w:spacing w:before="1"/>
        <w:ind w:left="404" w:right="0" w:firstLine="0"/>
        <w:jc w:val="left"/>
        <w:rPr>
          <w:rFonts w:ascii="宋体" w:hAnsi="宋体" w:cs="宋体" w:eastAsia="宋体" w:hint="default"/>
          <w:sz w:val="32"/>
          <w:szCs w:val="32"/>
        </w:rPr>
      </w:pPr>
      <w:r>
        <w:rPr/>
        <w:br w:type="column"/>
      </w:r>
      <w:r>
        <w:rPr>
          <w:rFonts w:ascii="宋体" w:hAnsi="宋体" w:cs="宋体" w:eastAsia="宋体" w:hint="default"/>
          <w:b/>
          <w:bCs/>
          <w:sz w:val="32"/>
          <w:szCs w:val="32"/>
        </w:rPr>
        <w:t>第二章</w:t>
      </w:r>
      <w:r>
        <w:rPr>
          <w:rFonts w:ascii="宋体" w:hAnsi="宋体" w:cs="宋体" w:eastAsia="宋体" w:hint="default"/>
          <w:b/>
          <w:bCs/>
          <w:spacing w:val="-5"/>
          <w:sz w:val="32"/>
          <w:szCs w:val="32"/>
        </w:rPr>
        <w:t> </w:t>
      </w:r>
      <w:r>
        <w:rPr>
          <w:rFonts w:ascii="宋体" w:hAnsi="宋体" w:cs="宋体" w:eastAsia="宋体" w:hint="default"/>
          <w:b/>
          <w:bCs/>
          <w:sz w:val="32"/>
          <w:szCs w:val="32"/>
        </w:rPr>
        <w:t>公司简介</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580" w:bottom="760" w:left="900" w:right="0"/>
          <w:cols w:num="2" w:equalWidth="0">
            <w:col w:w="1668" w:space="1833"/>
            <w:col w:w="7509"/>
          </w:cols>
        </w:sectPr>
      </w:pP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979"/>
        <w:gridCol w:w="2693"/>
        <w:gridCol w:w="2127"/>
        <w:gridCol w:w="2126"/>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sz w:val="18"/>
              </w:rPr>
              <w:t>000889</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茂业物流股份有限公司</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Maoye Logistics Corporation Ltd.</w:t>
            </w:r>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公司的英文名称缩写</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MAOYE LOGISTICS</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刘宏</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公司注册地址</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秦皇岛市海港区河北大街中段</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066000</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公司办公地址</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066000</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hyperlink r:id="rId9">
              <w:r>
                <w:rPr>
                  <w:rFonts w:ascii="宋体"/>
                  <w:sz w:val="18"/>
                </w:rPr>
                <w:t>www.hlsc.com.cn</w:t>
              </w:r>
            </w:hyperlink>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公司电子信箱</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hyperlink r:id="rId10">
              <w:r>
                <w:rPr>
                  <w:rFonts w:ascii="宋体"/>
                  <w:sz w:val="18"/>
                </w:rPr>
                <w:t>hlsc000889@163.com</w:t>
              </w:r>
            </w:hyperlink>
          </w:p>
        </w:tc>
      </w:tr>
    </w:tbl>
    <w:p>
      <w:pPr>
        <w:spacing w:line="240" w:lineRule="auto" w:before="0"/>
        <w:rPr>
          <w:rFonts w:ascii="宋体" w:hAnsi="宋体" w:cs="宋体" w:eastAsia="宋体" w:hint="default"/>
          <w:b/>
          <w:bCs/>
          <w:sz w:val="20"/>
          <w:szCs w:val="20"/>
        </w:rPr>
      </w:pPr>
    </w:p>
    <w:p>
      <w:pPr>
        <w:spacing w:before="35"/>
        <w:ind w:left="404" w:right="5945" w:firstLine="0"/>
        <w:jc w:val="left"/>
        <w:rPr>
          <w:rFonts w:ascii="宋体" w:hAnsi="宋体" w:cs="宋体" w:eastAsia="宋体" w:hint="default"/>
          <w:sz w:val="21"/>
          <w:szCs w:val="21"/>
        </w:rPr>
      </w:pPr>
      <w:r>
        <w:rPr>
          <w:rFonts w:ascii="宋体" w:hAnsi="宋体" w:cs="宋体" w:eastAsia="宋体" w:hint="default"/>
          <w:b/>
          <w:bCs/>
          <w:sz w:val="21"/>
          <w:szCs w:val="21"/>
        </w:rPr>
        <w:t>二、公司联系人和联系方式</w:t>
      </w:r>
      <w:r>
        <w:rPr>
          <w:rFonts w:ascii="宋体" w:hAnsi="宋体" w:cs="宋体" w:eastAsia="宋体" w:hint="default"/>
          <w:sz w:val="21"/>
          <w:szCs w:val="21"/>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9"/>
        <w:gridCol w:w="3544"/>
        <w:gridCol w:w="3402"/>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史鸿雁</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3733868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3280602</w:t>
            </w:r>
          </w:p>
        </w:tc>
      </w:tr>
    </w:tbl>
    <w:p>
      <w:pPr>
        <w:spacing w:after="0" w:line="260" w:lineRule="exact"/>
        <w:jc w:val="left"/>
        <w:rPr>
          <w:rFonts w:ascii="宋体" w:hAnsi="宋体" w:cs="宋体" w:eastAsia="宋体" w:hint="default"/>
          <w:sz w:val="21"/>
          <w:szCs w:val="21"/>
        </w:rPr>
        <w:sectPr>
          <w:type w:val="continuous"/>
          <w:pgSz w:w="11910" w:h="16840"/>
          <w:pgMar w:top="1580" w:bottom="76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979"/>
        <w:gridCol w:w="3544"/>
        <w:gridCol w:w="3402"/>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3023349</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hyperlink r:id="rId11">
              <w:r>
                <w:rPr>
                  <w:rFonts w:ascii="宋体"/>
                  <w:sz w:val="21"/>
                </w:rPr>
                <w:t>hqjiao@sohu.com</w:t>
              </w:r>
            </w:hyperlink>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hyperlink r:id="rId12">
              <w:r>
                <w:rPr>
                  <w:rFonts w:ascii="宋体"/>
                  <w:sz w:val="21"/>
                </w:rPr>
                <w:t>hlscshy000889@aliyun.com</w:t>
              </w:r>
            </w:hyperlink>
          </w:p>
        </w:tc>
      </w:tr>
    </w:tbl>
    <w:p>
      <w:pPr>
        <w:spacing w:line="240" w:lineRule="auto" w:before="0"/>
        <w:rPr>
          <w:rFonts w:ascii="宋体" w:hAnsi="宋体" w:cs="宋体" w:eastAsia="宋体" w:hint="default"/>
          <w:sz w:val="20"/>
          <w:szCs w:val="20"/>
        </w:rPr>
      </w:pPr>
    </w:p>
    <w:p>
      <w:pPr>
        <w:spacing w:before="35"/>
        <w:ind w:left="404" w:right="5945" w:firstLine="0"/>
        <w:jc w:val="left"/>
        <w:rPr>
          <w:rFonts w:ascii="宋体" w:hAnsi="宋体" w:cs="宋体" w:eastAsia="宋体" w:hint="default"/>
          <w:sz w:val="21"/>
          <w:szCs w:val="21"/>
        </w:rPr>
      </w:pPr>
      <w:r>
        <w:rPr>
          <w:rFonts w:ascii="宋体" w:hAnsi="宋体" w:cs="宋体" w:eastAsia="宋体" w:hint="default"/>
          <w:b/>
          <w:bCs/>
          <w:sz w:val="21"/>
          <w:szCs w:val="21"/>
        </w:rPr>
        <w:t>三、信息披露及备置地点</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5106"/>
        <w:gridCol w:w="4820"/>
      </w:tblGrid>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323"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公司登载年度报告的中国证监会指定网站的网址</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hyperlink r:id="rId13">
              <w:r>
                <w:rPr>
                  <w:rFonts w:ascii="宋体"/>
                  <w:sz w:val="18"/>
                </w:rPr>
                <w:t>http://www.cninfo.com.cn</w:t>
              </w:r>
            </w:hyperlink>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公司办公室、证券部、财务报告部</w:t>
            </w:r>
          </w:p>
        </w:tc>
      </w:tr>
    </w:tbl>
    <w:p>
      <w:pPr>
        <w:spacing w:line="240" w:lineRule="auto" w:before="0"/>
        <w:rPr>
          <w:rFonts w:ascii="宋体" w:hAnsi="宋体" w:cs="宋体" w:eastAsia="宋体" w:hint="default"/>
          <w:b/>
          <w:bCs/>
          <w:sz w:val="20"/>
          <w:szCs w:val="20"/>
        </w:rPr>
      </w:pPr>
    </w:p>
    <w:p>
      <w:pPr>
        <w:spacing w:line="300" w:lineRule="auto" w:before="35"/>
        <w:ind w:left="824" w:right="5945" w:hanging="421"/>
        <w:jc w:val="left"/>
        <w:rPr>
          <w:rFonts w:ascii="宋体" w:hAnsi="宋体" w:cs="宋体" w:eastAsia="宋体" w:hint="default"/>
          <w:sz w:val="21"/>
          <w:szCs w:val="21"/>
        </w:rPr>
      </w:pPr>
      <w:r>
        <w:rPr>
          <w:rFonts w:ascii="宋体" w:hAnsi="宋体" w:cs="宋体" w:eastAsia="宋体" w:hint="default"/>
          <w:b/>
          <w:bCs/>
          <w:sz w:val="21"/>
          <w:szCs w:val="21"/>
        </w:rPr>
        <w:t>四、公司注册变更、主业变化、控股股东变更情况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公司首次注册情况的相关查询索引</w:t>
      </w:r>
    </w:p>
    <w:tbl>
      <w:tblPr>
        <w:tblW w:w="0" w:type="auto"/>
        <w:jc w:val="left"/>
        <w:tblInd w:w="115" w:type="dxa"/>
        <w:tblLayout w:type="fixed"/>
        <w:tblCellMar>
          <w:top w:w="0" w:type="dxa"/>
          <w:left w:w="0" w:type="dxa"/>
          <w:bottom w:w="0" w:type="dxa"/>
          <w:right w:w="0" w:type="dxa"/>
        </w:tblCellMar>
        <w:tblLook w:val="01E0"/>
      </w:tblPr>
      <w:tblGrid>
        <w:gridCol w:w="2979"/>
        <w:gridCol w:w="6946"/>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登记机关</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河北省工商行政管理局</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登记地点</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河北省石家庄市体育南大街</w:t>
            </w:r>
            <w:r>
              <w:rPr>
                <w:rFonts w:ascii="宋体" w:hAnsi="宋体" w:cs="宋体" w:eastAsia="宋体" w:hint="default"/>
                <w:spacing w:val="-46"/>
                <w:sz w:val="18"/>
                <w:szCs w:val="18"/>
              </w:rPr>
              <w:t> </w:t>
            </w:r>
            <w:r>
              <w:rPr>
                <w:rFonts w:ascii="宋体" w:hAnsi="宋体" w:cs="宋体" w:eastAsia="宋体" w:hint="default"/>
                <w:sz w:val="18"/>
                <w:szCs w:val="18"/>
              </w:rPr>
              <w:t>316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注册名称</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秦皇岛华联商城股份有限公司</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w:t>
            </w:r>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8,005</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公司报告期内的注册变更情况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9"/>
        <w:gridCol w:w="5386"/>
        <w:gridCol w:w="1560"/>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变更情况</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注册登记地点及机关</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河北省秦皇岛市海港区建设大街</w:t>
            </w:r>
            <w:r>
              <w:rPr>
                <w:rFonts w:ascii="宋体" w:hAnsi="宋体" w:cs="宋体" w:eastAsia="宋体" w:hint="default"/>
                <w:spacing w:val="-46"/>
                <w:sz w:val="18"/>
                <w:szCs w:val="18"/>
              </w:rPr>
              <w:t> </w:t>
            </w:r>
            <w:r>
              <w:rPr>
                <w:rFonts w:ascii="宋体" w:hAnsi="宋体" w:cs="宋体" w:eastAsia="宋体" w:hint="default"/>
                <w:sz w:val="18"/>
                <w:szCs w:val="18"/>
              </w:rPr>
              <w:t>258</w:t>
            </w:r>
            <w:r>
              <w:rPr>
                <w:rFonts w:ascii="宋体" w:hAnsi="宋体" w:cs="宋体" w:eastAsia="宋体" w:hint="default"/>
                <w:spacing w:val="-46"/>
                <w:sz w:val="18"/>
                <w:szCs w:val="18"/>
              </w:rPr>
              <w:t> </w:t>
            </w:r>
            <w:r>
              <w:rPr>
                <w:rFonts w:ascii="宋体" w:hAnsi="宋体" w:cs="宋体" w:eastAsia="宋体" w:hint="default"/>
                <w:sz w:val="18"/>
                <w:szCs w:val="18"/>
              </w:rPr>
              <w:t>号秦皇岛市工商行政管理局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未变更</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130000000000182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未变更</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130302104366111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未变更</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未变更</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445,521,564</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未变更</w:t>
            </w:r>
          </w:p>
        </w:tc>
      </w:tr>
      <w:tr>
        <w:trPr>
          <w:trHeight w:val="71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3"/>
                <w:sz w:val="18"/>
                <w:szCs w:val="18"/>
              </w:rPr>
              <w:t>报告期后至本报告披露前变更登记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事项</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日，经秦皇岛市工商局变更登记，公司注册资本由“</w:t>
            </w:r>
            <w:r>
              <w:rPr>
                <w:rFonts w:ascii="宋体" w:hAnsi="宋体" w:cs="宋体" w:eastAsia="宋体" w:hint="default"/>
                <w:sz w:val="18"/>
                <w:szCs w:val="18"/>
              </w:rPr>
              <w:t>445,521,564</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变更为“</w:t>
            </w:r>
            <w:r>
              <w:rPr>
                <w:rFonts w:ascii="宋体" w:hAnsi="宋体" w:cs="宋体" w:eastAsia="宋体" w:hint="default"/>
                <w:spacing w:val="-4"/>
                <w:sz w:val="18"/>
                <w:szCs w:val="18"/>
              </w:rPr>
              <w:t>621,826,786</w:t>
            </w:r>
            <w:r>
              <w:rPr>
                <w:rFonts w:ascii="宋体" w:hAnsi="宋体" w:cs="宋体" w:eastAsia="宋体" w:hint="default"/>
                <w:spacing w:val="-4"/>
                <w:sz w:val="18"/>
                <w:szCs w:val="18"/>
              </w:rPr>
              <w:t>”。该项变更已于</w:t>
            </w:r>
            <w:r>
              <w:rPr>
                <w:rFonts w:ascii="宋体" w:hAnsi="宋体" w:cs="宋体" w:eastAsia="宋体" w:hint="default"/>
                <w:spacing w:val="-34"/>
                <w:sz w:val="18"/>
                <w:szCs w:val="18"/>
              </w:rPr>
              <w:t> </w:t>
            </w:r>
            <w:r>
              <w:rPr>
                <w:rFonts w:ascii="宋体" w:hAnsi="宋体" w:cs="宋体" w:eastAsia="宋体" w:hint="default"/>
                <w:sz w:val="18"/>
                <w:szCs w:val="18"/>
              </w:rPr>
              <w:t>2015</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31</w:t>
            </w:r>
            <w:r>
              <w:rPr>
                <w:rFonts w:ascii="宋体" w:hAnsi="宋体" w:cs="宋体" w:eastAsia="宋体" w:hint="default"/>
                <w:spacing w:val="-34"/>
                <w:sz w:val="18"/>
                <w:szCs w:val="18"/>
              </w:rPr>
              <w:t> </w:t>
            </w:r>
            <w:r>
              <w:rPr>
                <w:rFonts w:ascii="宋体" w:hAnsi="宋体" w:cs="宋体" w:eastAsia="宋体" w:hint="default"/>
                <w:sz w:val="18"/>
                <w:szCs w:val="18"/>
              </w:rPr>
              <w:t>日在巨潮资讯网上刊载，题为 茂业物流：关于变更公司注册资本的公告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08)</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公司上市以来主营业务的变化情况</w:t>
      </w:r>
    </w:p>
    <w:p>
      <w:pPr>
        <w:pStyle w:val="BodyText"/>
        <w:spacing w:line="273" w:lineRule="auto" w:before="37"/>
        <w:ind w:right="1187" w:firstLine="420"/>
        <w:jc w:val="both"/>
      </w:pPr>
      <w:r>
        <w:rPr/>
        <w:t>自</w:t>
      </w:r>
      <w:r>
        <w:rPr>
          <w:spacing w:val="-52"/>
        </w:rPr>
        <w:t> </w:t>
      </w:r>
      <w:r>
        <w:rPr>
          <w:rFonts w:ascii="宋体" w:hAnsi="宋体" w:cs="宋体" w:eastAsia="宋体" w:hint="default"/>
        </w:rPr>
        <w:t>1997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月公开发行股票上市至</w:t>
      </w:r>
      <w:r>
        <w:rPr>
          <w:spacing w:val="-52"/>
        </w:rPr>
        <w:t> </w:t>
      </w:r>
      <w:r>
        <w:rPr>
          <w:rFonts w:ascii="宋体" w:hAnsi="宋体" w:cs="宋体" w:eastAsia="宋体" w:hint="default"/>
        </w:rPr>
        <w:t>1998</w:t>
      </w:r>
      <w:r>
        <w:rPr>
          <w:rFonts w:ascii="宋体" w:hAnsi="宋体" w:cs="宋体" w:eastAsia="宋体" w:hint="default"/>
          <w:spacing w:val="-52"/>
        </w:rPr>
        <w:t> </w:t>
      </w:r>
      <w:r>
        <w:rPr/>
        <w:t>年度，公司主营业务为单一百货零售。</w:t>
      </w:r>
      <w:r>
        <w:rPr>
          <w:rFonts w:ascii="宋体" w:hAnsi="宋体" w:cs="宋体" w:eastAsia="宋体" w:hint="default"/>
        </w:rPr>
        <w:t>1999</w:t>
      </w:r>
      <w:r>
        <w:rPr>
          <w:rFonts w:ascii="宋体" w:hAnsi="宋体" w:cs="宋体" w:eastAsia="宋体" w:hint="default"/>
          <w:spacing w:val="-52"/>
        </w:rPr>
        <w:t> </w:t>
      </w:r>
      <w:r>
        <w:rPr/>
        <w:t>年收购安徽 国润</w:t>
      </w:r>
      <w:r>
        <w:rPr>
          <w:spacing w:val="-38"/>
        </w:rPr>
        <w:t> </w:t>
      </w:r>
      <w:r>
        <w:rPr>
          <w:rFonts w:ascii="宋体" w:hAnsi="宋体" w:cs="宋体" w:eastAsia="宋体" w:hint="default"/>
        </w:rPr>
        <w:t>99%</w:t>
      </w:r>
      <w:r>
        <w:rPr/>
        <w:t>的股权后至</w:t>
      </w:r>
      <w:r>
        <w:rPr>
          <w:spacing w:val="-38"/>
        </w:rPr>
        <w:t> </w:t>
      </w:r>
      <w:r>
        <w:rPr>
          <w:rFonts w:ascii="宋体" w:hAnsi="宋体" w:cs="宋体" w:eastAsia="宋体" w:hint="default"/>
        </w:rPr>
        <w:t>2009</w:t>
      </w:r>
      <w:r>
        <w:rPr>
          <w:rFonts w:ascii="宋体" w:hAnsi="宋体" w:cs="宋体" w:eastAsia="宋体" w:hint="default"/>
          <w:spacing w:val="-39"/>
        </w:rPr>
        <w:t> </w:t>
      </w:r>
      <w:r>
        <w:rPr/>
        <w:t>年度，公司主营业务以商业地产为主、商贸零售并举。</w:t>
      </w:r>
      <w:r>
        <w:rPr>
          <w:rFonts w:ascii="宋体" w:hAnsi="宋体" w:cs="宋体" w:eastAsia="宋体" w:hint="default"/>
        </w:rPr>
        <w:t>2010</w:t>
      </w:r>
      <w:r>
        <w:rPr>
          <w:rFonts w:ascii="宋体" w:hAnsi="宋体" w:cs="宋体" w:eastAsia="宋体" w:hint="default"/>
          <w:spacing w:val="-37"/>
        </w:rPr>
        <w:t> </w:t>
      </w:r>
      <w:r>
        <w:rPr/>
        <w:t>年起回归主业公 司主营业务以百货零售为主、辅之商业地产。报告期公司实施完毕 </w:t>
      </w:r>
      <w:r>
        <w:rPr>
          <w:rFonts w:ascii="宋体" w:hAnsi="宋体" w:cs="宋体" w:eastAsia="宋体" w:hint="default"/>
        </w:rPr>
        <w:t>2014</w:t>
      </w:r>
      <w:r>
        <w:rPr>
          <w:rFonts w:ascii="宋体" w:hAnsi="宋体" w:cs="宋体" w:eastAsia="宋体" w:hint="default"/>
          <w:spacing w:val="-41"/>
        </w:rPr>
        <w:t> </w:t>
      </w:r>
      <w:r>
        <w:rPr/>
        <w:t>年重组后，主营业务将以百货 零售和移动信息服务并存。</w:t>
      </w:r>
    </w:p>
    <w:p>
      <w:pPr>
        <w:pStyle w:val="BodyText"/>
        <w:spacing w:line="240" w:lineRule="auto" w:before="163"/>
        <w:ind w:left="824" w:right="594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公司上市以来历次控股股东变更情况</w:t>
      </w:r>
    </w:p>
    <w:p>
      <w:pPr>
        <w:pStyle w:val="BodyText"/>
        <w:spacing w:line="240" w:lineRule="auto" w:before="68"/>
        <w:ind w:left="824" w:right="418"/>
        <w:jc w:val="left"/>
      </w:pPr>
      <w:r>
        <w:rPr>
          <w:rFonts w:ascii="宋体" w:hAnsi="宋体" w:cs="宋体" w:eastAsia="宋体" w:hint="default"/>
        </w:rPr>
        <w:t>1997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月上市时，公司第一大股东</w:t>
      </w:r>
      <w:r>
        <w:rPr>
          <w:rFonts w:ascii="宋体" w:hAnsi="宋体" w:cs="宋体" w:eastAsia="宋体" w:hint="default"/>
        </w:rPr>
        <w:t>(</w:t>
      </w:r>
      <w:r>
        <w:rPr/>
        <w:t>控股股东</w:t>
      </w:r>
      <w:r>
        <w:rPr>
          <w:rFonts w:ascii="宋体" w:hAnsi="宋体" w:cs="宋体" w:eastAsia="宋体" w:hint="default"/>
        </w:rPr>
        <w:t>)</w:t>
      </w:r>
      <w:r>
        <w:rPr/>
        <w:t>是秦皇岛华联集团有限公司，持股比例</w:t>
      </w:r>
      <w:r>
        <w:rPr>
          <w:spacing w:val="-54"/>
        </w:rPr>
        <w:t> </w:t>
      </w:r>
      <w:r>
        <w:rPr>
          <w:rFonts w:ascii="宋体" w:hAnsi="宋体" w:cs="宋体" w:eastAsia="宋体" w:hint="default"/>
        </w:rPr>
        <w:t>38.59%</w:t>
      </w:r>
      <w:r>
        <w:rPr/>
        <w:t>。</w:t>
      </w:r>
    </w:p>
    <w:p>
      <w:pPr>
        <w:pStyle w:val="BodyText"/>
        <w:spacing w:line="240" w:lineRule="auto" w:before="67"/>
        <w:ind w:left="824" w:right="418"/>
        <w:jc w:val="left"/>
      </w:pPr>
      <w:r>
        <w:rPr/>
        <w:t>本公司首次大股东变更始于</w:t>
      </w:r>
      <w:r>
        <w:rPr>
          <w:spacing w:val="-54"/>
        </w:rPr>
        <w:t> </w:t>
      </w:r>
      <w:r>
        <w:rPr>
          <w:rFonts w:ascii="宋体" w:hAnsi="宋体" w:cs="宋体" w:eastAsia="宋体" w:hint="default"/>
        </w:rPr>
        <w:t>1999</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月，后经中华人民共和国财政部财企</w:t>
      </w:r>
      <w:r>
        <w:rPr>
          <w:rFonts w:ascii="宋体" w:hAnsi="宋体" w:cs="宋体" w:eastAsia="宋体" w:hint="default"/>
        </w:rPr>
        <w:t>[2002]394</w:t>
      </w:r>
      <w:r>
        <w:rPr>
          <w:rFonts w:ascii="宋体" w:hAnsi="宋体" w:cs="宋体" w:eastAsia="宋体" w:hint="default"/>
          <w:spacing w:val="-54"/>
        </w:rPr>
        <w:t> </w:t>
      </w:r>
      <w:r>
        <w:rPr/>
        <w:t>号文件批复，</w:t>
      </w:r>
    </w:p>
    <w:p>
      <w:pPr>
        <w:pStyle w:val="BodyText"/>
        <w:spacing w:line="273" w:lineRule="auto" w:before="37"/>
        <w:ind w:right="1187"/>
        <w:jc w:val="both"/>
        <w:rPr>
          <w:rFonts w:ascii="宋体" w:hAnsi="宋体" w:cs="宋体" w:eastAsia="宋体" w:hint="default"/>
        </w:rPr>
      </w:pPr>
      <w:r>
        <w:rPr/>
        <w:t>协议转让股权的过户手续于</w:t>
      </w:r>
      <w:r>
        <w:rPr>
          <w:spacing w:val="-41"/>
        </w:rPr>
        <w:t> </w:t>
      </w:r>
      <w:r>
        <w:rPr>
          <w:rFonts w:ascii="宋体" w:hAnsi="宋体" w:cs="宋体" w:eastAsia="宋体" w:hint="default"/>
        </w:rPr>
        <w:t>2002</w:t>
      </w:r>
      <w:r>
        <w:rPr>
          <w:rFonts w:ascii="宋体" w:hAnsi="宋体" w:cs="宋体" w:eastAsia="宋体" w:hint="default"/>
          <w:spacing w:val="-42"/>
        </w:rPr>
        <w:t> </w:t>
      </w:r>
      <w:r>
        <w:rPr/>
        <w:t>年</w:t>
      </w:r>
      <w:r>
        <w:rPr>
          <w:spacing w:val="-42"/>
        </w:rPr>
        <w:t> </w:t>
      </w:r>
      <w:r>
        <w:rPr>
          <w:rFonts w:ascii="宋体" w:hAnsi="宋体" w:cs="宋体" w:eastAsia="宋体" w:hint="default"/>
        </w:rPr>
        <w:t>10</w:t>
      </w:r>
      <w:r>
        <w:rPr>
          <w:rFonts w:ascii="宋体" w:hAnsi="宋体" w:cs="宋体" w:eastAsia="宋体" w:hint="default"/>
          <w:spacing w:val="-41"/>
        </w:rPr>
        <w:t> </w:t>
      </w:r>
      <w:r>
        <w:rPr/>
        <w:t>月</w:t>
      </w:r>
      <w:r>
        <w:rPr>
          <w:spacing w:val="-43"/>
        </w:rPr>
        <w:t> </w:t>
      </w:r>
      <w:r>
        <w:rPr>
          <w:rFonts w:ascii="宋体" w:hAnsi="宋体" w:cs="宋体" w:eastAsia="宋体" w:hint="default"/>
        </w:rPr>
        <w:t>22</w:t>
      </w:r>
      <w:r>
        <w:rPr>
          <w:rFonts w:ascii="宋体" w:hAnsi="宋体" w:cs="宋体" w:eastAsia="宋体" w:hint="default"/>
          <w:spacing w:val="-42"/>
        </w:rPr>
        <w:t> </w:t>
      </w:r>
      <w:r>
        <w:rPr/>
        <w:t>日，在中国证券登记结算有限责任公司深圳分公司办理完 </w:t>
      </w:r>
      <w:r>
        <w:rPr>
          <w:spacing w:val="3"/>
        </w:rPr>
        <w:t>毕，安徽新长江投资股份有限公司</w:t>
      </w:r>
      <w:r>
        <w:rPr>
          <w:rFonts w:ascii="宋体" w:hAnsi="宋体" w:cs="宋体" w:eastAsia="宋体" w:hint="default"/>
          <w:spacing w:val="3"/>
        </w:rPr>
        <w:t>(</w:t>
      </w:r>
      <w:r>
        <w:rPr>
          <w:spacing w:val="3"/>
        </w:rPr>
        <w:t>简称新长江</w:t>
      </w:r>
      <w:r>
        <w:rPr>
          <w:rFonts w:ascii="宋体" w:hAnsi="宋体" w:cs="宋体" w:eastAsia="宋体" w:hint="default"/>
          <w:spacing w:val="3"/>
        </w:rPr>
        <w:t>)</w:t>
      </w:r>
      <w:r>
        <w:rPr>
          <w:spacing w:val="3"/>
        </w:rPr>
        <w:t>变更为公司第一大股东</w:t>
      </w:r>
      <w:r>
        <w:rPr>
          <w:rFonts w:ascii="宋体" w:hAnsi="宋体" w:cs="宋体" w:eastAsia="宋体" w:hint="default"/>
          <w:spacing w:val="3"/>
        </w:rPr>
        <w:t>(</w:t>
      </w:r>
      <w:r>
        <w:rPr>
          <w:spacing w:val="3"/>
        </w:rPr>
        <w:t>控股股东</w:t>
      </w:r>
      <w:r>
        <w:rPr>
          <w:rFonts w:ascii="宋体" w:hAnsi="宋体" w:cs="宋体" w:eastAsia="宋体" w:hint="default"/>
          <w:spacing w:val="3"/>
        </w:rPr>
        <w:t>)</w:t>
      </w:r>
      <w:r>
        <w:rPr>
          <w:spacing w:val="3"/>
        </w:rPr>
        <w:t>，当年末持股比例</w:t>
      </w:r>
      <w:r>
        <w:rPr>
          <w:spacing w:val="-93"/>
        </w:rPr>
        <w:t> </w:t>
      </w:r>
      <w:r>
        <w:rPr>
          <w:spacing w:val="-93"/>
        </w:rPr>
      </w:r>
      <w:r>
        <w:rPr>
          <w:rFonts w:ascii="宋体" w:hAnsi="宋体" w:cs="宋体" w:eastAsia="宋体" w:hint="default"/>
        </w:rPr>
        <w:t>22.07%,</w:t>
      </w:r>
      <w:r>
        <w:rPr/>
        <w:t>秦皇岛华联集团有限公司变为公司第二大股东。有关协议转让股权情况可查阅公司于</w:t>
      </w:r>
      <w:r>
        <w:rPr>
          <w:spacing w:val="-49"/>
        </w:rPr>
        <w:t> </w:t>
      </w:r>
      <w:r>
        <w:rPr>
          <w:rFonts w:ascii="宋体" w:hAnsi="宋体" w:cs="宋体" w:eastAsia="宋体" w:hint="default"/>
        </w:rPr>
        <w:t>2000</w:t>
      </w:r>
      <w:r>
        <w:rPr>
          <w:rFonts w:ascii="宋体" w:hAnsi="宋体" w:cs="宋体" w:eastAsia="宋体" w:hint="default"/>
          <w:spacing w:val="-49"/>
        </w:rPr>
        <w:t> </w:t>
      </w:r>
      <w:r>
        <w:rPr/>
        <w:t>年</w:t>
      </w:r>
      <w:r>
        <w:rPr>
          <w:spacing w:val="-50"/>
        </w:rPr>
        <w:t> </w:t>
      </w:r>
      <w:r>
        <w:rPr>
          <w:rFonts w:ascii="宋体" w:hAnsi="宋体" w:cs="宋体" w:eastAsia="宋体" w:hint="default"/>
        </w:rPr>
        <w:t>8</w:t>
      </w:r>
    </w:p>
    <w:p>
      <w:pPr>
        <w:pStyle w:val="BodyText"/>
        <w:spacing w:line="273" w:lineRule="auto"/>
        <w:ind w:right="1188"/>
        <w:jc w:val="both"/>
      </w:pPr>
      <w:r>
        <w:rPr/>
        <w:t>月</w:t>
      </w:r>
      <w:r>
        <w:rPr>
          <w:spacing w:val="-51"/>
        </w:rPr>
        <w:t> </w:t>
      </w:r>
      <w:r>
        <w:rPr>
          <w:rFonts w:ascii="宋体" w:hAnsi="宋体" w:cs="宋体" w:eastAsia="宋体" w:hint="default"/>
          <w:spacing w:val="-1"/>
        </w:rPr>
        <w:t>31</w:t>
      </w:r>
      <w:r>
        <w:rPr>
          <w:rFonts w:ascii="宋体" w:hAnsi="宋体" w:cs="宋体" w:eastAsia="宋体" w:hint="default"/>
          <w:spacing w:val="-50"/>
        </w:rPr>
        <w:t> </w:t>
      </w:r>
      <w:r>
        <w:rPr>
          <w:spacing w:val="-3"/>
        </w:rPr>
        <w:t>日、</w:t>
      </w:r>
      <w:r>
        <w:rPr>
          <w:rFonts w:ascii="宋体" w:hAnsi="宋体" w:cs="宋体" w:eastAsia="宋体" w:hint="default"/>
          <w:spacing w:val="-3"/>
        </w:rPr>
        <w:t>2002</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spacing w:val="-1"/>
        </w:rPr>
        <w:t>10</w:t>
      </w:r>
      <w:r>
        <w:rPr>
          <w:rFonts w:ascii="宋体" w:hAnsi="宋体" w:cs="宋体" w:eastAsia="宋体" w:hint="default"/>
          <w:spacing w:val="-51"/>
        </w:rPr>
        <w:t> </w:t>
      </w:r>
      <w:r>
        <w:rPr>
          <w:spacing w:val="-5"/>
        </w:rPr>
        <w:t>日、</w:t>
      </w:r>
      <w:r>
        <w:rPr>
          <w:rFonts w:ascii="宋体" w:hAnsi="宋体" w:cs="宋体" w:eastAsia="宋体" w:hint="default"/>
          <w:spacing w:val="-5"/>
        </w:rPr>
        <w:t>8</w:t>
      </w:r>
      <w:r>
        <w:rPr>
          <w:rFonts w:ascii="宋体" w:hAnsi="宋体" w:cs="宋体" w:eastAsia="宋体" w:hint="default"/>
          <w:spacing w:val="-50"/>
        </w:rPr>
        <w:t> </w:t>
      </w:r>
      <w:r>
        <w:rPr/>
        <w:t>月</w:t>
      </w:r>
      <w:r>
        <w:rPr>
          <w:spacing w:val="-51"/>
        </w:rPr>
        <w:t> </w:t>
      </w:r>
      <w:r>
        <w:rPr>
          <w:rFonts w:ascii="宋体" w:hAnsi="宋体" w:cs="宋体" w:eastAsia="宋体" w:hint="default"/>
          <w:spacing w:val="-1"/>
        </w:rPr>
        <w:t>27</w:t>
      </w:r>
      <w:r>
        <w:rPr>
          <w:rFonts w:ascii="宋体" w:hAnsi="宋体" w:cs="宋体" w:eastAsia="宋体" w:hint="default"/>
          <w:spacing w:val="-51"/>
        </w:rPr>
        <w:t> </w:t>
      </w:r>
      <w:r>
        <w:rPr>
          <w:spacing w:val="-4"/>
        </w:rPr>
        <w:t>日、</w:t>
      </w:r>
      <w:r>
        <w:rPr>
          <w:rFonts w:ascii="宋体" w:hAnsi="宋体" w:cs="宋体" w:eastAsia="宋体" w:hint="default"/>
          <w:spacing w:val="-4"/>
        </w:rPr>
        <w:t>10</w:t>
      </w:r>
      <w:r>
        <w:rPr>
          <w:rFonts w:ascii="宋体" w:hAnsi="宋体" w:cs="宋体" w:eastAsia="宋体" w:hint="default"/>
          <w:spacing w:val="-50"/>
        </w:rPr>
        <w:t> </w:t>
      </w:r>
      <w:r>
        <w:rPr/>
        <w:t>月</w:t>
      </w:r>
      <w:r>
        <w:rPr>
          <w:spacing w:val="-52"/>
        </w:rPr>
        <w:t> </w:t>
      </w:r>
      <w:r>
        <w:rPr>
          <w:rFonts w:ascii="宋体" w:hAnsi="宋体" w:cs="宋体" w:eastAsia="宋体" w:hint="default"/>
          <w:spacing w:val="-1"/>
        </w:rPr>
        <w:t>17</w:t>
      </w:r>
      <w:r>
        <w:rPr>
          <w:rFonts w:ascii="宋体" w:hAnsi="宋体" w:cs="宋体" w:eastAsia="宋体" w:hint="default"/>
          <w:spacing w:val="-51"/>
        </w:rPr>
        <w:t> </w:t>
      </w:r>
      <w:r>
        <w:rPr>
          <w:spacing w:val="-12"/>
        </w:rPr>
        <w:t>日，在《中国证券报》、《证券时报》及巨潮资讯网上</w:t>
      </w:r>
      <w:r>
        <w:rPr/>
        <w:t> 刊载的公告。</w:t>
      </w:r>
    </w:p>
    <w:p>
      <w:pPr>
        <w:pStyle w:val="BodyText"/>
        <w:spacing w:line="240" w:lineRule="auto" w:before="39"/>
        <w:ind w:left="824" w:right="418"/>
        <w:jc w:val="left"/>
      </w:pPr>
      <w:r>
        <w:rPr/>
        <w:t>本公司第二次大股东变更始于</w:t>
      </w:r>
      <w:r>
        <w:rPr>
          <w:spacing w:val="-38"/>
        </w:rPr>
        <w:t> </w:t>
      </w:r>
      <w:r>
        <w:rPr>
          <w:rFonts w:ascii="宋体" w:hAnsi="宋体" w:cs="宋体" w:eastAsia="宋体" w:hint="default"/>
        </w:rPr>
        <w:t>2008</w:t>
      </w:r>
      <w:r>
        <w:rPr>
          <w:rFonts w:ascii="宋体" w:hAnsi="宋体" w:cs="宋体" w:eastAsia="宋体" w:hint="default"/>
          <w:spacing w:val="-38"/>
        </w:rPr>
        <w:t> </w:t>
      </w:r>
      <w:r>
        <w:rPr/>
        <w:t>年</w:t>
      </w:r>
      <w:r>
        <w:rPr>
          <w:spacing w:val="-38"/>
        </w:rPr>
        <w:t> </w:t>
      </w:r>
      <w:r>
        <w:rPr>
          <w:rFonts w:ascii="宋体" w:hAnsi="宋体" w:cs="宋体" w:eastAsia="宋体" w:hint="default"/>
        </w:rPr>
        <w:t>8</w:t>
      </w:r>
      <w:r>
        <w:rPr>
          <w:rFonts w:ascii="宋体" w:hAnsi="宋体" w:cs="宋体" w:eastAsia="宋体" w:hint="default"/>
          <w:spacing w:val="-36"/>
        </w:rPr>
        <w:t> </w:t>
      </w:r>
      <w:r>
        <w:rPr/>
        <w:t>月，通过证券交易所的交易系统在二级市场持续增持，至</w:t>
      </w:r>
    </w:p>
    <w:p>
      <w:pPr>
        <w:pStyle w:val="BodyText"/>
        <w:spacing w:line="273" w:lineRule="auto" w:before="37"/>
        <w:ind w:right="1187"/>
        <w:jc w:val="both"/>
      </w:pPr>
      <w:r>
        <w:rPr>
          <w:rFonts w:ascii="宋体" w:hAnsi="宋体" w:cs="宋体" w:eastAsia="宋体" w:hint="default"/>
        </w:rPr>
        <w:t>2009</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2"/>
        </w:rPr>
        <w:t> </w:t>
      </w:r>
      <w:r>
        <w:rPr>
          <w:rFonts w:ascii="宋体" w:hAnsi="宋体" w:cs="宋体" w:eastAsia="宋体" w:hint="default"/>
        </w:rPr>
        <w:t>21</w:t>
      </w:r>
      <w:r>
        <w:rPr>
          <w:rFonts w:ascii="宋体" w:hAnsi="宋体" w:cs="宋体" w:eastAsia="宋体" w:hint="default"/>
          <w:spacing w:val="-51"/>
        </w:rPr>
        <w:t> </w:t>
      </w:r>
      <w:r>
        <w:rPr/>
        <w:t>日交易系统收盘后，中兆投资变更为公司第一大股东</w:t>
      </w:r>
      <w:r>
        <w:rPr>
          <w:rFonts w:ascii="宋体" w:hAnsi="宋体" w:cs="宋体" w:eastAsia="宋体" w:hint="default"/>
        </w:rPr>
        <w:t>(</w:t>
      </w:r>
      <w:r>
        <w:rPr/>
        <w:t>控股股东</w:t>
      </w:r>
      <w:r>
        <w:rPr>
          <w:rFonts w:ascii="宋体" w:hAnsi="宋体" w:cs="宋体" w:eastAsia="宋体" w:hint="default"/>
        </w:rPr>
        <w:t>)</w:t>
      </w:r>
      <w:r>
        <w:rPr/>
        <w:t>，再经协议受让原大股 </w:t>
      </w:r>
      <w:r>
        <w:rPr>
          <w:spacing w:val="-2"/>
        </w:rPr>
        <w:t>东新长江所持股份，当年末持股比例</w:t>
      </w:r>
      <w:r>
        <w:rPr>
          <w:spacing w:val="-50"/>
        </w:rPr>
        <w:t> </w:t>
      </w:r>
      <w:r>
        <w:rPr>
          <w:rFonts w:ascii="宋体" w:hAnsi="宋体" w:cs="宋体" w:eastAsia="宋体" w:hint="default"/>
          <w:spacing w:val="-2"/>
        </w:rPr>
        <w:t>29.90%</w:t>
      </w:r>
      <w:r>
        <w:rPr>
          <w:spacing w:val="-2"/>
        </w:rPr>
        <w:t>，新长江变为公司第二大股东。有关二级市场增持股份和协</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418"/>
        <w:jc w:val="left"/>
      </w:pPr>
      <w:r>
        <w:rPr/>
        <w:t>议受让情况可查阅公司于</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spacing w:val="-4"/>
        </w:rPr>
        <w:t>日、</w:t>
      </w:r>
      <w:r>
        <w:rPr>
          <w:rFonts w:ascii="宋体" w:hAnsi="宋体" w:cs="宋体" w:eastAsia="宋体" w:hint="default"/>
          <w:spacing w:val="-4"/>
        </w:rPr>
        <w:t>9</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spacing w:val="-3"/>
        </w:rPr>
        <w:t>日、</w:t>
      </w:r>
      <w:r>
        <w:rPr>
          <w:rFonts w:ascii="宋体" w:hAnsi="宋体" w:cs="宋体" w:eastAsia="宋体" w:hint="default"/>
          <w:spacing w:val="-3"/>
        </w:rPr>
        <w:t>12</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spacing w:val="-3"/>
        </w:rPr>
        <w:t>日、</w:t>
      </w:r>
      <w:r>
        <w:rPr>
          <w:rFonts w:ascii="宋体" w:hAnsi="宋体" w:cs="宋体" w:eastAsia="宋体" w:hint="default"/>
          <w:spacing w:val="-3"/>
        </w:rPr>
        <w:t>12</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 </w:t>
      </w:r>
      <w:r>
        <w:rPr>
          <w:spacing w:val="-8"/>
        </w:rPr>
        <w:t>在《中国证券报》、《证券时报》及巨潮资讯网上刊载的公告。</w:t>
      </w:r>
    </w:p>
    <w:p>
      <w:pPr>
        <w:spacing w:line="273" w:lineRule="auto" w:before="163"/>
        <w:ind w:left="825" w:right="7851" w:hanging="422"/>
        <w:jc w:val="left"/>
        <w:rPr>
          <w:rFonts w:ascii="宋体" w:hAnsi="宋体" w:cs="宋体" w:eastAsia="宋体" w:hint="default"/>
          <w:sz w:val="21"/>
          <w:szCs w:val="21"/>
        </w:rPr>
      </w:pPr>
      <w:r>
        <w:rPr>
          <w:rFonts w:ascii="宋体" w:hAnsi="宋体" w:cs="宋体" w:eastAsia="宋体" w:hint="default"/>
          <w:b/>
          <w:bCs/>
          <w:sz w:val="21"/>
          <w:szCs w:val="21"/>
        </w:rPr>
        <w:t>五、其他有关资料</w:t>
      </w:r>
      <w:r>
        <w:rPr>
          <w:rFonts w:ascii="宋体" w:hAnsi="宋体" w:cs="宋体" w:eastAsia="宋体" w:hint="default"/>
          <w:b/>
          <w:bCs/>
          <w:w w:val="99"/>
          <w:sz w:val="21"/>
          <w:szCs w:val="21"/>
        </w:rPr>
        <w:t> </w:t>
      </w:r>
      <w:r>
        <w:rPr>
          <w:rFonts w:ascii="宋体" w:hAnsi="宋体" w:cs="宋体" w:eastAsia="宋体" w:hint="default"/>
          <w:sz w:val="21"/>
          <w:szCs w:val="21"/>
        </w:rPr>
        <w:t>公司聘请的会计师事务所</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04"/>
        <w:gridCol w:w="4821"/>
      </w:tblGrid>
      <w:tr>
        <w:trPr>
          <w:trHeight w:val="37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37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39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王青、聂捷慧</w:t>
            </w:r>
          </w:p>
        </w:tc>
      </w:tr>
    </w:tbl>
    <w:p>
      <w:pPr>
        <w:spacing w:line="240" w:lineRule="auto" w:before="0"/>
        <w:rPr>
          <w:rFonts w:ascii="宋体" w:hAnsi="宋体" w:cs="宋体" w:eastAsia="宋体" w:hint="default"/>
          <w:sz w:val="20"/>
          <w:szCs w:val="20"/>
        </w:rPr>
      </w:pPr>
    </w:p>
    <w:p>
      <w:pPr>
        <w:pStyle w:val="BodyText"/>
        <w:spacing w:line="240" w:lineRule="auto" w:before="35"/>
        <w:ind w:right="418"/>
        <w:jc w:val="left"/>
      </w:pPr>
      <w:r>
        <w:rPr/>
        <w:t>公司聘请的报告期内履行持续督导职责的财务顾问</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5104"/>
        <w:gridCol w:w="4821"/>
      </w:tblGrid>
      <w:tr>
        <w:trPr>
          <w:trHeight w:val="376"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39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号西南证券大厦</w:t>
            </w:r>
          </w:p>
        </w:tc>
      </w:tr>
      <w:tr>
        <w:trPr>
          <w:trHeight w:val="39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刘勇、秦晋</w:t>
            </w:r>
          </w:p>
        </w:tc>
      </w:tr>
      <w:tr>
        <w:trPr>
          <w:trHeight w:val="36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持续督导的期间</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left="2782" w:right="418"/>
        <w:jc w:val="left"/>
        <w:rPr>
          <w:b w:val="0"/>
          <w:bCs w:val="0"/>
        </w:rPr>
      </w:pPr>
      <w:r>
        <w:rPr/>
        <w:t>第三章</w:t>
      </w:r>
      <w:r>
        <w:rPr>
          <w:spacing w:val="-11"/>
        </w:rPr>
        <w:t> </w:t>
      </w:r>
      <w:r>
        <w:rPr/>
        <w:t>会计数据和财务指标摘要</w:t>
      </w:r>
      <w:r>
        <w:rPr>
          <w:b w:val="0"/>
          <w:bCs w:val="0"/>
        </w:rPr>
      </w:r>
    </w:p>
    <w:p>
      <w:pPr>
        <w:spacing w:line="240" w:lineRule="auto" w:before="5"/>
        <w:rPr>
          <w:rFonts w:ascii="宋体" w:hAnsi="宋体" w:cs="宋体" w:eastAsia="宋体" w:hint="default"/>
          <w:b/>
          <w:bCs/>
          <w:sz w:val="34"/>
          <w:szCs w:val="34"/>
        </w:rPr>
      </w:pPr>
    </w:p>
    <w:p>
      <w:pPr>
        <w:pStyle w:val="Heading3"/>
        <w:spacing w:line="240" w:lineRule="auto" w:before="0"/>
        <w:ind w:left="404" w:right="5945"/>
        <w:jc w:val="left"/>
        <w:rPr>
          <w:b w:val="0"/>
          <w:bCs w:val="0"/>
        </w:rPr>
      </w:pPr>
      <w:r>
        <w:rPr/>
        <w:t>一、主要会计数据和财务指标</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before="0"/>
        <w:ind w:left="824" w:right="1972"/>
        <w:jc w:val="left"/>
        <w:rPr>
          <w:rFonts w:ascii="宋体" w:hAnsi="宋体" w:cs="宋体" w:eastAsia="宋体" w:hint="default"/>
        </w:rPr>
      </w:pPr>
      <w:r>
        <w:rPr/>
        <w:t>公司没有因会计政策变更及会计差错更正等追溯调整或重述以前年度主要会计数据事项。 公司近三年主要会计数据和财务指标</w:t>
      </w:r>
      <w:r>
        <w:rPr>
          <w:rFonts w:ascii="宋体" w:hAnsi="宋体" w:cs="宋体" w:eastAsia="宋体" w:hint="default"/>
        </w:rPr>
        <w:t>(</w:t>
      </w:r>
      <w:r>
        <w:rPr/>
        <w:t>货币金额指人民币金额，下同</w:t>
      </w:r>
      <w:r>
        <w:rPr>
          <w:rFonts w:ascii="宋体" w:hAnsi="宋体" w:cs="宋体" w:eastAsia="宋体" w:hint="default"/>
        </w:rPr>
        <w:t>)</w:t>
      </w:r>
    </w:p>
    <w:tbl>
      <w:tblPr>
        <w:tblW w:w="0" w:type="auto"/>
        <w:jc w:val="left"/>
        <w:tblInd w:w="115" w:type="dxa"/>
        <w:tblLayout w:type="fixed"/>
        <w:tblCellMar>
          <w:top w:w="0" w:type="dxa"/>
          <w:left w:w="0" w:type="dxa"/>
          <w:bottom w:w="0" w:type="dxa"/>
          <w:right w:w="0" w:type="dxa"/>
        </w:tblCellMar>
        <w:tblLook w:val="01E0"/>
      </w:tblPr>
      <w:tblGrid>
        <w:gridCol w:w="2837"/>
        <w:gridCol w:w="1844"/>
        <w:gridCol w:w="1764"/>
        <w:gridCol w:w="1722"/>
        <w:gridCol w:w="1758"/>
      </w:tblGrid>
      <w:tr>
        <w:trPr>
          <w:trHeight w:val="593"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348"/>
              <w:jc w:val="left"/>
              <w:rPr>
                <w:rFonts w:ascii="宋体" w:hAnsi="宋体" w:cs="宋体" w:eastAsia="宋体" w:hint="default"/>
                <w:sz w:val="18"/>
                <w:szCs w:val="18"/>
              </w:rPr>
            </w:pPr>
            <w:r>
              <w:rPr>
                <w:rFonts w:ascii="宋体" w:hAnsi="宋体" w:cs="宋体" w:eastAsia="宋体" w:hint="default"/>
                <w:sz w:val="18"/>
                <w:szCs w:val="18"/>
              </w:rPr>
              <w:t>本年比上年增减 </w:t>
            </w:r>
            <w:r>
              <w:rPr>
                <w:rFonts w:ascii="宋体" w:hAnsi="宋体" w:cs="宋体" w:eastAsia="宋体" w:hint="default"/>
                <w:sz w:val="18"/>
                <w:szCs w:val="18"/>
              </w:rPr>
              <w:t>(%)</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7"/>
                <w:sz w:val="18"/>
                <w:szCs w:val="18"/>
              </w:rPr>
              <w:t>营业收入</w:t>
            </w:r>
            <w:r>
              <w:rPr>
                <w:rFonts w:ascii="宋体" w:hAnsi="宋体" w:cs="宋体" w:eastAsia="宋体" w:hint="default"/>
                <w:spacing w:val="-17"/>
                <w:sz w:val="18"/>
                <w:szCs w:val="18"/>
              </w:rPr>
              <w:t>(</w:t>
            </w:r>
            <w:r>
              <w:rPr>
                <w:rFonts w:ascii="宋体" w:hAnsi="宋体" w:cs="宋体" w:eastAsia="宋体" w:hint="default"/>
                <w:spacing w:val="-17"/>
                <w:sz w:val="18"/>
                <w:szCs w:val="18"/>
              </w:rPr>
              <w:t>元</w:t>
            </w:r>
            <w:r>
              <w:rPr>
                <w:rFonts w:ascii="宋体" w:hAnsi="宋体" w:cs="宋体" w:eastAsia="宋体" w:hint="default"/>
                <w:spacing w:val="-17"/>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z w:val="18"/>
              </w:rPr>
              <w:t>1,920,004,834.55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2,106,355,242.42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-8.85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1,926,491,503.25</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归属于上市公司股东的净利润</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98,755,198.43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92,903,757.45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6.30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110,268,028.45</w:t>
            </w:r>
          </w:p>
        </w:tc>
      </w:tr>
      <w:tr>
        <w:trPr>
          <w:trHeight w:val="53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6"/>
              <w:jc w:val="left"/>
              <w:rPr>
                <w:rFonts w:ascii="宋体" w:hAnsi="宋体" w:cs="宋体" w:eastAsia="宋体" w:hint="default"/>
                <w:sz w:val="18"/>
                <w:szCs w:val="18"/>
              </w:rPr>
            </w:pPr>
            <w:r>
              <w:rPr>
                <w:rFonts w:ascii="宋体" w:hAnsi="宋体" w:cs="宋体" w:eastAsia="宋体" w:hint="default"/>
                <w:spacing w:val="6"/>
                <w:sz w:val="18"/>
                <w:szCs w:val="18"/>
              </w:rPr>
              <w:t>归属于上市公司股东的扣除非经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常性损益的净利润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0"/>
              <w:jc w:val="right"/>
              <w:rPr>
                <w:rFonts w:ascii="宋体" w:hAnsi="宋体" w:cs="宋体" w:eastAsia="宋体" w:hint="default"/>
                <w:sz w:val="18"/>
                <w:szCs w:val="18"/>
              </w:rPr>
            </w:pPr>
            <w:r>
              <w:rPr>
                <w:rFonts w:ascii="宋体"/>
                <w:sz w:val="18"/>
              </w:rPr>
              <w:t>97,744,902.31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0"/>
              <w:jc w:val="right"/>
              <w:rPr>
                <w:rFonts w:ascii="宋体" w:hAnsi="宋体" w:cs="宋体" w:eastAsia="宋体" w:hint="default"/>
                <w:sz w:val="18"/>
                <w:szCs w:val="18"/>
              </w:rPr>
            </w:pPr>
            <w:r>
              <w:rPr>
                <w:rFonts w:ascii="宋体"/>
                <w:sz w:val="18"/>
              </w:rPr>
              <w:t>98,736,708.07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0"/>
              <w:jc w:val="right"/>
              <w:rPr>
                <w:rFonts w:ascii="宋体" w:hAnsi="宋体" w:cs="宋体" w:eastAsia="宋体" w:hint="default"/>
                <w:sz w:val="18"/>
                <w:szCs w:val="18"/>
              </w:rPr>
            </w:pPr>
            <w:r>
              <w:rPr>
                <w:rFonts w:ascii="宋体"/>
                <w:sz w:val="18"/>
              </w:rPr>
              <w:t>-1.00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0"/>
              <w:jc w:val="right"/>
              <w:rPr>
                <w:rFonts w:ascii="宋体" w:hAnsi="宋体" w:cs="宋体" w:eastAsia="宋体" w:hint="default"/>
                <w:sz w:val="18"/>
                <w:szCs w:val="18"/>
              </w:rPr>
            </w:pPr>
            <w:r>
              <w:rPr>
                <w:rFonts w:ascii="宋体"/>
                <w:sz w:val="18"/>
              </w:rPr>
              <w:t>86,050,745.58</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11"/>
                <w:sz w:val="18"/>
                <w:szCs w:val="18"/>
              </w:rPr>
              <w:t>经营活动产生的现金流量净额</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195,395,844.02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122,413,825.35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59.62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176,744,411.15</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0.2146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0.2085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2.93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0.2475</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0.2146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0.2085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2.93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0.2475</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7.75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8.29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6"/>
                <w:sz w:val="18"/>
                <w:szCs w:val="18"/>
              </w:rPr>
              <w:t> </w:t>
            </w:r>
            <w:r>
              <w:rPr>
                <w:rFonts w:ascii="宋体" w:hAnsi="宋体" w:cs="宋体" w:eastAsia="宋体" w:hint="default"/>
                <w:sz w:val="18"/>
                <w:szCs w:val="18"/>
              </w:rPr>
              <w:t>0.54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10.62</w:t>
            </w:r>
          </w:p>
        </w:tc>
      </w:tr>
      <w:tr>
        <w:trPr>
          <w:trHeight w:val="610"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3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1" w:right="168"/>
              <w:jc w:val="left"/>
              <w:rPr>
                <w:rFonts w:ascii="宋体" w:hAnsi="宋体" w:cs="宋体" w:eastAsia="宋体" w:hint="default"/>
                <w:sz w:val="18"/>
                <w:szCs w:val="18"/>
              </w:rPr>
            </w:pPr>
            <w:r>
              <w:rPr>
                <w:rFonts w:ascii="宋体" w:hAnsi="宋体" w:cs="宋体" w:eastAsia="宋体" w:hint="default"/>
                <w:sz w:val="18"/>
                <w:szCs w:val="18"/>
              </w:rPr>
              <w:t>本年末比上年末增 减</w:t>
            </w:r>
            <w:r>
              <w:rPr>
                <w:rFonts w:ascii="宋体" w:hAnsi="宋体" w:cs="宋体" w:eastAsia="宋体" w:hint="default"/>
                <w:sz w:val="18"/>
                <w:szCs w:val="18"/>
              </w:rPr>
              <w:t>(%)</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9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宋体" w:hAnsi="宋体" w:cs="宋体" w:eastAsia="宋体" w:hint="default"/>
                <w:sz w:val="18"/>
                <w:szCs w:val="18"/>
              </w:rPr>
            </w:pPr>
            <w:r>
              <w:rPr>
                <w:rFonts w:ascii="宋体"/>
                <w:sz w:val="18"/>
              </w:rPr>
              <w:t>2,810,732,666.73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
              <w:jc w:val="right"/>
              <w:rPr>
                <w:rFonts w:ascii="宋体" w:hAnsi="宋体" w:cs="宋体" w:eastAsia="宋体" w:hint="default"/>
                <w:sz w:val="18"/>
                <w:szCs w:val="18"/>
              </w:rPr>
            </w:pPr>
            <w:r>
              <w:rPr>
                <w:rFonts w:ascii="宋体"/>
                <w:sz w:val="18"/>
              </w:rPr>
              <w:t>1,722,215,377.80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63.20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1,829,523,542.87</w:t>
            </w:r>
          </w:p>
        </w:tc>
      </w:tr>
      <w:tr>
        <w:trPr>
          <w:trHeight w:val="53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3"/>
              <w:jc w:val="left"/>
              <w:rPr>
                <w:rFonts w:ascii="宋体" w:hAnsi="宋体" w:cs="宋体" w:eastAsia="宋体" w:hint="default"/>
                <w:sz w:val="18"/>
                <w:szCs w:val="18"/>
              </w:rPr>
            </w:pPr>
            <w:r>
              <w:rPr>
                <w:rFonts w:ascii="宋体" w:hAnsi="宋体" w:cs="宋体" w:eastAsia="宋体" w:hint="default"/>
                <w:sz w:val="18"/>
                <w:szCs w:val="18"/>
              </w:rPr>
              <w:t>归</w:t>
            </w:r>
            <w:r>
              <w:rPr>
                <w:rFonts w:ascii="宋体" w:hAnsi="宋体" w:cs="宋体" w:eastAsia="宋体" w:hint="default"/>
                <w:spacing w:val="-68"/>
                <w:sz w:val="18"/>
                <w:szCs w:val="18"/>
              </w:rPr>
              <w:t> </w:t>
            </w:r>
            <w:r>
              <w:rPr>
                <w:rFonts w:ascii="宋体" w:hAnsi="宋体" w:cs="宋体" w:eastAsia="宋体" w:hint="default"/>
                <w:sz w:val="18"/>
                <w:szCs w:val="18"/>
              </w:rPr>
              <w:t>属</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8"/>
                <w:sz w:val="18"/>
                <w:szCs w:val="18"/>
              </w:rPr>
              <w:t> </w:t>
            </w:r>
            <w:r>
              <w:rPr>
                <w:rFonts w:ascii="宋体" w:hAnsi="宋体" w:cs="宋体" w:eastAsia="宋体" w:hint="default"/>
                <w:sz w:val="18"/>
                <w:szCs w:val="18"/>
              </w:rPr>
              <w:t>股</w:t>
            </w:r>
            <w:r>
              <w:rPr>
                <w:rFonts w:ascii="宋体" w:hAnsi="宋体" w:cs="宋体" w:eastAsia="宋体" w:hint="default"/>
                <w:spacing w:val="-68"/>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净</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0"/>
              <w:jc w:val="right"/>
              <w:rPr>
                <w:rFonts w:ascii="宋体" w:hAnsi="宋体" w:cs="宋体" w:eastAsia="宋体" w:hint="default"/>
                <w:sz w:val="18"/>
                <w:szCs w:val="18"/>
              </w:rPr>
            </w:pPr>
            <w:r>
              <w:rPr>
                <w:rFonts w:ascii="宋体"/>
                <w:sz w:val="18"/>
              </w:rPr>
              <w:t>2,106,770,650.07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1"/>
              <w:jc w:val="right"/>
              <w:rPr>
                <w:rFonts w:ascii="宋体" w:hAnsi="宋体" w:cs="宋体" w:eastAsia="宋体" w:hint="default"/>
                <w:sz w:val="18"/>
                <w:szCs w:val="18"/>
              </w:rPr>
            </w:pPr>
            <w:r>
              <w:rPr>
                <w:rFonts w:ascii="宋体"/>
                <w:sz w:val="18"/>
              </w:rPr>
              <w:t>1,163,263,910.46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0"/>
              <w:jc w:val="right"/>
              <w:rPr>
                <w:rFonts w:ascii="宋体" w:hAnsi="宋体" w:cs="宋体" w:eastAsia="宋体" w:hint="default"/>
                <w:sz w:val="18"/>
                <w:szCs w:val="18"/>
              </w:rPr>
            </w:pPr>
            <w:r>
              <w:rPr>
                <w:rFonts w:ascii="宋体"/>
                <w:sz w:val="18"/>
              </w:rPr>
              <w:t>81.11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宋体" w:hAnsi="宋体" w:cs="宋体" w:eastAsia="宋体" w:hint="default"/>
                <w:sz w:val="18"/>
                <w:szCs w:val="18"/>
              </w:rPr>
            </w:pPr>
            <w:r>
              <w:rPr>
                <w:rFonts w:ascii="宋体"/>
                <w:sz w:val="18"/>
              </w:rPr>
              <w:t>1,081,498,103.82</w:t>
            </w:r>
          </w:p>
        </w:tc>
      </w:tr>
    </w:tbl>
    <w:p>
      <w:pPr>
        <w:spacing w:line="240" w:lineRule="auto" w:before="10"/>
        <w:rPr>
          <w:rFonts w:ascii="宋体" w:hAnsi="宋体" w:cs="宋体" w:eastAsia="宋体" w:hint="default"/>
          <w:sz w:val="21"/>
          <w:szCs w:val="21"/>
        </w:rPr>
      </w:pPr>
    </w:p>
    <w:p>
      <w:pPr>
        <w:pStyle w:val="BodyText"/>
        <w:tabs>
          <w:tab w:pos="4080" w:val="left" w:leader="none"/>
        </w:tabs>
        <w:spacing w:line="273" w:lineRule="auto" w:before="35"/>
        <w:ind w:right="1187" w:firstLine="420"/>
        <w:jc w:val="left"/>
      </w:pPr>
      <w:r>
        <w:rPr>
          <w:spacing w:val="-1"/>
        </w:rPr>
        <w:t>公司报告期末至年度报告披露日股本是否因发行新股、增发、配股、股权激励行权、回购等原因发</w:t>
      </w:r>
      <w:r>
        <w:rPr/>
        <w:t> 生变化且影响所有者权益金额：</w:t>
      </w:r>
      <w:r>
        <w:rPr>
          <w:rFonts w:ascii="Arial" w:hAnsi="Arial" w:cs="Arial" w:eastAsia="Arial" w:hint="default"/>
        </w:rPr>
        <w:t>□  </w:t>
      </w:r>
      <w:r>
        <w:rPr>
          <w:rFonts w:ascii="Arial" w:hAnsi="Arial" w:cs="Arial" w:eastAsia="Arial" w:hint="default"/>
          <w:spacing w:val="12"/>
        </w:rPr>
        <w:t> </w:t>
      </w:r>
      <w:r>
        <w:rPr/>
        <w:t>是</w:t>
        <w:tab/>
        <w:t>√</w:t>
      </w:r>
      <w:r>
        <w:rPr>
          <w:spacing w:val="-1"/>
        </w:rPr>
        <w:t> </w:t>
      </w:r>
      <w:r>
        <w:rPr/>
        <w:t>否。</w:t>
      </w:r>
    </w:p>
    <w:p>
      <w:pPr>
        <w:pStyle w:val="BodyText"/>
        <w:tabs>
          <w:tab w:pos="3240" w:val="left" w:leader="none"/>
          <w:tab w:pos="5340" w:val="left" w:leader="none"/>
        </w:tabs>
        <w:spacing w:line="309" w:lineRule="auto" w:before="51"/>
        <w:ind w:left="824" w:right="4929"/>
        <w:jc w:val="left"/>
      </w:pPr>
      <w:r>
        <w:rPr/>
        <w:t>是否存在公司债：</w:t>
      </w:r>
      <w:r>
        <w:rPr>
          <w:rFonts w:ascii="Arial" w:hAnsi="Arial" w:cs="Arial" w:eastAsia="Arial" w:hint="default"/>
        </w:rPr>
        <w:t>□  </w:t>
      </w:r>
      <w:r>
        <w:rPr>
          <w:rFonts w:ascii="Arial" w:hAnsi="Arial" w:cs="Arial" w:eastAsia="Arial" w:hint="default"/>
          <w:spacing w:val="13"/>
        </w:rPr>
        <w:t> </w:t>
      </w:r>
      <w:r>
        <w:rPr/>
        <w:t>是</w:t>
        <w:tab/>
        <w:t>√</w:t>
      </w:r>
      <w:r>
        <w:rPr>
          <w:spacing w:val="-1"/>
        </w:rPr>
        <w:t> </w:t>
      </w:r>
      <w:r>
        <w:rPr/>
        <w:t>否。</w:t>
      </w:r>
      <w:r>
        <w:rPr/>
        <w:t> 公司是否存在最近两年连续亏损的情形：</w:t>
      </w:r>
      <w:r>
        <w:rPr>
          <w:rFonts w:ascii="Arial" w:hAnsi="Arial" w:cs="Arial" w:eastAsia="Arial" w:hint="default"/>
        </w:rPr>
        <w:t>□  </w:t>
      </w:r>
      <w:r>
        <w:rPr>
          <w:rFonts w:ascii="Arial" w:hAnsi="Arial" w:cs="Arial" w:eastAsia="Arial" w:hint="default"/>
          <w:spacing w:val="13"/>
        </w:rPr>
        <w:t> </w:t>
      </w:r>
      <w:r>
        <w:rPr/>
        <w:t>是</w:t>
        <w:tab/>
        <w:t>√</w:t>
      </w:r>
      <w:r>
        <w:rPr>
          <w:spacing w:val="-1"/>
        </w:rPr>
        <w:t> </w:t>
      </w:r>
      <w:r>
        <w:rPr/>
        <w:t>否。</w:t>
      </w:r>
    </w:p>
    <w:p>
      <w:pPr>
        <w:spacing w:after="0" w:line="309"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Heading3"/>
        <w:spacing w:line="240" w:lineRule="auto"/>
        <w:ind w:left="404" w:right="5945"/>
        <w:jc w:val="left"/>
        <w:rPr>
          <w:b w:val="0"/>
          <w:bCs w:val="0"/>
        </w:rPr>
      </w:pPr>
      <w:r>
        <w:rPr/>
        <w:t>二、非经常性损益项目及金额</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852"/>
        <w:gridCol w:w="4613"/>
        <w:gridCol w:w="1624"/>
        <w:gridCol w:w="1419"/>
        <w:gridCol w:w="1417"/>
      </w:tblGrid>
      <w:tr>
        <w:trPr>
          <w:trHeight w:val="350" w:hRule="exact"/>
        </w:trPr>
        <w:tc>
          <w:tcPr>
            <w:tcW w:w="5466"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49" w:hRule="exact"/>
        </w:trPr>
        <w:tc>
          <w:tcPr>
            <w:tcW w:w="5466" w:type="dxa"/>
            <w:gridSpan w:val="2"/>
            <w:vMerge/>
            <w:tcBorders>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r>
              <w:rPr>
                <w:rFonts w:ascii="宋体" w:hAnsi="宋体" w:cs="宋体" w:eastAsia="宋体" w:hint="default"/>
                <w:sz w:val="18"/>
                <w:szCs w:val="18"/>
              </w:rPr>
              <w:t>(</w:t>
            </w:r>
            <w:r>
              <w:rPr>
                <w:rFonts w:ascii="宋体" w:hAnsi="宋体" w:cs="宋体" w:eastAsia="宋体" w:hint="default"/>
                <w:sz w:val="18"/>
                <w:szCs w:val="18"/>
              </w:rPr>
              <w:t>包括已计提资产减值准备的冲销部分</w:t>
            </w:r>
            <w:r>
              <w:rPr>
                <w:rFonts w:ascii="宋体" w:hAnsi="宋体" w:cs="宋体" w:eastAsia="宋体" w:hint="default"/>
                <w:sz w:val="18"/>
                <w:szCs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-660,171.57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-6,517,282.59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192,096.01</w:t>
            </w:r>
          </w:p>
        </w:tc>
      </w:tr>
      <w:tr>
        <w:trPr>
          <w:trHeight w:val="492"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r>
              <w:rPr>
                <w:rFonts w:ascii="宋体" w:hAnsi="宋体" w:cs="宋体" w:eastAsia="宋体" w:hint="default"/>
                <w:spacing w:val="-3"/>
                <w:sz w:val="18"/>
                <w:szCs w:val="18"/>
              </w:rPr>
              <w:t>(</w:t>
            </w:r>
            <w:r>
              <w:rPr>
                <w:rFonts w:ascii="宋体" w:hAnsi="宋体" w:cs="宋体" w:eastAsia="宋体" w:hint="default"/>
                <w:spacing w:val="-3"/>
                <w:sz w:val="18"/>
                <w:szCs w:val="18"/>
              </w:rPr>
              <w:t>与企业业务密切相关，按照国家统一标准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定额或定量享受的政府补助除外</w:t>
            </w:r>
            <w:r>
              <w:rPr>
                <w:rFonts w:ascii="宋体" w:hAnsi="宋体" w:cs="宋体" w:eastAsia="宋体" w:hint="default"/>
                <w:sz w:val="18"/>
                <w:szCs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8"/>
                <w:szCs w:val="18"/>
              </w:rPr>
            </w:pPr>
            <w:r>
              <w:rPr>
                <w:rFonts w:ascii="宋体"/>
                <w:sz w:val="18"/>
              </w:rPr>
              <w:t>620,000.00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8"/>
                <w:szCs w:val="18"/>
              </w:rPr>
            </w:pPr>
            <w:r>
              <w:rPr>
                <w:rFonts w:ascii="宋体"/>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8"/>
                <w:szCs w:val="18"/>
              </w:rPr>
            </w:pPr>
            <w:r>
              <w:rPr>
                <w:rFonts w:ascii="宋体"/>
                <w:sz w:val="18"/>
              </w:rPr>
              <w:t>0</w:t>
            </w:r>
          </w:p>
        </w:tc>
      </w:tr>
      <w:tr>
        <w:trPr>
          <w:trHeight w:val="322"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26,830,475.27</w:t>
            </w:r>
          </w:p>
        </w:tc>
      </w:tr>
      <w:tr>
        <w:trPr>
          <w:trHeight w:val="710"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z w:val="18"/>
                <w:szCs w:val="18"/>
              </w:rPr>
              <w:t>融资产、交易性金融负债产生的公允价值变动损益，以及处置交易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性金融资产、交易性金融负债和可供出售金融资产取得的投资收益</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465,257.89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-58,654.30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92,455.09</w:t>
            </w:r>
          </w:p>
        </w:tc>
      </w:tr>
      <w:tr>
        <w:trPr>
          <w:trHeight w:val="293"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4,507,510.27</w:t>
            </w:r>
          </w:p>
        </w:tc>
      </w:tr>
      <w:tr>
        <w:trPr>
          <w:trHeight w:val="350"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766,070.33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-758,052.65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666,938.39</w:t>
            </w:r>
          </w:p>
        </w:tc>
      </w:tr>
      <w:tr>
        <w:trPr>
          <w:trHeight w:val="349"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181,474.70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1,498,587.06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8,072,368.76</w:t>
            </w:r>
          </w:p>
        </w:tc>
      </w:tr>
      <w:tr>
        <w:trPr>
          <w:trHeight w:val="323"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614.17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2,451.86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176.60</w:t>
            </w:r>
          </w:p>
        </w:tc>
      </w:tr>
      <w:tr>
        <w:trPr>
          <w:trHeight w:val="322" w:hRule="exact"/>
        </w:trPr>
        <w:tc>
          <w:tcPr>
            <w:tcW w:w="5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1,010,296.12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-5,832,950.62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24,217,282.87</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90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计入</w:t>
            </w:r>
            <w:r>
              <w:rPr>
                <w:rFonts w:ascii="宋体" w:hAnsi="宋体" w:cs="宋体" w:eastAsia="宋体" w:hint="default"/>
                <w:sz w:val="18"/>
                <w:szCs w:val="18"/>
              </w:rPr>
              <w:t>当期</w:t>
            </w:r>
            <w:r>
              <w:rPr>
                <w:rFonts w:ascii="宋体" w:hAnsi="宋体" w:cs="宋体" w:eastAsia="宋体" w:hint="default"/>
                <w:spacing w:val="1"/>
                <w:sz w:val="18"/>
                <w:szCs w:val="18"/>
              </w:rPr>
              <w:t>损益</w:t>
            </w:r>
            <w:r>
              <w:rPr>
                <w:rFonts w:ascii="宋体" w:hAnsi="宋体" w:cs="宋体" w:eastAsia="宋体" w:hint="default"/>
                <w:sz w:val="18"/>
                <w:szCs w:val="18"/>
              </w:rPr>
              <w:t>的</w:t>
            </w:r>
            <w:r>
              <w:rPr>
                <w:rFonts w:ascii="宋体" w:hAnsi="宋体" w:cs="宋体" w:eastAsia="宋体" w:hint="default"/>
                <w:spacing w:val="1"/>
                <w:sz w:val="18"/>
                <w:szCs w:val="18"/>
              </w:rPr>
              <w:t>政府</w:t>
            </w:r>
            <w:r>
              <w:rPr>
                <w:rFonts w:ascii="宋体" w:hAnsi="宋体" w:cs="宋体" w:eastAsia="宋体" w:hint="default"/>
                <w:sz w:val="18"/>
                <w:szCs w:val="18"/>
              </w:rPr>
              <w:t>补</w:t>
            </w:r>
            <w:r>
              <w:rPr>
                <w:rFonts w:ascii="宋体" w:hAnsi="宋体" w:cs="宋体" w:eastAsia="宋体" w:hint="default"/>
                <w:spacing w:val="1"/>
                <w:sz w:val="18"/>
                <w:szCs w:val="18"/>
              </w:rPr>
              <w:t>助”</w:t>
            </w:r>
            <w:r>
              <w:rPr>
                <w:rFonts w:ascii="宋体" w:hAnsi="宋体" w:cs="宋体" w:eastAsia="宋体" w:hint="default"/>
                <w:sz w:val="18"/>
                <w:szCs w:val="18"/>
              </w:rPr>
              <w:t>增</w:t>
            </w:r>
            <w:r>
              <w:rPr>
                <w:rFonts w:ascii="宋体" w:hAnsi="宋体" w:cs="宋体" w:eastAsia="宋体" w:hint="default"/>
                <w:spacing w:val="1"/>
                <w:sz w:val="18"/>
                <w:szCs w:val="18"/>
              </w:rPr>
              <w:t>加系</w:t>
            </w:r>
            <w:r>
              <w:rPr>
                <w:rFonts w:ascii="宋体" w:hAnsi="宋体" w:cs="宋体" w:eastAsia="宋体" w:hint="default"/>
                <w:sz w:val="18"/>
                <w:szCs w:val="18"/>
              </w:rPr>
              <w:t>秦</w:t>
            </w:r>
            <w:r>
              <w:rPr>
                <w:rFonts w:ascii="宋体" w:hAnsi="宋体" w:cs="宋体" w:eastAsia="宋体" w:hint="default"/>
                <w:spacing w:val="1"/>
                <w:sz w:val="18"/>
                <w:szCs w:val="18"/>
              </w:rPr>
              <w:t>皇岛</w:t>
            </w:r>
            <w:r>
              <w:rPr>
                <w:rFonts w:ascii="宋体" w:hAnsi="宋体" w:cs="宋体" w:eastAsia="宋体" w:hint="default"/>
                <w:sz w:val="18"/>
                <w:szCs w:val="18"/>
              </w:rPr>
              <w:t>当</w:t>
            </w:r>
            <w:r>
              <w:rPr>
                <w:rFonts w:ascii="宋体" w:hAnsi="宋体" w:cs="宋体" w:eastAsia="宋体" w:hint="default"/>
                <w:spacing w:val="1"/>
                <w:sz w:val="18"/>
                <w:szCs w:val="18"/>
              </w:rPr>
              <w:t>地给</w:t>
            </w:r>
            <w:r>
              <w:rPr>
                <w:rFonts w:ascii="宋体" w:hAnsi="宋体" w:cs="宋体" w:eastAsia="宋体" w:hint="default"/>
                <w:sz w:val="18"/>
                <w:szCs w:val="18"/>
              </w:rPr>
              <w:t>予</w:t>
            </w:r>
            <w:r>
              <w:rPr>
                <w:rFonts w:ascii="宋体" w:hAnsi="宋体" w:cs="宋体" w:eastAsia="宋体" w:hint="default"/>
                <w:spacing w:val="1"/>
                <w:sz w:val="18"/>
                <w:szCs w:val="18"/>
              </w:rPr>
              <w:t>的节</w:t>
            </w:r>
            <w:r>
              <w:rPr>
                <w:rFonts w:ascii="宋体" w:hAnsi="宋体" w:cs="宋体" w:eastAsia="宋体" w:hint="default"/>
                <w:sz w:val="18"/>
                <w:szCs w:val="18"/>
              </w:rPr>
              <w:t>能</w:t>
            </w:r>
            <w:r>
              <w:rPr>
                <w:rFonts w:ascii="宋体" w:hAnsi="宋体" w:cs="宋体" w:eastAsia="宋体" w:hint="default"/>
                <w:spacing w:val="1"/>
                <w:sz w:val="18"/>
                <w:szCs w:val="18"/>
              </w:rPr>
              <w:t>补贴</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交</w:t>
            </w:r>
            <w:r>
              <w:rPr>
                <w:rFonts w:ascii="宋体" w:hAnsi="宋体" w:cs="宋体" w:eastAsia="宋体" w:hint="default"/>
                <w:spacing w:val="1"/>
                <w:sz w:val="18"/>
                <w:szCs w:val="18"/>
              </w:rPr>
              <w:t>易性</w:t>
            </w:r>
            <w:r>
              <w:rPr>
                <w:rFonts w:ascii="宋体" w:hAnsi="宋体" w:cs="宋体" w:eastAsia="宋体" w:hint="default"/>
                <w:sz w:val="18"/>
                <w:szCs w:val="18"/>
              </w:rPr>
              <w:t>金融</w:t>
            </w:r>
            <w:r>
              <w:rPr>
                <w:rFonts w:ascii="宋体" w:hAnsi="宋体" w:cs="宋体" w:eastAsia="宋体" w:hint="default"/>
                <w:spacing w:val="1"/>
                <w:sz w:val="18"/>
                <w:szCs w:val="18"/>
              </w:rPr>
              <w:t>资产</w:t>
            </w:r>
            <w:r>
              <w:rPr>
                <w:rFonts w:ascii="宋体" w:hAnsi="宋体" w:cs="宋体" w:eastAsia="宋体" w:hint="default"/>
                <w:sz w:val="18"/>
                <w:szCs w:val="18"/>
              </w:rPr>
              <w:t>”</w:t>
            </w:r>
            <w:r>
              <w:rPr>
                <w:rFonts w:ascii="宋体" w:hAnsi="宋体" w:cs="宋体" w:eastAsia="宋体" w:hint="default"/>
                <w:spacing w:val="1"/>
                <w:sz w:val="18"/>
                <w:szCs w:val="18"/>
              </w:rPr>
              <w:t>增</w:t>
            </w:r>
            <w:r>
              <w:rPr>
                <w:rFonts w:ascii="宋体" w:hAnsi="宋体" w:cs="宋体" w:eastAsia="宋体" w:hint="default"/>
                <w:spacing w:val="2"/>
                <w:sz w:val="18"/>
                <w:szCs w:val="18"/>
              </w:rPr>
              <w:t>加</w:t>
            </w:r>
            <w:r>
              <w:rPr>
                <w:rFonts w:ascii="宋体" w:hAnsi="宋体" w:cs="宋体" w:eastAsia="宋体" w:hint="default"/>
                <w:sz w:val="18"/>
                <w:szCs w:val="18"/>
              </w:rPr>
              <w:t>系</w:t>
            </w:r>
            <w:r>
              <w:rPr>
                <w:rFonts w:ascii="宋体" w:hAnsi="宋体" w:cs="宋体" w:eastAsia="宋体" w:hint="default"/>
                <w:spacing w:val="1"/>
                <w:sz w:val="18"/>
                <w:szCs w:val="18"/>
              </w:rPr>
              <w:t>公司</w:t>
            </w:r>
            <w:r>
              <w:rPr>
                <w:rFonts w:ascii="宋体" w:hAnsi="宋体" w:cs="宋体" w:eastAsia="宋体" w:hint="default"/>
                <w:sz w:val="18"/>
                <w:szCs w:val="18"/>
              </w:rPr>
              <w:t>持</w:t>
            </w:r>
            <w:r>
              <w:rPr>
                <w:rFonts w:ascii="宋体" w:hAnsi="宋体" w:cs="宋体" w:eastAsia="宋体" w:hint="default"/>
                <w:spacing w:val="1"/>
                <w:sz w:val="18"/>
                <w:szCs w:val="18"/>
              </w:rPr>
              <w:t>有的</w:t>
            </w:r>
            <w:r>
              <w:rPr>
                <w:rFonts w:ascii="宋体" w:hAnsi="宋体" w:cs="宋体" w:eastAsia="宋体" w:hint="default"/>
                <w:sz w:val="18"/>
                <w:szCs w:val="18"/>
              </w:rPr>
              <w:t>基</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金本期增值了。</w:t>
            </w:r>
          </w:p>
        </w:tc>
      </w:tr>
    </w:tbl>
    <w:p>
      <w:pPr>
        <w:spacing w:line="240" w:lineRule="auto" w:before="0"/>
        <w:rPr>
          <w:rFonts w:ascii="宋体" w:hAnsi="宋体" w:cs="宋体" w:eastAsia="宋体" w:hint="default"/>
          <w:b/>
          <w:bCs/>
          <w:sz w:val="20"/>
          <w:szCs w:val="20"/>
        </w:rPr>
      </w:pPr>
    </w:p>
    <w:p>
      <w:pPr>
        <w:pStyle w:val="BodyText"/>
        <w:spacing w:line="273" w:lineRule="auto" w:before="35"/>
        <w:ind w:right="1171" w:firstLine="420"/>
        <w:jc w:val="left"/>
      </w:pPr>
      <w:r>
        <w:rPr/>
        <w:t>公司报告期不存在将根据《公开发行证券的公司信息披露解释性公告第</w:t>
      </w:r>
      <w:r>
        <w:rPr>
          <w:spacing w:val="-72"/>
        </w:rPr>
        <w:t> </w:t>
      </w:r>
      <w:r>
        <w:rPr>
          <w:rFonts w:ascii="宋体" w:hAnsi="宋体" w:cs="宋体" w:eastAsia="宋体" w:hint="default"/>
        </w:rPr>
        <w:t>1</w:t>
      </w:r>
      <w:r>
        <w:rPr>
          <w:rFonts w:ascii="宋体" w:hAnsi="宋体" w:cs="宋体" w:eastAsia="宋体" w:hint="default"/>
          <w:spacing w:val="-72"/>
        </w:rPr>
        <w:t> </w:t>
      </w:r>
      <w:r>
        <w:rPr/>
        <w:t>号——非经常性损益》定 义、列举的非经常性损益项目界定为经常性损益的项目的情形。</w:t>
      </w:r>
    </w:p>
    <w:p>
      <w:pPr>
        <w:spacing w:line="240" w:lineRule="auto" w:before="7"/>
        <w:rPr>
          <w:rFonts w:ascii="宋体" w:hAnsi="宋体" w:cs="宋体" w:eastAsia="宋体" w:hint="default"/>
          <w:sz w:val="29"/>
          <w:szCs w:val="29"/>
        </w:rPr>
      </w:pPr>
    </w:p>
    <w:p>
      <w:pPr>
        <w:pStyle w:val="Heading1"/>
        <w:spacing w:line="240" w:lineRule="auto"/>
        <w:ind w:right="783"/>
        <w:jc w:val="center"/>
        <w:rPr>
          <w:b w:val="0"/>
          <w:bCs w:val="0"/>
        </w:rPr>
      </w:pPr>
      <w:r>
        <w:rPr/>
        <w:t>第四章</w:t>
      </w:r>
      <w:r>
        <w:rPr>
          <w:spacing w:val="-6"/>
        </w:rPr>
        <w:t> </w:t>
      </w:r>
      <w:r>
        <w:rPr/>
        <w:t>董事会报告</w:t>
      </w:r>
      <w:r>
        <w:rPr>
          <w:b w:val="0"/>
          <w:bCs w:val="0"/>
        </w:rPr>
      </w:r>
    </w:p>
    <w:p>
      <w:pPr>
        <w:spacing w:line="240" w:lineRule="auto" w:before="6"/>
        <w:rPr>
          <w:rFonts w:ascii="宋体" w:hAnsi="宋体" w:cs="宋体" w:eastAsia="宋体" w:hint="default"/>
          <w:b/>
          <w:bCs/>
          <w:sz w:val="34"/>
          <w:szCs w:val="34"/>
        </w:rPr>
      </w:pPr>
    </w:p>
    <w:p>
      <w:pPr>
        <w:pStyle w:val="BodyText"/>
        <w:spacing w:line="240" w:lineRule="auto" w:before="0"/>
        <w:ind w:right="0"/>
        <w:jc w:val="both"/>
      </w:pPr>
      <w:r>
        <w:rPr/>
        <w:t>概述：</w:t>
      </w:r>
    </w:p>
    <w:p>
      <w:pPr>
        <w:pStyle w:val="BodyText"/>
        <w:spacing w:line="271" w:lineRule="auto" w:before="99"/>
        <w:ind w:right="1172" w:firstLine="420"/>
        <w:jc w:val="left"/>
      </w:pPr>
      <w:r>
        <w:rPr>
          <w:spacing w:val="-3"/>
        </w:rPr>
        <w:t>一、报告期内公司启动并实施完毕重大资产重组，收购了创世漫道</w:t>
      </w:r>
      <w:r>
        <w:rPr>
          <w:spacing w:val="-58"/>
        </w:rPr>
        <w:t> </w:t>
      </w:r>
      <w:r>
        <w:rPr>
          <w:rFonts w:ascii="宋体" w:hAnsi="宋体" w:cs="宋体" w:eastAsia="宋体" w:hint="default"/>
        </w:rPr>
        <w:t>100%</w:t>
      </w:r>
      <w:r>
        <w:rPr/>
        <w:t>的股权。报告期创世漫道实 现营业收入</w:t>
      </w:r>
      <w:r>
        <w:rPr>
          <w:spacing w:val="-58"/>
        </w:rPr>
        <w:t> </w:t>
      </w:r>
      <w:r>
        <w:rPr>
          <w:rFonts w:ascii="宋体" w:hAnsi="宋体" w:cs="宋体" w:eastAsia="宋体" w:hint="default"/>
        </w:rPr>
        <w:t>32,326.20</w:t>
      </w:r>
      <w:r>
        <w:rPr>
          <w:rFonts w:ascii="宋体" w:hAnsi="宋体" w:cs="宋体" w:eastAsia="宋体" w:hint="default"/>
          <w:spacing w:val="-58"/>
        </w:rPr>
        <w:t> </w:t>
      </w:r>
      <w:r>
        <w:rPr/>
        <w:t>万元，实现净利润</w:t>
      </w:r>
      <w:r>
        <w:rPr>
          <w:spacing w:val="-58"/>
        </w:rPr>
        <w:t> </w:t>
      </w:r>
      <w:r>
        <w:rPr>
          <w:rFonts w:ascii="宋体" w:hAnsi="宋体" w:cs="宋体" w:eastAsia="宋体" w:hint="default"/>
        </w:rPr>
        <w:t>6,394.79</w:t>
      </w:r>
      <w:r>
        <w:rPr>
          <w:rFonts w:ascii="宋体" w:hAnsi="宋体" w:cs="宋体" w:eastAsia="宋体" w:hint="default"/>
          <w:spacing w:val="-58"/>
        </w:rPr>
        <w:t> </w:t>
      </w:r>
      <w:r>
        <w:rPr>
          <w:spacing w:val="-4"/>
        </w:rPr>
        <w:t>万元，因</w:t>
      </w:r>
      <w:r>
        <w:rPr>
          <w:spacing w:val="-58"/>
        </w:rPr>
        <w:t> </w:t>
      </w:r>
      <w:r>
        <w:rPr>
          <w:rFonts w:ascii="宋体" w:hAnsi="宋体" w:cs="宋体" w:eastAsia="宋体" w:hint="default"/>
        </w:rPr>
        <w:t>2014</w:t>
      </w:r>
      <w:r>
        <w:rPr>
          <w:rFonts w:ascii="宋体" w:hAnsi="宋体" w:cs="宋体" w:eastAsia="宋体" w:hint="default"/>
          <w:spacing w:val="-58"/>
        </w:rPr>
        <w:t> </w:t>
      </w:r>
      <w:r>
        <w:rPr/>
        <w:t>年重组系非同一控制下合并，创世漫</w:t>
      </w:r>
    </w:p>
    <w:p>
      <w:pPr>
        <w:pStyle w:val="BodyText"/>
        <w:spacing w:line="240" w:lineRule="auto" w:before="10"/>
        <w:ind w:right="0"/>
        <w:jc w:val="both"/>
      </w:pPr>
      <w:r>
        <w:rPr/>
        <w:t>道自购买之日</w:t>
      </w:r>
      <w:r>
        <w:rPr>
          <w:spacing w:val="-45"/>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日起至期末并入公司的营业收入为</w:t>
      </w:r>
      <w:r>
        <w:rPr>
          <w:spacing w:val="-45"/>
        </w:rPr>
        <w:t> </w:t>
      </w:r>
      <w:r>
        <w:rPr>
          <w:rFonts w:ascii="宋体" w:hAnsi="宋体" w:cs="宋体" w:eastAsia="宋体" w:hint="default"/>
        </w:rPr>
        <w:t>4,520.19</w:t>
      </w:r>
      <w:r>
        <w:rPr>
          <w:rFonts w:ascii="宋体" w:hAnsi="宋体" w:cs="宋体" w:eastAsia="宋体" w:hint="default"/>
          <w:spacing w:val="-45"/>
        </w:rPr>
        <w:t> </w:t>
      </w:r>
      <w:r>
        <w:rPr/>
        <w:t>万元，并入公司的净利润为</w:t>
      </w:r>
    </w:p>
    <w:p>
      <w:pPr>
        <w:pStyle w:val="BodyText"/>
        <w:spacing w:line="240" w:lineRule="auto" w:before="37"/>
        <w:ind w:right="0"/>
        <w:jc w:val="both"/>
      </w:pPr>
      <w:r>
        <w:rPr>
          <w:rFonts w:ascii="宋体" w:hAnsi="宋体" w:cs="宋体" w:eastAsia="宋体" w:hint="default"/>
        </w:rPr>
        <w:t>727.41</w:t>
      </w:r>
      <w:r>
        <w:rPr>
          <w:rFonts w:ascii="宋体" w:hAnsi="宋体" w:cs="宋体" w:eastAsia="宋体" w:hint="default"/>
          <w:spacing w:val="-42"/>
        </w:rPr>
        <w:t> </w:t>
      </w:r>
      <w:r>
        <w:rPr/>
        <w:t>万元，对公司报告期影响不大但将优化未来公司主营业务、增强未来主业盈利能力。</w:t>
      </w:r>
      <w:r>
        <w:rPr>
          <w:rFonts w:ascii="宋体" w:hAnsi="宋体" w:cs="宋体" w:eastAsia="宋体" w:hint="default"/>
        </w:rPr>
        <w:t>(</w:t>
      </w:r>
      <w:r>
        <w:rPr/>
        <w:t>注：除非</w:t>
      </w:r>
    </w:p>
    <w:p>
      <w:pPr>
        <w:pStyle w:val="BodyText"/>
        <w:spacing w:line="355" w:lineRule="auto" w:before="37"/>
        <w:ind w:left="824" w:right="1175" w:hanging="421"/>
        <w:jc w:val="left"/>
      </w:pPr>
      <w:r>
        <w:rPr/>
        <w:t>特别说明，以下涉及创世漫道或公司分行业信息传输的财务数据均为</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月份一个月的</w:t>
      </w:r>
      <w:r>
        <w:rPr>
          <w:rFonts w:ascii="宋体" w:hAnsi="宋体" w:cs="宋体" w:eastAsia="宋体" w:hint="default"/>
        </w:rPr>
        <w:t>) </w:t>
      </w:r>
      <w:r>
        <w:rPr>
          <w:spacing w:val="-1"/>
        </w:rPr>
        <w:t>二、在国家坚持扩大内需特别是消费需求的战略指引下，在股东、投资者的关注和支持下，虽然公</w:t>
      </w:r>
    </w:p>
    <w:p>
      <w:pPr>
        <w:pStyle w:val="BodyText"/>
        <w:spacing w:line="211" w:lineRule="exact" w:before="0"/>
        <w:ind w:right="0"/>
        <w:jc w:val="both"/>
      </w:pPr>
      <w:r>
        <w:rPr/>
        <w:t>司全体经营者及员工齐心协力地扎实工作，主动应对消费市场转向平淡、高端消费下滑的形势，但是由</w:t>
      </w:r>
    </w:p>
    <w:p>
      <w:pPr>
        <w:pStyle w:val="BodyText"/>
        <w:spacing w:line="273" w:lineRule="auto" w:before="37"/>
        <w:ind w:right="1188"/>
        <w:jc w:val="both"/>
      </w:pPr>
      <w:r>
        <w:rPr/>
        <w:t>于购物卡销售减少引起各门店持卡购物下降，报告期公司营业收入较上年同比下降</w:t>
      </w:r>
      <w:r>
        <w:rPr>
          <w:spacing w:val="-42"/>
        </w:rPr>
        <w:t> </w:t>
      </w:r>
      <w:r>
        <w:rPr>
          <w:rFonts w:ascii="宋体" w:hAnsi="宋体" w:cs="宋体" w:eastAsia="宋体" w:hint="default"/>
        </w:rPr>
        <w:t>8.85%</w:t>
      </w:r>
      <w:r>
        <w:rPr/>
        <w:t>。若剔除煤炭 贸易同比减收</w:t>
      </w:r>
      <w:r>
        <w:rPr>
          <w:spacing w:val="-50"/>
        </w:rPr>
        <w:t> </w:t>
      </w:r>
      <w:r>
        <w:rPr>
          <w:rFonts w:ascii="宋体" w:hAnsi="宋体" w:cs="宋体" w:eastAsia="宋体" w:hint="default"/>
        </w:rPr>
        <w:t>9,044.20</w:t>
      </w:r>
      <w:r>
        <w:rPr>
          <w:rFonts w:ascii="宋体" w:hAnsi="宋体" w:cs="宋体" w:eastAsia="宋体" w:hint="default"/>
          <w:spacing w:val="-52"/>
        </w:rPr>
        <w:t> </w:t>
      </w:r>
      <w:r>
        <w:rPr>
          <w:spacing w:val="-7"/>
        </w:rPr>
        <w:t>万元、</w:t>
      </w:r>
      <w:r>
        <w:rPr>
          <w:rFonts w:ascii="宋体" w:hAnsi="宋体" w:cs="宋体" w:eastAsia="宋体" w:hint="default"/>
          <w:spacing w:val="-7"/>
        </w:rPr>
        <w:t>2014</w:t>
      </w:r>
      <w:r>
        <w:rPr>
          <w:rFonts w:ascii="宋体" w:hAnsi="宋体" w:cs="宋体" w:eastAsia="宋体" w:hint="default"/>
          <w:spacing w:val="-51"/>
        </w:rPr>
        <w:t> </w:t>
      </w:r>
      <w:r>
        <w:rPr/>
        <w:t>年重组购买资产同比增收</w:t>
      </w:r>
      <w:r>
        <w:rPr>
          <w:spacing w:val="-51"/>
        </w:rPr>
        <w:t> </w:t>
      </w:r>
      <w:r>
        <w:rPr>
          <w:rFonts w:ascii="宋体" w:hAnsi="宋体" w:cs="宋体" w:eastAsia="宋体" w:hint="default"/>
        </w:rPr>
        <w:t>4,520.19</w:t>
      </w:r>
      <w:r>
        <w:rPr>
          <w:rFonts w:ascii="宋体" w:hAnsi="宋体" w:cs="宋体" w:eastAsia="宋体" w:hint="default"/>
          <w:spacing w:val="-52"/>
        </w:rPr>
        <w:t> </w:t>
      </w:r>
      <w:r>
        <w:rPr>
          <w:spacing w:val="-4"/>
        </w:rPr>
        <w:t>万元、金原超市及受托经营的金</w:t>
      </w:r>
    </w:p>
    <w:p>
      <w:pPr>
        <w:pStyle w:val="BodyText"/>
        <w:spacing w:line="273" w:lineRule="auto"/>
        <w:ind w:right="1188"/>
        <w:jc w:val="both"/>
      </w:pPr>
      <w:r>
        <w:rPr/>
        <w:t>原商厦等所属门店闭店改造同比减收</w:t>
      </w:r>
      <w:r>
        <w:rPr>
          <w:spacing w:val="-73"/>
        </w:rPr>
        <w:t> </w:t>
      </w:r>
      <w:r>
        <w:rPr>
          <w:rFonts w:ascii="宋体" w:hAnsi="宋体" w:cs="宋体" w:eastAsia="宋体" w:hint="default"/>
        </w:rPr>
        <w:t>11,082.00</w:t>
      </w:r>
      <w:r>
        <w:rPr>
          <w:rFonts w:ascii="宋体" w:hAnsi="宋体" w:cs="宋体" w:eastAsia="宋体" w:hint="default"/>
          <w:spacing w:val="-73"/>
        </w:rPr>
        <w:t> </w:t>
      </w:r>
      <w:r>
        <w:rPr/>
        <w:t>万元等不可比因素影响，报告期公司营业收入的实际降 幅为</w:t>
      </w:r>
      <w:r>
        <w:rPr>
          <w:spacing w:val="-54"/>
        </w:rPr>
        <w:t> </w:t>
      </w:r>
      <w:r>
        <w:rPr>
          <w:rFonts w:ascii="宋体" w:hAnsi="宋体" w:cs="宋体" w:eastAsia="宋体" w:hint="default"/>
        </w:rPr>
        <w:t>1.59%</w:t>
      </w:r>
      <w:r>
        <w:rPr/>
        <w:t>。</w:t>
      </w:r>
    </w:p>
    <w:p>
      <w:pPr>
        <w:pStyle w:val="BodyText"/>
        <w:spacing w:line="273" w:lineRule="auto" w:before="39"/>
        <w:ind w:right="1082" w:firstLine="420"/>
        <w:jc w:val="both"/>
      </w:pPr>
      <w:r>
        <w:rPr>
          <w:spacing w:val="-1"/>
        </w:rPr>
        <w:t>报告期公司实现归属于上市公司股东的净利润</w:t>
      </w:r>
      <w:r>
        <w:rPr>
          <w:rFonts w:ascii="宋体" w:hAnsi="宋体" w:cs="宋体" w:eastAsia="宋体" w:hint="default"/>
          <w:spacing w:val="-1"/>
        </w:rPr>
        <w:t>(</w:t>
      </w:r>
      <w:r>
        <w:rPr>
          <w:spacing w:val="-1"/>
        </w:rPr>
        <w:t>简称净利润</w:t>
      </w:r>
      <w:r>
        <w:rPr>
          <w:rFonts w:ascii="宋体" w:hAnsi="宋体" w:cs="宋体" w:eastAsia="宋体" w:hint="default"/>
          <w:spacing w:val="-1"/>
        </w:rPr>
        <w:t>)</w:t>
      </w:r>
      <w:r>
        <w:rPr>
          <w:spacing w:val="-1"/>
        </w:rPr>
        <w:t>同比增幅</w:t>
      </w:r>
      <w:r>
        <w:rPr>
          <w:spacing w:val="-47"/>
        </w:rPr>
        <w:t> </w:t>
      </w:r>
      <w:r>
        <w:rPr>
          <w:rFonts w:ascii="宋体" w:hAnsi="宋体" w:cs="宋体" w:eastAsia="宋体" w:hint="default"/>
          <w:spacing w:val="-12"/>
        </w:rPr>
        <w:t>6.30%</w:t>
      </w:r>
      <w:r>
        <w:rPr>
          <w:spacing w:val="-12"/>
        </w:rPr>
        <w:t>，扣除</w:t>
      </w:r>
      <w:r>
        <w:rPr>
          <w:spacing w:val="-47"/>
        </w:rPr>
        <w:t> </w:t>
      </w:r>
      <w:r>
        <w:rPr>
          <w:rFonts w:ascii="宋体" w:hAnsi="宋体" w:cs="宋体" w:eastAsia="宋体" w:hint="default"/>
        </w:rPr>
        <w:t>2014</w:t>
      </w:r>
      <w:r>
        <w:rPr>
          <w:rFonts w:ascii="宋体" w:hAnsi="宋体" w:cs="宋体" w:eastAsia="宋体" w:hint="default"/>
          <w:spacing w:val="-47"/>
        </w:rPr>
        <w:t> </w:t>
      </w:r>
      <w:r>
        <w:rPr/>
        <w:t>年重组并入 创世漫道的净利润后实际降幅</w:t>
      </w:r>
      <w:r>
        <w:rPr>
          <w:spacing w:val="-40"/>
        </w:rPr>
        <w:t> </w:t>
      </w:r>
      <w:r>
        <w:rPr>
          <w:rFonts w:ascii="宋体" w:hAnsi="宋体" w:cs="宋体" w:eastAsia="宋体" w:hint="default"/>
        </w:rPr>
        <w:t>1.53%</w:t>
      </w:r>
      <w:r>
        <w:rPr/>
        <w:t>，下降的主要影响因素是受托经营的金原商厦因闭店改造导致经营 </w:t>
      </w:r>
      <w:r>
        <w:rPr>
          <w:spacing w:val="-7"/>
        </w:rPr>
        <w:t>亏损增加</w:t>
      </w:r>
      <w:r>
        <w:rPr>
          <w:rFonts w:ascii="宋体" w:hAnsi="宋体" w:cs="宋体" w:eastAsia="宋体" w:hint="default"/>
          <w:spacing w:val="-7"/>
        </w:rPr>
        <w:t>[</w:t>
      </w:r>
      <w:r>
        <w:rPr>
          <w:spacing w:val="-7"/>
        </w:rPr>
        <w:t>有关情况可阅读本报告本章第一节“五、</w:t>
      </w:r>
      <w:r>
        <w:rPr>
          <w:rFonts w:ascii="宋体" w:hAnsi="宋体" w:cs="宋体" w:eastAsia="宋体" w:hint="default"/>
          <w:spacing w:val="-7"/>
        </w:rPr>
        <w:t>(</w:t>
      </w:r>
      <w:r>
        <w:rPr>
          <w:spacing w:val="-7"/>
        </w:rPr>
        <w:t>四</w:t>
      </w:r>
      <w:r>
        <w:rPr>
          <w:rFonts w:ascii="宋体" w:hAnsi="宋体" w:cs="宋体" w:eastAsia="宋体" w:hint="default"/>
          <w:spacing w:val="-7"/>
        </w:rPr>
        <w:t>)</w:t>
      </w:r>
      <w:r>
        <w:rPr>
          <w:rFonts w:ascii="宋体" w:hAnsi="宋体" w:cs="宋体" w:eastAsia="宋体" w:hint="default"/>
          <w:spacing w:val="17"/>
        </w:rPr>
        <w:t> </w:t>
      </w:r>
      <w:r>
        <w:rPr>
          <w:spacing w:val="-4"/>
        </w:rPr>
        <w:t>主要子公司经营情况及业绩分析”的相关内容</w:t>
      </w:r>
      <w:r>
        <w:rPr>
          <w:rFonts w:ascii="宋体" w:hAnsi="宋体" w:cs="宋体" w:eastAsia="宋体" w:hint="default"/>
          <w:spacing w:val="-4"/>
        </w:rPr>
        <w:t>]</w:t>
      </w:r>
      <w:r>
        <w:rPr>
          <w:spacing w:val="-4"/>
        </w:rPr>
        <w:t>。</w:t>
      </w:r>
    </w:p>
    <w:p>
      <w:pPr>
        <w:pStyle w:val="BodyText"/>
        <w:spacing w:line="240" w:lineRule="auto" w:before="39"/>
        <w:ind w:left="824" w:right="418"/>
        <w:jc w:val="left"/>
      </w:pPr>
      <w:r>
        <w:rPr/>
        <w:t>因</w:t>
      </w:r>
      <w:r>
        <w:rPr>
          <w:spacing w:val="-76"/>
        </w:rPr>
        <w:t> </w:t>
      </w:r>
      <w:r>
        <w:rPr>
          <w:rFonts w:ascii="宋体" w:hAnsi="宋体" w:cs="宋体" w:eastAsia="宋体" w:hint="default"/>
        </w:rPr>
        <w:t>2014</w:t>
      </w:r>
      <w:r>
        <w:rPr>
          <w:rFonts w:ascii="宋体" w:hAnsi="宋体" w:cs="宋体" w:eastAsia="宋体" w:hint="default"/>
          <w:spacing w:val="-76"/>
        </w:rPr>
        <w:t> </w:t>
      </w:r>
      <w:r>
        <w:rPr/>
        <w:t>年重组</w:t>
      </w:r>
      <w:r>
        <w:rPr>
          <w:rFonts w:ascii="宋体" w:hAnsi="宋体" w:cs="宋体" w:eastAsia="宋体" w:hint="default"/>
        </w:rPr>
        <w:t>(</w:t>
      </w:r>
      <w:r>
        <w:rPr/>
        <w:t>有关情况见本报告第五章第二节相关内容</w:t>
      </w:r>
      <w:r>
        <w:rPr>
          <w:rFonts w:ascii="宋体" w:hAnsi="宋体" w:cs="宋体" w:eastAsia="宋体" w:hint="default"/>
        </w:rPr>
        <w:t>.</w:t>
      </w:r>
      <w:r>
        <w:rPr/>
        <w:t>下同</w:t>
      </w:r>
      <w:r>
        <w:rPr>
          <w:rFonts w:ascii="宋体" w:hAnsi="宋体" w:cs="宋体" w:eastAsia="宋体" w:hint="default"/>
        </w:rPr>
        <w:t>)</w:t>
      </w:r>
      <w:r>
        <w:rPr/>
        <w:t>，公司总资产、归属于上市公司股</w:t>
      </w:r>
    </w:p>
    <w:p>
      <w:pPr>
        <w:pStyle w:val="BodyText"/>
        <w:spacing w:line="240" w:lineRule="auto" w:before="36"/>
        <w:ind w:right="0"/>
        <w:jc w:val="both"/>
        <w:rPr>
          <w:rFonts w:ascii="宋体" w:hAnsi="宋体" w:cs="宋体" w:eastAsia="宋体" w:hint="default"/>
        </w:rPr>
      </w:pPr>
      <w:r>
        <w:rPr/>
        <w:t>东的净资产同比增加分别为</w:t>
      </w:r>
      <w:r>
        <w:rPr>
          <w:spacing w:val="-31"/>
        </w:rPr>
        <w:t> </w:t>
      </w:r>
      <w:r>
        <w:rPr>
          <w:rFonts w:ascii="宋体" w:hAnsi="宋体" w:cs="宋体" w:eastAsia="宋体" w:hint="default"/>
        </w:rPr>
        <w:t>97,618.99</w:t>
      </w:r>
      <w:r>
        <w:rPr>
          <w:rFonts w:ascii="宋体" w:hAnsi="宋体" w:cs="宋体" w:eastAsia="宋体" w:hint="default"/>
          <w:spacing w:val="-30"/>
        </w:rPr>
        <w:t> </w:t>
      </w:r>
      <w:r>
        <w:rPr/>
        <w:t>万元、</w:t>
      </w:r>
      <w:r>
        <w:rPr>
          <w:rFonts w:ascii="宋体" w:hAnsi="宋体" w:cs="宋体" w:eastAsia="宋体" w:hint="default"/>
        </w:rPr>
        <w:t>88,527.41</w:t>
      </w:r>
      <w:r>
        <w:rPr>
          <w:rFonts w:ascii="宋体" w:hAnsi="宋体" w:cs="宋体" w:eastAsia="宋体" w:hint="default"/>
          <w:spacing w:val="-30"/>
        </w:rPr>
        <w:t> </w:t>
      </w:r>
      <w:r>
        <w:rPr/>
        <w:t>万元，增幅分别为</w:t>
      </w:r>
      <w:r>
        <w:rPr>
          <w:spacing w:val="-30"/>
        </w:rPr>
        <w:t> </w:t>
      </w:r>
      <w:r>
        <w:rPr>
          <w:rFonts w:ascii="宋体" w:hAnsi="宋体" w:cs="宋体" w:eastAsia="宋体" w:hint="default"/>
        </w:rPr>
        <w:t>63.20%</w:t>
      </w:r>
      <w:r>
        <w:rPr/>
        <w:t>、</w:t>
      </w:r>
      <w:r>
        <w:rPr>
          <w:rFonts w:ascii="宋体" w:hAnsi="宋体" w:cs="宋体" w:eastAsia="宋体" w:hint="default"/>
        </w:rPr>
        <w:t>81.11%</w:t>
      </w:r>
      <w:r>
        <w:rPr/>
        <w:t>；因</w:t>
      </w:r>
      <w:r>
        <w:rPr>
          <w:spacing w:val="-31"/>
        </w:rPr>
        <w:t> </w:t>
      </w:r>
      <w:r>
        <w:rPr>
          <w:rFonts w:ascii="宋体" w:hAnsi="宋体" w:cs="宋体" w:eastAsia="宋体" w:hint="default"/>
        </w:rPr>
        <w:t>2014</w:t>
      </w:r>
    </w:p>
    <w:p>
      <w:pPr>
        <w:pStyle w:val="BodyText"/>
        <w:spacing w:line="273" w:lineRule="auto" w:before="37"/>
        <w:ind w:right="1188"/>
        <w:jc w:val="both"/>
      </w:pPr>
      <w:r>
        <w:rPr/>
        <w:t>年重组公司期末商誉增加 </w:t>
      </w:r>
      <w:r>
        <w:rPr>
          <w:rFonts w:ascii="宋体" w:hAnsi="宋体" w:cs="宋体" w:eastAsia="宋体" w:hint="default"/>
        </w:rPr>
        <w:t>74,456.30</w:t>
      </w:r>
      <w:r>
        <w:rPr>
          <w:rFonts w:ascii="宋体" w:hAnsi="宋体" w:cs="宋体" w:eastAsia="宋体" w:hint="default"/>
          <w:spacing w:val="-43"/>
        </w:rPr>
        <w:t> </w:t>
      </w:r>
      <w:r>
        <w:rPr/>
        <w:t>万元</w:t>
      </w:r>
      <w:r>
        <w:rPr>
          <w:rFonts w:ascii="宋体" w:hAnsi="宋体" w:cs="宋体" w:eastAsia="宋体" w:hint="default"/>
        </w:rPr>
        <w:t>(</w:t>
      </w:r>
      <w:r>
        <w:rPr/>
        <w:t>有关情况可阅读本报告第十章财务报告附注“六”的相关内 容</w:t>
      </w:r>
      <w:r>
        <w:rPr>
          <w:rFonts w:ascii="宋体" w:hAnsi="宋体" w:cs="宋体" w:eastAsia="宋体" w:hint="default"/>
        </w:rPr>
        <w:t>)</w:t>
      </w:r>
      <w:r>
        <w:rPr/>
        <w:t>；因本年度比上年度项目投入支出减少、门店租金回报有所上升，报告期经营活动产生的现金流量</w:t>
      </w:r>
      <w:r>
        <w:rPr>
          <w:spacing w:val="-47"/>
        </w:rPr>
        <w:t> </w:t>
      </w:r>
      <w:r>
        <w:rPr>
          <w:spacing w:val="-47"/>
        </w:rPr>
      </w:r>
      <w:r>
        <w:rPr/>
        <w:t>净额同比增加</w:t>
      </w:r>
      <w:r>
        <w:rPr>
          <w:spacing w:val="-56"/>
        </w:rPr>
        <w:t> </w:t>
      </w:r>
      <w:r>
        <w:rPr>
          <w:rFonts w:ascii="宋体" w:hAnsi="宋体" w:cs="宋体" w:eastAsia="宋体" w:hint="default"/>
        </w:rPr>
        <w:t>7,298.20</w:t>
      </w:r>
      <w:r>
        <w:rPr>
          <w:rFonts w:ascii="宋体" w:hAnsi="宋体" w:cs="宋体" w:eastAsia="宋体" w:hint="default"/>
          <w:spacing w:val="-56"/>
        </w:rPr>
        <w:t> </w:t>
      </w:r>
      <w:r>
        <w:rPr/>
        <w:t>万元，增幅</w:t>
      </w:r>
      <w:r>
        <w:rPr>
          <w:spacing w:val="-56"/>
        </w:rPr>
        <w:t> </w:t>
      </w:r>
      <w:r>
        <w:rPr>
          <w:rFonts w:ascii="宋体" w:hAnsi="宋体" w:cs="宋体" w:eastAsia="宋体" w:hint="default"/>
        </w:rPr>
        <w:t>59.62%</w:t>
      </w:r>
      <w:r>
        <w:rPr/>
        <w:t>。截至报告期末公司资产负债率为</w:t>
      </w:r>
      <w:r>
        <w:rPr>
          <w:spacing w:val="-55"/>
        </w:rPr>
        <w:t> </w:t>
      </w:r>
      <w:r>
        <w:rPr>
          <w:rFonts w:ascii="宋体" w:hAnsi="宋体" w:cs="宋体" w:eastAsia="宋体" w:hint="default"/>
        </w:rPr>
        <w:t>24.88%</w:t>
      </w:r>
      <w:r>
        <w:rPr/>
        <w:t>。</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49" w:firstLine="420"/>
        <w:jc w:val="right"/>
      </w:pPr>
      <w:r>
        <w:rPr/>
        <w:t>三、经 </w:t>
      </w:r>
      <w:r>
        <w:rPr>
          <w:rFonts w:ascii="宋体" w:hAnsi="宋体" w:cs="宋体" w:eastAsia="宋体" w:hint="default"/>
        </w:rPr>
        <w:t>2014</w:t>
      </w:r>
      <w:r>
        <w:rPr>
          <w:rFonts w:ascii="宋体" w:hAnsi="宋体" w:cs="宋体" w:eastAsia="宋体" w:hint="default"/>
          <w:spacing w:val="-40"/>
        </w:rPr>
        <w:t> </w:t>
      </w:r>
      <w:r>
        <w:rPr/>
        <w:t>年重组公司进入了发展前景广阔的移动信息服务行业，公司将调整发展战略由主营百 </w:t>
      </w:r>
      <w:r>
        <w:rPr>
          <w:spacing w:val="-1"/>
        </w:rPr>
        <w:t>货零售向百货零售同现代移动信息服务业并存、协同发展转变。由于移动信息服务业随着产业政策的大</w:t>
      </w:r>
      <w:r>
        <w:rPr/>
        <w:t> 力支持、通信技术和信息技术的持续进步、智能手机的日益普及和移动应用的不断丰富等因素的影响， 处于迅速发展阶段，报告期末公司启动分公司、子公司架构调整，公司将进一步整合业务，转型升级。 报告期后公司启动 </w:t>
      </w:r>
      <w:r>
        <w:rPr>
          <w:rFonts w:ascii="宋体" w:hAnsi="宋体" w:cs="宋体" w:eastAsia="宋体" w:hint="default"/>
        </w:rPr>
        <w:t>2015</w:t>
      </w:r>
      <w:r>
        <w:rPr>
          <w:rFonts w:ascii="宋体" w:hAnsi="宋体" w:cs="宋体" w:eastAsia="宋体" w:hint="default"/>
          <w:spacing w:val="-40"/>
        </w:rPr>
        <w:t> </w:t>
      </w:r>
      <w:r>
        <w:rPr/>
        <w:t>年重大资产重组，拟向公司控股股东中兆投资出售百货等资产，同时以部 分出售所得向广东长实网络技术有限公司等 </w:t>
      </w:r>
      <w:r>
        <w:rPr>
          <w:rFonts w:ascii="宋体" w:hAnsi="宋体" w:cs="宋体" w:eastAsia="宋体" w:hint="default"/>
        </w:rPr>
        <w:t>5 </w:t>
      </w:r>
      <w:r>
        <w:rPr/>
        <w:t>名股东收购其持有的广东长实通信股份有限公司</w:t>
      </w:r>
      <w:r>
        <w:rPr>
          <w:spacing w:val="-38"/>
        </w:rPr>
        <w:t> </w:t>
      </w:r>
      <w:r>
        <w:rPr>
          <w:rFonts w:ascii="宋体" w:hAnsi="宋体" w:cs="宋体" w:eastAsia="宋体" w:hint="default"/>
        </w:rPr>
        <w:t>100%</w:t>
      </w:r>
      <w:r>
        <w:rPr/>
        <w:t>的</w:t>
      </w:r>
    </w:p>
    <w:p>
      <w:pPr>
        <w:pStyle w:val="BodyText"/>
        <w:spacing w:line="240" w:lineRule="auto"/>
        <w:ind w:left="144" w:right="1066"/>
        <w:jc w:val="left"/>
      </w:pPr>
      <w:r>
        <w:rPr/>
        <w:t>股权。该事项具有重大不确定性，尚不能明确对公司未来的影响。</w:t>
      </w:r>
    </w:p>
    <w:p>
      <w:pPr>
        <w:spacing w:line="240" w:lineRule="auto" w:before="10"/>
        <w:rPr>
          <w:rFonts w:ascii="宋体" w:hAnsi="宋体" w:cs="宋体" w:eastAsia="宋体" w:hint="default"/>
          <w:sz w:val="14"/>
          <w:szCs w:val="14"/>
        </w:rPr>
      </w:pPr>
    </w:p>
    <w:p>
      <w:pPr>
        <w:pStyle w:val="BodyText"/>
        <w:spacing w:line="273" w:lineRule="auto" w:before="0"/>
        <w:ind w:left="144" w:right="1149" w:firstLine="420"/>
        <w:jc w:val="both"/>
      </w:pPr>
      <w:r>
        <w:rPr/>
        <w:t>四、公司主营之一百货零售，行业属于向终端消费者销售商品和提供相关服务的零售业，经营的</w:t>
      </w:r>
      <w:r>
        <w:rPr>
          <w:spacing w:val="-41"/>
        </w:rPr>
        <w:t> </w:t>
      </w:r>
      <w:r>
        <w:rPr>
          <w:rFonts w:ascii="宋体" w:hAnsi="宋体" w:cs="宋体" w:eastAsia="宋体" w:hint="default"/>
        </w:rPr>
        <w:t>4 </w:t>
      </w:r>
      <w:r>
        <w:rPr>
          <w:spacing w:val="-1"/>
        </w:rPr>
        <w:t>家百货门店位处秦皇岛市中心商圈，服务区域集中于当地。百货零售与城乡居民日常生活密切相关，已</w:t>
      </w:r>
      <w:r>
        <w:rPr>
          <w:spacing w:val="-102"/>
        </w:rPr>
        <w:t> </w:t>
      </w:r>
      <w:r>
        <w:rPr>
          <w:spacing w:val="-102"/>
        </w:rPr>
      </w:r>
      <w:r>
        <w:rPr/>
        <w:t>开始成为引领生产和消费的先导，将继续受惠于我国政府以增加居民消费为重点的扩大内需战略方针， 公司面临的宏观环境、行业政策较为有利，没有发生重大变化。</w:t>
      </w:r>
    </w:p>
    <w:p>
      <w:pPr>
        <w:pStyle w:val="BodyText"/>
        <w:spacing w:line="273" w:lineRule="auto" w:before="39"/>
        <w:ind w:left="144" w:right="1149" w:firstLine="420"/>
        <w:jc w:val="both"/>
      </w:pPr>
      <w:r>
        <w:rPr/>
        <w:t>公司的百货零售在当地历史久、规模大、人员建设储备时间长，拥有行业主导性地位和规模优势， </w:t>
      </w:r>
      <w:r>
        <w:rPr>
          <w:spacing w:val="3"/>
        </w:rPr>
        <w:t>报告期受高端消费下滑影响公司百货零售收入有所下降，实现的营收、净利润占公司总的比例分别为</w:t>
      </w:r>
      <w:r>
        <w:rPr>
          <w:spacing w:val="-89"/>
        </w:rPr>
        <w:t> </w:t>
      </w:r>
      <w:r>
        <w:rPr>
          <w:spacing w:val="-89"/>
        </w:rPr>
      </w:r>
      <w:r>
        <w:rPr>
          <w:rFonts w:ascii="宋体" w:hAnsi="宋体" w:cs="宋体" w:eastAsia="宋体" w:hint="default"/>
        </w:rPr>
        <w:t>86.43%</w:t>
      </w:r>
      <w:r>
        <w:rPr/>
        <w:t>和</w:t>
      </w:r>
      <w:r>
        <w:rPr>
          <w:spacing w:val="-45"/>
        </w:rPr>
        <w:t> </w:t>
      </w:r>
      <w:r>
        <w:rPr>
          <w:rFonts w:ascii="宋体" w:hAnsi="宋体" w:cs="宋体" w:eastAsia="宋体" w:hint="default"/>
        </w:rPr>
        <w:t>170.61%</w:t>
      </w:r>
      <w:r>
        <w:rPr/>
        <w:t>，仍支撑着公司的业绩。根据秦皇岛市统计局、国家统计局秦皇岛调查队编印的《秦 </w:t>
      </w:r>
      <w:r>
        <w:rPr>
          <w:spacing w:val="-1"/>
        </w:rPr>
        <w:t>皇岛统计年鉴》数据，在当地社会消费品零售总额持续增长的年份里，公司百货零售收入占当地社会消</w:t>
      </w:r>
      <w:r>
        <w:rPr>
          <w:spacing w:val="-102"/>
        </w:rPr>
        <w:t> </w:t>
      </w:r>
      <w:r>
        <w:rPr>
          <w:spacing w:val="-102"/>
        </w:rPr>
      </w:r>
      <w:r>
        <w:rPr/>
        <w:t>费品零售总额的比例有所下降，占《秦皇岛统计年鉴》自发布当地限额以上百货店</w:t>
      </w:r>
      <w:r>
        <w:rPr>
          <w:rFonts w:ascii="宋体" w:hAnsi="宋体" w:cs="宋体" w:eastAsia="宋体" w:hint="default"/>
        </w:rPr>
        <w:t>/</w:t>
      </w:r>
      <w:r>
        <w:rPr/>
        <w:t>购物中心销售额年</w:t>
      </w:r>
      <w:r>
        <w:rPr>
          <w:spacing w:val="-47"/>
        </w:rPr>
        <w:t> </w:t>
      </w:r>
      <w:r>
        <w:rPr>
          <w:spacing w:val="-47"/>
        </w:rPr>
      </w:r>
      <w:r>
        <w:rPr/>
        <w:t>度数据以来的比例在</w:t>
      </w:r>
      <w:r>
        <w:rPr>
          <w:spacing w:val="-53"/>
        </w:rPr>
        <w:t> </w:t>
      </w:r>
      <w:r>
        <w:rPr>
          <w:rFonts w:ascii="宋体" w:hAnsi="宋体" w:cs="宋体" w:eastAsia="宋体" w:hint="default"/>
        </w:rPr>
        <w:t>50%</w:t>
      </w:r>
      <w:r>
        <w:rPr/>
        <w:t>以上且处于高位。有关情况见下列图示。</w:t>
      </w:r>
    </w:p>
    <w:p>
      <w:pPr>
        <w:spacing w:line="240" w:lineRule="auto" w:before="12"/>
        <w:rPr>
          <w:rFonts w:ascii="宋体" w:hAnsi="宋体" w:cs="宋体" w:eastAsia="宋体" w:hint="default"/>
          <w:sz w:val="9"/>
          <w:szCs w:val="9"/>
        </w:rPr>
      </w:pPr>
    </w:p>
    <w:p>
      <w:pPr>
        <w:spacing w:line="1624" w:lineRule="exact"/>
        <w:ind w:left="998"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375.95pt;height:81.25pt;mso-position-horizontal-relative:char;mso-position-vertical-relative:line" coordorigin="0,0" coordsize="7519,1625">
            <v:shape style="position:absolute;left:0;top:0;width:7519;height:1565" type="#_x0000_t75" stroked="false">
              <v:imagedata r:id="rId14" o:title=""/>
            </v:shape>
            <v:group style="position:absolute;left:37;top:1557;width:2;height:60" coordorigin="37,1557" coordsize="2,60">
              <v:shape style="position:absolute;left:37;top:1557;width:2;height:60" coordorigin="37,1557" coordsize="0,60" path="m37,1557l37,1617e" filled="false" stroked="true" strokeweight=".749619pt" strokecolor="#858585">
                <v:path arrowok="t"/>
              </v:shape>
            </v:group>
            <v:group style="position:absolute;left:1041;top:1557;width:2;height:60" coordorigin="1041,1557" coordsize="2,60">
              <v:shape style="position:absolute;left:1041;top:1557;width:2;height:60" coordorigin="1041,1557" coordsize="0,60" path="m1041,1557l1041,1617e" filled="false" stroked="true" strokeweight=".749619pt" strokecolor="#858585">
                <v:path arrowok="t"/>
              </v:shape>
            </v:group>
            <v:group style="position:absolute;left:2059;top:1557;width:2;height:60" coordorigin="2059,1557" coordsize="2,60">
              <v:shape style="position:absolute;left:2059;top:1557;width:2;height:60" coordorigin="2059,1557" coordsize="0,60" path="m2059,1557l2059,1617e" filled="false" stroked="true" strokeweight=".749619pt" strokecolor="#858585">
                <v:path arrowok="t"/>
              </v:shape>
            </v:group>
            <v:group style="position:absolute;left:3063;top:1557;width:2;height:60" coordorigin="3063,1557" coordsize="2,60">
              <v:shape style="position:absolute;left:3063;top:1557;width:2;height:60" coordorigin="3063,1557" coordsize="0,60" path="m3063,1557l3063,1617e" filled="false" stroked="true" strokeweight=".749619pt" strokecolor="#858585">
                <v:path arrowok="t"/>
              </v:shape>
            </v:group>
            <v:group style="position:absolute;left:4081;top:1557;width:2;height:60" coordorigin="4081,1557" coordsize="2,60">
              <v:shape style="position:absolute;left:4081;top:1557;width:2;height:60" coordorigin="4081,1557" coordsize="0,60" path="m4081,1557l4081,1617e" filled="false" stroked="true" strokeweight=".749619pt" strokecolor="#858585">
                <v:path arrowok="t"/>
              </v:shape>
            </v:group>
            <v:group style="position:absolute;left:5085;top:1557;width:2;height:60" coordorigin="5085,1557" coordsize="2,60">
              <v:shape style="position:absolute;left:5085;top:1557;width:2;height:60" coordorigin="5085,1557" coordsize="0,60" path="m5085,1557l5085,1617e" filled="false" stroked="true" strokeweight=".749619pt" strokecolor="#858585">
                <v:path arrowok="t"/>
              </v:shape>
            </v:group>
            <v:group style="position:absolute;left:6103;top:1557;width:2;height:60" coordorigin="6103,1557" coordsize="2,60">
              <v:shape style="position:absolute;left:6103;top:1557;width:2;height:60" coordorigin="6103,1557" coordsize="0,60" path="m6103,1557l6103,1617e" filled="false" stroked="true" strokeweight=".749619pt" strokecolor="#858585">
                <v:path arrowok="t"/>
              </v:shape>
            </v:group>
            <v:group style="position:absolute;left:7122;top:1557;width:2;height:60" coordorigin="7122,1557" coordsize="2,60">
              <v:shape style="position:absolute;left:7122;top:1557;width:2;height:60" coordorigin="7122,1557" coordsize="0,60" path="m7122,1557l7122,1617e" filled="false" stroked="true" strokeweight=".749619pt" strokecolor="#858585">
                <v:path arrowok="t"/>
              </v:shape>
              <v:shape style="position:absolute;left:5450;top:281;width:819;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b/>
                          <w:w w:val="105"/>
                          <w:sz w:val="19"/>
                        </w:rPr>
                        <w:t>4,538,079</w:t>
                      </w:r>
                      <w:r>
                        <w:rPr>
                          <w:rFonts w:ascii="Calibri"/>
                          <w:sz w:val="19"/>
                        </w:rPr>
                      </w:r>
                    </w:p>
                  </w:txbxContent>
                </v:textbox>
                <w10:wrap type="none"/>
              </v:shape>
              <v:shape style="position:absolute;left:6451;top:144;width:82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b/>
                          <w:w w:val="105"/>
                          <w:sz w:val="19"/>
                        </w:rPr>
                        <w:t>5,145,681</w:t>
                      </w:r>
                      <w:r>
                        <w:rPr>
                          <w:rFonts w:ascii="Calibri"/>
                          <w:sz w:val="19"/>
                        </w:rPr>
                      </w:r>
                    </w:p>
                  </w:txbxContent>
                </v:textbox>
                <w10:wrap type="none"/>
              </v:shape>
              <v:shape style="position:absolute;left:3403;top:519;width:725;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3,349,800</w:t>
                      </w:r>
                      <w:r>
                        <w:rPr>
                          <w:rFonts w:ascii="Calibri"/>
                          <w:spacing w:val="-2"/>
                          <w:sz w:val="18"/>
                        </w:rPr>
                      </w:r>
                    </w:p>
                  </w:txbxContent>
                </v:textbox>
                <w10:wrap type="none"/>
              </v:shape>
              <v:shape style="position:absolute;left:4419;top:400;width:726;height:182"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3,944,468</w:t>
                      </w:r>
                      <w:r>
                        <w:rPr>
                          <w:rFonts w:ascii="Calibri"/>
                          <w:spacing w:val="-2"/>
                          <w:sz w:val="18"/>
                        </w:rPr>
                      </w:r>
                    </w:p>
                  </w:txbxContent>
                </v:textbox>
                <w10:wrap type="none"/>
              </v:shape>
              <v:shape style="position:absolute;left:292;top:842;width:821;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b/>
                          <w:w w:val="105"/>
                          <w:sz w:val="19"/>
                        </w:rPr>
                        <w:t>1,981,416</w:t>
                      </w:r>
                      <w:r>
                        <w:rPr>
                          <w:rFonts w:ascii="Calibri"/>
                          <w:sz w:val="19"/>
                        </w:rPr>
                      </w:r>
                    </w:p>
                  </w:txbxContent>
                </v:textbox>
                <w10:wrap type="none"/>
              </v:shape>
              <v:shape style="position:absolute;left:1395;top:721;width:723;height:182"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2,401,450</w:t>
                      </w:r>
                      <w:r>
                        <w:rPr>
                          <w:rFonts w:ascii="Calibri"/>
                          <w:sz w:val="18"/>
                        </w:rPr>
                      </w:r>
                    </w:p>
                  </w:txbxContent>
                </v:textbox>
                <w10:wrap type="none"/>
              </v:shape>
              <v:shape style="position:absolute;left:2388;top:617;width:724;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2,832,525</w:t>
                      </w:r>
                      <w:r>
                        <w:rPr>
                          <w:rFonts w:ascii="Calibri"/>
                          <w:sz w:val="18"/>
                        </w:rPr>
                      </w:r>
                    </w:p>
                  </w:txbxContent>
                </v:textbox>
                <w10:wrap type="none"/>
              </v:shape>
              <v:shape style="position:absolute;left:530;top:1339;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2.83%</w:t>
                      </w:r>
                      <w:r>
                        <w:rPr>
                          <w:rFonts w:ascii="Calibri"/>
                          <w:sz w:val="19"/>
                        </w:rPr>
                      </w:r>
                    </w:p>
                  </w:txbxContent>
                </v:textbox>
                <w10:wrap type="none"/>
              </v:shape>
              <v:shape style="position:absolute;left:1589;top:1346;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3.15%</w:t>
                      </w:r>
                      <w:r>
                        <w:rPr>
                          <w:rFonts w:ascii="Calibri"/>
                          <w:sz w:val="19"/>
                        </w:rPr>
                      </w:r>
                    </w:p>
                  </w:txbxContent>
                </v:textbox>
                <w10:wrap type="none"/>
              </v:shape>
              <v:shape style="position:absolute;left:2626;top:1354;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3.26%</w:t>
                      </w:r>
                      <w:r>
                        <w:rPr>
                          <w:rFonts w:ascii="Calibri"/>
                          <w:sz w:val="19"/>
                        </w:rPr>
                      </w:r>
                    </w:p>
                  </w:txbxContent>
                </v:textbox>
                <w10:wrap type="none"/>
              </v:shape>
              <v:shape style="position:absolute;left:3641;top:1324;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3.23%</w:t>
                      </w:r>
                      <w:r>
                        <w:rPr>
                          <w:rFonts w:ascii="Calibri"/>
                          <w:sz w:val="19"/>
                        </w:rPr>
                      </w:r>
                    </w:p>
                  </w:txbxContent>
                </v:textbox>
                <w10:wrap type="none"/>
              </v:shape>
              <v:shape style="position:absolute;left:4875;top:1287;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3.89%</w:t>
                      </w:r>
                      <w:r>
                        <w:rPr>
                          <w:rFonts w:ascii="Calibri"/>
                          <w:sz w:val="19"/>
                        </w:rPr>
                      </w:r>
                    </w:p>
                  </w:txbxContent>
                </v:textbox>
                <w10:wrap type="none"/>
              </v:shape>
              <v:shape style="position:absolute;left:5834;top:1305;width:502;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3.49%</w:t>
                      </w:r>
                      <w:r>
                        <w:rPr>
                          <w:rFonts w:ascii="Calibri"/>
                          <w:sz w:val="19"/>
                        </w:rPr>
                      </w:r>
                    </w:p>
                  </w:txbxContent>
                </v:textbox>
                <w10:wrap type="none"/>
              </v:shape>
              <v:shape style="position:absolute;left:6886;top:1296;width:503;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3.33%</w:t>
                      </w:r>
                      <w:r>
                        <w:rPr>
                          <w:rFonts w:ascii="Calibri"/>
                          <w:sz w:val="19"/>
                        </w:rPr>
                      </w:r>
                    </w:p>
                  </w:txbxContent>
                </v:textbox>
                <w10:wrap type="none"/>
              </v:shape>
            </v:group>
          </v:group>
        </w:pict>
      </w:r>
      <w:r>
        <w:rPr>
          <w:rFonts w:ascii="宋体" w:hAnsi="宋体" w:cs="宋体" w:eastAsia="宋体" w:hint="default"/>
          <w:position w:val="-31"/>
          <w:sz w:val="20"/>
          <w:szCs w:val="20"/>
        </w:rPr>
      </w:r>
    </w:p>
    <w:p>
      <w:pPr>
        <w:tabs>
          <w:tab w:pos="2251" w:val="left" w:leader="none"/>
          <w:tab w:pos="3266" w:val="left" w:leader="none"/>
          <w:tab w:pos="4281" w:val="left" w:leader="none"/>
          <w:tab w:pos="5296" w:val="left" w:leader="none"/>
          <w:tab w:pos="6311" w:val="left" w:leader="none"/>
          <w:tab w:pos="7326" w:val="left" w:leader="none"/>
        </w:tabs>
        <w:spacing w:before="42"/>
        <w:ind w:left="1236" w:right="1066" w:firstLine="0"/>
        <w:jc w:val="left"/>
        <w:rPr>
          <w:rFonts w:ascii="宋体" w:hAnsi="宋体" w:cs="宋体" w:eastAsia="宋体" w:hint="default"/>
          <w:sz w:val="19"/>
          <w:szCs w:val="19"/>
        </w:rPr>
      </w:pPr>
      <w:r>
        <w:rPr>
          <w:rFonts w:ascii="Calibri" w:hAnsi="Calibri" w:cs="Calibri" w:eastAsia="Calibri" w:hint="default"/>
          <w:spacing w:val="3"/>
          <w:sz w:val="19"/>
          <w:szCs w:val="19"/>
        </w:rPr>
        <w:t>2007</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2008</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2009</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2010</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2011</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2012</w:t>
      </w:r>
      <w:r>
        <w:rPr>
          <w:rFonts w:ascii="宋体" w:hAnsi="宋体" w:cs="宋体" w:eastAsia="宋体" w:hint="default"/>
          <w:spacing w:val="3"/>
          <w:sz w:val="19"/>
          <w:szCs w:val="19"/>
        </w:rPr>
        <w:t>年</w:t>
        <w:tab/>
      </w:r>
      <w:r>
        <w:rPr>
          <w:rFonts w:ascii="Calibri" w:hAnsi="Calibri" w:cs="Calibri" w:eastAsia="Calibri" w:hint="default"/>
          <w:spacing w:val="3"/>
          <w:w w:val="105"/>
          <w:sz w:val="19"/>
          <w:szCs w:val="19"/>
        </w:rPr>
        <w:t>2013</w:t>
      </w:r>
      <w:r>
        <w:rPr>
          <w:rFonts w:ascii="宋体" w:hAnsi="宋体" w:cs="宋体" w:eastAsia="宋体" w:hint="default"/>
          <w:spacing w:val="3"/>
          <w:w w:val="105"/>
          <w:sz w:val="19"/>
          <w:szCs w:val="19"/>
        </w:rPr>
        <w:t>年</w:t>
      </w:r>
      <w:r>
        <w:rPr>
          <w:rFonts w:ascii="宋体" w:hAnsi="宋体" w:cs="宋体" w:eastAsia="宋体" w:hint="default"/>
          <w:spacing w:val="3"/>
          <w:sz w:val="19"/>
          <w:szCs w:val="19"/>
        </w:rPr>
      </w:r>
    </w:p>
    <w:p>
      <w:pPr>
        <w:tabs>
          <w:tab w:pos="4722" w:val="left" w:leader="none"/>
        </w:tabs>
        <w:spacing w:before="1"/>
        <w:ind w:left="955" w:right="1066" w:firstLine="0"/>
        <w:jc w:val="left"/>
        <w:rPr>
          <w:rFonts w:ascii="宋体" w:hAnsi="宋体" w:cs="宋体" w:eastAsia="宋体" w:hint="default"/>
          <w:sz w:val="19"/>
          <w:szCs w:val="19"/>
        </w:rPr>
      </w:pPr>
      <w:r>
        <w:rPr/>
        <w:pict>
          <v:group style="position:absolute;margin-left:97.431419pt;margin-top:5.854774pt;width:6pt;height:5.25pt;mso-position-horizontal-relative:page;mso-position-vertical-relative:paragraph;z-index:1696" coordorigin="1949,117" coordsize="120,105">
            <v:shape style="position:absolute;left:1949;top:117;width:120;height:105" coordorigin="1949,117" coordsize="120,105" path="m1949,221l2068,221,2068,117,1949,117,1949,221xe" filled="true" fillcolor="#9bba58" stroked="false">
              <v:path arrowok="t"/>
              <v:fill type="solid"/>
            </v:shape>
            <w10:wrap type="none"/>
          </v:group>
        </w:pict>
      </w:r>
      <w:r>
        <w:rPr/>
        <w:pict>
          <v:group style="position:absolute;margin-left:285.397858pt;margin-top:5.854774pt;width:6pt;height:5.25pt;mso-position-horizontal-relative:page;mso-position-vertical-relative:paragraph;z-index:-760768" coordorigin="5708,117" coordsize="120,105">
            <v:shape style="position:absolute;left:5708;top:117;width:120;height:105" coordorigin="5708,117" coordsize="120,105" path="m5708,221l5828,221,5828,117,5708,117,5708,221xe" filled="true" fillcolor="#ff0000" stroked="false">
              <v:path arrowok="t"/>
              <v:fill type="solid"/>
            </v:shape>
            <w10:wrap type="none"/>
          </v:group>
        </w:pict>
      </w:r>
      <w:r>
        <w:rPr>
          <w:rFonts w:ascii="宋体" w:hAnsi="宋体" w:cs="宋体" w:eastAsia="宋体" w:hint="default"/>
          <w:spacing w:val="-2"/>
          <w:sz w:val="19"/>
          <w:szCs w:val="19"/>
        </w:rPr>
        <w:t>秦皇岛市社会销售品零售总额</w:t>
      </w:r>
      <w:r>
        <w:rPr>
          <w:rFonts w:ascii="Calibri" w:hAnsi="Calibri" w:cs="Calibri" w:eastAsia="Calibri" w:hint="default"/>
          <w:spacing w:val="-2"/>
          <w:sz w:val="19"/>
          <w:szCs w:val="19"/>
        </w:rPr>
        <w:t>(</w:t>
      </w:r>
      <w:r>
        <w:rPr>
          <w:rFonts w:ascii="宋体" w:hAnsi="宋体" w:cs="宋体" w:eastAsia="宋体" w:hint="default"/>
          <w:spacing w:val="-2"/>
          <w:sz w:val="19"/>
          <w:szCs w:val="19"/>
        </w:rPr>
        <w:t>万元</w:t>
      </w:r>
      <w:r>
        <w:rPr>
          <w:rFonts w:ascii="Calibri" w:hAnsi="Calibri" w:cs="Calibri" w:eastAsia="Calibri" w:hint="default"/>
          <w:spacing w:val="-2"/>
          <w:sz w:val="19"/>
          <w:szCs w:val="19"/>
        </w:rPr>
        <w:t>)</w:t>
        <w:tab/>
      </w:r>
      <w:r>
        <w:rPr>
          <w:rFonts w:ascii="宋体" w:hAnsi="宋体" w:cs="宋体" w:eastAsia="宋体" w:hint="default"/>
          <w:spacing w:val="-1"/>
          <w:w w:val="105"/>
          <w:sz w:val="19"/>
          <w:szCs w:val="19"/>
        </w:rPr>
        <w:t>公司百货零售占全市社会消费品零售总额的比例</w:t>
      </w:r>
      <w:r>
        <w:rPr>
          <w:rFonts w:ascii="宋体" w:hAnsi="宋体" w:cs="宋体" w:eastAsia="宋体" w:hint="default"/>
          <w:sz w:val="19"/>
          <w:szCs w:val="19"/>
        </w:rPr>
      </w:r>
    </w:p>
    <w:p>
      <w:pPr>
        <w:spacing w:line="240" w:lineRule="auto" w:before="10"/>
        <w:rPr>
          <w:rFonts w:ascii="宋体" w:hAnsi="宋体" w:cs="宋体" w:eastAsia="宋体" w:hint="default"/>
          <w:sz w:val="19"/>
          <w:szCs w:val="19"/>
        </w:rPr>
      </w:pPr>
    </w:p>
    <w:p>
      <w:pPr>
        <w:spacing w:line="1775" w:lineRule="exact"/>
        <w:ind w:left="968"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372.15pt;height:88.8pt;mso-position-horizontal-relative:char;mso-position-vertical-relative:line" coordorigin="0,0" coordsize="7443,1776">
            <v:shape style="position:absolute;left:0;top:0;width:7443;height:1716" type="#_x0000_t75" stroked="false">
              <v:imagedata r:id="rId15" o:title=""/>
            </v:shape>
            <v:group style="position:absolute;left:37;top:1693;width:2;height:75" coordorigin="37,1693" coordsize="2,75">
              <v:shape style="position:absolute;left:37;top:1693;width:2;height:75" coordorigin="37,1693" coordsize="0,75" path="m37,1693l37,1768e" filled="false" stroked="true" strokeweight=".749537pt" strokecolor="#858585">
                <v:path arrowok="t"/>
              </v:shape>
            </v:group>
            <v:group style="position:absolute;left:1191;top:1693;width:2;height:75" coordorigin="1191,1693" coordsize="2,75">
              <v:shape style="position:absolute;left:1191;top:1693;width:2;height:75" coordorigin="1191,1693" coordsize="0,75" path="m1191,1693l1191,1768e" filled="false" stroked="true" strokeweight=".749537pt" strokecolor="#858585">
                <v:path arrowok="t"/>
              </v:shape>
            </v:group>
            <v:group style="position:absolute;left:2344;top:1693;width:2;height:75" coordorigin="2344,1693" coordsize="2,75">
              <v:shape style="position:absolute;left:2344;top:1693;width:2;height:75" coordorigin="2344,1693" coordsize="0,75" path="m2344,1693l2344,1768e" filled="false" stroked="true" strokeweight=".749537pt" strokecolor="#858585">
                <v:path arrowok="t"/>
              </v:shape>
            </v:group>
            <v:group style="position:absolute;left:3512;top:1693;width:2;height:75" coordorigin="3512,1693" coordsize="2,75">
              <v:shape style="position:absolute;left:3512;top:1693;width:2;height:75" coordorigin="3512,1693" coordsize="0,75" path="m3512,1693l3512,1768e" filled="false" stroked="true" strokeweight=".749537pt" strokecolor="#858585">
                <v:path arrowok="t"/>
              </v:shape>
            </v:group>
            <v:group style="position:absolute;left:4665;top:1693;width:2;height:75" coordorigin="4665,1693" coordsize="2,75">
              <v:shape style="position:absolute;left:4665;top:1693;width:2;height:75" coordorigin="4665,1693" coordsize="0,75" path="m4665,1693l4665,1768e" filled="false" stroked="true" strokeweight=".749537pt" strokecolor="#858585">
                <v:path arrowok="t"/>
              </v:shape>
            </v:group>
            <v:group style="position:absolute;left:5833;top:1693;width:2;height:75" coordorigin="5833,1693" coordsize="2,75">
              <v:shape style="position:absolute;left:5833;top:1693;width:2;height:75" coordorigin="5833,1693" coordsize="0,75" path="m5833,1693l5833,1768e" filled="false" stroked="true" strokeweight=".749537pt" strokecolor="#858585">
                <v:path arrowok="t"/>
              </v:shape>
            </v:group>
            <v:group style="position:absolute;left:7001;top:1693;width:2;height:75" coordorigin="7001,1693" coordsize="2,75">
              <v:shape style="position:absolute;left:7001;top:1693;width:2;height:75" coordorigin="7001,1693" coordsize="0,75" path="m7001,1693l7001,1768e" filled="false" stroked="true" strokeweight=".749537pt" strokecolor="#858585">
                <v:path arrowok="t"/>
              </v:shape>
              <v:shape style="position:absolute;left:2794;top:470;width:671;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178,953</w:t>
                      </w:r>
                    </w:p>
                  </w:txbxContent>
                </v:textbox>
                <w10:wrap type="none"/>
              </v:shape>
              <v:shape style="position:absolute;left:3883;top:372;width:671;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199,853</w:t>
                      </w:r>
                    </w:p>
                  </w:txbxContent>
                </v:textbox>
                <w10:wrap type="none"/>
              </v:shape>
              <v:shape style="position:absolute;left:5182;top:365;width:67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205,559</w:t>
                      </w:r>
                    </w:p>
                  </w:txbxContent>
                </v:textbox>
                <w10:wrap type="none"/>
              </v:shape>
              <v:shape style="position:absolute;left:6332;top:303;width:668;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220,228</w:t>
                      </w:r>
                      <w:r>
                        <w:rPr>
                          <w:rFonts w:ascii="Calibri"/>
                          <w:sz w:val="19"/>
                        </w:rPr>
                      </w:r>
                    </w:p>
                  </w:txbxContent>
                </v:textbox>
                <w10:wrap type="none"/>
              </v:shape>
              <v:shape style="position:absolute;left:505;top:677;width:671;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135,181</w:t>
                      </w:r>
                    </w:p>
                  </w:txbxContent>
                </v:textbox>
                <w10:wrap type="none"/>
              </v:shape>
              <v:shape style="position:absolute;left:1645;top:571;width:671;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160,999</w:t>
                      </w:r>
                    </w:p>
                  </w:txbxContent>
                </v:textbox>
                <w10:wrap type="none"/>
              </v:shape>
              <v:shape style="position:absolute;left:5084;top:1154;width:60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77.05%</w:t>
                      </w:r>
                      <w:r>
                        <w:rPr>
                          <w:rFonts w:ascii="Calibri"/>
                          <w:sz w:val="19"/>
                        </w:rPr>
                      </w:r>
                    </w:p>
                  </w:txbxContent>
                </v:textbox>
                <w10:wrap type="none"/>
              </v:shape>
              <v:shape style="position:absolute;left:6247;top:1125;width:60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77.79%</w:t>
                      </w:r>
                      <w:r>
                        <w:rPr>
                          <w:rFonts w:ascii="Calibri"/>
                          <w:sz w:val="19"/>
                        </w:rPr>
                      </w:r>
                    </w:p>
                  </w:txbxContent>
                </v:textbox>
                <w10:wrap type="none"/>
              </v:shape>
              <v:shape style="position:absolute;left:429;top:1375;width:60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55.99%</w:t>
                      </w:r>
                      <w:r>
                        <w:rPr>
                          <w:rFonts w:ascii="Calibri"/>
                          <w:sz w:val="19"/>
                        </w:rPr>
                      </w:r>
                    </w:p>
                  </w:txbxContent>
                </v:textbox>
                <w10:wrap type="none"/>
              </v:shape>
              <v:shape style="position:absolute;left:1593;top:1338;width:60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57.28%</w:t>
                      </w:r>
                      <w:r>
                        <w:rPr>
                          <w:rFonts w:ascii="Calibri"/>
                          <w:sz w:val="19"/>
                        </w:rPr>
                      </w:r>
                    </w:p>
                  </w:txbxContent>
                </v:textbox>
                <w10:wrap type="none"/>
              </v:shape>
              <v:shape style="position:absolute;left:2757;top:1301;width:60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60.48%</w:t>
                      </w:r>
                      <w:r>
                        <w:rPr>
                          <w:rFonts w:ascii="Calibri"/>
                          <w:sz w:val="19"/>
                        </w:rPr>
                      </w:r>
                    </w:p>
                  </w:txbxContent>
                </v:textbox>
                <w10:wrap type="none"/>
              </v:shape>
              <v:shape style="position:absolute;left:3920;top:1199;width:60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76.86%</w:t>
                      </w:r>
                      <w:r>
                        <w:rPr>
                          <w:rFonts w:ascii="Calibri"/>
                          <w:sz w:val="19"/>
                        </w:rPr>
                      </w:r>
                    </w:p>
                  </w:txbxContent>
                </v:textbox>
                <w10:wrap type="none"/>
              </v:shape>
            </v:group>
          </v:group>
        </w:pict>
      </w:r>
      <w:r>
        <w:rPr>
          <w:rFonts w:ascii="宋体" w:hAnsi="宋体" w:cs="宋体" w:eastAsia="宋体" w:hint="default"/>
          <w:position w:val="-35"/>
          <w:sz w:val="20"/>
          <w:szCs w:val="20"/>
        </w:rPr>
      </w:r>
    </w:p>
    <w:p>
      <w:pPr>
        <w:tabs>
          <w:tab w:pos="2435" w:val="left" w:leader="none"/>
          <w:tab w:pos="3598" w:val="left" w:leader="none"/>
          <w:tab w:pos="4762" w:val="left" w:leader="none"/>
          <w:tab w:pos="5926" w:val="left" w:leader="none"/>
          <w:tab w:pos="7089" w:val="left" w:leader="none"/>
        </w:tabs>
        <w:spacing w:before="37"/>
        <w:ind w:left="1271" w:right="1066" w:firstLine="0"/>
        <w:jc w:val="left"/>
        <w:rPr>
          <w:rFonts w:ascii="宋体" w:hAnsi="宋体" w:cs="宋体" w:eastAsia="宋体" w:hint="default"/>
          <w:sz w:val="19"/>
          <w:szCs w:val="19"/>
        </w:rPr>
      </w:pPr>
      <w:r>
        <w:rPr>
          <w:rFonts w:ascii="Calibri" w:hAnsi="Calibri" w:cs="Calibri" w:eastAsia="Calibri" w:hint="default"/>
          <w:spacing w:val="3"/>
          <w:sz w:val="19"/>
          <w:szCs w:val="19"/>
        </w:rPr>
        <w:t>2008</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2009</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2010</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2011</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2012</w:t>
      </w:r>
      <w:r>
        <w:rPr>
          <w:rFonts w:ascii="宋体" w:hAnsi="宋体" w:cs="宋体" w:eastAsia="宋体" w:hint="default"/>
          <w:spacing w:val="3"/>
          <w:sz w:val="19"/>
          <w:szCs w:val="19"/>
        </w:rPr>
        <w:t>年</w:t>
        <w:tab/>
      </w:r>
      <w:r>
        <w:rPr>
          <w:rFonts w:ascii="Calibri" w:hAnsi="Calibri" w:cs="Calibri" w:eastAsia="Calibri" w:hint="default"/>
          <w:spacing w:val="3"/>
          <w:w w:val="105"/>
          <w:sz w:val="19"/>
          <w:szCs w:val="19"/>
        </w:rPr>
        <w:t>2013</w:t>
      </w:r>
      <w:r>
        <w:rPr>
          <w:rFonts w:ascii="宋体" w:hAnsi="宋体" w:cs="宋体" w:eastAsia="宋体" w:hint="default"/>
          <w:spacing w:val="3"/>
          <w:w w:val="105"/>
          <w:sz w:val="19"/>
          <w:szCs w:val="19"/>
        </w:rPr>
        <w:t>年</w:t>
      </w:r>
      <w:r>
        <w:rPr>
          <w:rFonts w:ascii="宋体" w:hAnsi="宋体" w:cs="宋体" w:eastAsia="宋体" w:hint="default"/>
          <w:spacing w:val="3"/>
          <w:sz w:val="19"/>
          <w:szCs w:val="19"/>
        </w:rPr>
      </w:r>
    </w:p>
    <w:p>
      <w:pPr>
        <w:spacing w:line="240" w:lineRule="auto" w:before="5"/>
        <w:rPr>
          <w:rFonts w:ascii="宋体" w:hAnsi="宋体" w:cs="宋体" w:eastAsia="宋体" w:hint="default"/>
          <w:sz w:val="9"/>
          <w:szCs w:val="9"/>
        </w:rPr>
      </w:pPr>
    </w:p>
    <w:p>
      <w:pPr>
        <w:tabs>
          <w:tab w:pos="5712" w:val="left" w:leader="none"/>
        </w:tabs>
        <w:spacing w:before="46"/>
        <w:ind w:left="663" w:right="1066" w:firstLine="0"/>
        <w:jc w:val="left"/>
        <w:rPr>
          <w:rFonts w:ascii="Calibri" w:hAnsi="Calibri" w:cs="Calibri" w:eastAsia="Calibri" w:hint="default"/>
          <w:sz w:val="19"/>
          <w:szCs w:val="19"/>
        </w:rPr>
      </w:pPr>
      <w:r>
        <w:rPr/>
        <w:pict>
          <v:group style="position:absolute;margin-left:83.200912pt;margin-top:8.148702pt;width:5.25pt;height:5.25pt;mso-position-horizontal-relative:page;mso-position-vertical-relative:paragraph;z-index:-760744" coordorigin="1664,163" coordsize="105,105">
            <v:shape style="position:absolute;left:1664;top:163;width:105;height:105" coordorigin="1664,163" coordsize="105,105" path="m1664,267l1769,267,1769,163,1664,163,1664,267xe" filled="true" fillcolor="#4f81bc" stroked="false">
              <v:path arrowok="t"/>
              <v:fill type="solid"/>
            </v:shape>
            <w10:wrap type="none"/>
          </v:group>
        </w:pict>
      </w:r>
      <w:r>
        <w:rPr/>
        <w:pict>
          <v:group style="position:absolute;margin-left:334.793701pt;margin-top:8.148702pt;width:5.25pt;height:5.25pt;mso-position-horizontal-relative:page;mso-position-vertical-relative:paragraph;z-index:-760720" coordorigin="6696,163" coordsize="105,105">
            <v:shape style="position:absolute;left:6696;top:163;width:105;height:105" coordorigin="6696,163" coordsize="105,105" path="m6696,267l6801,267,6801,163,6696,163,6696,267xe" filled="true" fillcolor="#c0504d" stroked="false">
              <v:path arrowok="t"/>
              <v:fill type="solid"/>
            </v:shape>
            <w10:wrap type="none"/>
          </v:group>
        </w:pict>
      </w:r>
      <w:r>
        <w:rPr>
          <w:rFonts w:ascii="宋体" w:hAnsi="宋体" w:cs="宋体" w:eastAsia="宋体" w:hint="default"/>
          <w:sz w:val="19"/>
          <w:szCs w:val="19"/>
        </w:rPr>
        <w:t>公司百货零售占限额以上百货店</w:t>
      </w:r>
      <w:r>
        <w:rPr>
          <w:rFonts w:ascii="Calibri" w:hAnsi="Calibri" w:cs="Calibri" w:eastAsia="Calibri" w:hint="default"/>
          <w:sz w:val="19"/>
          <w:szCs w:val="19"/>
        </w:rPr>
        <w:t>/</w:t>
      </w:r>
      <w:r>
        <w:rPr>
          <w:rFonts w:ascii="宋体" w:hAnsi="宋体" w:cs="宋体" w:eastAsia="宋体" w:hint="default"/>
          <w:sz w:val="19"/>
          <w:szCs w:val="19"/>
        </w:rPr>
        <w:t>购物中心销售额比例</w:t>
        <w:tab/>
      </w:r>
      <w:r>
        <w:rPr>
          <w:rFonts w:ascii="宋体" w:hAnsi="宋体" w:cs="宋体" w:eastAsia="宋体" w:hint="default"/>
          <w:w w:val="105"/>
          <w:sz w:val="19"/>
          <w:szCs w:val="19"/>
        </w:rPr>
        <w:t>限额以上百货店</w:t>
      </w:r>
      <w:r>
        <w:rPr>
          <w:rFonts w:ascii="Calibri" w:hAnsi="Calibri" w:cs="Calibri" w:eastAsia="Calibri" w:hint="default"/>
          <w:w w:val="105"/>
          <w:sz w:val="19"/>
          <w:szCs w:val="19"/>
        </w:rPr>
        <w:t>/</w:t>
      </w:r>
      <w:r>
        <w:rPr>
          <w:rFonts w:ascii="宋体" w:hAnsi="宋体" w:cs="宋体" w:eastAsia="宋体" w:hint="default"/>
          <w:w w:val="105"/>
          <w:sz w:val="19"/>
          <w:szCs w:val="19"/>
        </w:rPr>
        <w:t>购物中心销售额</w:t>
      </w:r>
      <w:r>
        <w:rPr>
          <w:rFonts w:ascii="Calibri" w:hAnsi="Calibri" w:cs="Calibri" w:eastAsia="Calibri" w:hint="default"/>
          <w:w w:val="105"/>
          <w:sz w:val="19"/>
          <w:szCs w:val="19"/>
        </w:rPr>
        <w:t>(</w:t>
      </w:r>
      <w:r>
        <w:rPr>
          <w:rFonts w:ascii="宋体" w:hAnsi="宋体" w:cs="宋体" w:eastAsia="宋体" w:hint="default"/>
          <w:w w:val="105"/>
          <w:sz w:val="19"/>
          <w:szCs w:val="19"/>
        </w:rPr>
        <w:t>万元</w:t>
      </w:r>
      <w:r>
        <w:rPr>
          <w:rFonts w:ascii="Calibri" w:hAnsi="Calibri" w:cs="Calibri" w:eastAsia="Calibri" w:hint="default"/>
          <w:w w:val="105"/>
          <w:sz w:val="19"/>
          <w:szCs w:val="19"/>
        </w:rPr>
        <w:t>)</w:t>
      </w:r>
      <w:r>
        <w:rPr>
          <w:rFonts w:ascii="Calibri" w:hAnsi="Calibri" w:cs="Calibri" w:eastAsia="Calibri" w:hint="default"/>
          <w:sz w:val="19"/>
          <w:szCs w:val="19"/>
        </w:rPr>
      </w:r>
    </w:p>
    <w:p>
      <w:pPr>
        <w:spacing w:line="240" w:lineRule="auto" w:before="12"/>
        <w:rPr>
          <w:rFonts w:ascii="Calibri" w:hAnsi="Calibri" w:cs="Calibri" w:eastAsia="Calibri" w:hint="default"/>
          <w:sz w:val="19"/>
          <w:szCs w:val="19"/>
        </w:rPr>
      </w:pPr>
    </w:p>
    <w:p>
      <w:pPr>
        <w:pStyle w:val="BodyText"/>
        <w:spacing w:line="271" w:lineRule="auto" w:before="0"/>
        <w:ind w:left="144" w:right="1082" w:firstLine="420"/>
        <w:jc w:val="both"/>
      </w:pPr>
      <w:r>
        <w:rPr/>
        <w:t>五、公司主营之一智能信息传输，行业属于向企业公司、事业单位等客户提供有真实应用需求的移 动信息发送服务以及与之相关的系统开发与运营维护的信息服务业，由公司全资子公司创世漫道经营。 创世漫道业务资质齐全，拥有自主研发的核心技术，通过先进平台系统与中国移动、联通、电信三大运 </w:t>
      </w:r>
      <w:r>
        <w:rPr>
          <w:spacing w:val="-4"/>
        </w:rPr>
        <w:t>营商及客户群合作，依托网络空间为最终用户发送身份认证、提醒通知、信息确认等触发类短信、彩信。</w:t>
      </w:r>
      <w:r>
        <w:rPr>
          <w:spacing w:val="-65"/>
        </w:rPr>
        <w:t> </w:t>
      </w:r>
      <w:r>
        <w:rPr>
          <w:spacing w:val="-65"/>
        </w:rPr>
      </w:r>
      <w:r>
        <w:rPr/>
        <w:t>信息服务业一直是国家重点支持领域，面临的宏观环境、行业政策比较好。</w:t>
      </w:r>
    </w:p>
    <w:p>
      <w:pPr>
        <w:pStyle w:val="BodyText"/>
        <w:spacing w:line="273" w:lineRule="auto" w:before="41"/>
        <w:ind w:left="144" w:right="1148" w:firstLine="420"/>
        <w:jc w:val="both"/>
      </w:pPr>
      <w:r>
        <w:rPr/>
        <w:t>创世漫道拥有自己的研发团队和核心技术人员，是国内一家领先的移动信息智能传输服务提供商， 在《福布斯》中文杂志“</w:t>
      </w:r>
      <w:r>
        <w:rPr>
          <w:rFonts w:ascii="宋体" w:hAnsi="宋体" w:cs="宋体" w:eastAsia="宋体" w:hint="default"/>
        </w:rPr>
        <w:t>2014</w:t>
      </w:r>
      <w:r>
        <w:rPr>
          <w:rFonts w:ascii="宋体" w:hAnsi="宋体" w:cs="宋体" w:eastAsia="宋体" w:hint="default"/>
          <w:spacing w:val="-51"/>
        </w:rPr>
        <w:t> </w:t>
      </w:r>
      <w:r>
        <w:rPr/>
        <w:t>中国非上市潜力企业</w:t>
      </w:r>
      <w:r>
        <w:rPr>
          <w:spacing w:val="-52"/>
        </w:rPr>
        <w:t> </w:t>
      </w:r>
      <w:r>
        <w:rPr>
          <w:rFonts w:ascii="宋体" w:hAnsi="宋体" w:cs="宋体" w:eastAsia="宋体" w:hint="default"/>
        </w:rPr>
        <w:t>100</w:t>
      </w:r>
      <w:r>
        <w:rPr>
          <w:rFonts w:ascii="宋体" w:hAnsi="宋体" w:cs="宋体" w:eastAsia="宋体" w:hint="default"/>
          <w:spacing w:val="-52"/>
        </w:rPr>
        <w:t> </w:t>
      </w:r>
      <w:r>
        <w:rPr/>
        <w:t>强”名单中位列第</w:t>
      </w:r>
      <w:r>
        <w:rPr>
          <w:spacing w:val="-52"/>
        </w:rPr>
        <w:t> </w:t>
      </w:r>
      <w:r>
        <w:rPr>
          <w:rFonts w:ascii="宋体" w:hAnsi="宋体" w:cs="宋体" w:eastAsia="宋体" w:hint="default"/>
        </w:rPr>
        <w:t>22</w:t>
      </w:r>
      <w:r>
        <w:rPr>
          <w:rFonts w:ascii="宋体" w:hAnsi="宋体" w:cs="宋体" w:eastAsia="宋体" w:hint="default"/>
          <w:spacing w:val="-52"/>
        </w:rPr>
        <w:t> </w:t>
      </w:r>
      <w:r>
        <w:rPr/>
        <w:t>名，系国内唯一一家从事 </w:t>
      </w:r>
      <w:r>
        <w:rPr>
          <w:spacing w:val="-1"/>
        </w:rPr>
        <w:t>增值电信服务的上榜企业。自购买之日起至期末的一个月里，创世漫道实现营业收入、净利润占公司总</w:t>
      </w:r>
      <w:r>
        <w:rPr>
          <w:spacing w:val="-100"/>
        </w:rPr>
        <w:t> </w:t>
      </w:r>
      <w:r>
        <w:rPr>
          <w:spacing w:val="-100"/>
        </w:rPr>
      </w:r>
      <w:r>
        <w:rPr/>
        <w:t>的比例分别为</w:t>
      </w:r>
      <w:r>
        <w:rPr>
          <w:spacing w:val="-56"/>
        </w:rPr>
        <w:t> </w:t>
      </w:r>
      <w:r>
        <w:rPr>
          <w:rFonts w:ascii="宋体" w:hAnsi="宋体" w:cs="宋体" w:eastAsia="宋体" w:hint="default"/>
        </w:rPr>
        <w:t>2.35%</w:t>
      </w:r>
      <w:r>
        <w:rPr/>
        <w:t>和</w:t>
      </w:r>
      <w:r>
        <w:rPr>
          <w:spacing w:val="-57"/>
        </w:rPr>
        <w:t> </w:t>
      </w:r>
      <w:r>
        <w:rPr>
          <w:rFonts w:ascii="宋体" w:hAnsi="宋体" w:cs="宋体" w:eastAsia="宋体" w:hint="default"/>
        </w:rPr>
        <w:t>7.37%</w:t>
      </w:r>
      <w:r>
        <w:rPr/>
        <w:t>，未来将拓宽公司的收入、盈利来源并增强抗风险能力。</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right="1188" w:firstLine="420"/>
        <w:jc w:val="both"/>
      </w:pPr>
      <w:r>
        <w:rPr>
          <w:spacing w:val="-1"/>
        </w:rPr>
        <w:t>六、公司主营辅助业务以商业地产为主，行业属于开发向经营方出售、出租或自营的商业场所的房</w:t>
      </w:r>
      <w:r>
        <w:rPr/>
        <w:t> </w:t>
      </w:r>
      <w:r>
        <w:rPr>
          <w:spacing w:val="-1"/>
        </w:rPr>
        <w:t>地产。公司房地产主要由控股子公司安徽国润经营，位于当地城市的非中心区或新区，宏观环境面临城</w:t>
      </w:r>
      <w:r>
        <w:rPr>
          <w:spacing w:val="-102"/>
        </w:rPr>
        <w:t> </w:t>
      </w:r>
      <w:r>
        <w:rPr>
          <w:spacing w:val="-102"/>
        </w:rPr>
      </w:r>
      <w:r>
        <w:rPr>
          <w:spacing w:val="-1"/>
        </w:rPr>
        <w:t>市化进程加快的机遇，受到调控、银行借贷偏紧的行业政策影响，自身实力有限。报告期公司房地产的</w:t>
      </w:r>
      <w:r>
        <w:rPr>
          <w:spacing w:val="-100"/>
        </w:rPr>
        <w:t> </w:t>
      </w:r>
      <w:r>
        <w:rPr>
          <w:spacing w:val="-100"/>
        </w:rPr>
      </w:r>
      <w:r>
        <w:rPr>
          <w:spacing w:val="-1"/>
        </w:rPr>
        <w:t>收入、亏损对公司影响不大，未来的潜力在于产品开发由批发市场向商业综合体过渡进程中，整合商业</w:t>
      </w:r>
      <w:r>
        <w:rPr>
          <w:spacing w:val="-102"/>
        </w:rPr>
        <w:t> </w:t>
      </w:r>
      <w:r>
        <w:rPr>
          <w:spacing w:val="-102"/>
        </w:rPr>
      </w:r>
      <w:r>
        <w:rPr>
          <w:spacing w:val="-1"/>
        </w:rPr>
        <w:t>地产与商业零售的业务链条，做好产品规划设计开发工作，统筹销售、出租、自营业务，解决资金和营</w:t>
      </w:r>
      <w:r>
        <w:rPr/>
        <w:t> 运能力不足的问题，逐步释放资产效益，以呈现更好的业绩。</w:t>
      </w:r>
    </w:p>
    <w:p>
      <w:pPr>
        <w:spacing w:line="240" w:lineRule="auto" w:before="6"/>
        <w:rPr>
          <w:rFonts w:ascii="宋体" w:hAnsi="宋体" w:cs="宋体" w:eastAsia="宋体" w:hint="default"/>
          <w:sz w:val="24"/>
          <w:szCs w:val="24"/>
        </w:rPr>
      </w:pPr>
    </w:p>
    <w:p>
      <w:pPr>
        <w:pStyle w:val="Heading3"/>
        <w:tabs>
          <w:tab w:pos="4479" w:val="left" w:leader="none"/>
        </w:tabs>
        <w:spacing w:line="240" w:lineRule="auto" w:before="0"/>
        <w:ind w:left="3635" w:right="418"/>
        <w:jc w:val="left"/>
        <w:rPr>
          <w:b w:val="0"/>
          <w:bCs w:val="0"/>
        </w:rPr>
      </w:pPr>
      <w:r>
        <w:rPr>
          <w:w w:val="95"/>
        </w:rPr>
        <w:t>第一节</w:t>
        <w:tab/>
      </w:r>
      <w:r>
        <w:rPr/>
        <w:t>报告期内公司经营情况</w:t>
      </w:r>
      <w:r>
        <w:rPr>
          <w:b w:val="0"/>
          <w:bCs w:val="0"/>
        </w:rPr>
      </w:r>
    </w:p>
    <w:p>
      <w:pPr>
        <w:spacing w:line="240" w:lineRule="auto" w:before="9"/>
        <w:rPr>
          <w:rFonts w:ascii="宋体" w:hAnsi="宋体" w:cs="宋体" w:eastAsia="宋体" w:hint="default"/>
          <w:b/>
          <w:bCs/>
          <w:sz w:val="26"/>
          <w:szCs w:val="26"/>
        </w:rPr>
      </w:pPr>
    </w:p>
    <w:p>
      <w:pPr>
        <w:pStyle w:val="BodyText"/>
        <w:spacing w:line="273" w:lineRule="auto" w:before="0"/>
        <w:ind w:left="824" w:right="1175" w:firstLine="1"/>
        <w:jc w:val="left"/>
      </w:pPr>
      <w:r>
        <w:rPr/>
        <w:t>一、主营业务分析 </w:t>
      </w:r>
      <w:r>
        <w:rPr>
          <w:spacing w:val="-1"/>
        </w:rPr>
        <w:t>主营业务范围包括零售业、智能信息传输和房地产业。公司零售业以百货零售为主，智能信息传输</w:t>
      </w:r>
    </w:p>
    <w:p>
      <w:pPr>
        <w:pStyle w:val="BodyText"/>
        <w:spacing w:line="273" w:lineRule="auto"/>
        <w:ind w:left="824" w:right="1175" w:hanging="421"/>
        <w:jc w:val="left"/>
      </w:pPr>
      <w:r>
        <w:rPr/>
        <w:t>以发送触发类短信、彩信为主，房地产业以商业地产开发、出售及场地经营为主。 </w:t>
      </w:r>
      <w:r>
        <w:rPr>
          <w:spacing w:val="-1"/>
        </w:rPr>
        <w:t>报告期公司遵循发展战略，围绕消费者和市场需求，降低高端消费下滑影响，实现了以零售业百货</w:t>
      </w:r>
    </w:p>
    <w:p>
      <w:pPr>
        <w:pStyle w:val="BodyText"/>
        <w:spacing w:line="273" w:lineRule="auto"/>
        <w:ind w:left="824" w:right="1175" w:hanging="421"/>
        <w:jc w:val="left"/>
      </w:pPr>
      <w:r>
        <w:rPr/>
        <w:t>业务为主的营收和盈利的基本稳定。 </w:t>
      </w:r>
      <w:r>
        <w:rPr>
          <w:spacing w:val="-1"/>
        </w:rPr>
        <w:t>报告期公司的经营计划执行情况良好，虽然主业未能按照期初经营计划实现增长，百货零售同比减</w:t>
      </w:r>
    </w:p>
    <w:p>
      <w:pPr>
        <w:pStyle w:val="BodyText"/>
        <w:spacing w:line="273" w:lineRule="auto"/>
        <w:ind w:right="1187"/>
        <w:jc w:val="both"/>
      </w:pPr>
      <w:r>
        <w:rPr/>
        <w:t>收</w:t>
      </w:r>
      <w:r>
        <w:rPr>
          <w:spacing w:val="-48"/>
        </w:rPr>
        <w:t> </w:t>
      </w:r>
      <w:r>
        <w:rPr>
          <w:rFonts w:ascii="宋体" w:hAnsi="宋体" w:cs="宋体" w:eastAsia="宋体" w:hint="default"/>
        </w:rPr>
        <w:t>5,390.20</w:t>
      </w:r>
      <w:r>
        <w:rPr>
          <w:rFonts w:ascii="宋体" w:hAnsi="宋体" w:cs="宋体" w:eastAsia="宋体" w:hint="default"/>
          <w:spacing w:val="-48"/>
        </w:rPr>
        <w:t> </w:t>
      </w:r>
      <w:r>
        <w:rPr>
          <w:spacing w:val="-7"/>
        </w:rPr>
        <w:t>万元、降幅</w:t>
      </w:r>
      <w:r>
        <w:rPr>
          <w:spacing w:val="-48"/>
        </w:rPr>
        <w:t> </w:t>
      </w:r>
      <w:r>
        <w:rPr>
          <w:rFonts w:ascii="宋体" w:hAnsi="宋体" w:cs="宋体" w:eastAsia="宋体" w:hint="default"/>
          <w:spacing w:val="-3"/>
        </w:rPr>
        <w:t>3.15%</w:t>
      </w:r>
      <w:r>
        <w:rPr>
          <w:spacing w:val="-3"/>
        </w:rPr>
        <w:t>，但是在宏观经济新常态、各门店购物卡消费同比减少</w:t>
      </w:r>
      <w:r>
        <w:rPr>
          <w:spacing w:val="-47"/>
        </w:rPr>
        <w:t> </w:t>
      </w:r>
      <w:r>
        <w:rPr>
          <w:rFonts w:ascii="宋体" w:hAnsi="宋体" w:cs="宋体" w:eastAsia="宋体" w:hint="default"/>
        </w:rPr>
        <w:t>19,463</w:t>
      </w:r>
      <w:r>
        <w:rPr>
          <w:rFonts w:ascii="宋体" w:hAnsi="宋体" w:cs="宋体" w:eastAsia="宋体" w:hint="default"/>
          <w:spacing w:val="-48"/>
        </w:rPr>
        <w:t> </w:t>
      </w:r>
      <w:r>
        <w:rPr/>
        <w:t>万元</w:t>
      </w:r>
      <w:r>
        <w:rPr>
          <w:rFonts w:ascii="宋体" w:hAnsi="宋体" w:cs="宋体" w:eastAsia="宋体" w:hint="default"/>
        </w:rPr>
        <w:t>(</w:t>
      </w:r>
      <w:r>
        <w:rPr/>
        <w:t>降幅 </w:t>
      </w:r>
      <w:r>
        <w:rPr>
          <w:rFonts w:ascii="宋体" w:hAnsi="宋体" w:cs="宋体" w:eastAsia="宋体" w:hint="default"/>
        </w:rPr>
        <w:t>37.40%)</w:t>
      </w:r>
      <w:r>
        <w:rPr/>
        <w:t>的情况下，公司采取优化定位、品牌、品类、服务、促销及会员营销等措施，完成重大资产重</w:t>
      </w:r>
      <w:r>
        <w:rPr>
          <w:spacing w:val="-43"/>
        </w:rPr>
        <w:t> </w:t>
      </w:r>
      <w:r>
        <w:rPr>
          <w:spacing w:val="-43"/>
        </w:rPr>
      </w:r>
      <w:r>
        <w:rPr>
          <w:spacing w:val="-1"/>
        </w:rPr>
        <w:t>组，缩小了主营业务收入的降幅。报告期公司门店租金有所上升，控制期间费用，营业总成本同比减少</w:t>
      </w:r>
      <w:r>
        <w:rPr>
          <w:spacing w:val="-100"/>
        </w:rPr>
        <w:t> </w:t>
      </w:r>
      <w:r>
        <w:rPr>
          <w:spacing w:val="-100"/>
        </w:rPr>
      </w:r>
      <w:r>
        <w:rPr>
          <w:rFonts w:ascii="宋体" w:hAnsi="宋体" w:cs="宋体" w:eastAsia="宋体" w:hint="default"/>
        </w:rPr>
        <w:t>18,612.18</w:t>
      </w:r>
      <w:r>
        <w:rPr>
          <w:rFonts w:ascii="宋体" w:hAnsi="宋体" w:cs="宋体" w:eastAsia="宋体" w:hint="default"/>
          <w:spacing w:val="-60"/>
        </w:rPr>
        <w:t> </w:t>
      </w:r>
      <w:r>
        <w:rPr>
          <w:spacing w:val="-3"/>
        </w:rPr>
        <w:t>万元，降幅</w:t>
      </w:r>
      <w:r>
        <w:rPr>
          <w:spacing w:val="-61"/>
        </w:rPr>
        <w:t> </w:t>
      </w:r>
      <w:r>
        <w:rPr>
          <w:rFonts w:ascii="宋体" w:hAnsi="宋体" w:cs="宋体" w:eastAsia="宋体" w:hint="default"/>
        </w:rPr>
        <w:t>9.50%</w:t>
      </w:r>
      <w:r>
        <w:rPr/>
        <w:t>较总营收降幅</w:t>
      </w:r>
      <w:r>
        <w:rPr>
          <w:spacing w:val="-60"/>
        </w:rPr>
        <w:t> </w:t>
      </w:r>
      <w:r>
        <w:rPr>
          <w:rFonts w:ascii="宋体" w:hAnsi="宋体" w:cs="宋体" w:eastAsia="宋体" w:hint="default"/>
        </w:rPr>
        <w:t>8.85%</w:t>
      </w:r>
      <w:r>
        <w:rPr/>
        <w:t>、百货零售降幅</w:t>
      </w:r>
      <w:r>
        <w:rPr>
          <w:spacing w:val="-61"/>
        </w:rPr>
        <w:t> </w:t>
      </w:r>
      <w:r>
        <w:rPr>
          <w:rFonts w:ascii="宋体" w:hAnsi="宋体" w:cs="宋体" w:eastAsia="宋体" w:hint="default"/>
        </w:rPr>
        <w:t>3.15%</w:t>
      </w:r>
      <w:r>
        <w:rPr/>
        <w:t>大，报告期公司成本、费用增减 变动幅度在合理范围。</w:t>
      </w:r>
    </w:p>
    <w:p>
      <w:pPr>
        <w:pStyle w:val="BodyText"/>
        <w:spacing w:line="273" w:lineRule="auto"/>
        <w:ind w:right="1188" w:firstLine="420"/>
        <w:jc w:val="both"/>
      </w:pPr>
      <w:r>
        <w:rPr/>
        <w:t>因 </w:t>
      </w:r>
      <w:r>
        <w:rPr>
          <w:rFonts w:ascii="宋体" w:hAnsi="宋体" w:cs="宋体" w:eastAsia="宋体" w:hint="default"/>
        </w:rPr>
        <w:t>2014</w:t>
      </w:r>
      <w:r>
        <w:rPr>
          <w:rFonts w:ascii="宋体" w:hAnsi="宋体" w:cs="宋体" w:eastAsia="宋体" w:hint="default"/>
          <w:spacing w:val="-41"/>
        </w:rPr>
        <w:t> </w:t>
      </w:r>
      <w:r>
        <w:rPr/>
        <w:t>年重组系非同一控制下合并，重组资产创世漫道自购买之日起至期末的一个月里实现净利 润</w:t>
      </w:r>
      <w:r>
        <w:rPr>
          <w:spacing w:val="-55"/>
        </w:rPr>
        <w:t> </w:t>
      </w:r>
      <w:r>
        <w:rPr>
          <w:rFonts w:ascii="宋体" w:hAnsi="宋体" w:cs="宋体" w:eastAsia="宋体" w:hint="default"/>
        </w:rPr>
        <w:t>727.41</w:t>
      </w:r>
      <w:r>
        <w:rPr>
          <w:rFonts w:ascii="宋体" w:hAnsi="宋体" w:cs="宋体" w:eastAsia="宋体" w:hint="default"/>
          <w:spacing w:val="-54"/>
        </w:rPr>
        <w:t> </w:t>
      </w:r>
      <w:r>
        <w:rPr/>
        <w:t>占公司总的比例为</w:t>
      </w:r>
      <w:r>
        <w:rPr>
          <w:spacing w:val="-55"/>
        </w:rPr>
        <w:t> </w:t>
      </w:r>
      <w:r>
        <w:rPr>
          <w:rFonts w:ascii="宋体" w:hAnsi="宋体" w:cs="宋体" w:eastAsia="宋体" w:hint="default"/>
        </w:rPr>
        <w:t>7.37%</w:t>
      </w:r>
      <w:r>
        <w:rPr/>
        <w:t>，报告期公司利润构成或来源没有发生重大变动。</w:t>
      </w:r>
    </w:p>
    <w:p>
      <w:pPr>
        <w:pStyle w:val="BodyText"/>
        <w:spacing w:line="273" w:lineRule="auto" w:before="8"/>
        <w:ind w:right="1188" w:firstLine="420"/>
        <w:jc w:val="both"/>
      </w:pPr>
      <w:r>
        <w:rPr>
          <w:spacing w:val="-1"/>
        </w:rPr>
        <w:t>主要经营模式的变化情况。报告期内公司主要经营模式</w:t>
      </w:r>
      <w:r>
        <w:rPr>
          <w:rFonts w:ascii="宋体" w:hAnsi="宋体" w:cs="宋体" w:eastAsia="宋体" w:hint="default"/>
          <w:spacing w:val="-1"/>
        </w:rPr>
        <w:t>(</w:t>
      </w:r>
      <w:r>
        <w:rPr>
          <w:spacing w:val="-1"/>
        </w:rPr>
        <w:t>包括采购模式、生产模式和销售模式</w:t>
      </w:r>
      <w:r>
        <w:rPr>
          <w:rFonts w:ascii="宋体" w:hAnsi="宋体" w:cs="宋体" w:eastAsia="宋体" w:hint="default"/>
          <w:spacing w:val="-1"/>
        </w:rPr>
        <w:t>)</w:t>
      </w:r>
      <w:r>
        <w:rPr>
          <w:spacing w:val="-1"/>
        </w:rPr>
        <w:t>没有</w:t>
      </w:r>
      <w:r>
        <w:rPr/>
        <w:t> 发生重大变化。</w:t>
      </w:r>
    </w:p>
    <w:p>
      <w:pPr>
        <w:pStyle w:val="BodyText"/>
        <w:spacing w:line="240" w:lineRule="auto" w:before="163"/>
        <w:ind w:left="824" w:right="41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报告期公司营业收入及同比变动情况及原因列示如下</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89"/>
        <w:gridCol w:w="1339"/>
        <w:gridCol w:w="1727"/>
        <w:gridCol w:w="1675"/>
        <w:gridCol w:w="851"/>
        <w:gridCol w:w="3544"/>
      </w:tblGrid>
      <w:tr>
        <w:trPr>
          <w:trHeight w:val="634"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8" w:right="208"/>
              <w:jc w:val="left"/>
              <w:rPr>
                <w:rFonts w:ascii="宋体" w:hAnsi="宋体" w:cs="宋体" w:eastAsia="宋体" w:hint="default"/>
                <w:sz w:val="18"/>
                <w:szCs w:val="18"/>
              </w:rPr>
            </w:pPr>
            <w:r>
              <w:rPr>
                <w:rFonts w:ascii="宋体" w:hAnsi="宋体" w:cs="宋体" w:eastAsia="宋体" w:hint="default"/>
                <w:sz w:val="18"/>
                <w:szCs w:val="18"/>
              </w:rPr>
              <w:t>行业 分类</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营收项目</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4" w:right="150" w:hanging="46"/>
              <w:jc w:val="left"/>
              <w:rPr>
                <w:rFonts w:ascii="宋体" w:hAnsi="宋体" w:cs="宋体" w:eastAsia="宋体" w:hint="default"/>
                <w:sz w:val="18"/>
                <w:szCs w:val="18"/>
              </w:rPr>
            </w:pPr>
            <w:r>
              <w:rPr>
                <w:rFonts w:ascii="宋体" w:hAnsi="宋体" w:cs="宋体" w:eastAsia="宋体" w:hint="default"/>
                <w:sz w:val="18"/>
                <w:szCs w:val="18"/>
              </w:rPr>
              <w:t>同比增 减</w:t>
            </w:r>
            <w:r>
              <w:rPr>
                <w:rFonts w:ascii="宋体" w:hAnsi="宋体" w:cs="宋体" w:eastAsia="宋体" w:hint="default"/>
                <w:sz w:val="18"/>
                <w:szCs w:val="18"/>
              </w:rPr>
              <w:t>(%)</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6" w:right="0"/>
              <w:jc w:val="left"/>
              <w:rPr>
                <w:rFonts w:ascii="宋体" w:hAnsi="宋体" w:cs="宋体" w:eastAsia="宋体" w:hint="default"/>
                <w:sz w:val="18"/>
                <w:szCs w:val="18"/>
              </w:rPr>
            </w:pPr>
            <w:r>
              <w:rPr>
                <w:rFonts w:ascii="宋体" w:hAnsi="宋体" w:cs="宋体" w:eastAsia="宋体" w:hint="default"/>
                <w:sz w:val="18"/>
                <w:szCs w:val="18"/>
              </w:rPr>
              <w:t>同比变动情况及原因</w:t>
            </w:r>
          </w:p>
        </w:tc>
      </w:tr>
      <w:tr>
        <w:trPr>
          <w:trHeight w:val="552" w:hRule="exact"/>
        </w:trPr>
        <w:tc>
          <w:tcPr>
            <w:tcW w:w="7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百货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1,659,437,322.08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1,713,339,328.77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-3.15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02"/>
              <w:jc w:val="left"/>
              <w:rPr>
                <w:rFonts w:ascii="宋体" w:hAnsi="宋体" w:cs="宋体" w:eastAsia="宋体" w:hint="default"/>
                <w:sz w:val="18"/>
                <w:szCs w:val="18"/>
              </w:rPr>
            </w:pPr>
            <w:r>
              <w:rPr>
                <w:rFonts w:ascii="宋体" w:hAnsi="宋体" w:cs="宋体" w:eastAsia="宋体" w:hint="default"/>
                <w:sz w:val="18"/>
                <w:szCs w:val="18"/>
              </w:rPr>
              <w:t>百货零售同比减收</w:t>
            </w:r>
            <w:r>
              <w:rPr>
                <w:rFonts w:ascii="宋体" w:hAnsi="宋体" w:cs="宋体" w:eastAsia="宋体" w:hint="default"/>
                <w:spacing w:val="-47"/>
                <w:sz w:val="18"/>
                <w:szCs w:val="18"/>
              </w:rPr>
              <w:t> </w:t>
            </w:r>
            <w:r>
              <w:rPr>
                <w:rFonts w:ascii="宋体" w:hAnsi="宋体" w:cs="宋体" w:eastAsia="宋体" w:hint="default"/>
                <w:sz w:val="18"/>
                <w:szCs w:val="18"/>
              </w:rPr>
              <w:t>5,390.20</w:t>
            </w:r>
            <w:r>
              <w:rPr>
                <w:rFonts w:ascii="宋体" w:hAnsi="宋体" w:cs="宋体" w:eastAsia="宋体" w:hint="default"/>
                <w:spacing w:val="-47"/>
                <w:sz w:val="18"/>
                <w:szCs w:val="18"/>
              </w:rPr>
              <w:t> </w:t>
            </w:r>
            <w:r>
              <w:rPr>
                <w:rFonts w:ascii="宋体" w:hAnsi="宋体" w:cs="宋体" w:eastAsia="宋体" w:hint="default"/>
                <w:sz w:val="18"/>
                <w:szCs w:val="18"/>
              </w:rPr>
              <w:t>万元是受市场 平淡、高端消费下降影响。</w:t>
            </w:r>
          </w:p>
        </w:tc>
      </w:tr>
      <w:tr>
        <w:trPr>
          <w:trHeight w:val="476" w:hRule="exact"/>
        </w:trPr>
        <w:tc>
          <w:tcPr>
            <w:tcW w:w="789" w:type="dxa"/>
            <w:vMerge/>
            <w:tcBorders>
              <w:left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超市</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46,495,879.24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92,484,698.71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-49.73</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超市同比减收</w:t>
            </w:r>
            <w:r>
              <w:rPr>
                <w:rFonts w:ascii="宋体" w:hAnsi="宋体" w:cs="宋体" w:eastAsia="宋体" w:hint="default"/>
                <w:spacing w:val="-47"/>
                <w:sz w:val="18"/>
                <w:szCs w:val="18"/>
              </w:rPr>
              <w:t> </w:t>
            </w:r>
            <w:r>
              <w:rPr>
                <w:rFonts w:ascii="宋体" w:hAnsi="宋体" w:cs="宋体" w:eastAsia="宋体" w:hint="default"/>
                <w:sz w:val="18"/>
                <w:szCs w:val="18"/>
              </w:rPr>
              <w:t>4,598.88</w:t>
            </w:r>
            <w:r>
              <w:rPr>
                <w:rFonts w:ascii="宋体" w:hAnsi="宋体" w:cs="宋体" w:eastAsia="宋体" w:hint="default"/>
                <w:spacing w:val="-47"/>
                <w:sz w:val="18"/>
                <w:szCs w:val="18"/>
              </w:rPr>
              <w:t> </w:t>
            </w:r>
            <w:r>
              <w:rPr>
                <w:rFonts w:ascii="宋体" w:hAnsi="宋体" w:cs="宋体" w:eastAsia="宋体" w:hint="default"/>
                <w:sz w:val="18"/>
                <w:szCs w:val="18"/>
              </w:rPr>
              <w:t>万元是报告期内有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个月处于闭店改造状态所致。</w:t>
            </w:r>
          </w:p>
        </w:tc>
      </w:tr>
      <w:tr>
        <w:trPr>
          <w:trHeight w:val="503" w:hRule="exact"/>
        </w:trPr>
        <w:tc>
          <w:tcPr>
            <w:tcW w:w="789"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家居</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26,122,093.53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29,518,780.57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-11.51</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02"/>
              <w:jc w:val="left"/>
              <w:rPr>
                <w:rFonts w:ascii="宋体" w:hAnsi="宋体" w:cs="宋体" w:eastAsia="宋体" w:hint="default"/>
                <w:sz w:val="18"/>
                <w:szCs w:val="18"/>
              </w:rPr>
            </w:pPr>
            <w:r>
              <w:rPr>
                <w:rFonts w:ascii="宋体" w:hAnsi="宋体" w:cs="宋体" w:eastAsia="宋体" w:hint="default"/>
                <w:sz w:val="18"/>
                <w:szCs w:val="18"/>
              </w:rPr>
              <w:t>家居同比减收</w:t>
            </w:r>
            <w:r>
              <w:rPr>
                <w:rFonts w:ascii="宋体" w:hAnsi="宋体" w:cs="宋体" w:eastAsia="宋体" w:hint="default"/>
                <w:spacing w:val="-47"/>
                <w:sz w:val="18"/>
                <w:szCs w:val="18"/>
              </w:rPr>
              <w:t> </w:t>
            </w:r>
            <w:r>
              <w:rPr>
                <w:rFonts w:ascii="宋体" w:hAnsi="宋体" w:cs="宋体" w:eastAsia="宋体" w:hint="default"/>
                <w:sz w:val="18"/>
                <w:szCs w:val="18"/>
              </w:rPr>
              <w:t>339.67</w:t>
            </w:r>
            <w:r>
              <w:rPr>
                <w:rFonts w:ascii="宋体" w:hAnsi="宋体" w:cs="宋体" w:eastAsia="宋体" w:hint="default"/>
                <w:spacing w:val="-47"/>
                <w:sz w:val="18"/>
                <w:szCs w:val="18"/>
              </w:rPr>
              <w:t> </w:t>
            </w:r>
            <w:r>
              <w:rPr>
                <w:rFonts w:ascii="宋体" w:hAnsi="宋体" w:cs="宋体" w:eastAsia="宋体" w:hint="default"/>
                <w:sz w:val="18"/>
                <w:szCs w:val="18"/>
              </w:rPr>
              <w:t>万元是受住宅市场消 费平淡影响。</w:t>
            </w:r>
          </w:p>
        </w:tc>
      </w:tr>
      <w:tr>
        <w:trPr>
          <w:trHeight w:val="485"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信息传</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输</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z w:val="18"/>
                <w:szCs w:val="18"/>
              </w:rPr>
              <w:t>(</w:t>
            </w:r>
            <w:r>
              <w:rPr>
                <w:rFonts w:ascii="宋体" w:hAnsi="宋体" w:cs="宋体" w:eastAsia="宋体" w:hint="default"/>
                <w:sz w:val="18"/>
                <w:szCs w:val="18"/>
              </w:rPr>
              <w:t>彩</w:t>
            </w:r>
            <w:r>
              <w:rPr>
                <w:rFonts w:ascii="宋体" w:hAnsi="宋体" w:cs="宋体" w:eastAsia="宋体" w:hint="default"/>
                <w:sz w:val="18"/>
                <w:szCs w:val="18"/>
              </w:rPr>
              <w:t>)</w:t>
            </w:r>
            <w:r>
              <w:rPr>
                <w:rFonts w:ascii="宋体" w:hAnsi="宋体" w:cs="宋体" w:eastAsia="宋体" w:hint="default"/>
                <w:sz w:val="18"/>
                <w:szCs w:val="18"/>
              </w:rPr>
              <w:t>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45,201,924.24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年未合并，有关情况见本表说明。</w:t>
            </w:r>
          </w:p>
        </w:tc>
      </w:tr>
      <w:tr>
        <w:trPr>
          <w:trHeight w:val="568" w:hRule="exact"/>
        </w:trPr>
        <w:tc>
          <w:tcPr>
            <w:tcW w:w="7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商铺销售</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61,658,619.10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39,959,051.00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54.30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2"/>
              <w:jc w:val="left"/>
              <w:rPr>
                <w:rFonts w:ascii="宋体" w:hAnsi="宋体" w:cs="宋体" w:eastAsia="宋体" w:hint="default"/>
                <w:sz w:val="18"/>
                <w:szCs w:val="18"/>
              </w:rPr>
            </w:pPr>
            <w:r>
              <w:rPr>
                <w:rFonts w:ascii="宋体" w:hAnsi="宋体" w:cs="宋体" w:eastAsia="宋体" w:hint="default"/>
                <w:sz w:val="18"/>
                <w:szCs w:val="18"/>
              </w:rPr>
              <w:t>商铺销售同比增收</w:t>
            </w:r>
            <w:r>
              <w:rPr>
                <w:rFonts w:ascii="宋体" w:hAnsi="宋体" w:cs="宋体" w:eastAsia="宋体" w:hint="default"/>
                <w:spacing w:val="-47"/>
                <w:sz w:val="18"/>
                <w:szCs w:val="18"/>
              </w:rPr>
              <w:t> </w:t>
            </w:r>
            <w:r>
              <w:rPr>
                <w:rFonts w:ascii="宋体" w:hAnsi="宋体" w:cs="宋体" w:eastAsia="宋体" w:hint="default"/>
                <w:sz w:val="18"/>
                <w:szCs w:val="18"/>
              </w:rPr>
              <w:t>2,169.96</w:t>
            </w:r>
            <w:r>
              <w:rPr>
                <w:rFonts w:ascii="宋体" w:hAnsi="宋体" w:cs="宋体" w:eastAsia="宋体" w:hint="default"/>
                <w:spacing w:val="-47"/>
                <w:sz w:val="18"/>
                <w:szCs w:val="18"/>
              </w:rPr>
              <w:t> </w:t>
            </w:r>
            <w:r>
              <w:rPr>
                <w:rFonts w:ascii="宋体" w:hAnsi="宋体" w:cs="宋体" w:eastAsia="宋体" w:hint="default"/>
                <w:sz w:val="18"/>
                <w:szCs w:val="18"/>
              </w:rPr>
              <w:t>万元是商铺消 化存量、新盘促销所致。</w:t>
            </w:r>
          </w:p>
        </w:tc>
      </w:tr>
      <w:tr>
        <w:trPr>
          <w:trHeight w:val="516" w:hRule="exact"/>
        </w:trPr>
        <w:tc>
          <w:tcPr>
            <w:tcW w:w="789"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出租场地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45,124,601.23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42,609,305.57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5.90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3" w:right="102"/>
              <w:jc w:val="left"/>
              <w:rPr>
                <w:rFonts w:ascii="宋体" w:hAnsi="宋体" w:cs="宋体" w:eastAsia="宋体" w:hint="default"/>
                <w:sz w:val="18"/>
                <w:szCs w:val="18"/>
              </w:rPr>
            </w:pPr>
            <w:r>
              <w:rPr>
                <w:rFonts w:ascii="宋体" w:hAnsi="宋体" w:cs="宋体" w:eastAsia="宋体" w:hint="default"/>
                <w:sz w:val="18"/>
                <w:szCs w:val="18"/>
              </w:rPr>
              <w:t>出租同比增收</w:t>
            </w:r>
            <w:r>
              <w:rPr>
                <w:rFonts w:ascii="宋体" w:hAnsi="宋体" w:cs="宋体" w:eastAsia="宋体" w:hint="default"/>
                <w:spacing w:val="-47"/>
                <w:sz w:val="18"/>
                <w:szCs w:val="18"/>
              </w:rPr>
              <w:t> </w:t>
            </w:r>
            <w:r>
              <w:rPr>
                <w:rFonts w:ascii="宋体" w:hAnsi="宋体" w:cs="宋体" w:eastAsia="宋体" w:hint="default"/>
                <w:sz w:val="18"/>
                <w:szCs w:val="18"/>
              </w:rPr>
              <w:t>251.53</w:t>
            </w:r>
            <w:r>
              <w:rPr>
                <w:rFonts w:ascii="宋体" w:hAnsi="宋体" w:cs="宋体" w:eastAsia="宋体" w:hint="default"/>
                <w:spacing w:val="-47"/>
                <w:sz w:val="18"/>
                <w:szCs w:val="18"/>
              </w:rPr>
              <w:t> </w:t>
            </w:r>
            <w:r>
              <w:rPr>
                <w:rFonts w:ascii="宋体" w:hAnsi="宋体" w:cs="宋体" w:eastAsia="宋体" w:hint="default"/>
                <w:sz w:val="18"/>
                <w:szCs w:val="18"/>
              </w:rPr>
              <w:t>万元是相关业务有所 增加及调整租金所致。</w:t>
            </w:r>
          </w:p>
        </w:tc>
      </w:tr>
      <w:tr>
        <w:trPr>
          <w:trHeight w:val="710"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9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年重组，报告期公司增加了信息传输及相关业务服务，该项服务本期增加公司净利润</w:t>
            </w:r>
            <w:r>
              <w:rPr>
                <w:rFonts w:ascii="宋体" w:hAnsi="宋体" w:cs="宋体" w:eastAsia="宋体" w:hint="default"/>
                <w:spacing w:val="-60"/>
                <w:sz w:val="18"/>
                <w:szCs w:val="18"/>
              </w:rPr>
              <w:t> </w:t>
            </w:r>
            <w:r>
              <w:rPr>
                <w:rFonts w:ascii="宋体" w:hAnsi="宋体" w:cs="宋体" w:eastAsia="宋体" w:hint="default"/>
                <w:sz w:val="18"/>
                <w:szCs w:val="18"/>
              </w:rPr>
              <w:t>727.41</w:t>
            </w:r>
            <w:r>
              <w:rPr>
                <w:rFonts w:ascii="宋体" w:hAnsi="宋体" w:cs="宋体" w:eastAsia="宋体" w:hint="default"/>
                <w:spacing w:val="-60"/>
                <w:sz w:val="18"/>
                <w:szCs w:val="18"/>
              </w:rPr>
              <w:t> </w:t>
            </w:r>
            <w:r>
              <w:rPr>
                <w:rFonts w:ascii="宋体" w:hAnsi="宋体" w:cs="宋体" w:eastAsia="宋体" w:hint="default"/>
                <w:spacing w:val="-5"/>
                <w:sz w:val="18"/>
                <w:szCs w:val="18"/>
              </w:rPr>
              <w:t>万元。上述信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息传输列示的</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营收是相应</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月份一个月的收入。信息传输</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年的营收分别为</w:t>
            </w:r>
            <w:r>
              <w:rPr>
                <w:rFonts w:ascii="宋体" w:hAnsi="宋体" w:cs="宋体" w:eastAsia="宋体" w:hint="default"/>
                <w:spacing w:val="-48"/>
                <w:sz w:val="18"/>
                <w:szCs w:val="18"/>
              </w:rPr>
              <w:t> </w:t>
            </w:r>
            <w:r>
              <w:rPr>
                <w:rFonts w:ascii="宋体" w:hAnsi="宋体" w:cs="宋体" w:eastAsia="宋体" w:hint="default"/>
                <w:sz w:val="18"/>
                <w:szCs w:val="18"/>
              </w:rPr>
              <w:t>32,326.20</w:t>
            </w:r>
            <w:r>
              <w:rPr>
                <w:rFonts w:ascii="宋体" w:hAnsi="宋体" w:cs="宋体" w:eastAsia="宋体" w:hint="default"/>
                <w:spacing w:val="-48"/>
                <w:sz w:val="18"/>
                <w:szCs w:val="18"/>
              </w:rPr>
              <w:t> </w:t>
            </w:r>
            <w:r>
              <w:rPr>
                <w:rFonts w:ascii="宋体" w:hAnsi="宋体" w:cs="宋体" w:eastAsia="宋体" w:hint="default"/>
                <w:sz w:val="18"/>
                <w:szCs w:val="18"/>
              </w:rPr>
              <w:t>万元和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26,066.49</w:t>
            </w:r>
            <w:r>
              <w:rPr>
                <w:rFonts w:ascii="宋体" w:hAnsi="宋体" w:cs="宋体" w:eastAsia="宋体" w:hint="default"/>
                <w:spacing w:val="-46"/>
                <w:sz w:val="18"/>
                <w:szCs w:val="18"/>
              </w:rPr>
              <w:t> </w:t>
            </w:r>
            <w:r>
              <w:rPr>
                <w:rFonts w:ascii="宋体" w:hAnsi="宋体" w:cs="宋体" w:eastAsia="宋体" w:hint="default"/>
                <w:sz w:val="18"/>
                <w:szCs w:val="18"/>
              </w:rPr>
              <w:t>万元，增收</w:t>
            </w:r>
            <w:r>
              <w:rPr>
                <w:rFonts w:ascii="宋体" w:hAnsi="宋体" w:cs="宋体" w:eastAsia="宋体" w:hint="default"/>
                <w:spacing w:val="-46"/>
                <w:sz w:val="18"/>
                <w:szCs w:val="18"/>
              </w:rPr>
              <w:t> </w:t>
            </w:r>
            <w:r>
              <w:rPr>
                <w:rFonts w:ascii="宋体" w:hAnsi="宋体" w:cs="宋体" w:eastAsia="宋体" w:hint="default"/>
                <w:sz w:val="18"/>
                <w:szCs w:val="18"/>
              </w:rPr>
              <w:t>6,259.71</w:t>
            </w:r>
            <w:r>
              <w:rPr>
                <w:rFonts w:ascii="宋体" w:hAnsi="宋体" w:cs="宋体" w:eastAsia="宋体" w:hint="default"/>
                <w:spacing w:val="-46"/>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宋体" w:hAnsi="宋体" w:cs="宋体" w:eastAsia="宋体" w:hint="default"/>
                <w:sz w:val="18"/>
                <w:szCs w:val="18"/>
              </w:rPr>
              <w:t>24.01%</w:t>
            </w:r>
            <w:r>
              <w:rPr>
                <w:rFonts w:ascii="宋体" w:hAnsi="宋体" w:cs="宋体" w:eastAsia="宋体" w:hint="default"/>
                <w:sz w:val="18"/>
                <w:szCs w:val="18"/>
              </w:rPr>
              <w:t>，是电商客户业务增长及拓展业务所致。</w:t>
            </w:r>
          </w:p>
        </w:tc>
      </w:tr>
    </w:tbl>
    <w:p>
      <w:pPr>
        <w:spacing w:line="240" w:lineRule="auto" w:before="1"/>
        <w:rPr>
          <w:rFonts w:ascii="宋体" w:hAnsi="宋体" w:cs="宋体" w:eastAsia="宋体" w:hint="default"/>
          <w:sz w:val="20"/>
          <w:szCs w:val="20"/>
        </w:rPr>
      </w:pPr>
    </w:p>
    <w:p>
      <w:pPr>
        <w:pStyle w:val="BodyText"/>
        <w:spacing w:line="240" w:lineRule="auto" w:before="35"/>
        <w:ind w:left="826" w:right="5945"/>
        <w:jc w:val="left"/>
      </w:pPr>
      <w:r>
        <w:rPr/>
        <w:t>公司主要销售客户情况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543"/>
        <w:gridCol w:w="5382"/>
      </w:tblGrid>
      <w:tr>
        <w:trPr>
          <w:trHeight w:val="323"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31,854,354.88</w:t>
            </w:r>
          </w:p>
        </w:tc>
      </w:tr>
      <w:tr>
        <w:trPr>
          <w:trHeight w:val="322"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1.66</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left="824" w:right="418"/>
        <w:jc w:val="left"/>
      </w:pPr>
      <w:r>
        <w:rPr/>
        <w:t>公司前</w:t>
      </w:r>
      <w:r>
        <w:rPr>
          <w:spacing w:val="-56"/>
        </w:rPr>
        <w:t> </w:t>
      </w:r>
      <w:r>
        <w:rPr>
          <w:rFonts w:ascii="宋体" w:hAnsi="宋体" w:cs="宋体" w:eastAsia="宋体" w:hint="default"/>
        </w:rPr>
        <w:t>5</w:t>
      </w:r>
      <w:r>
        <w:rPr>
          <w:rFonts w:ascii="宋体" w:hAnsi="宋体" w:cs="宋体" w:eastAsia="宋体" w:hint="default"/>
          <w:spacing w:val="-55"/>
        </w:rPr>
        <w:t> </w:t>
      </w:r>
      <w:r>
        <w:rPr/>
        <w:t>名客户</w:t>
      </w:r>
      <w:r>
        <w:rPr>
          <w:rFonts w:ascii="宋体" w:hAnsi="宋体" w:cs="宋体" w:eastAsia="宋体" w:hint="default"/>
        </w:rPr>
        <w:t>(</w:t>
      </w:r>
      <w:r>
        <w:rPr/>
        <w:t>不存在同一实际控制人控制的客户</w:t>
      </w:r>
      <w:r>
        <w:rPr>
          <w:rFonts w:ascii="宋体" w:hAnsi="宋体" w:cs="宋体" w:eastAsia="宋体" w:hint="default"/>
        </w:rPr>
        <w:t>)</w:t>
      </w:r>
      <w:r>
        <w:rPr/>
        <w:t>资料见下表</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78"/>
        <w:gridCol w:w="4252"/>
        <w:gridCol w:w="4395"/>
      </w:tblGrid>
      <w:tr>
        <w:trPr>
          <w:trHeight w:val="40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销售额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5" w:right="0"/>
              <w:jc w:val="left"/>
              <w:rPr>
                <w:rFonts w:ascii="宋体" w:hAnsi="宋体" w:cs="宋体" w:eastAsia="宋体" w:hint="default"/>
                <w:sz w:val="18"/>
                <w:szCs w:val="18"/>
              </w:rPr>
            </w:pPr>
            <w:r>
              <w:rPr>
                <w:rFonts w:ascii="宋体" w:hAnsi="宋体" w:cs="宋体" w:eastAsia="宋体" w:hint="default"/>
                <w:sz w:val="18"/>
                <w:szCs w:val="18"/>
              </w:rPr>
              <w:t>占公司年度销售总额比例</w:t>
            </w:r>
            <w:r>
              <w:rPr>
                <w:rFonts w:ascii="宋体" w:hAnsi="宋体" w:cs="宋体" w:eastAsia="宋体" w:hint="default"/>
                <w:sz w:val="18"/>
                <w:szCs w:val="18"/>
              </w:rPr>
              <w:t>(%)</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10,389,870.00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0.54</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6,358,684.38</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0.33</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6,181,400.00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0.32</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5,153,202.50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0.27</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3,771,198.00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0.20</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31,854,354.88</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1.66</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
                <w:sz w:val="18"/>
                <w:szCs w:val="18"/>
              </w:rPr>
              <w:t>前五名客户与公司不存在关联关系，公司董事、监事、高级管理人员、核心技术人员、持股</w:t>
            </w:r>
            <w:r>
              <w:rPr>
                <w:rFonts w:ascii="宋体" w:hAnsi="宋体" w:cs="宋体" w:eastAsia="宋体" w:hint="default"/>
                <w:spacing w:val="-28"/>
                <w:sz w:val="18"/>
                <w:szCs w:val="18"/>
              </w:rPr>
              <w:t> </w:t>
            </w:r>
            <w:r>
              <w:rPr>
                <w:rFonts w:ascii="宋体" w:hAnsi="宋体" w:cs="宋体" w:eastAsia="宋体" w:hint="default"/>
                <w:spacing w:val="-2"/>
                <w:sz w:val="18"/>
                <w:szCs w:val="18"/>
              </w:rPr>
              <w:t>5%</w:t>
            </w:r>
            <w:r>
              <w:rPr>
                <w:rFonts w:ascii="宋体" w:hAnsi="宋体" w:cs="宋体" w:eastAsia="宋体" w:hint="default"/>
                <w:spacing w:val="-2"/>
                <w:sz w:val="18"/>
                <w:szCs w:val="18"/>
              </w:rPr>
              <w:t>以上股东、实</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际控制人和其他关联方在主要客户中未直接或者间接拥有权益等。</w:t>
            </w:r>
          </w:p>
        </w:tc>
      </w:tr>
    </w:tbl>
    <w:p>
      <w:pPr>
        <w:spacing w:line="240" w:lineRule="auto" w:before="0"/>
        <w:rPr>
          <w:rFonts w:ascii="宋体" w:hAnsi="宋体" w:cs="宋体" w:eastAsia="宋体" w:hint="default"/>
          <w:sz w:val="20"/>
          <w:szCs w:val="20"/>
        </w:rPr>
      </w:pPr>
    </w:p>
    <w:p>
      <w:pPr>
        <w:pStyle w:val="BodyText"/>
        <w:spacing w:line="240" w:lineRule="auto" w:before="35"/>
        <w:ind w:left="824" w:right="41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公司本年度按行业构成的主要成本项目占总成本的比例情况见下表</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011"/>
        <w:gridCol w:w="976"/>
        <w:gridCol w:w="2268"/>
        <w:gridCol w:w="1276"/>
        <w:gridCol w:w="2268"/>
        <w:gridCol w:w="1276"/>
        <w:gridCol w:w="851"/>
      </w:tblGrid>
      <w:tr>
        <w:trPr>
          <w:trHeight w:val="481" w:hRule="exact"/>
        </w:trPr>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同比 增减</w:t>
            </w:r>
          </w:p>
        </w:tc>
      </w:tr>
      <w:tr>
        <w:trPr>
          <w:trHeight w:val="635" w:hRule="exact"/>
        </w:trPr>
        <w:tc>
          <w:tcPr>
            <w:tcW w:w="1011"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63"/>
              <w:jc w:val="left"/>
              <w:rPr>
                <w:rFonts w:ascii="宋体" w:hAnsi="宋体" w:cs="宋体" w:eastAsia="宋体" w:hint="default"/>
                <w:sz w:val="18"/>
                <w:szCs w:val="18"/>
              </w:rPr>
            </w:pPr>
            <w:r>
              <w:rPr>
                <w:rFonts w:ascii="宋体" w:hAnsi="宋体" w:cs="宋体" w:eastAsia="宋体" w:hint="default"/>
                <w:sz w:val="18"/>
                <w:szCs w:val="18"/>
              </w:rPr>
              <w:t>占总成本比 例</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63"/>
              <w:jc w:val="left"/>
              <w:rPr>
                <w:rFonts w:ascii="宋体" w:hAnsi="宋体" w:cs="宋体" w:eastAsia="宋体" w:hint="default"/>
                <w:sz w:val="18"/>
                <w:szCs w:val="18"/>
              </w:rPr>
            </w:pPr>
            <w:r>
              <w:rPr>
                <w:rFonts w:ascii="宋体" w:hAnsi="宋体" w:cs="宋体" w:eastAsia="宋体" w:hint="default"/>
                <w:sz w:val="18"/>
                <w:szCs w:val="18"/>
              </w:rPr>
              <w:t>占总成本比 例</w:t>
            </w:r>
            <w:r>
              <w:rPr>
                <w:rFonts w:ascii="宋体" w:hAnsi="宋体" w:cs="宋体" w:eastAsia="宋体" w:hint="default"/>
                <w:sz w:val="18"/>
                <w:szCs w:val="18"/>
              </w:rPr>
              <w:t>(%)</w:t>
            </w:r>
          </w:p>
        </w:tc>
        <w:tc>
          <w:tcPr>
            <w:tcW w:w="851" w:type="dxa"/>
            <w:vMerge/>
            <w:tcBorders>
              <w:left w:val="single" w:sz="4" w:space="0" w:color="000000"/>
              <w:bottom w:val="single" w:sz="4" w:space="0" w:color="000000"/>
              <w:right w:val="single" w:sz="4" w:space="0" w:color="000000"/>
            </w:tcBorders>
          </w:tcPr>
          <w:p>
            <w:pPr/>
          </w:p>
        </w:tc>
      </w:tr>
      <w:tr>
        <w:trPr>
          <w:trHeight w:val="322" w:hRule="exact"/>
        </w:trPr>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商业零售</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1,406,964,815.93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79.34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1,567,699,103.98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-0.67%</w:t>
            </w:r>
          </w:p>
        </w:tc>
      </w:tr>
      <w:tr>
        <w:trPr>
          <w:trHeight w:val="322"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32,510,058.79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36,856,744.96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-0.05%</w:t>
            </w:r>
          </w:p>
        </w:tc>
      </w:tr>
      <w:tr>
        <w:trPr>
          <w:trHeight w:val="323"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21,181,079.78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17,016,638.61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0.32%</w:t>
            </w:r>
          </w:p>
        </w:tc>
      </w:tr>
      <w:tr>
        <w:trPr>
          <w:trHeight w:val="322" w:hRule="exact"/>
        </w:trPr>
        <w:tc>
          <w:tcPr>
            <w:tcW w:w="1011" w:type="dxa"/>
            <w:vMerge/>
            <w:tcBorders>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22,336,656.57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21,998,706.02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0.14%</w:t>
            </w:r>
          </w:p>
        </w:tc>
      </w:tr>
      <w:tr>
        <w:trPr>
          <w:trHeight w:val="322" w:hRule="exact"/>
        </w:trPr>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信息传输</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32,481,852.27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1.83</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18"/>
                <w:szCs w:val="18"/>
              </w:rPr>
            </w:pPr>
            <w:r>
              <w:rPr>
                <w:rFonts w:ascii="宋体"/>
                <w:sz w:val="18"/>
              </w:rPr>
              <w:t>---</w:t>
            </w:r>
          </w:p>
        </w:tc>
      </w:tr>
      <w:tr>
        <w:trPr>
          <w:trHeight w:val="323"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920,995.51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0.05</w:t>
            </w:r>
          </w:p>
        </w:tc>
        <w:tc>
          <w:tcPr>
            <w:tcW w:w="226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22"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22,336.59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0.00</w:t>
            </w:r>
          </w:p>
        </w:tc>
        <w:tc>
          <w:tcPr>
            <w:tcW w:w="226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22" w:hRule="exact"/>
        </w:trPr>
        <w:tc>
          <w:tcPr>
            <w:tcW w:w="1011" w:type="dxa"/>
            <w:vMerge/>
            <w:tcBorders>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10,005.33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0.00</w:t>
            </w:r>
          </w:p>
        </w:tc>
        <w:tc>
          <w:tcPr>
            <w:tcW w:w="226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23" w:hRule="exact"/>
        </w:trPr>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58,855,536.93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44,513,841.93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1.05%</w:t>
            </w:r>
          </w:p>
        </w:tc>
      </w:tr>
      <w:tr>
        <w:trPr>
          <w:trHeight w:val="322"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11,400,202.25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11,008,693.88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0.08%</w:t>
            </w:r>
          </w:p>
        </w:tc>
      </w:tr>
      <w:tr>
        <w:trPr>
          <w:trHeight w:val="322" w:hRule="exact"/>
        </w:trPr>
        <w:tc>
          <w:tcPr>
            <w:tcW w:w="1011" w:type="dxa"/>
            <w:vMerge/>
            <w:tcBorders>
              <w:left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2,795,058.53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2,080,167.96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0.05%</w:t>
            </w:r>
          </w:p>
        </w:tc>
      </w:tr>
      <w:tr>
        <w:trPr>
          <w:trHeight w:val="323" w:hRule="exact"/>
        </w:trPr>
        <w:tc>
          <w:tcPr>
            <w:tcW w:w="1011" w:type="dxa"/>
            <w:vMerge/>
            <w:tcBorders>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1,117,233.57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1,108,393.56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r>
      <w:tr>
        <w:trPr>
          <w:trHeight w:val="322"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9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“信息传输”</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年未合并。</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公司主要供应商情况</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543"/>
        <w:gridCol w:w="5382"/>
      </w:tblGrid>
      <w:tr>
        <w:trPr>
          <w:trHeight w:val="322"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422,162,894.86</w:t>
            </w:r>
          </w:p>
        </w:tc>
      </w:tr>
      <w:tr>
        <w:trPr>
          <w:trHeight w:val="323"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28.02</w:t>
            </w:r>
          </w:p>
        </w:tc>
      </w:tr>
    </w:tbl>
    <w:p>
      <w:pPr>
        <w:spacing w:line="240" w:lineRule="auto" w:before="0"/>
        <w:rPr>
          <w:rFonts w:ascii="宋体" w:hAnsi="宋体" w:cs="宋体" w:eastAsia="宋体" w:hint="default"/>
          <w:sz w:val="20"/>
          <w:szCs w:val="20"/>
        </w:rPr>
      </w:pPr>
    </w:p>
    <w:p>
      <w:pPr>
        <w:pStyle w:val="BodyText"/>
        <w:spacing w:line="240" w:lineRule="auto" w:before="35"/>
        <w:ind w:left="824" w:right="418"/>
        <w:jc w:val="left"/>
      </w:pPr>
      <w:r>
        <w:rPr/>
        <w:t>公司前</w:t>
      </w:r>
      <w:r>
        <w:rPr>
          <w:spacing w:val="-56"/>
        </w:rPr>
        <w:t> </w:t>
      </w:r>
      <w:r>
        <w:rPr>
          <w:rFonts w:ascii="宋体" w:hAnsi="宋体" w:cs="宋体" w:eastAsia="宋体" w:hint="default"/>
        </w:rPr>
        <w:t>5</w:t>
      </w:r>
      <w:r>
        <w:rPr>
          <w:rFonts w:ascii="宋体" w:hAnsi="宋体" w:cs="宋体" w:eastAsia="宋体" w:hint="default"/>
          <w:spacing w:val="-55"/>
        </w:rPr>
        <w:t> </w:t>
      </w:r>
      <w:r>
        <w:rPr/>
        <w:t>名供应商</w:t>
      </w:r>
      <w:r>
        <w:rPr>
          <w:rFonts w:ascii="宋体" w:hAnsi="宋体" w:cs="宋体" w:eastAsia="宋体" w:hint="default"/>
        </w:rPr>
        <w:t>(</w:t>
      </w:r>
      <w:r>
        <w:rPr/>
        <w:t>不存在同一实际控制人控制的供应商</w:t>
      </w:r>
      <w:r>
        <w:rPr>
          <w:rFonts w:ascii="宋体" w:hAnsi="宋体" w:cs="宋体" w:eastAsia="宋体" w:hint="default"/>
        </w:rPr>
        <w:t>)</w:t>
      </w:r>
      <w:r>
        <w:rPr/>
        <w:t>资料见下表</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20"/>
        <w:gridCol w:w="4169"/>
        <w:gridCol w:w="4536"/>
      </w:tblGrid>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采购额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286,782,163.21</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19.03</w:t>
            </w:r>
          </w:p>
        </w:tc>
      </w:tr>
      <w:tr>
        <w:trPr>
          <w:trHeight w:val="32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59,987,612.44</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3.98</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3</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39,621,312.61</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2.63</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4</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18,027,721.77</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1.20</w:t>
            </w:r>
          </w:p>
        </w:tc>
      </w:tr>
      <w:tr>
        <w:trPr>
          <w:trHeight w:val="32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5</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17,744,084.83</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right"/>
              <w:rPr>
                <w:rFonts w:ascii="宋体" w:hAnsi="宋体" w:cs="宋体" w:eastAsia="宋体" w:hint="default"/>
                <w:sz w:val="18"/>
                <w:szCs w:val="18"/>
              </w:rPr>
            </w:pPr>
            <w:r>
              <w:rPr>
                <w:rFonts w:ascii="宋体"/>
                <w:sz w:val="18"/>
              </w:rPr>
              <w:t>1.18</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422,162,894.86</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28.02</w:t>
            </w:r>
          </w:p>
        </w:tc>
      </w:tr>
      <w:tr>
        <w:trPr>
          <w:trHeight w:val="47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前五名供应商与公司不存在关联关系，公司董事、监事、高级管理人员、核心技术人员、持股</w:t>
            </w:r>
            <w:r>
              <w:rPr>
                <w:rFonts w:ascii="宋体" w:hAnsi="宋体" w:cs="宋体" w:eastAsia="宋体" w:hint="default"/>
                <w:spacing w:val="-33"/>
                <w:sz w:val="18"/>
                <w:szCs w:val="18"/>
              </w:rPr>
              <w:t> </w:t>
            </w:r>
            <w:r>
              <w:rPr>
                <w:rFonts w:ascii="宋体" w:hAnsi="宋体" w:cs="宋体" w:eastAsia="宋体" w:hint="default"/>
                <w:spacing w:val="-1"/>
                <w:sz w:val="18"/>
                <w:szCs w:val="18"/>
              </w:rPr>
              <w:t>5%</w:t>
            </w:r>
            <w:r>
              <w:rPr>
                <w:rFonts w:ascii="宋体" w:hAnsi="宋体" w:cs="宋体" w:eastAsia="宋体" w:hint="default"/>
                <w:spacing w:val="-1"/>
                <w:sz w:val="18"/>
                <w:szCs w:val="18"/>
              </w:rPr>
              <w:t>以上股东、实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际控制人和其他关联方在主要供应商中未直接或者间接拥有权益等。</w:t>
            </w:r>
          </w:p>
        </w:tc>
      </w:tr>
    </w:tbl>
    <w:p>
      <w:pPr>
        <w:spacing w:after="0" w:line="235" w:lineRule="exact"/>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87" w:firstLine="526"/>
        <w:jc w:val="both"/>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9"/>
        </w:rPr>
        <w:t> </w:t>
      </w:r>
      <w:r>
        <w:rPr/>
        <w:t>报告期内公司销售费用控制较好，因上年公司门店秦皇岛商城闭店改造增加了本期摊销，公 </w:t>
      </w:r>
      <w:r>
        <w:rPr>
          <w:spacing w:val="-1"/>
        </w:rPr>
        <w:t>司管理费用同比有所上升，因本期无银行借款已没有利息支出、本期购买银行保本理财产品增收，本年</w:t>
      </w:r>
      <w:r>
        <w:rPr>
          <w:spacing w:val="-102"/>
        </w:rPr>
        <w:t> </w:t>
      </w:r>
      <w:r>
        <w:rPr>
          <w:spacing w:val="-102"/>
        </w:rPr>
      </w:r>
      <w:r>
        <w:rPr/>
        <w:t>公司财务费用同比降幅</w:t>
      </w:r>
      <w:r>
        <w:rPr>
          <w:spacing w:val="-56"/>
        </w:rPr>
        <w:t> </w:t>
      </w:r>
      <w:r>
        <w:rPr>
          <w:rFonts w:ascii="宋体" w:hAnsi="宋体" w:cs="宋体" w:eastAsia="宋体" w:hint="default"/>
        </w:rPr>
        <w:t>388.38%</w:t>
      </w:r>
      <w:r>
        <w:rPr/>
        <w:t>，有关情况见下表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307"/>
        <w:gridCol w:w="2514"/>
        <w:gridCol w:w="2836"/>
        <w:gridCol w:w="2268"/>
      </w:tblGrid>
      <w:tr>
        <w:trPr>
          <w:trHeight w:val="386"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2" w:right="0"/>
              <w:jc w:val="left"/>
              <w:rPr>
                <w:rFonts w:ascii="宋体" w:hAnsi="宋体" w:cs="宋体" w:eastAsia="宋体" w:hint="default"/>
                <w:sz w:val="18"/>
                <w:szCs w:val="18"/>
              </w:rPr>
            </w:pPr>
            <w:r>
              <w:rPr>
                <w:rFonts w:ascii="宋体" w:hAnsi="宋体" w:cs="宋体" w:eastAsia="宋体" w:hint="default"/>
                <w:sz w:val="18"/>
                <w:szCs w:val="18"/>
              </w:rPr>
              <w:t>同比增减变动</w:t>
            </w:r>
            <w:r>
              <w:rPr>
                <w:rFonts w:ascii="宋体" w:hAnsi="宋体" w:cs="宋体" w:eastAsia="宋体" w:hint="default"/>
                <w:sz w:val="18"/>
                <w:szCs w:val="18"/>
              </w:rPr>
              <w:t>(%)</w:t>
            </w:r>
          </w:p>
        </w:tc>
      </w:tr>
      <w:tr>
        <w:trPr>
          <w:trHeight w:val="32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140,700,644.19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142,030,655.30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-0.94</w:t>
            </w:r>
          </w:p>
        </w:tc>
      </w:tr>
      <w:tr>
        <w:trPr>
          <w:trHeight w:val="322"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65,858,824.65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56,732,174.06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16.09</w:t>
            </w:r>
          </w:p>
        </w:tc>
      </w:tr>
      <w:tr>
        <w:trPr>
          <w:trHeight w:val="322"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-1,277,871.32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443,123.99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-388.38</w:t>
            </w:r>
          </w:p>
        </w:tc>
      </w:tr>
      <w:tr>
        <w:trPr>
          <w:trHeight w:val="32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49,922,485.60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47,274,718.25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5.60</w:t>
            </w:r>
          </w:p>
        </w:tc>
      </w:tr>
    </w:tbl>
    <w:p>
      <w:pPr>
        <w:spacing w:line="240" w:lineRule="auto" w:before="0"/>
        <w:rPr>
          <w:rFonts w:ascii="宋体" w:hAnsi="宋体" w:cs="宋体" w:eastAsia="宋体" w:hint="default"/>
          <w:sz w:val="20"/>
          <w:szCs w:val="20"/>
        </w:rPr>
      </w:pPr>
    </w:p>
    <w:p>
      <w:pPr>
        <w:pStyle w:val="BodyText"/>
        <w:spacing w:line="273" w:lineRule="auto" w:before="35"/>
        <w:ind w:right="1083" w:firstLine="420"/>
        <w:jc w:val="righ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研发支出情况。公司全资子公司创世漫道</w:t>
      </w:r>
      <w:r>
        <w:rPr>
          <w:spacing w:val="-54"/>
        </w:rPr>
        <w:t> </w:t>
      </w:r>
      <w:r>
        <w:rPr>
          <w:rFonts w:ascii="宋体" w:hAnsi="宋体" w:cs="宋体" w:eastAsia="宋体" w:hint="default"/>
        </w:rPr>
        <w:t>2014</w:t>
      </w:r>
      <w:r>
        <w:rPr>
          <w:rFonts w:ascii="宋体" w:hAnsi="宋体" w:cs="宋体" w:eastAsia="宋体" w:hint="default"/>
          <w:spacing w:val="-55"/>
        </w:rPr>
        <w:t> </w:t>
      </w:r>
      <w:r>
        <w:rPr/>
        <w:t>年主要研发项目为短</w:t>
      </w:r>
      <w:r>
        <w:rPr>
          <w:rFonts w:ascii="宋体" w:hAnsi="宋体" w:cs="宋体" w:eastAsia="宋体" w:hint="default"/>
        </w:rPr>
        <w:t>(</w:t>
      </w:r>
      <w:r>
        <w:rPr/>
        <w:t>彩</w:t>
      </w:r>
      <w:r>
        <w:rPr>
          <w:rFonts w:ascii="宋体" w:hAnsi="宋体" w:cs="宋体" w:eastAsia="宋体" w:hint="default"/>
        </w:rPr>
        <w:t>)</w:t>
      </w:r>
      <w:r>
        <w:rPr/>
        <w:t>信服务平台的改进， </w:t>
      </w:r>
      <w:r>
        <w:rPr>
          <w:spacing w:val="-1"/>
        </w:rPr>
        <w:t>研发目的是为客户提供更安全、更完善的信息服务解决方案，并提升突发问题解决能力，研发目标是提</w:t>
      </w:r>
      <w:r>
        <w:rPr/>
        <w:t> </w:t>
      </w:r>
      <w:r>
        <w:rPr>
          <w:spacing w:val="-1"/>
        </w:rPr>
        <w:t>升平台的稳定性、安全性、高效率。目前创世漫道短彩信平台已实现预期目标，平台已具备较完善的预</w:t>
      </w:r>
      <w:r>
        <w:rPr/>
        <w:t> </w:t>
      </w:r>
      <w:r>
        <w:rPr>
          <w:spacing w:val="-1"/>
        </w:rPr>
        <w:t>警、监测、切换、拨测能力，服务质量、安全要求处于业界先进水平，将对公司稳定、拓展、扩大业务</w:t>
      </w:r>
      <w:r>
        <w:rPr/>
        <w:t> 客户具有良好的影响。创世漫道报告期研发支出总额为 </w:t>
      </w:r>
      <w:r>
        <w:rPr>
          <w:rFonts w:ascii="宋体" w:hAnsi="宋体" w:cs="宋体" w:eastAsia="宋体" w:hint="default"/>
        </w:rPr>
        <w:t>700.75</w:t>
      </w:r>
      <w:r>
        <w:rPr>
          <w:rFonts w:ascii="宋体" w:hAnsi="宋体" w:cs="宋体" w:eastAsia="宋体" w:hint="default"/>
          <w:spacing w:val="-41"/>
        </w:rPr>
        <w:t> </w:t>
      </w:r>
      <w:r>
        <w:rPr/>
        <w:t>万元同比基本持平，占创世漫道最近一 期经审计净资产、营业收入的比例分别为</w:t>
      </w:r>
      <w:r>
        <w:rPr>
          <w:spacing w:val="-53"/>
        </w:rPr>
        <w:t> </w:t>
      </w:r>
      <w:r>
        <w:rPr>
          <w:rFonts w:ascii="宋体" w:hAnsi="宋体" w:cs="宋体" w:eastAsia="宋体" w:hint="default"/>
        </w:rPr>
        <w:t>7.62%</w:t>
      </w:r>
      <w:r>
        <w:rPr/>
        <w:t>和</w:t>
      </w:r>
      <w:r>
        <w:rPr>
          <w:spacing w:val="-54"/>
        </w:rPr>
        <w:t> </w:t>
      </w:r>
      <w:r>
        <w:rPr>
          <w:rFonts w:ascii="宋体" w:hAnsi="宋体" w:cs="宋体" w:eastAsia="宋体" w:hint="default"/>
        </w:rPr>
        <w:t>2.17%</w:t>
      </w:r>
      <w:r>
        <w:rPr/>
        <w:t>，占本公司的相应比例分别为</w:t>
      </w:r>
      <w:r>
        <w:rPr>
          <w:spacing w:val="-53"/>
        </w:rPr>
        <w:t> </w:t>
      </w:r>
      <w:r>
        <w:rPr>
          <w:rFonts w:ascii="宋体" w:hAnsi="宋体" w:cs="宋体" w:eastAsia="宋体" w:hint="default"/>
        </w:rPr>
        <w:t>0.33%</w:t>
      </w:r>
      <w:r>
        <w:rPr/>
        <w:t>和</w:t>
      </w:r>
      <w:r>
        <w:rPr>
          <w:spacing w:val="-55"/>
        </w:rPr>
        <w:t> </w:t>
      </w:r>
      <w:r>
        <w:rPr>
          <w:rFonts w:ascii="宋体" w:hAnsi="宋体" w:cs="宋体" w:eastAsia="宋体" w:hint="default"/>
        </w:rPr>
        <w:t>0.36%</w:t>
      </w:r>
      <w:r>
        <w:rPr/>
        <w:t>。 </w:t>
      </w: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2"/>
        </w:rPr>
        <w:t> </w:t>
      </w:r>
      <w:r>
        <w:rPr>
          <w:rFonts w:ascii="宋体" w:hAnsi="宋体" w:cs="宋体" w:eastAsia="宋体" w:hint="default"/>
        </w:rPr>
        <w:t>1</w:t>
      </w:r>
      <w:r>
        <w:rPr/>
        <w:t>、因本年度比上年度项目投入支出减少、门店租金回报有所上升，经营活动产生的现金流量 净额同比上升。</w:t>
      </w:r>
      <w:r>
        <w:rPr>
          <w:rFonts w:ascii="宋体" w:hAnsi="宋体" w:cs="宋体" w:eastAsia="宋体" w:hint="default"/>
        </w:rPr>
        <w:t>2</w:t>
      </w:r>
      <w:r>
        <w:rPr/>
        <w:t>、因创世漫道本年收回银行保本理财产品本金，公司投资活动现金流入小计同比大幅 上升；因 </w:t>
      </w:r>
      <w:r>
        <w:rPr>
          <w:rFonts w:ascii="宋体" w:hAnsi="宋体" w:cs="宋体" w:eastAsia="宋体" w:hint="default"/>
        </w:rPr>
        <w:t>2014</w:t>
      </w:r>
      <w:r>
        <w:rPr>
          <w:rFonts w:ascii="宋体" w:hAnsi="宋体" w:cs="宋体" w:eastAsia="宋体" w:hint="default"/>
          <w:spacing w:val="-41"/>
        </w:rPr>
        <w:t> </w:t>
      </w:r>
      <w:r>
        <w:rPr/>
        <w:t>年重组收购创世漫道支付现金对价、滁州茂业华美达酒店开业将相关存货开发产品转入 </w:t>
      </w:r>
      <w:r>
        <w:rPr>
          <w:spacing w:val="-4"/>
        </w:rPr>
        <w:t>固定资产，公司投资活动现金流出小计同比上升；因投资活动现金流出小计大于投资活动现金流入小计，</w:t>
      </w:r>
    </w:p>
    <w:p>
      <w:pPr>
        <w:pStyle w:val="BodyText"/>
        <w:spacing w:line="273" w:lineRule="auto"/>
        <w:ind w:right="1178"/>
        <w:jc w:val="both"/>
      </w:pPr>
      <w:r>
        <w:rPr/>
        <w:t>公司投资活动产生的现金流量净额同比上升。</w:t>
      </w:r>
      <w:r>
        <w:rPr>
          <w:rFonts w:ascii="宋体" w:hAnsi="宋体" w:cs="宋体" w:eastAsia="宋体" w:hint="default"/>
        </w:rPr>
        <w:t>3</w:t>
      </w:r>
      <w:r>
        <w:rPr/>
        <w:t>、因</w:t>
      </w:r>
      <w:r>
        <w:rPr>
          <w:spacing w:val="-69"/>
        </w:rPr>
        <w:t> </w:t>
      </w:r>
      <w:r>
        <w:rPr>
          <w:rFonts w:ascii="宋体" w:hAnsi="宋体" w:cs="宋体" w:eastAsia="宋体" w:hint="default"/>
        </w:rPr>
        <w:t>2014</w:t>
      </w:r>
      <w:r>
        <w:rPr>
          <w:rFonts w:ascii="宋体" w:hAnsi="宋体" w:cs="宋体" w:eastAsia="宋体" w:hint="default"/>
          <w:spacing w:val="-68"/>
        </w:rPr>
        <w:t> </w:t>
      </w:r>
      <w:r>
        <w:rPr/>
        <w:t>年重组募集配套资金，公司筹资活动现金流入 </w:t>
      </w:r>
      <w:r>
        <w:rPr>
          <w:spacing w:val="-1"/>
        </w:rPr>
        <w:t>小计同比上升；因本年没有还贷及利息支出，公司筹资活动现金流出小计同比下降；因筹资活动现金流</w:t>
      </w:r>
      <w:r>
        <w:rPr/>
        <w:t> </w:t>
      </w:r>
      <w:r>
        <w:rPr>
          <w:spacing w:val="-4"/>
        </w:rPr>
        <w:t>入小计大于筹资活动现金流出小计，公司筹资活动产生的现金流量净额同比上升。</w:t>
      </w:r>
      <w:r>
        <w:rPr>
          <w:rFonts w:ascii="宋体" w:hAnsi="宋体" w:cs="宋体" w:eastAsia="宋体" w:hint="default"/>
          <w:spacing w:val="-4"/>
        </w:rPr>
        <w:t>4</w:t>
      </w:r>
      <w:r>
        <w:rPr>
          <w:spacing w:val="-4"/>
        </w:rPr>
        <w:t>、上述变动使得公司</w:t>
      </w:r>
      <w:r>
        <w:rPr>
          <w:spacing w:val="-76"/>
        </w:rPr>
        <w:t> </w:t>
      </w:r>
      <w:r>
        <w:rPr>
          <w:spacing w:val="-76"/>
        </w:rPr>
      </w:r>
      <w:r>
        <w:rPr/>
        <w:t>现金及现金等价物净增加额同比上升。有关情况见下表：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120"/>
        <w:gridCol w:w="2268"/>
        <w:gridCol w:w="2268"/>
        <w:gridCol w:w="2268"/>
      </w:tblGrid>
      <w:tr>
        <w:trPr>
          <w:trHeight w:val="46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52" w:right="0"/>
              <w:jc w:val="left"/>
              <w:rPr>
                <w:rFonts w:ascii="宋体" w:hAnsi="宋体" w:cs="宋体" w:eastAsia="宋体" w:hint="default"/>
                <w:sz w:val="18"/>
                <w:szCs w:val="18"/>
              </w:rPr>
            </w:pPr>
            <w:r>
              <w:rPr>
                <w:rFonts w:ascii="宋体" w:hAnsi="宋体" w:cs="宋体" w:eastAsia="宋体" w:hint="default"/>
                <w:sz w:val="18"/>
                <w:szCs w:val="18"/>
              </w:rPr>
              <w:t>同比增减变动</w:t>
            </w:r>
            <w:r>
              <w:rPr>
                <w:rFonts w:ascii="宋体" w:hAnsi="宋体" w:cs="宋体" w:eastAsia="宋体" w:hint="default"/>
                <w:sz w:val="18"/>
                <w:szCs w:val="18"/>
              </w:rPr>
              <w:t>(%)</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1,868,652,756.26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2,090,842,657.00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-10.63</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1,673,256,912.24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1,968,428,831.65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-15.00</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195,395,844.02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122,413,825.35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59.62</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82,993,055.17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700,250.00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11,751.92</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297,279,888.55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53,990,742.88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450.61</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-214,286,833.38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-53,290,492.88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302.11</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筹资活动现金流入小计</w:t>
            </w:r>
            <w:r>
              <w:rPr>
                <w:rFonts w:ascii="宋体" w:hAnsi="宋体" w:cs="宋体" w:eastAsia="宋体" w:hint="default"/>
                <w:spacing w:val="-4"/>
                <w:sz w:val="18"/>
                <w:szCs w:val="18"/>
              </w:rPr>
              <w:t>(</w:t>
            </w:r>
            <w:r>
              <w:rPr>
                <w:rFonts w:ascii="宋体" w:hAnsi="宋体" w:cs="宋体" w:eastAsia="宋体" w:hint="default"/>
                <w:spacing w:val="-4"/>
                <w:sz w:val="18"/>
                <w:szCs w:val="18"/>
              </w:rPr>
              <w:t>元</w:t>
            </w:r>
            <w:r>
              <w:rPr>
                <w:rFonts w:ascii="宋体" w:hAnsi="宋体" w:cs="宋体" w:eastAsia="宋体" w:hint="default"/>
                <w:spacing w:val="-4"/>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129,724,499.34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12,972</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筹资活动现金流出小计</w:t>
            </w:r>
            <w:r>
              <w:rPr>
                <w:rFonts w:ascii="宋体" w:hAnsi="宋体" w:cs="宋体" w:eastAsia="宋体" w:hint="default"/>
                <w:spacing w:val="-4"/>
                <w:sz w:val="18"/>
                <w:szCs w:val="18"/>
              </w:rPr>
              <w:t>(</w:t>
            </w:r>
            <w:r>
              <w:rPr>
                <w:rFonts w:ascii="宋体" w:hAnsi="宋体" w:cs="宋体" w:eastAsia="宋体" w:hint="default"/>
                <w:spacing w:val="-4"/>
                <w:sz w:val="18"/>
                <w:szCs w:val="18"/>
              </w:rPr>
              <w:t>元</w:t>
            </w:r>
            <w:r>
              <w:rPr>
                <w:rFonts w:ascii="宋体" w:hAnsi="宋体" w:cs="宋体" w:eastAsia="宋体" w:hint="default"/>
                <w:spacing w:val="-4"/>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18,069,099.56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177,232,733.18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-89.80</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111,655,399.78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-177,232,733.18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163.00</w:t>
            </w:r>
          </w:p>
        </w:tc>
      </w:tr>
      <w:tr>
        <w:trPr>
          <w:trHeight w:val="34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92,764,410.42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-108,109,400.71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185.81</w:t>
            </w:r>
          </w:p>
        </w:tc>
      </w:tr>
    </w:tbl>
    <w:p>
      <w:pPr>
        <w:spacing w:line="240" w:lineRule="auto" w:before="0"/>
        <w:rPr>
          <w:rFonts w:ascii="宋体" w:hAnsi="宋体" w:cs="宋体" w:eastAsia="宋体" w:hint="default"/>
          <w:sz w:val="20"/>
          <w:szCs w:val="20"/>
        </w:rPr>
      </w:pPr>
    </w:p>
    <w:p>
      <w:pPr>
        <w:pStyle w:val="BodyText"/>
        <w:tabs>
          <w:tab w:pos="8806" w:val="left" w:leader="none"/>
        </w:tabs>
        <w:spacing w:line="326" w:lineRule="auto" w:before="35"/>
        <w:ind w:left="824" w:right="1187"/>
        <w:jc w:val="left"/>
      </w:pPr>
      <w:r>
        <w:rPr/>
        <w:t>报告期内公司经营活动的现金流量与本年度净利润存在重大差异的原因说明 √ 适用</w:t>
        <w:tab/>
        <w:t>□</w:t>
      </w:r>
      <w:r>
        <w:rPr>
          <w:spacing w:val="-3"/>
        </w:rPr>
        <w:t> </w:t>
      </w:r>
      <w:r>
        <w:rPr/>
        <w:t>不适用</w:t>
      </w:r>
      <w:r>
        <w:rPr/>
        <w:t> 公司本年度经营活动产生的现金流量净额为</w:t>
      </w:r>
      <w:r>
        <w:rPr>
          <w:spacing w:val="-37"/>
        </w:rPr>
        <w:t> </w:t>
      </w:r>
      <w:r>
        <w:rPr>
          <w:rFonts w:ascii="宋体" w:hAnsi="宋体" w:cs="宋体" w:eastAsia="宋体" w:hint="default"/>
        </w:rPr>
        <w:t>19,539.58</w:t>
      </w:r>
      <w:r>
        <w:rPr>
          <w:rFonts w:ascii="宋体" w:hAnsi="宋体" w:cs="宋体" w:eastAsia="宋体" w:hint="default"/>
          <w:spacing w:val="-36"/>
        </w:rPr>
        <w:t> </w:t>
      </w:r>
      <w:r>
        <w:rPr/>
        <w:t>万元，实现净利润为</w:t>
      </w:r>
      <w:r>
        <w:rPr>
          <w:spacing w:val="-37"/>
        </w:rPr>
        <w:t> </w:t>
      </w:r>
      <w:r>
        <w:rPr>
          <w:rFonts w:ascii="宋体" w:hAnsi="宋体" w:cs="宋体" w:eastAsia="宋体" w:hint="default"/>
        </w:rPr>
        <w:t>9,875.52</w:t>
      </w:r>
      <w:r>
        <w:rPr>
          <w:rFonts w:ascii="宋体" w:hAnsi="宋体" w:cs="宋体" w:eastAsia="宋体" w:hint="default"/>
          <w:spacing w:val="-36"/>
        </w:rPr>
        <w:t> </w:t>
      </w:r>
      <w:r>
        <w:rPr/>
        <w:t>万元，差异</w:t>
      </w:r>
    </w:p>
    <w:p>
      <w:pPr>
        <w:pStyle w:val="BodyText"/>
        <w:spacing w:line="235" w:lineRule="exact" w:before="0"/>
        <w:ind w:right="418"/>
        <w:jc w:val="left"/>
      </w:pPr>
      <w:r>
        <w:rPr>
          <w:rFonts w:ascii="宋体" w:hAnsi="宋体" w:cs="宋体" w:eastAsia="宋体" w:hint="default"/>
        </w:rPr>
        <w:t>9,664.06</w:t>
      </w:r>
      <w:r>
        <w:rPr>
          <w:rFonts w:ascii="宋体" w:hAnsi="宋体" w:cs="宋体" w:eastAsia="宋体" w:hint="default"/>
          <w:spacing w:val="-53"/>
        </w:rPr>
        <w:t> </w:t>
      </w:r>
      <w:r>
        <w:rPr/>
        <w:t>万元，主要是滁州茂业华美达酒店开业将相关存货开发产品转入固定资产因素造成。</w:t>
      </w:r>
    </w:p>
    <w:p>
      <w:pPr>
        <w:spacing w:line="240" w:lineRule="auto" w:before="10"/>
        <w:rPr>
          <w:rFonts w:ascii="宋体" w:hAnsi="宋体" w:cs="宋体" w:eastAsia="宋体" w:hint="default"/>
          <w:sz w:val="14"/>
          <w:szCs w:val="14"/>
        </w:rPr>
      </w:pPr>
    </w:p>
    <w:p>
      <w:pPr>
        <w:pStyle w:val="BodyText"/>
        <w:spacing w:line="240" w:lineRule="auto" w:before="0"/>
        <w:ind w:left="824" w:right="5945"/>
        <w:jc w:val="left"/>
      </w:pPr>
      <w:r>
        <w:rPr/>
        <w:t>二、公司分行业或地区经营情况分析</w:t>
      </w:r>
    </w:p>
    <w:p>
      <w:pPr>
        <w:pStyle w:val="BodyText"/>
        <w:spacing w:line="273" w:lineRule="auto" w:before="99"/>
        <w:ind w:right="1083"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t>公司主要业务分行业为零售业、信息传输和房地产业，公司主要业务分地区分布在河北秦皇 岛、北京和安徽。秦皇岛地区主营以百货零售为主的零售业</w:t>
      </w:r>
      <w:r>
        <w:rPr>
          <w:rFonts w:ascii="宋体" w:hAnsi="宋体" w:cs="宋体" w:eastAsia="宋体" w:hint="default"/>
        </w:rPr>
        <w:t>(</w:t>
      </w:r>
      <w:r>
        <w:rPr/>
        <w:t>包括超市、家居等业态</w:t>
      </w:r>
      <w:r>
        <w:rPr>
          <w:rFonts w:ascii="宋体" w:hAnsi="宋体" w:cs="宋体" w:eastAsia="宋体" w:hint="default"/>
        </w:rPr>
        <w:t>)</w:t>
      </w:r>
      <w:r>
        <w:rPr/>
        <w:t>，辅以存量商业广 </w:t>
      </w:r>
      <w:r>
        <w:rPr>
          <w:spacing w:val="-4"/>
        </w:rPr>
        <w:t>场房产出售、租赁；北京主营信息传输</w:t>
      </w:r>
      <w:r>
        <w:rPr>
          <w:rFonts w:ascii="宋体" w:hAnsi="宋体" w:cs="宋体" w:eastAsia="宋体" w:hint="default"/>
          <w:spacing w:val="-4"/>
        </w:rPr>
        <w:t>(</w:t>
      </w:r>
      <w:r>
        <w:rPr>
          <w:spacing w:val="-4"/>
        </w:rPr>
        <w:t>不受地域限制</w:t>
      </w:r>
      <w:r>
        <w:rPr>
          <w:rFonts w:ascii="宋体" w:hAnsi="宋体" w:cs="宋体" w:eastAsia="宋体" w:hint="default"/>
          <w:spacing w:val="-4"/>
        </w:rPr>
        <w:t>)</w:t>
      </w:r>
      <w:r>
        <w:rPr>
          <w:spacing w:val="-4"/>
        </w:rPr>
        <w:t>；安徽地区主营商业地产开发、出售及场地经营。</w:t>
      </w:r>
    </w:p>
    <w:p>
      <w:pPr>
        <w:spacing w:after="0" w:line="273" w:lineRule="auto"/>
        <w:jc w:val="both"/>
        <w:sectPr>
          <w:footerReference w:type="default" r:id="rId16"/>
          <w:pgSz w:w="11910" w:h="16840"/>
          <w:pgMar w:footer="1219" w:header="883"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78"/>
        <w:jc w:val="left"/>
      </w:pPr>
      <w:r>
        <w:rPr/>
        <w:t>报告期公司商业零售、信息传输和房地产实现收入分别占公司总营业收入的 </w:t>
      </w:r>
      <w:r>
        <w:rPr>
          <w:rFonts w:ascii="宋体" w:hAnsi="宋体" w:cs="宋体" w:eastAsia="宋体" w:hint="default"/>
        </w:rPr>
        <w:t>91.05%</w:t>
      </w:r>
      <w:r>
        <w:rPr/>
        <w:t>、</w:t>
      </w:r>
      <w:r>
        <w:rPr>
          <w:rFonts w:ascii="宋体" w:hAnsi="宋体" w:cs="宋体" w:eastAsia="宋体" w:hint="default"/>
        </w:rPr>
        <w:t>2.35%</w:t>
      </w:r>
      <w:r>
        <w:rPr/>
        <w:t>和</w:t>
      </w:r>
      <w:r>
        <w:rPr>
          <w:spacing w:val="-46"/>
        </w:rPr>
        <w:t> </w:t>
      </w:r>
      <w:r>
        <w:rPr>
          <w:rFonts w:ascii="宋体" w:hAnsi="宋体" w:cs="宋体" w:eastAsia="宋体" w:hint="default"/>
        </w:rPr>
        <w:t>5.56%</w:t>
      </w:r>
      <w:r>
        <w:rPr/>
        <w:t>， 河北秦皇岛、北京和安徽实现收入分别占总营业收入的</w:t>
      </w:r>
      <w:r>
        <w:rPr>
          <w:spacing w:val="-55"/>
        </w:rPr>
        <w:t> </w:t>
      </w:r>
      <w:r>
        <w:rPr>
          <w:rFonts w:ascii="宋体" w:hAnsi="宋体" w:cs="宋体" w:eastAsia="宋体" w:hint="default"/>
        </w:rPr>
        <w:t>92.09%</w:t>
      </w:r>
      <w:r>
        <w:rPr/>
        <w:t>、</w:t>
      </w:r>
      <w:r>
        <w:rPr>
          <w:rFonts w:ascii="宋体" w:hAnsi="宋体" w:cs="宋体" w:eastAsia="宋体" w:hint="default"/>
        </w:rPr>
        <w:t>2.36%</w:t>
      </w:r>
      <w:r>
        <w:rPr/>
        <w:t>和</w:t>
      </w:r>
      <w:r>
        <w:rPr>
          <w:spacing w:val="-56"/>
        </w:rPr>
        <w:t> </w:t>
      </w:r>
      <w:r>
        <w:rPr>
          <w:rFonts w:ascii="宋体" w:hAnsi="宋体" w:cs="宋体" w:eastAsia="宋体" w:hint="default"/>
        </w:rPr>
        <w:t>5.55%</w:t>
      </w:r>
      <w:r>
        <w:rPr/>
        <w:t>。</w:t>
      </w:r>
    </w:p>
    <w:p>
      <w:pPr>
        <w:pStyle w:val="BodyText"/>
        <w:spacing w:line="273" w:lineRule="auto"/>
        <w:ind w:right="1148"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8"/>
        </w:rPr>
        <w:t> </w:t>
      </w:r>
      <w:r>
        <w:rPr/>
        <w:t>因</w:t>
      </w:r>
      <w:r>
        <w:rPr>
          <w:spacing w:val="-62"/>
        </w:rPr>
        <w:t> </w:t>
      </w:r>
      <w:r>
        <w:rPr>
          <w:rFonts w:ascii="宋体" w:hAnsi="宋体" w:cs="宋体" w:eastAsia="宋体" w:hint="default"/>
        </w:rPr>
        <w:t>2014</w:t>
      </w:r>
      <w:r>
        <w:rPr>
          <w:rFonts w:ascii="宋体" w:hAnsi="宋体" w:cs="宋体" w:eastAsia="宋体" w:hint="default"/>
          <w:spacing w:val="-62"/>
        </w:rPr>
        <w:t> </w:t>
      </w:r>
      <w:r>
        <w:rPr/>
        <w:t>年重组系非同一控制下合并，重组资产创世漫道仅并入自购买之日起至期末的一个月 </w:t>
      </w:r>
      <w:r>
        <w:rPr>
          <w:spacing w:val="-1"/>
        </w:rPr>
        <w:t>的财务数据，报告期公司主营业务或其结构、主营业务盈利能力没有发生重大变化。因本期各门店租金</w:t>
      </w:r>
      <w:r>
        <w:rPr>
          <w:spacing w:val="-100"/>
        </w:rPr>
        <w:t> </w:t>
      </w:r>
      <w:r>
        <w:rPr>
          <w:spacing w:val="-100"/>
        </w:rPr>
      </w:r>
      <w:r>
        <w:rPr>
          <w:spacing w:val="-1"/>
        </w:rPr>
        <w:t>有所上升，公司商业零售包括百货零售及秦皇岛地区的营业成本有所下降、毛利率有所上升。信息传输</w:t>
      </w:r>
      <w:r>
        <w:rPr>
          <w:spacing w:val="-101"/>
        </w:rPr>
        <w:t> </w:t>
      </w:r>
      <w:r>
        <w:rPr>
          <w:spacing w:val="-101"/>
        </w:rPr>
      </w:r>
      <w:r>
        <w:rPr/>
        <w:t>及短</w:t>
      </w:r>
      <w:r>
        <w:rPr>
          <w:rFonts w:ascii="宋体" w:hAnsi="宋体" w:cs="宋体" w:eastAsia="宋体" w:hint="default"/>
        </w:rPr>
        <w:t>(</w:t>
      </w:r>
      <w:r>
        <w:rPr/>
        <w:t>彩</w:t>
      </w:r>
      <w:r>
        <w:rPr>
          <w:rFonts w:ascii="宋体" w:hAnsi="宋体" w:cs="宋体" w:eastAsia="宋体" w:hint="default"/>
        </w:rPr>
        <w:t>)</w:t>
      </w:r>
      <w:r>
        <w:rPr/>
        <w:t>信</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rFonts w:ascii="宋体" w:hAnsi="宋体" w:cs="宋体" w:eastAsia="宋体" w:hint="default"/>
        </w:rPr>
        <w:t>2014</w:t>
      </w:r>
      <w:r>
        <w:rPr>
          <w:rFonts w:ascii="宋体" w:hAnsi="宋体" w:cs="宋体" w:eastAsia="宋体" w:hint="default"/>
          <w:spacing w:val="-54"/>
        </w:rPr>
        <w:t> </w:t>
      </w:r>
      <w:r>
        <w:rPr/>
        <w:t>年的毛利率分别为</w:t>
      </w:r>
      <w:r>
        <w:rPr>
          <w:spacing w:val="-53"/>
        </w:rPr>
        <w:t> </w:t>
      </w:r>
      <w:r>
        <w:rPr>
          <w:rFonts w:ascii="宋体" w:hAnsi="宋体" w:cs="宋体" w:eastAsia="宋体" w:hint="default"/>
        </w:rPr>
        <w:t>30.56%</w:t>
      </w:r>
      <w:r>
        <w:rPr/>
        <w:t>、</w:t>
      </w:r>
      <w:r>
        <w:rPr>
          <w:rFonts w:ascii="宋体" w:hAnsi="宋体" w:cs="宋体" w:eastAsia="宋体" w:hint="default"/>
        </w:rPr>
        <w:t>31.38%</w:t>
      </w:r>
      <w:r>
        <w:rPr/>
        <w:t>比较稳定。因本期实现消化存量及新盘， </w:t>
      </w:r>
      <w:r>
        <w:rPr>
          <w:spacing w:val="-1"/>
        </w:rPr>
        <w:t>公司房地产、商铺销售同比上升；因新盘建设成本相对较高、售价同比持平，公司房地产、售房和安徽</w:t>
      </w:r>
      <w:r>
        <w:rPr>
          <w:spacing w:val="1"/>
        </w:rPr>
        <w:t> </w:t>
      </w:r>
      <w:r>
        <w:rPr/>
        <w:t>地区的营业成本增幅较大，毛利率有所下降。公司主营业务构成情况见下表</w:t>
      </w:r>
    </w:p>
    <w:p>
      <w:pPr>
        <w:spacing w:line="240" w:lineRule="auto" w:before="7"/>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560"/>
        <w:gridCol w:w="1496"/>
        <w:gridCol w:w="1498"/>
        <w:gridCol w:w="1117"/>
        <w:gridCol w:w="1417"/>
        <w:gridCol w:w="1419"/>
        <w:gridCol w:w="1417"/>
      </w:tblGrid>
      <w:tr>
        <w:trPr>
          <w:trHeight w:val="54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21"/>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22"/>
              <w:jc w:val="righ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46"/>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78"/>
              <w:jc w:val="left"/>
              <w:rPr>
                <w:rFonts w:ascii="宋体" w:hAnsi="宋体" w:cs="宋体" w:eastAsia="宋体" w:hint="default"/>
                <w:sz w:val="18"/>
                <w:szCs w:val="18"/>
              </w:rPr>
            </w:pPr>
            <w:r>
              <w:rPr>
                <w:rFonts w:ascii="宋体" w:hAnsi="宋体" w:cs="宋体" w:eastAsia="宋体" w:hint="default"/>
                <w:spacing w:val="20"/>
                <w:sz w:val="18"/>
                <w:szCs w:val="18"/>
              </w:rPr>
              <w:t>营业收入比上</w:t>
            </w:r>
            <w:r>
              <w:rPr>
                <w:rFonts w:ascii="宋体" w:hAnsi="宋体" w:cs="宋体" w:eastAsia="宋体" w:hint="default"/>
                <w:spacing w:val="-66"/>
                <w:sz w:val="18"/>
                <w:szCs w:val="18"/>
              </w:rPr>
              <w:t> </w:t>
            </w:r>
            <w:r>
              <w:rPr>
                <w:rFonts w:ascii="宋体" w:hAnsi="宋体" w:cs="宋体" w:eastAsia="宋体" w:hint="default"/>
                <w:sz w:val="18"/>
                <w:szCs w:val="18"/>
              </w:rPr>
              <w:t>年同期增减</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103"/>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比</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z w:val="18"/>
                <w:szCs w:val="18"/>
              </w:rPr>
              <w:t> 年同期增减</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2" w:right="79"/>
              <w:jc w:val="left"/>
              <w:rPr>
                <w:rFonts w:ascii="宋体" w:hAnsi="宋体" w:cs="宋体" w:eastAsia="宋体" w:hint="default"/>
                <w:sz w:val="18"/>
                <w:szCs w:val="18"/>
              </w:rPr>
            </w:pPr>
            <w:r>
              <w:rPr>
                <w:rFonts w:ascii="宋体" w:hAnsi="宋体" w:cs="宋体" w:eastAsia="宋体" w:hint="default"/>
                <w:spacing w:val="20"/>
                <w:sz w:val="18"/>
                <w:szCs w:val="18"/>
              </w:rPr>
              <w:t>毛利率比上年</w:t>
            </w:r>
            <w:r>
              <w:rPr>
                <w:rFonts w:ascii="宋体" w:hAnsi="宋体" w:cs="宋体" w:eastAsia="宋体" w:hint="default"/>
                <w:spacing w:val="-66"/>
                <w:sz w:val="18"/>
                <w:szCs w:val="18"/>
              </w:rPr>
              <w:t> </w:t>
            </w:r>
            <w:r>
              <w:rPr>
                <w:rFonts w:ascii="宋体" w:hAnsi="宋体" w:cs="宋体" w:eastAsia="宋体" w:hint="default"/>
                <w:sz w:val="18"/>
                <w:szCs w:val="18"/>
              </w:rPr>
              <w:t>同期增减</w:t>
            </w:r>
          </w:p>
        </w:tc>
      </w:tr>
      <w:tr>
        <w:trPr>
          <w:trHeight w:val="322" w:hRule="exact"/>
        </w:trPr>
        <w:tc>
          <w:tcPr>
            <w:tcW w:w="99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商业零售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174,821.26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138,698.31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2.07</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其中：百货零售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165,943.73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131,091.29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2.09</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信息传输</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4,520.19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3,248.19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28.14</w:t>
            </w:r>
          </w:p>
        </w:tc>
        <w:tc>
          <w:tcPr>
            <w:tcW w:w="4253" w:type="dxa"/>
            <w:gridSpan w:val="3"/>
            <w:vMerge w:val="restart"/>
            <w:tcBorders>
              <w:top w:val="single" w:sz="4" w:space="0" w:color="000000"/>
              <w:left w:val="single" w:sz="4" w:space="0" w:color="000000"/>
              <w:right w:val="single" w:sz="4" w:space="0" w:color="000000"/>
            </w:tcBorders>
          </w:tcPr>
          <w:p>
            <w:pPr>
              <w:pStyle w:val="TableParagraph"/>
              <w:spacing w:line="240" w:lineRule="auto" w:before="53"/>
              <w:ind w:left="103" w:right="179"/>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年重组完成后于当年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月并入数据，上期 未并入不可比。</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其中：短</w:t>
            </w:r>
            <w:r>
              <w:rPr>
                <w:rFonts w:ascii="宋体" w:hAnsi="宋体" w:cs="宋体" w:eastAsia="宋体" w:hint="default"/>
                <w:sz w:val="18"/>
                <w:szCs w:val="18"/>
              </w:rPr>
              <w:t>(</w:t>
            </w:r>
            <w:r>
              <w:rPr>
                <w:rFonts w:ascii="宋体" w:hAnsi="宋体" w:cs="宋体" w:eastAsia="宋体" w:hint="default"/>
                <w:sz w:val="18"/>
                <w:szCs w:val="18"/>
              </w:rPr>
              <w:t>彩</w:t>
            </w:r>
            <w:r>
              <w:rPr>
                <w:rFonts w:ascii="宋体" w:hAnsi="宋体" w:cs="宋体" w:eastAsia="宋体" w:hint="default"/>
                <w:sz w:val="18"/>
                <w:szCs w:val="18"/>
              </w:rPr>
              <w:t>)</w:t>
            </w:r>
            <w:r>
              <w:rPr>
                <w:rFonts w:ascii="宋体" w:hAnsi="宋体" w:cs="宋体" w:eastAsia="宋体" w:hint="default"/>
                <w:sz w:val="18"/>
                <w:szCs w:val="18"/>
              </w:rPr>
              <w:t>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3,248.19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28.14</w:t>
            </w:r>
          </w:p>
        </w:tc>
        <w:tc>
          <w:tcPr>
            <w:tcW w:w="4253" w:type="dxa"/>
            <w:gridSpan w:val="3"/>
            <w:vMerge/>
            <w:tcBorders>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10,678.32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5,885.55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-6.34</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其中：售房</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6,165.86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3,716.22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54.30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-9.11</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4,512.46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2,169.34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-1.52</w:t>
            </w:r>
          </w:p>
        </w:tc>
      </w:tr>
      <w:tr>
        <w:trPr>
          <w:trHeight w:val="322" w:hRule="exact"/>
        </w:trPr>
        <w:tc>
          <w:tcPr>
            <w:tcW w:w="99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176,814.56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142,109.30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2.65</w:t>
            </w: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4,520.19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3,248.19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28.14</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年重组完成后于当年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月并入数据，上期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未并入不可比。</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10,665.73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5,292.01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50.38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26.52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36.70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-3.70</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三、公司资产、负债状况分析</w:t>
      </w:r>
    </w:p>
    <w:p>
      <w:pPr>
        <w:pStyle w:val="BodyText"/>
        <w:spacing w:line="240" w:lineRule="auto" w:before="99"/>
        <w:ind w:left="824" w:right="41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下表显示报告期公司主要资产项目占总资产的比重同比未发生重大变化。</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560"/>
        <w:gridCol w:w="1776"/>
        <w:gridCol w:w="1769"/>
        <w:gridCol w:w="1772"/>
        <w:gridCol w:w="1772"/>
        <w:gridCol w:w="1276"/>
      </w:tblGrid>
      <w:tr>
        <w:trPr>
          <w:trHeight w:val="364"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325" w:hRule="exact"/>
        </w:trPr>
        <w:tc>
          <w:tcPr>
            <w:tcW w:w="1560"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w:t>
            </w:r>
          </w:p>
        </w:tc>
        <w:tc>
          <w:tcPr>
            <w:tcW w:w="1276" w:type="dxa"/>
            <w:vMerge/>
            <w:tcBorders>
              <w:left w:val="single" w:sz="4" w:space="0" w:color="000000"/>
              <w:bottom w:val="single" w:sz="4" w:space="0" w:color="000000"/>
              <w:right w:val="single" w:sz="4" w:space="0" w:color="000000"/>
            </w:tcBorders>
          </w:tcPr>
          <w:p>
            <w:pP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283,120,467.94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10.07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190,356,057.52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-0.98</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116,087,550.64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4.13%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37,666,261.85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1.94%</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512,165,719.97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18.22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656,591,122.75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-19.90</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249,497,186.82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259,498,304.46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-6.19</w:t>
            </w:r>
          </w:p>
        </w:tc>
      </w:tr>
      <w:tr>
        <w:trPr>
          <w:trHeight w:val="29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659,097,934.86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23.45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492,203,337.46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28.58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-5.13</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5,304,092.03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2,775,870.59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0.03</w:t>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2,810,732,666.73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1,722,215,377.80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变动说明</w:t>
            </w:r>
          </w:p>
        </w:tc>
        <w:tc>
          <w:tcPr>
            <w:tcW w:w="83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因滁州茂业华美达酒店开业将相关存货开发产品转入固定资产</w:t>
            </w:r>
            <w:r>
              <w:rPr>
                <w:rFonts w:ascii="宋体" w:hAnsi="宋体" w:cs="宋体" w:eastAsia="宋体" w:hint="default"/>
                <w:spacing w:val="-90"/>
                <w:sz w:val="18"/>
                <w:szCs w:val="18"/>
              </w:rPr>
              <w:t>，</w:t>
            </w:r>
            <w:r>
              <w:rPr>
                <w:rFonts w:ascii="宋体" w:hAnsi="宋体" w:cs="宋体" w:eastAsia="宋体" w:hint="default"/>
                <w:sz w:val="18"/>
                <w:szCs w:val="18"/>
              </w:rPr>
              <w:t>存货所占比重同比减少</w:t>
            </w:r>
            <w:r>
              <w:rPr>
                <w:rFonts w:ascii="宋体" w:hAnsi="宋体" w:cs="宋体" w:eastAsia="宋体" w:hint="default"/>
                <w:spacing w:val="-66"/>
                <w:sz w:val="18"/>
                <w:szCs w:val="18"/>
              </w:rPr>
              <w:t> </w:t>
            </w:r>
            <w:r>
              <w:rPr>
                <w:rFonts w:ascii="宋体" w:hAnsi="宋体" w:cs="宋体" w:eastAsia="宋体" w:hint="default"/>
                <w:sz w:val="18"/>
                <w:szCs w:val="18"/>
              </w:rPr>
              <w:t>19.90</w:t>
            </w:r>
            <w:r>
              <w:rPr>
                <w:rFonts w:ascii="宋体" w:hAnsi="宋体" w:cs="宋体" w:eastAsia="宋体" w:hint="default"/>
                <w:spacing w:val="-66"/>
                <w:sz w:val="18"/>
                <w:szCs w:val="18"/>
              </w:rPr>
              <w:t> </w:t>
            </w:r>
            <w:r>
              <w:rPr>
                <w:rFonts w:ascii="宋体" w:hAnsi="宋体" w:cs="宋体" w:eastAsia="宋体" w:hint="default"/>
                <w:sz w:val="18"/>
                <w:szCs w:val="18"/>
              </w:rPr>
              <w:t>个百</w:t>
            </w:r>
            <w:r>
              <w:rPr>
                <w:rFonts w:ascii="宋体" w:hAnsi="宋体" w:cs="宋体" w:eastAsia="宋体" w:hint="default"/>
                <w:spacing w:val="-2"/>
                <w:sz w:val="18"/>
                <w:szCs w:val="18"/>
              </w:rPr>
              <w:t>分</w:t>
            </w:r>
            <w:r>
              <w:rPr>
                <w:rFonts w:ascii="宋体" w:hAnsi="宋体" w:cs="宋体" w:eastAsia="宋体" w:hint="default"/>
                <w:sz w:val="18"/>
                <w:szCs w:val="18"/>
              </w:rPr>
              <w:t>点 。</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公司主要负债项目变动情况</w:t>
      </w:r>
      <w:r>
        <w:rPr>
          <w:rFonts w:ascii="宋体" w:hAnsi="宋体" w:cs="宋体" w:eastAsia="宋体" w:hint="default"/>
        </w:rPr>
        <w:t>(</w:t>
      </w:r>
      <w:r>
        <w:rPr/>
        <w:t>未有变化</w:t>
      </w:r>
      <w:r>
        <w:rPr>
          <w:rFonts w:ascii="宋体" w:hAnsi="宋体" w:cs="宋体" w:eastAsia="宋体" w:hint="default"/>
        </w:rPr>
        <w:t>)</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60"/>
        <w:gridCol w:w="1776"/>
        <w:gridCol w:w="1769"/>
        <w:gridCol w:w="1772"/>
        <w:gridCol w:w="1772"/>
        <w:gridCol w:w="1276"/>
      </w:tblGrid>
      <w:tr>
        <w:trPr>
          <w:trHeight w:val="391"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326" w:hRule="exact"/>
        </w:trPr>
        <w:tc>
          <w:tcPr>
            <w:tcW w:w="1560"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5"/>
              <w:jc w:val="righ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2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w:t>
            </w:r>
          </w:p>
        </w:tc>
        <w:tc>
          <w:tcPr>
            <w:tcW w:w="1276" w:type="dxa"/>
            <w:vMerge/>
            <w:tcBorders>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2,810,732,666.73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1,722,215,377.80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footerReference w:type="default" r:id="rId17"/>
          <w:pgSz w:w="11910" w:h="16840"/>
          <w:pgMar w:footer="1219" w:header="883" w:top="1140" w:bottom="1400" w:left="900" w:right="0"/>
          <w:pgNumType w:start="11"/>
        </w:sectPr>
      </w:pPr>
    </w:p>
    <w:p>
      <w:pPr>
        <w:spacing w:line="240" w:lineRule="auto" w:before="9"/>
        <w:rPr>
          <w:rFonts w:ascii="宋体" w:hAnsi="宋体" w:cs="宋体" w:eastAsia="宋体" w:hint="default"/>
          <w:sz w:val="17"/>
          <w:szCs w:val="17"/>
        </w:rPr>
      </w:pPr>
    </w:p>
    <w:p>
      <w:pPr>
        <w:pStyle w:val="BodyText"/>
        <w:spacing w:line="273" w:lineRule="auto" w:before="35"/>
        <w:ind w:left="824" w:right="1175" w:firstLine="105"/>
        <w:jc w:val="left"/>
      </w:pPr>
      <w:r>
        <w:rPr>
          <w:rFonts w:ascii="宋体" w:hAnsi="宋体" w:cs="宋体" w:eastAsia="宋体" w:hint="default"/>
        </w:rPr>
        <w:t>(</w:t>
      </w:r>
      <w:r>
        <w:rPr/>
        <w:t>三</w:t>
      </w:r>
      <w:r>
        <w:rPr>
          <w:rFonts w:ascii="宋体" w:hAnsi="宋体" w:cs="宋体" w:eastAsia="宋体" w:hint="default"/>
        </w:rPr>
        <w:t>) </w:t>
      </w:r>
      <w:r>
        <w:rPr/>
        <w:t>以公允价值计量的资产和负债 </w:t>
      </w:r>
      <w:r>
        <w:rPr>
          <w:spacing w:val="-1"/>
        </w:rPr>
        <w:t>报告期，公司没有购买、出售以公允价值计量的资产，公司的主要资产均采用历史成本、可变现净</w:t>
      </w:r>
    </w:p>
    <w:p>
      <w:pPr>
        <w:pStyle w:val="BodyText"/>
        <w:spacing w:line="273" w:lineRule="auto"/>
        <w:ind w:right="1177"/>
        <w:jc w:val="left"/>
      </w:pPr>
      <w:r>
        <w:rPr>
          <w:spacing w:val="-1"/>
        </w:rPr>
        <w:t>值等计量属性。公司不涉及衍生金融工具的会计核算，未持有外币金融资产，金融负债不涉及公允价值</w:t>
      </w:r>
      <w:r>
        <w:rPr>
          <w:spacing w:val="-102"/>
        </w:rPr>
        <w:t> </w:t>
      </w:r>
      <w:r>
        <w:rPr>
          <w:spacing w:val="-102"/>
        </w:rPr>
      </w:r>
      <w:r>
        <w:rPr/>
        <w:t>计量。</w:t>
      </w:r>
    </w:p>
    <w:p>
      <w:pPr>
        <w:pStyle w:val="BodyText"/>
        <w:spacing w:line="240" w:lineRule="auto" w:before="8"/>
        <w:ind w:left="824" w:right="418"/>
        <w:jc w:val="left"/>
      </w:pPr>
      <w:r>
        <w:rPr/>
        <w:t>公司的金融资产仅有 </w:t>
      </w:r>
      <w:r>
        <w:rPr>
          <w:rFonts w:ascii="宋体" w:hAnsi="宋体" w:cs="宋体" w:eastAsia="宋体" w:hint="default"/>
        </w:rPr>
        <w:t>2009</w:t>
      </w:r>
      <w:r>
        <w:rPr>
          <w:rFonts w:ascii="宋体" w:hAnsi="宋体" w:cs="宋体" w:eastAsia="宋体" w:hint="default"/>
          <w:spacing w:val="-41"/>
        </w:rPr>
        <w:t> </w:t>
      </w:r>
      <w:r>
        <w:rPr/>
        <w:t>年购买持续到本期的证券投资基金涉及公允价值计量，公允价值以市场</w:t>
      </w:r>
    </w:p>
    <w:p>
      <w:pPr>
        <w:pStyle w:val="BodyText"/>
        <w:spacing w:line="273" w:lineRule="auto" w:before="37"/>
        <w:ind w:right="1173"/>
        <w:jc w:val="left"/>
        <w:rPr>
          <w:rFonts w:ascii="宋体" w:hAnsi="宋体" w:cs="宋体" w:eastAsia="宋体" w:hint="default"/>
        </w:rPr>
      </w:pPr>
      <w:r>
        <w:rPr/>
        <w:t>交易价格获取。该基金名称：交银治理，代码：</w:t>
      </w:r>
      <w:r>
        <w:rPr>
          <w:rFonts w:ascii="宋体" w:hAnsi="宋体" w:cs="宋体" w:eastAsia="宋体" w:hint="default"/>
        </w:rPr>
        <w:t>519686</w:t>
      </w:r>
      <w:r>
        <w:rPr/>
        <w:t>，持有数量 </w:t>
      </w:r>
      <w:r>
        <w:rPr>
          <w:rFonts w:ascii="宋体" w:hAnsi="宋体" w:cs="宋体" w:eastAsia="宋体" w:hint="default"/>
        </w:rPr>
        <w:t>99.41 </w:t>
      </w:r>
      <w:r>
        <w:rPr/>
        <w:t>万份，初始投资金额</w:t>
      </w:r>
      <w:r>
        <w:rPr>
          <w:spacing w:val="-41"/>
        </w:rPr>
        <w:t> </w:t>
      </w:r>
      <w:r>
        <w:rPr>
          <w:rFonts w:ascii="宋体" w:hAnsi="宋体" w:cs="宋体" w:eastAsia="宋体" w:hint="default"/>
        </w:rPr>
        <w:t>100.01 </w:t>
      </w:r>
      <w:r>
        <w:rPr/>
        <w:t>万元。有关情况见下表</w:t>
      </w:r>
      <w:r>
        <w:rPr>
          <w:rFonts w:ascii="宋体" w:hAnsi="宋体" w:cs="宋体" w:eastAsia="宋体" w:hint="default"/>
        </w:rPr>
        <w:t>(</w:t>
      </w:r>
      <w:r>
        <w:rPr/>
        <w:t>单位：万元</w:t>
      </w:r>
      <w:r>
        <w:rPr>
          <w:rFonts w:ascii="宋体" w:hAnsi="宋体" w:cs="宋体" w:eastAsia="宋体" w:hint="default"/>
        </w:rPr>
        <w:t>)</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270"/>
        <w:gridCol w:w="1277"/>
        <w:gridCol w:w="1134"/>
        <w:gridCol w:w="1554"/>
        <w:gridCol w:w="996"/>
        <w:gridCol w:w="852"/>
        <w:gridCol w:w="850"/>
        <w:gridCol w:w="992"/>
      </w:tblGrid>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本期公允价</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的减值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买金额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本期出</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售金额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656" w:type="dxa"/>
            <w:gridSpan w:val="7"/>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w:t>
            </w:r>
            <w:r>
              <w:rPr>
                <w:rFonts w:ascii="宋体" w:hAnsi="宋体" w:cs="宋体" w:eastAsia="宋体" w:hint="default"/>
                <w:sz w:val="18"/>
                <w:szCs w:val="18"/>
              </w:rPr>
            </w:r>
          </w:p>
          <w:p>
            <w:pPr>
              <w:pStyle w:val="TableParagraph"/>
              <w:spacing w:line="240" w:lineRule="auto"/>
              <w:ind w:left="103" w:right="95"/>
              <w:jc w:val="left"/>
              <w:rPr>
                <w:rFonts w:ascii="宋体" w:hAnsi="宋体" w:cs="宋体" w:eastAsia="宋体" w:hint="default"/>
                <w:sz w:val="18"/>
                <w:szCs w:val="18"/>
              </w:rPr>
            </w:pPr>
            <w:r>
              <w:rPr>
                <w:rFonts w:ascii="宋体" w:hAnsi="宋体" w:cs="宋体" w:eastAsia="宋体" w:hint="default"/>
                <w:spacing w:val="7"/>
                <w:sz w:val="18"/>
                <w:szCs w:val="18"/>
              </w:rPr>
              <w:t>计入当期损益的金融资产 </w:t>
            </w:r>
            <w:r>
              <w:rPr>
                <w:rFonts w:ascii="宋体" w:hAnsi="宋体" w:cs="宋体" w:eastAsia="宋体" w:hint="default"/>
                <w:sz w:val="18"/>
                <w:szCs w:val="18"/>
              </w:rPr>
              <w:t>(</w:t>
            </w:r>
            <w:r>
              <w:rPr>
                <w:rFonts w:ascii="宋体" w:hAnsi="宋体" w:cs="宋体" w:eastAsia="宋体" w:hint="default"/>
                <w:sz w:val="18"/>
                <w:szCs w:val="18"/>
              </w:rPr>
              <w:t>不含衍生的金融资产</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sz w:val="18"/>
              </w:rPr>
              <w:t>71.48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0" w:right="0"/>
              <w:jc w:val="left"/>
              <w:rPr>
                <w:rFonts w:ascii="宋体" w:hAnsi="宋体" w:cs="宋体" w:eastAsia="宋体" w:hint="default"/>
                <w:sz w:val="18"/>
                <w:szCs w:val="18"/>
              </w:rPr>
            </w:pPr>
            <w:r>
              <w:rPr>
                <w:rFonts w:ascii="宋体"/>
                <w:sz w:val="18"/>
              </w:rPr>
              <w:t>46.53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3"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118.01</w:t>
            </w:r>
          </w:p>
        </w:tc>
      </w:tr>
    </w:tbl>
    <w:p>
      <w:pPr>
        <w:spacing w:line="240" w:lineRule="auto" w:before="0"/>
        <w:rPr>
          <w:rFonts w:ascii="宋体" w:hAnsi="宋体" w:cs="宋体" w:eastAsia="宋体" w:hint="default"/>
          <w:sz w:val="20"/>
          <w:szCs w:val="20"/>
        </w:rPr>
      </w:pPr>
    </w:p>
    <w:p>
      <w:pPr>
        <w:pStyle w:val="BodyText"/>
        <w:tabs>
          <w:tab w:pos="5656" w:val="left" w:leader="none"/>
          <w:tab w:pos="6390" w:val="left" w:leader="none"/>
        </w:tabs>
        <w:spacing w:line="240" w:lineRule="auto" w:before="35"/>
        <w:ind w:left="824" w:right="418"/>
        <w:jc w:val="left"/>
      </w:pPr>
      <w:r>
        <w:rPr/>
        <w:t>报告期内公司主要资产计量属性是否发生重大变化</w:t>
        <w:tab/>
        <w:t>□</w:t>
      </w:r>
      <w:r>
        <w:rPr>
          <w:spacing w:val="-1"/>
        </w:rPr>
        <w:t> </w:t>
      </w:r>
      <w:r>
        <w:rPr/>
        <w:t>是</w:t>
        <w:tab/>
        <w:t>√</w:t>
      </w:r>
      <w:r>
        <w:rPr>
          <w:spacing w:val="-1"/>
        </w:rPr>
        <w:t> </w:t>
      </w:r>
      <w:r>
        <w:rPr/>
        <w:t>否。</w:t>
      </w:r>
    </w:p>
    <w:p>
      <w:pPr>
        <w:spacing w:line="240" w:lineRule="auto" w:before="10"/>
        <w:rPr>
          <w:rFonts w:ascii="宋体" w:hAnsi="宋体" w:cs="宋体" w:eastAsia="宋体" w:hint="default"/>
          <w:sz w:val="14"/>
          <w:szCs w:val="14"/>
        </w:rPr>
      </w:pPr>
    </w:p>
    <w:p>
      <w:pPr>
        <w:pStyle w:val="BodyText"/>
        <w:spacing w:line="273" w:lineRule="auto" w:before="0"/>
        <w:ind w:left="824" w:right="1132"/>
        <w:jc w:val="left"/>
      </w:pPr>
      <w:r>
        <w:rPr/>
        <w:t>四、核心竞争力分析 公司的核心竞争力在于具备完善与创新能力，百货零售拥有当地经营历史久、规模大的自有物业，</w:t>
      </w:r>
    </w:p>
    <w:p>
      <w:pPr>
        <w:pStyle w:val="BodyText"/>
        <w:spacing w:line="273" w:lineRule="auto"/>
        <w:ind w:right="1177"/>
        <w:jc w:val="left"/>
      </w:pPr>
      <w:r>
        <w:rPr>
          <w:spacing w:val="-4"/>
        </w:rPr>
        <w:t>提供优质服务，保障商品质量。报告期公司</w:t>
      </w:r>
      <w:r>
        <w:rPr>
          <w:spacing w:val="-47"/>
        </w:rPr>
        <w:t> </w:t>
      </w:r>
      <w:r>
        <w:rPr>
          <w:rFonts w:ascii="宋体" w:hAnsi="宋体" w:cs="宋体" w:eastAsia="宋体" w:hint="default"/>
        </w:rPr>
        <w:t>4</w:t>
      </w:r>
      <w:r>
        <w:rPr>
          <w:rFonts w:ascii="宋体" w:hAnsi="宋体" w:cs="宋体" w:eastAsia="宋体" w:hint="default"/>
          <w:spacing w:val="-48"/>
        </w:rPr>
        <w:t> </w:t>
      </w:r>
      <w:r>
        <w:rPr/>
        <w:t>家主要百货门店的营业收入占公司总收入的</w:t>
      </w:r>
      <w:r>
        <w:rPr>
          <w:spacing w:val="-48"/>
        </w:rPr>
        <w:t> </w:t>
      </w:r>
      <w:r>
        <w:rPr>
          <w:rFonts w:ascii="宋体" w:hAnsi="宋体" w:cs="宋体" w:eastAsia="宋体" w:hint="default"/>
          <w:spacing w:val="-4"/>
        </w:rPr>
        <w:t>86.43%</w:t>
      </w:r>
      <w:r>
        <w:rPr>
          <w:spacing w:val="-4"/>
        </w:rPr>
        <w:t>，占当</w:t>
      </w:r>
      <w:r>
        <w:rPr/>
        <w:t> 地限额以上百货店</w:t>
      </w:r>
      <w:r>
        <w:rPr>
          <w:rFonts w:ascii="宋体" w:hAnsi="宋体" w:cs="宋体" w:eastAsia="宋体" w:hint="default"/>
        </w:rPr>
        <w:t>/</w:t>
      </w:r>
      <w:r>
        <w:rPr/>
        <w:t>购物中心销售额的</w:t>
      </w:r>
      <w:r>
        <w:rPr>
          <w:spacing w:val="-59"/>
        </w:rPr>
        <w:t> </w:t>
      </w:r>
      <w:r>
        <w:rPr>
          <w:rFonts w:ascii="宋体" w:hAnsi="宋体" w:cs="宋体" w:eastAsia="宋体" w:hint="default"/>
        </w:rPr>
        <w:t>77.79%(</w:t>
      </w:r>
      <w:r>
        <w:rPr/>
        <w:t>见本报告本章概述部分“四”的内容</w:t>
      </w:r>
      <w:r>
        <w:rPr>
          <w:rFonts w:ascii="宋体" w:hAnsi="宋体" w:cs="宋体" w:eastAsia="宋体" w:hint="default"/>
        </w:rPr>
        <w:t>)</w:t>
      </w:r>
      <w:r>
        <w:rPr/>
        <w:t>。</w:t>
      </w:r>
    </w:p>
    <w:p>
      <w:pPr>
        <w:pStyle w:val="BodyText"/>
        <w:spacing w:line="273" w:lineRule="auto"/>
        <w:ind w:right="1188" w:firstLine="420"/>
        <w:jc w:val="both"/>
      </w:pPr>
      <w:r>
        <w:rPr/>
        <w:t>报告期创世漫道拥有 </w:t>
      </w:r>
      <w:r>
        <w:rPr>
          <w:rFonts w:ascii="宋体" w:hAnsi="宋体" w:cs="宋体" w:eastAsia="宋体" w:hint="default"/>
        </w:rPr>
        <w:t>19</w:t>
      </w:r>
      <w:r>
        <w:rPr>
          <w:rFonts w:ascii="宋体" w:hAnsi="宋体" w:cs="宋体" w:eastAsia="宋体" w:hint="default"/>
          <w:spacing w:val="-41"/>
        </w:rPr>
        <w:t> </w:t>
      </w:r>
      <w:r>
        <w:rPr/>
        <w:t>项软件著作权和自主研发的一整套信息服务软件、平台系统，可以实现隔 离单一通道运行风险、适用广泛的“平台</w:t>
      </w:r>
      <w:r>
        <w:rPr>
          <w:rFonts w:ascii="宋体" w:hAnsi="宋体" w:cs="宋体" w:eastAsia="宋体" w:hint="default"/>
        </w:rPr>
        <w:t>+</w:t>
      </w:r>
      <w:r>
        <w:rPr/>
        <w:t>接口”架构、瞬时并发的快速处理能力、高度稳定的服务性</w:t>
      </w:r>
      <w:r>
        <w:rPr>
          <w:spacing w:val="-49"/>
        </w:rPr>
        <w:t> </w:t>
      </w:r>
      <w:r>
        <w:rPr>
          <w:spacing w:val="-49"/>
        </w:rPr>
      </w:r>
      <w:r>
        <w:rPr/>
        <w:t>能及严密的信息安全保障，在业界拥有先进的技术。</w:t>
      </w:r>
    </w:p>
    <w:p>
      <w:pPr>
        <w:pStyle w:val="BodyText"/>
        <w:spacing w:line="240" w:lineRule="auto" w:before="164"/>
        <w:ind w:left="824" w:right="5945"/>
        <w:jc w:val="left"/>
      </w:pPr>
      <w:r>
        <w:rPr/>
        <w:t>五、投资状况分析</w:t>
      </w:r>
    </w:p>
    <w:p>
      <w:pPr>
        <w:pStyle w:val="BodyText"/>
        <w:spacing w:line="273" w:lineRule="auto" w:before="37"/>
        <w:ind w:right="1188" w:firstLine="420"/>
        <w:jc w:val="both"/>
      </w:pPr>
      <w:r>
        <w:rPr/>
        <w:t>除 </w:t>
      </w:r>
      <w:r>
        <w:rPr>
          <w:rFonts w:ascii="宋体" w:hAnsi="宋体" w:cs="宋体" w:eastAsia="宋体" w:hint="default"/>
        </w:rPr>
        <w:t>2014</w:t>
      </w:r>
      <w:r>
        <w:rPr>
          <w:rFonts w:ascii="宋体" w:hAnsi="宋体" w:cs="宋体" w:eastAsia="宋体" w:hint="default"/>
          <w:spacing w:val="-41"/>
        </w:rPr>
        <w:t> </w:t>
      </w:r>
      <w:r>
        <w:rPr/>
        <w:t>年重组外。报告期公司没有其它对外股权投资；没有买卖其他上市公司股份等证券投资； 没有衍生品投资和委托贷款；没有报告期之前募集资金的使用延续到报告期内的。</w:t>
      </w:r>
    </w:p>
    <w:p>
      <w:pPr>
        <w:pStyle w:val="BodyText"/>
        <w:spacing w:line="271" w:lineRule="auto" w:before="70"/>
        <w:ind w:left="824" w:right="7539"/>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公司对外股权投资情况 </w:t>
      </w:r>
      <w:r>
        <w:rPr>
          <w:rFonts w:ascii="宋体" w:hAnsi="宋体" w:cs="宋体" w:eastAsia="宋体" w:hint="default"/>
        </w:rPr>
        <w:t>1</w:t>
      </w:r>
      <w:r>
        <w:rPr/>
        <w:t>、对外投资情况</w:t>
      </w:r>
    </w:p>
    <w:p>
      <w:pPr>
        <w:spacing w:line="240" w:lineRule="auto" w:before="4"/>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694"/>
        <w:gridCol w:w="4254"/>
        <w:gridCol w:w="2976"/>
      </w:tblGrid>
      <w:tr>
        <w:trPr>
          <w:trHeight w:val="323" w:hRule="exact"/>
        </w:trPr>
        <w:tc>
          <w:tcPr>
            <w:tcW w:w="9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1" w:right="0"/>
              <w:jc w:val="left"/>
              <w:rPr>
                <w:rFonts w:ascii="宋体" w:hAnsi="宋体" w:cs="宋体" w:eastAsia="宋体" w:hint="default"/>
                <w:sz w:val="18"/>
                <w:szCs w:val="18"/>
              </w:rPr>
            </w:pPr>
            <w:r>
              <w:rPr>
                <w:rFonts w:ascii="宋体" w:hAnsi="宋体" w:cs="宋体" w:eastAsia="宋体" w:hint="default"/>
                <w:sz w:val="18"/>
                <w:szCs w:val="18"/>
              </w:rPr>
              <w:t>报告期投资额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2" w:right="0"/>
              <w:jc w:val="left"/>
              <w:rPr>
                <w:rFonts w:ascii="宋体" w:hAnsi="宋体" w:cs="宋体" w:eastAsia="宋体" w:hint="default"/>
                <w:sz w:val="18"/>
                <w:szCs w:val="18"/>
              </w:rPr>
            </w:pPr>
            <w:r>
              <w:rPr>
                <w:rFonts w:ascii="宋体" w:hAnsi="宋体" w:cs="宋体" w:eastAsia="宋体" w:hint="default"/>
                <w:sz w:val="18"/>
                <w:szCs w:val="18"/>
              </w:rPr>
              <w:t>上年同期投资额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79"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7" w:right="0"/>
              <w:jc w:val="left"/>
              <w:rPr>
                <w:rFonts w:ascii="宋体" w:hAnsi="宋体" w:cs="宋体" w:eastAsia="宋体" w:hint="default"/>
                <w:sz w:val="21"/>
                <w:szCs w:val="21"/>
              </w:rPr>
            </w:pPr>
            <w:r>
              <w:rPr>
                <w:rFonts w:ascii="宋体"/>
                <w:sz w:val="21"/>
              </w:rPr>
              <w:t>87,800.00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90,000</w:t>
            </w:r>
          </w:p>
        </w:tc>
      </w:tr>
      <w:tr>
        <w:trPr>
          <w:trHeight w:val="323" w:hRule="exact"/>
        </w:trPr>
        <w:tc>
          <w:tcPr>
            <w:tcW w:w="9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9"/>
              <w:jc w:val="right"/>
              <w:rPr>
                <w:rFonts w:ascii="宋体" w:hAnsi="宋体" w:cs="宋体" w:eastAsia="宋体" w:hint="default"/>
                <w:sz w:val="18"/>
                <w:szCs w:val="18"/>
              </w:rPr>
            </w:pPr>
            <w:r>
              <w:rPr>
                <w:rFonts w:ascii="宋体" w:hAnsi="宋体" w:cs="宋体" w:eastAsia="宋体" w:hint="default"/>
                <w:sz w:val="18"/>
                <w:szCs w:val="18"/>
              </w:rPr>
              <w:t>本公司占被投资公司权益比例</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移动信息发送以及与之相关的系统开发与运营维护</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pStyle w:val="BodyText"/>
        <w:spacing w:line="240" w:lineRule="auto" w:before="35"/>
        <w:ind w:left="810" w:right="5945"/>
        <w:jc w:val="left"/>
      </w:pPr>
      <w:r>
        <w:rPr>
          <w:rFonts w:ascii="宋体" w:hAnsi="宋体" w:cs="宋体" w:eastAsia="宋体" w:hint="default"/>
        </w:rPr>
        <w:t>2</w:t>
      </w:r>
      <w:r>
        <w:rPr/>
        <w:t>、持有金融企业股权情况</w:t>
      </w:r>
    </w:p>
    <w:p>
      <w:pPr>
        <w:pStyle w:val="BodyText"/>
        <w:spacing w:line="240" w:lineRule="auto" w:before="37"/>
        <w:ind w:left="807" w:right="418"/>
        <w:jc w:val="left"/>
      </w:pPr>
      <w:r>
        <w:rPr/>
        <w:t>公司于</w:t>
      </w:r>
      <w:r>
        <w:rPr>
          <w:spacing w:val="-53"/>
        </w:rPr>
        <w:t> </w:t>
      </w:r>
      <w:r>
        <w:rPr>
          <w:rFonts w:ascii="宋体" w:hAnsi="宋体" w:cs="宋体" w:eastAsia="宋体" w:hint="default"/>
        </w:rPr>
        <w:t>1998</w:t>
      </w:r>
      <w:r>
        <w:rPr>
          <w:rFonts w:ascii="宋体" w:hAnsi="宋体" w:cs="宋体" w:eastAsia="宋体" w:hint="default"/>
          <w:spacing w:val="-54"/>
        </w:rPr>
        <w:t> </w:t>
      </w:r>
      <w:r>
        <w:rPr/>
        <w:t>年以自有资金投资秦皇岛市商业银行情况见下表</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629"/>
        <w:gridCol w:w="641"/>
        <w:gridCol w:w="992"/>
        <w:gridCol w:w="915"/>
        <w:gridCol w:w="770"/>
        <w:gridCol w:w="784"/>
        <w:gridCol w:w="792"/>
        <w:gridCol w:w="993"/>
        <w:gridCol w:w="992"/>
        <w:gridCol w:w="835"/>
        <w:gridCol w:w="582"/>
      </w:tblGrid>
      <w:tr>
        <w:trPr>
          <w:trHeight w:val="710"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36"/>
              <w:jc w:val="left"/>
              <w:rPr>
                <w:rFonts w:ascii="宋体" w:hAnsi="宋体" w:cs="宋体" w:eastAsia="宋体" w:hint="default"/>
                <w:sz w:val="18"/>
                <w:szCs w:val="18"/>
              </w:rPr>
            </w:pPr>
            <w:r>
              <w:rPr>
                <w:rFonts w:ascii="宋体" w:hAnsi="宋体" w:cs="宋体" w:eastAsia="宋体" w:hint="default"/>
                <w:spacing w:val="32"/>
                <w:sz w:val="18"/>
                <w:szCs w:val="18"/>
              </w:rPr>
              <w:t>公司</w:t>
            </w:r>
            <w:r>
              <w:rPr>
                <w:rFonts w:ascii="宋体" w:hAnsi="宋体" w:cs="宋体" w:eastAsia="宋体" w:hint="default"/>
                <w:spacing w:val="-26"/>
                <w:sz w:val="18"/>
                <w:szCs w:val="18"/>
              </w:rPr>
              <w:t> </w:t>
            </w:r>
            <w:r>
              <w:rPr>
                <w:rFonts w:ascii="宋体" w:hAnsi="宋体" w:cs="宋体" w:eastAsia="宋体" w:hint="default"/>
                <w:sz w:val="18"/>
                <w:szCs w:val="18"/>
              </w:rPr>
              <w:t>类别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最初投资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24"/>
                <w:sz w:val="18"/>
                <w:szCs w:val="18"/>
              </w:rPr>
              <w:t>成本</w:t>
            </w:r>
            <w:r>
              <w:rPr>
                <w:rFonts w:ascii="宋体" w:hAnsi="宋体" w:cs="宋体" w:eastAsia="宋体" w:hint="default"/>
                <w:spacing w:val="-41"/>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万 元</w:t>
            </w:r>
            <w:r>
              <w:rPr>
                <w:rFonts w:ascii="宋体" w:hAnsi="宋体" w:cs="宋体" w:eastAsia="宋体" w:hint="default"/>
                <w:sz w:val="18"/>
                <w:szCs w:val="18"/>
              </w:rPr>
              <w:t>)</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9"/>
                <w:sz w:val="18"/>
                <w:szCs w:val="18"/>
              </w:rPr>
              <w:t>期初</w:t>
            </w:r>
            <w:r>
              <w:rPr>
                <w:rFonts w:ascii="宋体" w:hAnsi="宋体" w:cs="宋体" w:eastAsia="宋体" w:hint="default"/>
                <w:sz w:val="18"/>
                <w:szCs w:val="18"/>
              </w:rPr>
              <w:t>持</w:t>
            </w:r>
            <w:r>
              <w:rPr>
                <w:rFonts w:ascii="宋体" w:hAnsi="宋体" w:cs="宋体" w:eastAsia="宋体" w:hint="default"/>
                <w:spacing w:val="-11"/>
                <w:sz w:val="18"/>
                <w:szCs w:val="18"/>
              </w:rPr>
              <w:t> </w:t>
            </w:r>
            <w:r>
              <w:rPr>
                <w:rFonts w:ascii="宋体" w:hAnsi="宋体" w:cs="宋体" w:eastAsia="宋体" w:hint="default"/>
                <w:sz w:val="18"/>
                <w:szCs w:val="18"/>
              </w:rPr>
            </w:r>
          </w:p>
          <w:p>
            <w:pPr>
              <w:pStyle w:val="TableParagraph"/>
              <w:spacing w:line="240" w:lineRule="auto"/>
              <w:ind w:left="101" w:right="23"/>
              <w:jc w:val="left"/>
              <w:rPr>
                <w:rFonts w:ascii="宋体" w:hAnsi="宋体" w:cs="宋体" w:eastAsia="宋体" w:hint="default"/>
                <w:sz w:val="18"/>
                <w:szCs w:val="18"/>
              </w:rPr>
            </w:pPr>
            <w:r>
              <w:rPr>
                <w:rFonts w:ascii="宋体" w:hAnsi="宋体" w:cs="宋体" w:eastAsia="宋体" w:hint="default"/>
                <w:spacing w:val="52"/>
                <w:sz w:val="18"/>
                <w:szCs w:val="18"/>
              </w:rPr>
              <w:t>股数量</w:t>
            </w:r>
            <w:r>
              <w:rPr>
                <w:rFonts w:ascii="宋体" w:hAnsi="宋体" w:cs="宋体" w:eastAsia="宋体" w:hint="default"/>
                <w:spacing w:val="-11"/>
                <w:sz w:val="18"/>
                <w:szCs w:val="18"/>
              </w:rPr>
              <w:t> </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期初持</w:t>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3"/>
                <w:sz w:val="18"/>
                <w:szCs w:val="18"/>
              </w:rPr>
              <w:t>股比例 </w:t>
            </w:r>
            <w:r>
              <w:rPr>
                <w:rFonts w:ascii="宋体" w:hAnsi="宋体" w:cs="宋体" w:eastAsia="宋体" w:hint="default"/>
                <w:spacing w:val="-4"/>
                <w:sz w:val="18"/>
                <w:szCs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期末持</w:t>
            </w:r>
          </w:p>
          <w:p>
            <w:pPr>
              <w:pStyle w:val="TableParagraph"/>
              <w:spacing w:line="240" w:lineRule="auto"/>
              <w:ind w:left="103" w:right="85"/>
              <w:jc w:val="left"/>
              <w:rPr>
                <w:rFonts w:ascii="宋体" w:hAnsi="宋体" w:cs="宋体" w:eastAsia="宋体" w:hint="default"/>
                <w:sz w:val="18"/>
                <w:szCs w:val="18"/>
              </w:rPr>
            </w:pPr>
            <w:r>
              <w:rPr>
                <w:rFonts w:ascii="宋体" w:hAnsi="宋体" w:cs="宋体" w:eastAsia="宋体" w:hint="default"/>
                <w:spacing w:val="14"/>
                <w:sz w:val="18"/>
                <w:szCs w:val="18"/>
              </w:rPr>
              <w:t>股数量 </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期末持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pacing w:val="16"/>
                <w:sz w:val="18"/>
                <w:szCs w:val="18"/>
              </w:rPr>
              <w:t>股比例</w:t>
            </w:r>
            <w:r>
              <w:rPr>
                <w:rFonts w:ascii="宋体" w:hAnsi="宋体" w:cs="宋体" w:eastAsia="宋体" w:hint="default"/>
                <w:spacing w:val="-66"/>
                <w:sz w:val="18"/>
                <w:szCs w:val="18"/>
              </w:rPr>
              <w:t> </w:t>
            </w:r>
            <w:r>
              <w:rPr>
                <w:rFonts w:ascii="宋体" w:hAnsi="宋体" w:cs="宋体" w:eastAsia="宋体" w:hint="default"/>
                <w:spacing w:val="-4"/>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82"/>
              <w:jc w:val="left"/>
              <w:rPr>
                <w:rFonts w:ascii="宋体" w:hAnsi="宋体" w:cs="宋体" w:eastAsia="宋体" w:hint="default"/>
                <w:sz w:val="18"/>
                <w:szCs w:val="18"/>
              </w:rPr>
            </w:pPr>
            <w:r>
              <w:rPr>
                <w:rFonts w:ascii="宋体" w:hAnsi="宋体" w:cs="宋体" w:eastAsia="宋体" w:hint="default"/>
                <w:spacing w:val="14"/>
                <w:sz w:val="18"/>
                <w:szCs w:val="18"/>
              </w:rPr>
              <w:t>期末账面</w:t>
            </w:r>
            <w:r>
              <w:rPr>
                <w:rFonts w:ascii="宋体" w:hAnsi="宋体" w:cs="宋体" w:eastAsia="宋体" w:hint="default"/>
                <w:spacing w:val="-71"/>
                <w:sz w:val="18"/>
                <w:szCs w:val="18"/>
              </w:rPr>
              <w:t> </w:t>
            </w: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80"/>
              <w:jc w:val="left"/>
              <w:rPr>
                <w:rFonts w:ascii="宋体" w:hAnsi="宋体" w:cs="宋体" w:eastAsia="宋体" w:hint="default"/>
                <w:sz w:val="18"/>
                <w:szCs w:val="18"/>
              </w:rPr>
            </w:pPr>
            <w:r>
              <w:rPr>
                <w:rFonts w:ascii="宋体" w:hAnsi="宋体" w:cs="宋体" w:eastAsia="宋体" w:hint="default"/>
                <w:spacing w:val="14"/>
                <w:sz w:val="18"/>
                <w:szCs w:val="18"/>
              </w:rPr>
              <w:t>报告期损</w:t>
            </w:r>
            <w:r>
              <w:rPr>
                <w:rFonts w:ascii="宋体" w:hAnsi="宋体" w:cs="宋体" w:eastAsia="宋体" w:hint="default"/>
                <w:spacing w:val="-71"/>
                <w:sz w:val="18"/>
                <w:szCs w:val="18"/>
              </w:rPr>
              <w:t> </w:t>
            </w: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62"/>
              <w:jc w:val="left"/>
              <w:rPr>
                <w:rFonts w:ascii="宋体" w:hAnsi="宋体" w:cs="宋体" w:eastAsia="宋体" w:hint="default"/>
                <w:sz w:val="18"/>
                <w:szCs w:val="18"/>
              </w:rPr>
            </w:pPr>
            <w:r>
              <w:rPr>
                <w:rFonts w:ascii="宋体" w:hAnsi="宋体" w:cs="宋体" w:eastAsia="宋体" w:hint="default"/>
                <w:spacing w:val="26"/>
                <w:sz w:val="18"/>
                <w:szCs w:val="18"/>
              </w:rPr>
              <w:t>会计核</w:t>
            </w:r>
            <w:r>
              <w:rPr>
                <w:rFonts w:ascii="宋体" w:hAnsi="宋体" w:cs="宋体" w:eastAsia="宋体" w:hint="default"/>
                <w:spacing w:val="-51"/>
                <w:sz w:val="18"/>
                <w:szCs w:val="18"/>
              </w:rPr>
              <w:t> </w:t>
            </w:r>
            <w:r>
              <w:rPr>
                <w:rFonts w:ascii="宋体" w:hAnsi="宋体" w:cs="宋体" w:eastAsia="宋体" w:hint="default"/>
                <w:sz w:val="18"/>
                <w:szCs w:val="18"/>
              </w:rPr>
              <w:t>算科目</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96"/>
              <w:jc w:val="left"/>
              <w:rPr>
                <w:rFonts w:ascii="宋体" w:hAnsi="宋体" w:cs="宋体" w:eastAsia="宋体" w:hint="default"/>
                <w:sz w:val="18"/>
                <w:szCs w:val="18"/>
              </w:rPr>
            </w:pPr>
            <w:r>
              <w:rPr>
                <w:rFonts w:ascii="宋体" w:hAnsi="宋体" w:cs="宋体" w:eastAsia="宋体" w:hint="default"/>
                <w:spacing w:val="6"/>
                <w:sz w:val="18"/>
                <w:szCs w:val="18"/>
              </w:rPr>
              <w:t>股份 </w:t>
            </w:r>
            <w:r>
              <w:rPr>
                <w:rFonts w:ascii="宋体" w:hAnsi="宋体" w:cs="宋体" w:eastAsia="宋体" w:hint="default"/>
                <w:sz w:val="18"/>
                <w:szCs w:val="18"/>
              </w:rPr>
              <w:t>来源</w:t>
            </w:r>
          </w:p>
        </w:tc>
      </w:tr>
      <w:tr>
        <w:trPr>
          <w:trHeight w:val="635"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65"/>
                <w:sz w:val="18"/>
                <w:szCs w:val="18"/>
              </w:rPr>
              <w:t> </w:t>
            </w:r>
            <w:r>
              <w:rPr>
                <w:rFonts w:ascii="宋体" w:hAnsi="宋体" w:cs="宋体" w:eastAsia="宋体" w:hint="default"/>
                <w:sz w:val="18"/>
                <w:szCs w:val="18"/>
              </w:rPr>
              <w:t>皇</w:t>
            </w:r>
            <w:r>
              <w:rPr>
                <w:rFonts w:ascii="宋体" w:hAnsi="宋体" w:cs="宋体" w:eastAsia="宋体" w:hint="default"/>
                <w:spacing w:val="-65"/>
                <w:sz w:val="18"/>
                <w:szCs w:val="18"/>
              </w:rPr>
              <w:t> </w:t>
            </w:r>
            <w:r>
              <w:rPr>
                <w:rFonts w:ascii="宋体" w:hAnsi="宋体" w:cs="宋体" w:eastAsia="宋体" w:hint="default"/>
                <w:sz w:val="18"/>
                <w:szCs w:val="18"/>
              </w:rPr>
              <w:t>岛</w:t>
            </w:r>
            <w:r>
              <w:rPr>
                <w:rFonts w:ascii="宋体" w:hAnsi="宋体" w:cs="宋体" w:eastAsia="宋体" w:hint="default"/>
                <w:spacing w:val="-65"/>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67"/>
              <w:jc w:val="left"/>
              <w:rPr>
                <w:rFonts w:ascii="宋体" w:hAnsi="宋体" w:cs="宋体" w:eastAsia="宋体" w:hint="default"/>
                <w:sz w:val="18"/>
                <w:szCs w:val="18"/>
              </w:rPr>
            </w:pPr>
            <w:r>
              <w:rPr>
                <w:rFonts w:ascii="宋体" w:hAnsi="宋体" w:cs="宋体" w:eastAsia="宋体" w:hint="default"/>
                <w:sz w:val="18"/>
                <w:szCs w:val="18"/>
              </w:rPr>
              <w:t>股份 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宋体" w:hAnsi="宋体" w:cs="宋体" w:eastAsia="宋体" w:hint="default"/>
                <w:sz w:val="18"/>
                <w:szCs w:val="18"/>
              </w:rPr>
            </w:pPr>
            <w:r>
              <w:rPr>
                <w:rFonts w:ascii="宋体"/>
                <w:sz w:val="18"/>
              </w:rPr>
              <w:t>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181" w:right="102"/>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 w:right="102"/>
              <w:jc w:val="left"/>
              <w:rPr>
                <w:rFonts w:ascii="宋体" w:hAnsi="宋体" w:cs="宋体" w:eastAsia="宋体" w:hint="default"/>
                <w:sz w:val="18"/>
                <w:szCs w:val="18"/>
              </w:rPr>
            </w:pPr>
            <w:r>
              <w:rPr>
                <w:rFonts w:ascii="宋体" w:hAnsi="宋体" w:cs="宋体" w:eastAsia="宋体" w:hint="default"/>
                <w:sz w:val="18"/>
                <w:szCs w:val="18"/>
              </w:rPr>
              <w:t>投资 参股</w:t>
            </w:r>
          </w:p>
        </w:tc>
      </w:tr>
      <w:tr>
        <w:trPr>
          <w:trHeight w:val="469"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58"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500.00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18"/>
                <w:szCs w:val="18"/>
              </w:rPr>
            </w:pPr>
            <w:r>
              <w:rPr>
                <w:rFonts w:ascii="宋体"/>
                <w:sz w:val="18"/>
              </w:rPr>
              <w:t>500.00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0.99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7" w:right="0"/>
              <w:jc w:val="center"/>
              <w:rPr>
                <w:rFonts w:ascii="宋体" w:hAnsi="宋体" w:cs="宋体" w:eastAsia="宋体" w:hint="default"/>
                <w:sz w:val="18"/>
                <w:szCs w:val="18"/>
              </w:rPr>
            </w:pPr>
            <w:r>
              <w:rPr>
                <w:rFonts w:ascii="宋体"/>
                <w:sz w:val="18"/>
              </w:rPr>
              <w:t>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18"/>
                <w:szCs w:val="18"/>
              </w:rPr>
            </w:pPr>
            <w:r>
              <w:rPr>
                <w:rFonts w:ascii="宋体"/>
                <w:sz w:val="18"/>
              </w:rPr>
              <w:t>0.99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50.00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51" w:right="0"/>
              <w:jc w:val="left"/>
              <w:rPr>
                <w:rFonts w:ascii="宋体" w:hAnsi="宋体" w:cs="宋体" w:eastAsia="宋体" w:hint="default"/>
                <w:sz w:val="18"/>
                <w:szCs w:val="18"/>
              </w:rPr>
            </w:pPr>
            <w:r>
              <w:rPr>
                <w:rFonts w:ascii="宋体"/>
                <w:sz w:val="18"/>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97"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tabs>
          <w:tab w:pos="2610" w:val="left" w:leader="none"/>
          <w:tab w:pos="3554" w:val="left" w:leader="none"/>
        </w:tabs>
        <w:spacing w:line="240" w:lineRule="auto" w:before="35"/>
        <w:ind w:left="824" w:right="418"/>
        <w:jc w:val="left"/>
      </w:pPr>
      <w:r>
        <w:rPr>
          <w:rFonts w:ascii="宋体" w:hAnsi="宋体" w:cs="宋体" w:eastAsia="宋体" w:hint="default"/>
          <w:spacing w:val="-1"/>
        </w:rPr>
        <w:t>3</w:t>
      </w:r>
      <w:r>
        <w:rPr>
          <w:spacing w:val="-1"/>
        </w:rPr>
        <w:t>、证券投资情况</w:t>
        <w:tab/>
      </w:r>
      <w:r>
        <w:rPr/>
        <w:t>□</w:t>
      </w:r>
      <w:r>
        <w:rPr>
          <w:spacing w:val="-1"/>
        </w:rPr>
        <w:t> 适用</w:t>
        <w:tab/>
      </w:r>
      <w:r>
        <w:rPr/>
        <w:t>√ </w:t>
      </w:r>
      <w:r>
        <w:rPr>
          <w:spacing w:val="-1"/>
        </w:rPr>
        <w:t>不适用</w:t>
      </w:r>
      <w:r>
        <w:rPr>
          <w:spacing w:val="14"/>
        </w:rPr>
        <w:t> </w:t>
      </w:r>
      <w:r>
        <w:rPr>
          <w:rFonts w:ascii="宋体" w:hAnsi="宋体" w:cs="宋体" w:eastAsia="宋体" w:hint="default"/>
          <w:spacing w:val="-1"/>
        </w:rPr>
        <w:t>(</w:t>
      </w:r>
      <w:r>
        <w:rPr>
          <w:spacing w:val="-1"/>
        </w:rPr>
        <w:t>公司报告期不存在证券投资</w:t>
      </w:r>
      <w:r>
        <w:rPr>
          <w:rFonts w:ascii="宋体" w:hAnsi="宋体" w:cs="宋体" w:eastAsia="宋体" w:hint="default"/>
          <w:spacing w:val="-1"/>
        </w:rPr>
        <w:t>)</w:t>
      </w:r>
      <w:r>
        <w:rPr>
          <w:spacing w:val="-1"/>
        </w:rPr>
        <w:t>。</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tabs>
          <w:tab w:pos="4528" w:val="left" w:leader="none"/>
          <w:tab w:pos="5481" w:val="left" w:leader="none"/>
        </w:tabs>
        <w:spacing w:line="273" w:lineRule="auto" w:before="35"/>
        <w:ind w:right="1189" w:firstLine="420"/>
        <w:jc w:val="left"/>
      </w:pPr>
      <w:r>
        <w:rPr>
          <w:rFonts w:ascii="宋体" w:hAnsi="宋体" w:cs="宋体" w:eastAsia="宋体" w:hint="default"/>
        </w:rPr>
        <w:t>4</w:t>
      </w:r>
      <w:r>
        <w:rPr/>
        <w:t>、持有其他上市公司股权情况的说明</w:t>
        <w:tab/>
        <w:t>□</w:t>
      </w:r>
      <w:r>
        <w:rPr>
          <w:spacing w:val="2"/>
        </w:rPr>
        <w:t> </w:t>
      </w:r>
      <w:r>
        <w:rPr/>
        <w:t>适用</w:t>
        <w:tab/>
        <w:t>√ 不适用</w:t>
      </w:r>
      <w:r>
        <w:rPr>
          <w:spacing w:val="24"/>
        </w:rPr>
        <w:t> </w:t>
      </w:r>
      <w:r>
        <w:rPr>
          <w:rFonts w:ascii="宋体" w:hAnsi="宋体" w:cs="宋体" w:eastAsia="宋体" w:hint="default"/>
        </w:rPr>
        <w:t>(</w:t>
      </w:r>
      <w:r>
        <w:rPr/>
        <w:t>公司报告期未持有其他上市公司股 权</w:t>
      </w:r>
      <w:r>
        <w:rPr>
          <w:rFonts w:ascii="宋体" w:hAnsi="宋体" w:cs="宋体" w:eastAsia="宋体" w:hint="default"/>
        </w:rPr>
        <w:t>)</w:t>
      </w:r>
      <w:r>
        <w:rPr/>
        <w:t>。</w:t>
      </w:r>
    </w:p>
    <w:p>
      <w:pPr>
        <w:pStyle w:val="BodyText"/>
        <w:spacing w:line="273" w:lineRule="auto" w:before="163"/>
        <w:ind w:left="824" w:right="6069"/>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委托理财、衍生品投资和委托贷款情况 </w:t>
      </w:r>
      <w:r>
        <w:rPr>
          <w:rFonts w:ascii="宋体" w:hAnsi="宋体" w:cs="宋体" w:eastAsia="宋体" w:hint="default"/>
        </w:rPr>
        <w:t>1</w:t>
      </w:r>
      <w:r>
        <w:rPr/>
        <w:t>、委托理财情况见下表</w:t>
      </w:r>
      <w:r>
        <w:rPr>
          <w:rFonts w:ascii="宋体" w:hAnsi="宋体" w:cs="宋体" w:eastAsia="宋体" w:hint="default"/>
        </w:rPr>
        <w:t>(</w:t>
      </w:r>
      <w:r>
        <w:rPr/>
        <w:t>金额单位：万元</w:t>
      </w:r>
      <w:r>
        <w:rPr>
          <w:rFonts w:ascii="宋体" w:hAnsi="宋体" w:cs="宋体" w:eastAsia="宋体" w:hint="default"/>
        </w:rPr>
        <w:t>)</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349"/>
        <w:gridCol w:w="532"/>
        <w:gridCol w:w="504"/>
        <w:gridCol w:w="670"/>
        <w:gridCol w:w="870"/>
        <w:gridCol w:w="1092"/>
        <w:gridCol w:w="1080"/>
        <w:gridCol w:w="922"/>
        <w:gridCol w:w="840"/>
        <w:gridCol w:w="672"/>
        <w:gridCol w:w="686"/>
        <w:gridCol w:w="708"/>
      </w:tblGrid>
      <w:tr>
        <w:trPr>
          <w:trHeight w:val="7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0" w:right="7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22" w:right="109"/>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9" w:right="149"/>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7"/>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本期实际</w:t>
            </w:r>
          </w:p>
          <w:p>
            <w:pPr>
              <w:pStyle w:val="TableParagraph"/>
              <w:spacing w:line="232" w:lineRule="exact" w:before="24"/>
              <w:ind w:left="22" w:right="87"/>
              <w:jc w:val="left"/>
              <w:rPr>
                <w:rFonts w:ascii="宋体" w:hAnsi="宋体" w:cs="宋体" w:eastAsia="宋体" w:hint="default"/>
                <w:sz w:val="18"/>
                <w:szCs w:val="18"/>
              </w:rPr>
            </w:pPr>
            <w:r>
              <w:rPr>
                <w:rFonts w:ascii="宋体" w:hAnsi="宋体" w:cs="宋体" w:eastAsia="宋体" w:hint="default"/>
                <w:sz w:val="18"/>
                <w:szCs w:val="18"/>
              </w:rPr>
              <w:t>收回本金 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计提减</w:t>
            </w:r>
          </w:p>
          <w:p>
            <w:pPr>
              <w:pStyle w:val="TableParagraph"/>
              <w:spacing w:line="232" w:lineRule="exact" w:before="24"/>
              <w:ind w:left="22" w:right="97"/>
              <w:jc w:val="left"/>
              <w:rPr>
                <w:rFonts w:ascii="宋体" w:hAnsi="宋体" w:cs="宋体" w:eastAsia="宋体" w:hint="default"/>
                <w:sz w:val="18"/>
                <w:szCs w:val="18"/>
              </w:rPr>
            </w:pPr>
            <w:r>
              <w:rPr>
                <w:rFonts w:ascii="宋体" w:hAnsi="宋体" w:cs="宋体" w:eastAsia="宋体" w:hint="default"/>
                <w:sz w:val="18"/>
                <w:szCs w:val="18"/>
              </w:rPr>
              <w:t>值准备 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7" w:right="15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2" w:lineRule="exact" w:before="24"/>
              <w:ind w:left="21" w:right="134"/>
              <w:jc w:val="left"/>
              <w:rPr>
                <w:rFonts w:ascii="宋体" w:hAnsi="宋体" w:cs="宋体" w:eastAsia="宋体" w:hint="default"/>
                <w:sz w:val="18"/>
                <w:szCs w:val="18"/>
              </w:rPr>
            </w:pPr>
            <w:r>
              <w:rPr>
                <w:rFonts w:ascii="宋体" w:hAnsi="宋体" w:cs="宋体" w:eastAsia="宋体" w:hint="default"/>
                <w:sz w:val="18"/>
                <w:szCs w:val="18"/>
              </w:rPr>
              <w:t>实际损 益金额</w:t>
            </w:r>
          </w:p>
        </w:tc>
      </w:tr>
      <w:tr>
        <w:trPr>
          <w:trHeight w:val="293"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22" w:right="54"/>
              <w:jc w:val="both"/>
              <w:rPr>
                <w:rFonts w:ascii="宋体" w:hAnsi="宋体" w:cs="宋体" w:eastAsia="宋体" w:hint="default"/>
                <w:sz w:val="18"/>
                <w:szCs w:val="18"/>
              </w:rPr>
            </w:pPr>
            <w:r>
              <w:rPr>
                <w:rFonts w:ascii="宋体" w:hAnsi="宋体" w:cs="宋体" w:eastAsia="宋体" w:hint="default"/>
                <w:sz w:val="18"/>
                <w:szCs w:val="18"/>
              </w:rPr>
              <w:t>中国工商银行股 份有限公司秦皇 岛滨海支行</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95"/>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2014-03-03</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5,000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0" w:right="150"/>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14.92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14.92</w:t>
            </w:r>
          </w:p>
        </w:tc>
      </w:tr>
      <w:tr>
        <w:trPr>
          <w:trHeight w:val="293"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3,000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2014-02-24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2014-04-07</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13.82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13.82</w:t>
            </w:r>
          </w:p>
        </w:tc>
      </w:tr>
      <w:tr>
        <w:trPr>
          <w:trHeight w:val="293"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2014-03-05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2014-04-14</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21.34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21.34</w:t>
            </w:r>
          </w:p>
        </w:tc>
      </w:tr>
      <w:tr>
        <w:trPr>
          <w:trHeight w:val="293"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2014-08-13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2014-09-22</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8.09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8.09</w:t>
            </w:r>
          </w:p>
        </w:tc>
      </w:tr>
      <w:tr>
        <w:trPr>
          <w:trHeight w:val="294"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3,000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2014-09-10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2014-10-20</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12.13</w:t>
            </w:r>
          </w:p>
        </w:tc>
      </w:tr>
      <w:tr>
        <w:trPr>
          <w:trHeight w:val="293"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2014-09-24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2014-11-03</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8.09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8.09</w:t>
            </w:r>
          </w:p>
        </w:tc>
      </w:tr>
      <w:tr>
        <w:trPr>
          <w:trHeight w:val="293" w:hRule="exact"/>
        </w:trPr>
        <w:tc>
          <w:tcPr>
            <w:tcW w:w="134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3,000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2014-10-28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2014-12-01</w:t>
            </w:r>
          </w:p>
        </w:tc>
        <w:tc>
          <w:tcPr>
            <w:tcW w:w="922" w:type="dxa"/>
            <w:vMerge/>
            <w:tcBorders>
              <w:left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10.36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10.36</w:t>
            </w:r>
          </w:p>
        </w:tc>
      </w:tr>
      <w:tr>
        <w:trPr>
          <w:trHeight w:val="293" w:hRule="exact"/>
        </w:trPr>
        <w:tc>
          <w:tcPr>
            <w:tcW w:w="134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jc w:val="left"/>
              <w:rPr>
                <w:rFonts w:ascii="宋体" w:hAnsi="宋体" w:cs="宋体" w:eastAsia="宋体" w:hint="default"/>
                <w:sz w:val="18"/>
                <w:szCs w:val="18"/>
              </w:rPr>
            </w:pPr>
            <w:r>
              <w:rPr>
                <w:rFonts w:ascii="宋体"/>
                <w:sz w:val="18"/>
              </w:rPr>
              <w:t>2014-11-07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jc w:val="left"/>
              <w:rPr>
                <w:rFonts w:ascii="宋体" w:hAnsi="宋体" w:cs="宋体" w:eastAsia="宋体" w:hint="default"/>
                <w:sz w:val="18"/>
                <w:szCs w:val="18"/>
              </w:rPr>
            </w:pPr>
            <w:r>
              <w:rPr>
                <w:rFonts w:ascii="宋体"/>
                <w:sz w:val="18"/>
              </w:rPr>
              <w:t>2014-12-11</w:t>
            </w:r>
          </w:p>
        </w:tc>
        <w:tc>
          <w:tcPr>
            <w:tcW w:w="922"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2,000</w:t>
            </w:r>
          </w:p>
        </w:tc>
        <w:tc>
          <w:tcPr>
            <w:tcW w:w="672" w:type="dxa"/>
            <w:vMerge/>
            <w:tcBorders>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3"/>
              <w:jc w:val="right"/>
              <w:rPr>
                <w:rFonts w:ascii="宋体" w:hAnsi="宋体" w:cs="宋体" w:eastAsia="宋体" w:hint="default"/>
                <w:sz w:val="18"/>
                <w:szCs w:val="18"/>
              </w:rPr>
            </w:pPr>
            <w:r>
              <w:rPr>
                <w:rFonts w:ascii="宋体"/>
                <w:sz w:val="18"/>
              </w:rPr>
              <w:t>6.90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6.90</w:t>
            </w:r>
          </w:p>
        </w:tc>
      </w:tr>
      <w:tr>
        <w:trPr>
          <w:trHeight w:val="7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秦皇岛银行股份</w:t>
            </w:r>
          </w:p>
          <w:p>
            <w:pPr>
              <w:pStyle w:val="TableParagraph"/>
              <w:spacing w:line="232" w:lineRule="exact" w:before="24"/>
              <w:ind w:left="22" w:right="54"/>
              <w:jc w:val="left"/>
              <w:rPr>
                <w:rFonts w:ascii="宋体" w:hAnsi="宋体" w:cs="宋体" w:eastAsia="宋体" w:hint="default"/>
                <w:sz w:val="18"/>
                <w:szCs w:val="18"/>
              </w:rPr>
            </w:pPr>
            <w:r>
              <w:rPr>
                <w:rFonts w:ascii="宋体" w:hAnsi="宋体" w:cs="宋体" w:eastAsia="宋体" w:hint="default"/>
                <w:sz w:val="18"/>
                <w:szCs w:val="18"/>
              </w:rPr>
              <w:t>有限公司长城支 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 w:right="95"/>
              <w:jc w:val="left"/>
              <w:rPr>
                <w:rFonts w:ascii="宋体" w:hAnsi="宋体" w:cs="宋体" w:eastAsia="宋体" w:hint="default"/>
                <w:sz w:val="18"/>
                <w:szCs w:val="18"/>
              </w:rPr>
            </w:pPr>
            <w:r>
              <w:rPr>
                <w:rFonts w:ascii="宋体" w:hAnsi="宋体" w:cs="宋体" w:eastAsia="宋体" w:hint="default"/>
                <w:sz w:val="18"/>
                <w:szCs w:val="18"/>
              </w:rPr>
              <w:t>保本固 定收益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sz w:val="18"/>
              </w:rPr>
              <w:t>2014-11-06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2014-12-26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0" w:right="150"/>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z w:val="18"/>
              </w:rPr>
              <w:t>3.08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3.08</w:t>
            </w:r>
          </w:p>
        </w:tc>
      </w:tr>
      <w:tr>
        <w:trPr>
          <w:trHeight w:val="47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交通银行北京万</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柳支行</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保本浮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7,000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sz w:val="18"/>
              </w:rPr>
              <w:t>2014-10-14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6" w:right="0"/>
              <w:jc w:val="left"/>
              <w:rPr>
                <w:rFonts w:ascii="宋体" w:hAnsi="宋体" w:cs="宋体" w:eastAsia="宋体" w:hint="default"/>
                <w:sz w:val="18"/>
                <w:szCs w:val="18"/>
              </w:rPr>
            </w:pPr>
            <w:r>
              <w:rPr>
                <w:rFonts w:ascii="宋体"/>
                <w:sz w:val="18"/>
              </w:rPr>
              <w:t>2014-12-31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浮动收益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7,000</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right"/>
              <w:rPr>
                <w:rFonts w:ascii="宋体" w:hAnsi="宋体" w:cs="宋体" w:eastAsia="宋体" w:hint="default"/>
                <w:sz w:val="18"/>
                <w:szCs w:val="18"/>
              </w:rPr>
            </w:pPr>
            <w:r>
              <w:rPr>
                <w:rFonts w:ascii="宋体"/>
                <w:sz w:val="18"/>
              </w:rPr>
              <w:t>67.93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67.93</w:t>
            </w:r>
          </w:p>
        </w:tc>
      </w:tr>
      <w:tr>
        <w:trPr>
          <w:trHeight w:val="323" w:hRule="exact"/>
        </w:trPr>
        <w:tc>
          <w:tcPr>
            <w:tcW w:w="1349" w:type="dxa"/>
            <w:vMerge w:val="restart"/>
            <w:tcBorders>
              <w:top w:val="single" w:sz="4" w:space="0" w:color="000000"/>
              <w:left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w:t>
            </w:r>
          </w:p>
          <w:p>
            <w:pPr>
              <w:pStyle w:val="TableParagraph"/>
              <w:spacing w:line="240" w:lineRule="auto"/>
              <w:ind w:left="22" w:right="54"/>
              <w:jc w:val="left"/>
              <w:rPr>
                <w:rFonts w:ascii="宋体" w:hAnsi="宋体" w:cs="宋体" w:eastAsia="宋体" w:hint="default"/>
                <w:sz w:val="18"/>
                <w:szCs w:val="18"/>
              </w:rPr>
            </w:pPr>
            <w:r>
              <w:rPr>
                <w:rFonts w:ascii="宋体" w:hAnsi="宋体" w:cs="宋体" w:eastAsia="宋体" w:hint="default"/>
                <w:sz w:val="18"/>
                <w:szCs w:val="18"/>
              </w:rPr>
              <w:t>份有限公司秦皇 岛滨海支行</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0" w:type="dxa"/>
            <w:vMerge w:val="restart"/>
            <w:tcBorders>
              <w:top w:val="single" w:sz="4" w:space="0" w:color="000000"/>
              <w:left w:val="single" w:sz="4" w:space="0" w:color="000000"/>
              <w:right w:val="single" w:sz="4" w:space="0" w:color="000000"/>
            </w:tcBorders>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8" w:right="0"/>
              <w:jc w:val="left"/>
              <w:rPr>
                <w:rFonts w:ascii="宋体" w:hAnsi="宋体" w:cs="宋体" w:eastAsia="宋体" w:hint="default"/>
                <w:sz w:val="18"/>
                <w:szCs w:val="18"/>
              </w:rPr>
            </w:pPr>
            <w:r>
              <w:rPr>
                <w:rFonts w:ascii="宋体"/>
                <w:sz w:val="18"/>
              </w:rPr>
              <w:t>2014-12-02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sz w:val="18"/>
              </w:rPr>
              <w:t>2015-01-05</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40" w:type="dxa"/>
            <w:vMerge w:val="restart"/>
            <w:tcBorders>
              <w:top w:val="single" w:sz="4" w:space="0" w:color="000000"/>
              <w:left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报告期后</w:t>
            </w:r>
          </w:p>
          <w:p>
            <w:pPr>
              <w:pStyle w:val="TableParagraph"/>
              <w:spacing w:line="240" w:lineRule="auto"/>
              <w:ind w:left="22" w:right="87"/>
              <w:jc w:val="left"/>
              <w:rPr>
                <w:rFonts w:ascii="宋体" w:hAnsi="宋体" w:cs="宋体" w:eastAsia="宋体" w:hint="default"/>
                <w:sz w:val="18"/>
                <w:szCs w:val="18"/>
              </w:rPr>
            </w:pPr>
            <w:r>
              <w:rPr>
                <w:rFonts w:ascii="宋体" w:hAnsi="宋体" w:cs="宋体" w:eastAsia="宋体" w:hint="default"/>
                <w:sz w:val="18"/>
                <w:szCs w:val="18"/>
              </w:rPr>
              <w:t>已按期收 回</w:t>
            </w:r>
          </w:p>
        </w:tc>
        <w:tc>
          <w:tcPr>
            <w:tcW w:w="672" w:type="dxa"/>
            <w:vMerge/>
            <w:tcBorders>
              <w:left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6.90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未计入</w:t>
            </w:r>
          </w:p>
        </w:tc>
      </w:tr>
      <w:tr>
        <w:trPr>
          <w:trHeight w:val="388" w:hRule="exact"/>
        </w:trPr>
        <w:tc>
          <w:tcPr>
            <w:tcW w:w="134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宋体" w:hAnsi="宋体" w:cs="宋体" w:eastAsia="宋体" w:hint="default"/>
                <w:sz w:val="18"/>
                <w:szCs w:val="18"/>
              </w:rPr>
            </w:pPr>
            <w:r>
              <w:rPr>
                <w:rFonts w:ascii="宋体"/>
                <w:sz w:val="18"/>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2014-12-12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6" w:right="0"/>
              <w:jc w:val="left"/>
              <w:rPr>
                <w:rFonts w:ascii="宋体" w:hAnsi="宋体" w:cs="宋体" w:eastAsia="宋体" w:hint="default"/>
                <w:sz w:val="18"/>
                <w:szCs w:val="18"/>
              </w:rPr>
            </w:pPr>
            <w:r>
              <w:rPr>
                <w:rFonts w:ascii="宋体"/>
                <w:sz w:val="18"/>
              </w:rPr>
              <w:t>2015-01-15</w:t>
            </w:r>
          </w:p>
        </w:tc>
        <w:tc>
          <w:tcPr>
            <w:tcW w:w="922"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3"/>
              <w:jc w:val="right"/>
              <w:rPr>
                <w:rFonts w:ascii="宋体" w:hAnsi="宋体" w:cs="宋体" w:eastAsia="宋体" w:hint="default"/>
                <w:sz w:val="18"/>
                <w:szCs w:val="18"/>
              </w:rPr>
            </w:pPr>
            <w:r>
              <w:rPr>
                <w:rFonts w:ascii="宋体"/>
                <w:sz w:val="18"/>
              </w:rPr>
              <w:t>6.90</w:t>
            </w:r>
          </w:p>
        </w:tc>
        <w:tc>
          <w:tcPr>
            <w:tcW w:w="708" w:type="dxa"/>
            <w:vMerge/>
            <w:tcBorders>
              <w:left w:val="single" w:sz="4" w:space="0" w:color="000000"/>
              <w:bottom w:val="single" w:sz="4" w:space="0" w:color="000000"/>
              <w:right w:val="single" w:sz="4" w:space="0" w:color="000000"/>
            </w:tcBorders>
          </w:tcPr>
          <w:p>
            <w:pPr/>
          </w:p>
        </w:tc>
      </w:tr>
      <w:tr>
        <w:trPr>
          <w:trHeight w:val="323"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36,500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1" w:right="0"/>
              <w:jc w:val="left"/>
              <w:rPr>
                <w:rFonts w:ascii="Calibri" w:hAnsi="Calibri" w:cs="Calibri" w:eastAsia="Calibri" w:hint="default"/>
                <w:sz w:val="21"/>
                <w:szCs w:val="21"/>
              </w:rPr>
            </w:pPr>
            <w:r>
              <w:rPr>
                <w:rFonts w:ascii="Calibri"/>
                <w:sz w:val="21"/>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180.46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166.66</w:t>
            </w:r>
          </w:p>
        </w:tc>
      </w:tr>
      <w:tr>
        <w:trPr>
          <w:trHeight w:val="293"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8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93"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8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3"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涉诉情况</w:t>
            </w:r>
            <w:r>
              <w:rPr>
                <w:rFonts w:ascii="宋体" w:hAnsi="宋体" w:cs="宋体" w:eastAsia="宋体" w:hint="default"/>
                <w:sz w:val="18"/>
                <w:szCs w:val="18"/>
              </w:rPr>
              <w:t>(</w:t>
            </w:r>
            <w:r>
              <w:rPr>
                <w:rFonts w:ascii="宋体" w:hAnsi="宋体" w:cs="宋体" w:eastAsia="宋体" w:hint="default"/>
                <w:sz w:val="18"/>
                <w:szCs w:val="18"/>
              </w:rPr>
              <w:t>如适用</w:t>
            </w:r>
            <w:r>
              <w:rPr>
                <w:rFonts w:ascii="宋体" w:hAnsi="宋体" w:cs="宋体" w:eastAsia="宋体" w:hint="default"/>
                <w:sz w:val="18"/>
                <w:szCs w:val="18"/>
              </w:rPr>
              <w:t>)</w:t>
            </w:r>
          </w:p>
        </w:tc>
        <w:tc>
          <w:tcPr>
            <w:tcW w:w="68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tc>
        <w:tc>
          <w:tcPr>
            <w:tcW w:w="68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sz w:val="18"/>
              </w:rPr>
              <w:t>2014-01-28</w:t>
            </w:r>
          </w:p>
        </w:tc>
      </w:tr>
      <w:tr>
        <w:trPr>
          <w:trHeight w:val="294" w:hRule="exact"/>
        </w:trPr>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tc>
        <w:tc>
          <w:tcPr>
            <w:tcW w:w="68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7"/>
        <w:ind w:left="824" w:right="418"/>
        <w:jc w:val="left"/>
      </w:pPr>
      <w:r>
        <w:rPr/>
        <w:t>注：上表中向交通银行北京万柳支行购买的理财产品系公司</w:t>
      </w:r>
      <w:r>
        <w:rPr>
          <w:spacing w:val="-53"/>
        </w:rPr>
        <w:t> </w:t>
      </w:r>
      <w:r>
        <w:rPr>
          <w:rFonts w:ascii="宋体" w:hAnsi="宋体" w:cs="宋体" w:eastAsia="宋体" w:hint="default"/>
        </w:rPr>
        <w:t>2014</w:t>
      </w:r>
      <w:r>
        <w:rPr>
          <w:rFonts w:ascii="宋体" w:hAnsi="宋体" w:cs="宋体" w:eastAsia="宋体" w:hint="default"/>
          <w:spacing w:val="-54"/>
        </w:rPr>
        <w:t> </w:t>
      </w:r>
      <w:r>
        <w:rPr/>
        <w:t>年重组完成后并入。</w:t>
      </w:r>
    </w:p>
    <w:p>
      <w:pPr>
        <w:spacing w:line="240" w:lineRule="auto" w:before="9"/>
        <w:rPr>
          <w:rFonts w:ascii="宋体" w:hAnsi="宋体" w:cs="宋体" w:eastAsia="宋体" w:hint="default"/>
          <w:sz w:val="14"/>
          <w:szCs w:val="14"/>
        </w:rPr>
      </w:pPr>
    </w:p>
    <w:p>
      <w:pPr>
        <w:pStyle w:val="BodyText"/>
        <w:tabs>
          <w:tab w:pos="2820" w:val="left" w:leader="none"/>
          <w:tab w:pos="3764" w:val="left" w:leader="none"/>
        </w:tabs>
        <w:spacing w:line="240" w:lineRule="auto" w:before="0"/>
        <w:ind w:left="824" w:right="418"/>
        <w:jc w:val="left"/>
      </w:pPr>
      <w:r>
        <w:rPr>
          <w:rFonts w:ascii="宋体" w:hAnsi="宋体" w:cs="宋体" w:eastAsia="宋体" w:hint="default"/>
          <w:spacing w:val="-1"/>
        </w:rPr>
        <w:t>2</w:t>
      </w:r>
      <w:r>
        <w:rPr>
          <w:spacing w:val="-1"/>
        </w:rPr>
        <w:t>、衍生品投资情况</w:t>
        <w:tab/>
      </w:r>
      <w:r>
        <w:rPr/>
        <w:t>□</w:t>
      </w:r>
      <w:r>
        <w:rPr>
          <w:spacing w:val="-2"/>
        </w:rPr>
        <w:t> </w:t>
      </w:r>
      <w:r>
        <w:rPr/>
        <w:t>适用</w:t>
        <w:tab/>
        <w:t>√ </w:t>
      </w:r>
      <w:r>
        <w:rPr>
          <w:spacing w:val="-1"/>
        </w:rPr>
        <w:t>不适用</w:t>
      </w:r>
      <w:r>
        <w:rPr>
          <w:spacing w:val="14"/>
        </w:rPr>
        <w:t> </w:t>
      </w:r>
      <w:r>
        <w:rPr>
          <w:rFonts w:ascii="宋体" w:hAnsi="宋体" w:cs="宋体" w:eastAsia="宋体" w:hint="default"/>
          <w:spacing w:val="-1"/>
        </w:rPr>
        <w:t>(</w:t>
      </w:r>
      <w:r>
        <w:rPr>
          <w:spacing w:val="-1"/>
        </w:rPr>
        <w:t>公司报告期不存在衍生品投资</w:t>
      </w:r>
      <w:r>
        <w:rPr>
          <w:rFonts w:ascii="宋体" w:hAnsi="宋体" w:cs="宋体" w:eastAsia="宋体" w:hint="default"/>
          <w:spacing w:val="-1"/>
        </w:rPr>
        <w:t>)</w:t>
      </w:r>
      <w:r>
        <w:rPr>
          <w:spacing w:val="-1"/>
        </w:rPr>
        <w:t>。</w:t>
      </w:r>
    </w:p>
    <w:p>
      <w:pPr>
        <w:pStyle w:val="BodyText"/>
        <w:tabs>
          <w:tab w:pos="2610" w:val="left" w:leader="none"/>
          <w:tab w:pos="3554" w:val="left" w:leader="none"/>
        </w:tabs>
        <w:spacing w:line="240" w:lineRule="auto" w:before="37"/>
        <w:ind w:left="824" w:right="418"/>
        <w:jc w:val="left"/>
      </w:pPr>
      <w:r>
        <w:rPr>
          <w:rFonts w:ascii="宋体" w:hAnsi="宋体" w:cs="宋体" w:eastAsia="宋体" w:hint="default"/>
          <w:spacing w:val="-1"/>
        </w:rPr>
        <w:t>3</w:t>
      </w:r>
      <w:r>
        <w:rPr>
          <w:spacing w:val="-1"/>
        </w:rPr>
        <w:t>、委托贷款情况</w:t>
        <w:tab/>
      </w:r>
      <w:r>
        <w:rPr/>
        <w:t>□</w:t>
      </w:r>
      <w:r>
        <w:rPr>
          <w:spacing w:val="-1"/>
        </w:rPr>
        <w:t> 适用</w:t>
        <w:tab/>
      </w:r>
      <w:r>
        <w:rPr/>
        <w:t>√ </w:t>
      </w:r>
      <w:r>
        <w:rPr>
          <w:spacing w:val="-1"/>
        </w:rPr>
        <w:t>不适用</w:t>
      </w:r>
      <w:r>
        <w:rPr>
          <w:spacing w:val="14"/>
        </w:rPr>
        <w:t> </w:t>
      </w:r>
      <w:r>
        <w:rPr>
          <w:rFonts w:ascii="宋体" w:hAnsi="宋体" w:cs="宋体" w:eastAsia="宋体" w:hint="default"/>
          <w:spacing w:val="-1"/>
        </w:rPr>
        <w:t>(</w:t>
      </w:r>
      <w:r>
        <w:rPr>
          <w:spacing w:val="-1"/>
        </w:rPr>
        <w:t>公司报告期不存在委托贷款</w:t>
      </w:r>
      <w:r>
        <w:rPr>
          <w:rFonts w:ascii="宋体" w:hAnsi="宋体" w:cs="宋体" w:eastAsia="宋体" w:hint="default"/>
          <w:spacing w:val="-1"/>
        </w:rPr>
        <w:t>)</w:t>
      </w:r>
      <w:r>
        <w:rPr>
          <w:spacing w:val="-1"/>
        </w:rPr>
        <w:t>。</w:t>
      </w:r>
    </w:p>
    <w:p>
      <w:pPr>
        <w:spacing w:line="240" w:lineRule="auto" w:before="10"/>
        <w:rPr>
          <w:rFonts w:ascii="宋体" w:hAnsi="宋体" w:cs="宋体" w:eastAsia="宋体" w:hint="default"/>
          <w:sz w:val="14"/>
          <w:szCs w:val="14"/>
        </w:rPr>
      </w:pPr>
    </w:p>
    <w:p>
      <w:pPr>
        <w:pStyle w:val="BodyText"/>
        <w:spacing w:line="273" w:lineRule="auto" w:before="0"/>
        <w:ind w:left="824" w:right="5437"/>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募集资金使用情况 </w:t>
      </w:r>
      <w:r>
        <w:rPr>
          <w:rFonts w:ascii="宋体" w:hAnsi="宋体" w:cs="宋体" w:eastAsia="宋体" w:hint="default"/>
        </w:rPr>
        <w:t>1</w:t>
      </w:r>
      <w:r>
        <w:rPr/>
        <w:t>、募集资金总体使用情况见下表</w:t>
      </w:r>
      <w:r>
        <w:rPr>
          <w:rFonts w:ascii="宋体" w:hAnsi="宋体" w:cs="宋体" w:eastAsia="宋体" w:hint="default"/>
        </w:rPr>
        <w:t>(</w:t>
      </w:r>
      <w:r>
        <w:rPr/>
        <w:t>金额单位：万元</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900" w:firstLine="0"/>
        <w:jc w:val="right"/>
        <w:rPr>
          <w:rFonts w:ascii="宋体" w:hAnsi="宋体" w:cs="宋体" w:eastAsia="宋体" w:hint="default"/>
          <w:sz w:val="18"/>
          <w:szCs w:val="18"/>
        </w:rPr>
      </w:pPr>
      <w:r>
        <w:rPr/>
        <w:pict>
          <v:shape style="position:absolute;margin-left:50.759998pt;margin-top:-105.068291pt;width:497pt;height:179.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6805"/>
                  </w:tblGrid>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sz w:val="21"/>
                          </w:rPr>
                          <w:t>12,972.45</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sz w:val="21"/>
                          </w:rPr>
                          <w:t>12,972.45</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sz w:val="21"/>
                          </w:rPr>
                          <w:t>12,972.45</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未变更用途</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报告期内公司启动并实施完毕 </w:t>
                        </w: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年重组</w:t>
                        </w:r>
                        <w:r>
                          <w:rPr>
                            <w:rFonts w:ascii="宋体" w:hAnsi="宋体" w:cs="宋体" w:eastAsia="宋体" w:hint="default"/>
                            <w:sz w:val="18"/>
                            <w:szCs w:val="18"/>
                          </w:rPr>
                          <w:t>(</w:t>
                        </w:r>
                        <w:r>
                          <w:rPr>
                            <w:rFonts w:ascii="宋体" w:hAnsi="宋体" w:cs="宋体" w:eastAsia="宋体" w:hint="default"/>
                            <w:sz w:val="18"/>
                            <w:szCs w:val="18"/>
                          </w:rPr>
                          <w:t>见本报告第五章第二节重大资产收购</w:t>
                        </w:r>
                      </w:p>
                      <w:p>
                        <w:pPr>
                          <w:pStyle w:val="TableParagraph"/>
                          <w:spacing w:line="234" w:lineRule="exact"/>
                          <w:ind w:left="21" w:right="0"/>
                          <w:jc w:val="both"/>
                          <w:rPr>
                            <w:rFonts w:ascii="宋体" w:hAnsi="宋体" w:cs="宋体" w:eastAsia="宋体" w:hint="default"/>
                            <w:sz w:val="18"/>
                            <w:szCs w:val="18"/>
                          </w:rPr>
                        </w:pPr>
                        <w:r>
                          <w:rPr>
                            <w:rFonts w:ascii="宋体" w:hAnsi="宋体" w:cs="宋体" w:eastAsia="宋体" w:hint="default"/>
                            <w:sz w:val="18"/>
                            <w:szCs w:val="18"/>
                          </w:rPr>
                          <w:t>的相关内容</w:t>
                        </w:r>
                        <w:r>
                          <w:rPr>
                            <w:rFonts w:ascii="宋体" w:hAnsi="宋体" w:cs="宋体" w:eastAsia="宋体" w:hint="default"/>
                            <w:sz w:val="18"/>
                            <w:szCs w:val="18"/>
                          </w:rPr>
                          <w:t>)</w:t>
                        </w:r>
                        <w:r>
                          <w:rPr>
                            <w:rFonts w:ascii="宋体" w:hAnsi="宋体" w:cs="宋体" w:eastAsia="宋体" w:hint="default"/>
                            <w:sz w:val="18"/>
                            <w:szCs w:val="18"/>
                          </w:rPr>
                          <w:t>。报告期公司依据证监会批复，向峰幽投资募集资金</w:t>
                        </w:r>
                        <w:r>
                          <w:rPr>
                            <w:rFonts w:ascii="宋体" w:hAnsi="宋体" w:cs="宋体" w:eastAsia="宋体" w:hint="default"/>
                            <w:spacing w:val="-48"/>
                            <w:sz w:val="18"/>
                            <w:szCs w:val="18"/>
                          </w:rPr>
                          <w:t> </w:t>
                        </w:r>
                        <w:r>
                          <w:rPr>
                            <w:rFonts w:ascii="宋体" w:hAnsi="宋体" w:cs="宋体" w:eastAsia="宋体" w:hint="default"/>
                            <w:sz w:val="18"/>
                            <w:szCs w:val="18"/>
                          </w:rPr>
                          <w:t>131,699,999.34</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237" w:lineRule="auto" w:before="1"/>
                          <w:ind w:left="21" w:right="23"/>
                          <w:jc w:val="both"/>
                          <w:rPr>
                            <w:rFonts w:ascii="宋体" w:hAnsi="宋体" w:cs="宋体" w:eastAsia="宋体" w:hint="default"/>
                            <w:sz w:val="18"/>
                            <w:szCs w:val="18"/>
                          </w:rPr>
                        </w:pPr>
                        <w:r>
                          <w:rPr>
                            <w:rFonts w:ascii="宋体" w:hAnsi="宋体" w:cs="宋体" w:eastAsia="宋体" w:hint="default"/>
                            <w:sz w:val="18"/>
                            <w:szCs w:val="18"/>
                          </w:rPr>
                          <w:t>减去发行费用</w:t>
                        </w:r>
                        <w:r>
                          <w:rPr>
                            <w:rFonts w:ascii="宋体" w:hAnsi="宋体" w:cs="宋体" w:eastAsia="宋体" w:hint="default"/>
                            <w:spacing w:val="-23"/>
                            <w:sz w:val="18"/>
                            <w:szCs w:val="18"/>
                          </w:rPr>
                          <w:t> </w:t>
                        </w:r>
                        <w:r>
                          <w:rPr>
                            <w:rFonts w:ascii="宋体" w:hAnsi="宋体" w:cs="宋体" w:eastAsia="宋体" w:hint="default"/>
                            <w:sz w:val="18"/>
                            <w:szCs w:val="18"/>
                          </w:rPr>
                          <w:t>1,975,500.00</w:t>
                        </w:r>
                        <w:r>
                          <w:rPr>
                            <w:rFonts w:ascii="宋体" w:hAnsi="宋体" w:cs="宋体" w:eastAsia="宋体" w:hint="default"/>
                            <w:spacing w:val="-23"/>
                            <w:sz w:val="18"/>
                            <w:szCs w:val="18"/>
                          </w:rPr>
                          <w:t> </w:t>
                        </w:r>
                        <w:r>
                          <w:rPr>
                            <w:rFonts w:ascii="宋体" w:hAnsi="宋体" w:cs="宋体" w:eastAsia="宋体" w:hint="default"/>
                            <w:sz w:val="18"/>
                            <w:szCs w:val="18"/>
                          </w:rPr>
                          <w:t>元，募集资金净额为</w:t>
                        </w:r>
                        <w:r>
                          <w:rPr>
                            <w:rFonts w:ascii="宋体" w:hAnsi="宋体" w:cs="宋体" w:eastAsia="宋体" w:hint="default"/>
                            <w:spacing w:val="-23"/>
                            <w:sz w:val="18"/>
                            <w:szCs w:val="18"/>
                          </w:rPr>
                          <w:t> </w:t>
                        </w:r>
                        <w:r>
                          <w:rPr>
                            <w:rFonts w:ascii="宋体" w:hAnsi="宋体" w:cs="宋体" w:eastAsia="宋体" w:hint="default"/>
                            <w:sz w:val="18"/>
                            <w:szCs w:val="18"/>
                          </w:rPr>
                          <w:t>129,724,499.34</w:t>
                        </w:r>
                        <w:r>
                          <w:rPr>
                            <w:rFonts w:ascii="宋体" w:hAnsi="宋体" w:cs="宋体" w:eastAsia="宋体" w:hint="default"/>
                            <w:spacing w:val="-23"/>
                            <w:sz w:val="18"/>
                            <w:szCs w:val="18"/>
                          </w:rPr>
                          <w:t> </w:t>
                        </w:r>
                        <w:r>
                          <w:rPr>
                            <w:rFonts w:ascii="宋体" w:hAnsi="宋体" w:cs="宋体" w:eastAsia="宋体" w:hint="default"/>
                            <w:sz w:val="18"/>
                            <w:szCs w:val="18"/>
                          </w:rPr>
                          <w:t>元。按照承诺投资 用途，报告期公司已将募集资金全部用于本次重组股权收购的现金对价，支付给交易</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对方鹰溪谷和博升优势，没有违背承诺或变更事项。有关情况可查阅与本报告同日刊</w:t>
                        </w:r>
                        <w:r>
                          <w:rPr>
                            <w:rFonts w:ascii="宋体" w:hAnsi="宋体" w:cs="宋体" w:eastAsia="宋体" w:hint="default"/>
                            <w:spacing w:val="-17"/>
                            <w:sz w:val="18"/>
                            <w:szCs w:val="18"/>
                          </w:rPr>
                          <w:t> </w:t>
                        </w:r>
                        <w:r>
                          <w:rPr>
                            <w:rFonts w:ascii="宋体" w:hAnsi="宋体" w:cs="宋体" w:eastAsia="宋体" w:hint="default"/>
                            <w:spacing w:val="-3"/>
                            <w:sz w:val="18"/>
                            <w:szCs w:val="18"/>
                          </w:rPr>
                          <w:t>载于巨潮资讯网的《公司关于募集资金年度存放与使用情况的专项报告》。公司没有报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告期之前募集资金的使用延续到报告期内的情形。</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tabs>
          <w:tab w:pos="3450" w:val="left" w:leader="none"/>
          <w:tab w:pos="4395" w:val="left" w:leader="none"/>
        </w:tabs>
        <w:spacing w:line="240" w:lineRule="auto" w:before="35"/>
        <w:ind w:left="824" w:right="418"/>
        <w:jc w:val="left"/>
      </w:pPr>
      <w:r>
        <w:rPr>
          <w:rFonts w:ascii="宋体" w:hAnsi="宋体" w:cs="宋体" w:eastAsia="宋体" w:hint="default"/>
          <w:spacing w:val="-1"/>
        </w:rPr>
        <w:t>2</w:t>
      </w:r>
      <w:r>
        <w:rPr>
          <w:spacing w:val="-1"/>
        </w:rPr>
        <w:t>、募集资金承诺项目情况</w:t>
        <w:tab/>
      </w:r>
      <w:r>
        <w:rPr/>
        <w:t>□</w:t>
      </w:r>
      <w:r>
        <w:rPr>
          <w:spacing w:val="-1"/>
        </w:rPr>
        <w:t> </w:t>
      </w:r>
      <w:r>
        <w:rPr/>
        <w:t>适用</w:t>
        <w:tab/>
        <w:t>√</w:t>
      </w:r>
      <w:r>
        <w:rPr>
          <w:spacing w:val="1"/>
        </w:rPr>
        <w:t> </w:t>
      </w:r>
      <w:r>
        <w:rPr>
          <w:spacing w:val="-1"/>
        </w:rPr>
        <w:t>不适用。</w:t>
      </w:r>
    </w:p>
    <w:p>
      <w:pPr>
        <w:pStyle w:val="BodyText"/>
        <w:tabs>
          <w:tab w:pos="3450" w:val="left" w:leader="none"/>
          <w:tab w:pos="4395" w:val="left" w:leader="none"/>
        </w:tabs>
        <w:spacing w:line="240" w:lineRule="auto" w:before="37"/>
        <w:ind w:left="824" w:right="418"/>
        <w:jc w:val="left"/>
      </w:pPr>
      <w:r>
        <w:rPr>
          <w:rFonts w:ascii="宋体" w:hAnsi="宋体" w:cs="宋体" w:eastAsia="宋体" w:hint="default"/>
          <w:spacing w:val="-1"/>
        </w:rPr>
        <w:t>3</w:t>
      </w:r>
      <w:r>
        <w:rPr>
          <w:spacing w:val="-1"/>
        </w:rPr>
        <w:t>、募集资金变更项目情况</w:t>
        <w:tab/>
      </w:r>
      <w:r>
        <w:rPr/>
        <w:t>□</w:t>
      </w:r>
      <w:r>
        <w:rPr>
          <w:spacing w:val="-1"/>
        </w:rPr>
        <w:t> </w:t>
      </w:r>
      <w:r>
        <w:rPr/>
        <w:t>适用</w:t>
        <w:tab/>
        <w:t>√ 不适用</w:t>
      </w:r>
      <w:r>
        <w:rPr>
          <w:spacing w:val="17"/>
        </w:rPr>
        <w:t> </w:t>
      </w:r>
      <w:r>
        <w:rPr>
          <w:rFonts w:ascii="宋体" w:hAnsi="宋体" w:cs="宋体" w:eastAsia="宋体" w:hint="default"/>
          <w:spacing w:val="-1"/>
        </w:rPr>
        <w:t>(</w:t>
      </w:r>
      <w:r>
        <w:rPr>
          <w:spacing w:val="-1"/>
        </w:rPr>
        <w:t>公司报告期不存在募集资金变更项目情况</w:t>
      </w:r>
      <w:r>
        <w:rPr>
          <w:rFonts w:ascii="宋体" w:hAnsi="宋体" w:cs="宋体" w:eastAsia="宋体" w:hint="default"/>
          <w:spacing w:val="-1"/>
        </w:rPr>
        <w:t>)</w:t>
      </w:r>
      <w:r>
        <w:rPr>
          <w:spacing w:val="-1"/>
        </w:rPr>
        <w:t>。</w:t>
      </w:r>
    </w:p>
    <w:p>
      <w:pPr>
        <w:spacing w:line="240" w:lineRule="auto" w:before="10"/>
        <w:rPr>
          <w:rFonts w:ascii="宋体" w:hAnsi="宋体" w:cs="宋体" w:eastAsia="宋体" w:hint="default"/>
          <w:sz w:val="14"/>
          <w:szCs w:val="14"/>
        </w:rPr>
      </w:pPr>
    </w:p>
    <w:p>
      <w:pPr>
        <w:pStyle w:val="BodyText"/>
        <w:spacing w:line="240" w:lineRule="auto" w:before="0"/>
        <w:ind w:left="824" w:right="594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主要子公司经营情况及业绩分析</w:t>
      </w:r>
    </w:p>
    <w:p>
      <w:pPr>
        <w:pStyle w:val="BodyText"/>
        <w:spacing w:line="240" w:lineRule="auto" w:before="37"/>
        <w:ind w:left="824" w:right="418"/>
        <w:jc w:val="left"/>
      </w:pPr>
      <w:r>
        <w:rPr>
          <w:rFonts w:ascii="宋体" w:hAnsi="宋体" w:cs="宋体" w:eastAsia="宋体" w:hint="default"/>
          <w:spacing w:val="-4"/>
        </w:rPr>
        <w:t>1</w:t>
      </w:r>
      <w:r>
        <w:rPr>
          <w:spacing w:val="-4"/>
        </w:rPr>
        <w:t>、截至报告期末，公司现有的</w:t>
      </w:r>
      <w:r>
        <w:rPr>
          <w:spacing w:val="-51"/>
        </w:rPr>
        <w:t> </w:t>
      </w:r>
      <w:r>
        <w:rPr>
          <w:rFonts w:ascii="宋体" w:hAnsi="宋体" w:cs="宋体" w:eastAsia="宋体" w:hint="default"/>
        </w:rPr>
        <w:t>9</w:t>
      </w:r>
      <w:r>
        <w:rPr>
          <w:rFonts w:ascii="宋体" w:hAnsi="宋体" w:cs="宋体" w:eastAsia="宋体" w:hint="default"/>
          <w:spacing w:val="-51"/>
        </w:rPr>
        <w:t> </w:t>
      </w:r>
      <w:r>
        <w:rPr/>
        <w:t>家控股子公司中</w:t>
      </w:r>
      <w:r>
        <w:rPr>
          <w:spacing w:val="-51"/>
        </w:rPr>
        <w:t> </w:t>
      </w:r>
      <w:r>
        <w:rPr>
          <w:rFonts w:ascii="宋体" w:hAnsi="宋体" w:cs="宋体" w:eastAsia="宋体" w:hint="default"/>
        </w:rPr>
        <w:t>2</w:t>
      </w:r>
      <w:r>
        <w:rPr>
          <w:rFonts w:ascii="宋体" w:hAnsi="宋体" w:cs="宋体" w:eastAsia="宋体" w:hint="default"/>
          <w:spacing w:val="-51"/>
        </w:rPr>
        <w:t> </w:t>
      </w:r>
      <w:r>
        <w:rPr>
          <w:spacing w:val="-5"/>
        </w:rPr>
        <w:t>家盈利、</w:t>
      </w:r>
      <w:r>
        <w:rPr>
          <w:rFonts w:ascii="宋体" w:hAnsi="宋体" w:cs="宋体" w:eastAsia="宋体" w:hint="default"/>
          <w:spacing w:val="-5"/>
        </w:rPr>
        <w:t>7</w:t>
      </w:r>
      <w:r>
        <w:rPr>
          <w:rFonts w:ascii="宋体" w:hAnsi="宋体" w:cs="宋体" w:eastAsia="宋体" w:hint="default"/>
          <w:spacing w:val="-51"/>
        </w:rPr>
        <w:t> </w:t>
      </w:r>
      <w:r>
        <w:rPr>
          <w:spacing w:val="-4"/>
        </w:rPr>
        <w:t>家亏损，现有的</w:t>
      </w:r>
      <w:r>
        <w:rPr>
          <w:spacing w:val="-51"/>
        </w:rPr>
        <w:t> </w:t>
      </w:r>
      <w:r>
        <w:rPr>
          <w:rFonts w:ascii="宋体" w:hAnsi="宋体" w:cs="宋体" w:eastAsia="宋体" w:hint="default"/>
        </w:rPr>
        <w:t>5</w:t>
      </w:r>
      <w:r>
        <w:rPr>
          <w:rFonts w:ascii="宋体" w:hAnsi="宋体" w:cs="宋体" w:eastAsia="宋体" w:hint="default"/>
          <w:spacing w:val="-51"/>
        </w:rPr>
        <w:t> </w:t>
      </w:r>
      <w:r>
        <w:rPr/>
        <w:t>家间接控股公司中</w:t>
      </w:r>
    </w:p>
    <w:p>
      <w:pPr>
        <w:pStyle w:val="BodyText"/>
        <w:spacing w:line="273" w:lineRule="auto" w:before="37"/>
        <w:ind w:right="1178"/>
        <w:jc w:val="left"/>
      </w:pPr>
      <w:r>
        <w:rPr>
          <w:rFonts w:ascii="宋体" w:hAnsi="宋体" w:cs="宋体" w:eastAsia="宋体" w:hint="default"/>
        </w:rPr>
        <w:t>3</w:t>
      </w:r>
      <w:r>
        <w:rPr>
          <w:rFonts w:ascii="宋体" w:hAnsi="宋体" w:cs="宋体" w:eastAsia="宋体" w:hint="default"/>
          <w:spacing w:val="-51"/>
        </w:rPr>
        <w:t> </w:t>
      </w:r>
      <w:r>
        <w:rPr/>
        <w:t>家盈利、</w:t>
      </w:r>
      <w:r>
        <w:rPr>
          <w:rFonts w:ascii="宋体" w:hAnsi="宋体" w:cs="宋体" w:eastAsia="宋体" w:hint="default"/>
        </w:rPr>
        <w:t>2</w:t>
      </w:r>
      <w:r>
        <w:rPr>
          <w:rFonts w:ascii="宋体" w:hAnsi="宋体" w:cs="宋体" w:eastAsia="宋体" w:hint="default"/>
          <w:spacing w:val="-52"/>
        </w:rPr>
        <w:t> </w:t>
      </w:r>
      <w:r>
        <w:rPr/>
        <w:t>家亏损。公司</w:t>
      </w:r>
      <w:r>
        <w:rPr>
          <w:spacing w:val="-51"/>
        </w:rPr>
        <w:t> </w:t>
      </w:r>
      <w:r>
        <w:rPr>
          <w:rFonts w:ascii="宋体" w:hAnsi="宋体" w:cs="宋体" w:eastAsia="宋体" w:hint="default"/>
        </w:rPr>
        <w:t>7</w:t>
      </w:r>
      <w:r>
        <w:rPr>
          <w:rFonts w:ascii="宋体" w:hAnsi="宋体" w:cs="宋体" w:eastAsia="宋体" w:hint="default"/>
          <w:spacing w:val="-51"/>
        </w:rPr>
        <w:t> </w:t>
      </w:r>
      <w:r>
        <w:rPr/>
        <w:t>家主要控股子公司、</w:t>
      </w:r>
      <w:r>
        <w:rPr>
          <w:rFonts w:ascii="宋体" w:hAnsi="宋体" w:cs="宋体" w:eastAsia="宋体" w:hint="default"/>
        </w:rPr>
        <w:t>5</w:t>
      </w:r>
      <w:r>
        <w:rPr>
          <w:rFonts w:ascii="宋体" w:hAnsi="宋体" w:cs="宋体" w:eastAsia="宋体" w:hint="default"/>
          <w:spacing w:val="-51"/>
        </w:rPr>
        <w:t> </w:t>
      </w:r>
      <w:r>
        <w:rPr/>
        <w:t>家间接控股公司经营情况分别见下表</w:t>
      </w:r>
      <w:r>
        <w:rPr>
          <w:rFonts w:ascii="宋体" w:hAnsi="宋体" w:cs="宋体" w:eastAsia="宋体" w:hint="default"/>
        </w:rPr>
        <w:t>(</w:t>
      </w:r>
      <w:r>
        <w:rPr/>
        <w:t>公司不存在参 股公司</w:t>
      </w:r>
      <w:r>
        <w:rPr>
          <w:rFonts w:ascii="宋体" w:hAnsi="宋体" w:cs="宋体" w:eastAsia="宋体" w:hint="default"/>
        </w:rPr>
        <w:t>)</w:t>
      </w:r>
      <w:r>
        <w:rPr/>
        <w:t>。</w:t>
      </w:r>
    </w:p>
    <w:p>
      <w:pPr>
        <w:pStyle w:val="BodyText"/>
        <w:spacing w:line="240" w:lineRule="auto"/>
        <w:ind w:left="824" w:right="5945"/>
        <w:jc w:val="left"/>
      </w:pPr>
      <w:r>
        <w:rPr>
          <w:rFonts w:ascii="宋体" w:hAnsi="宋体" w:cs="宋体" w:eastAsia="宋体" w:hint="default"/>
        </w:rPr>
        <w:t>(1)</w:t>
      </w:r>
      <w:r>
        <w:rPr>
          <w:rFonts w:ascii="宋体" w:hAnsi="宋体" w:cs="宋体" w:eastAsia="宋体" w:hint="default"/>
          <w:spacing w:val="-1"/>
        </w:rPr>
        <w:t> </w:t>
      </w:r>
      <w:r>
        <w:rPr/>
        <w:t>主要子公司情况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37"/>
        <w:gridCol w:w="484"/>
        <w:gridCol w:w="777"/>
        <w:gridCol w:w="798"/>
        <w:gridCol w:w="714"/>
        <w:gridCol w:w="910"/>
        <w:gridCol w:w="912"/>
        <w:gridCol w:w="882"/>
        <w:gridCol w:w="881"/>
        <w:gridCol w:w="931"/>
      </w:tblGrid>
      <w:tr>
        <w:trPr>
          <w:trHeight w:val="943"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46" w:right="145"/>
              <w:jc w:val="both"/>
              <w:rPr>
                <w:rFonts w:ascii="宋体" w:hAnsi="宋体" w:cs="宋体" w:eastAsia="宋体" w:hint="default"/>
                <w:sz w:val="18"/>
                <w:szCs w:val="18"/>
              </w:rPr>
            </w:pPr>
            <w:r>
              <w:rPr>
                <w:rFonts w:ascii="宋体" w:hAnsi="宋体" w:cs="宋体" w:eastAsia="宋体" w:hint="default"/>
                <w:sz w:val="18"/>
                <w:szCs w:val="18"/>
              </w:rPr>
              <w:t>司 类 型</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02" w:right="202"/>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43"/>
              <w:jc w:val="both"/>
              <w:rPr>
                <w:rFonts w:ascii="宋体" w:hAnsi="宋体" w:cs="宋体" w:eastAsia="宋体" w:hint="default"/>
                <w:sz w:val="18"/>
                <w:szCs w:val="18"/>
              </w:rPr>
            </w:pPr>
            <w:r>
              <w:rPr>
                <w:rFonts w:ascii="宋体" w:hAnsi="宋体" w:cs="宋体" w:eastAsia="宋体" w:hint="default"/>
                <w:sz w:val="18"/>
                <w:szCs w:val="18"/>
              </w:rPr>
              <w:t>主要产 品或服 务</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1" w:right="101"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78" w:right="179"/>
              <w:jc w:val="left"/>
              <w:rPr>
                <w:rFonts w:ascii="宋体" w:hAnsi="宋体" w:cs="宋体" w:eastAsia="宋体" w:hint="default"/>
                <w:sz w:val="18"/>
                <w:szCs w:val="18"/>
              </w:rPr>
            </w:pPr>
            <w:r>
              <w:rPr>
                <w:rFonts w:ascii="宋体" w:hAnsi="宋体" w:cs="宋体" w:eastAsia="宋体" w:hint="default"/>
                <w:sz w:val="18"/>
                <w:szCs w:val="18"/>
              </w:rPr>
              <w:t>总资产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80" w:right="180"/>
              <w:jc w:val="left"/>
              <w:rPr>
                <w:rFonts w:ascii="宋体" w:hAnsi="宋体" w:cs="宋体" w:eastAsia="宋体" w:hint="default"/>
                <w:sz w:val="18"/>
                <w:szCs w:val="18"/>
              </w:rPr>
            </w:pPr>
            <w:r>
              <w:rPr>
                <w:rFonts w:ascii="宋体" w:hAnsi="宋体" w:cs="宋体" w:eastAsia="宋体" w:hint="default"/>
                <w:sz w:val="18"/>
                <w:szCs w:val="18"/>
              </w:rPr>
              <w:t>净资产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7"/>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7"/>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89" w:right="191"/>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3"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4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146" w:right="145"/>
              <w:jc w:val="both"/>
              <w:rPr>
                <w:rFonts w:ascii="宋体" w:hAnsi="宋体" w:cs="宋体" w:eastAsia="宋体" w:hint="default"/>
                <w:sz w:val="18"/>
                <w:szCs w:val="18"/>
              </w:rPr>
            </w:pPr>
            <w:r>
              <w:rPr>
                <w:rFonts w:ascii="宋体" w:hAnsi="宋体" w:cs="宋体" w:eastAsia="宋体" w:hint="default"/>
                <w:sz w:val="18"/>
                <w:szCs w:val="18"/>
              </w:rPr>
              <w:t>有 限 责 任</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零售业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24,500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45,330.81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Calibri" w:hAnsi="Calibri" w:cs="Calibri" w:eastAsia="Calibri" w:hint="default"/>
                <w:sz w:val="18"/>
                <w:szCs w:val="18"/>
              </w:rPr>
            </w:pPr>
            <w:r>
              <w:rPr>
                <w:rFonts w:ascii="Calibri"/>
                <w:spacing w:val="-2"/>
                <w:sz w:val="18"/>
              </w:rPr>
              <w:t>37,878.19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49,773.17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6,515.28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4,898.69</w:t>
            </w:r>
          </w:p>
        </w:tc>
      </w:tr>
      <w:tr>
        <w:trPr>
          <w:trHeight w:val="322"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零售业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超市</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1,000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2,055.65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z w:val="18"/>
              </w:rPr>
              <w:t>523.71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4,649.59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-347.98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right"/>
              <w:rPr>
                <w:rFonts w:ascii="Calibri" w:hAnsi="Calibri" w:cs="Calibri" w:eastAsia="Calibri" w:hint="default"/>
                <w:sz w:val="18"/>
                <w:szCs w:val="18"/>
              </w:rPr>
            </w:pPr>
            <w:r>
              <w:rPr>
                <w:rFonts w:ascii="宋体"/>
                <w:spacing w:val="-1"/>
                <w:sz w:val="18"/>
              </w:rPr>
              <w:t>-</w:t>
            </w:r>
            <w:r>
              <w:rPr>
                <w:rFonts w:ascii="Calibri"/>
                <w:spacing w:val="-1"/>
                <w:sz w:val="18"/>
              </w:rPr>
              <w:t>423.02</w:t>
            </w:r>
          </w:p>
        </w:tc>
      </w:tr>
      <w:tr>
        <w:trPr>
          <w:trHeight w:val="476"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信息</w:t>
            </w:r>
          </w:p>
          <w:p>
            <w:pPr>
              <w:pStyle w:val="TableParagraph"/>
              <w:spacing w:line="235" w:lineRule="exact"/>
              <w:ind w:left="20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发短信</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1,500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23,162.69</w:t>
            </w:r>
            <w:r>
              <w:rPr>
                <w:rFonts w:ascii="Calibri"/>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9"/>
              <w:jc w:val="right"/>
              <w:rPr>
                <w:rFonts w:ascii="Calibri" w:hAnsi="Calibri" w:cs="Calibri" w:eastAsia="Calibri" w:hint="default"/>
                <w:sz w:val="18"/>
                <w:szCs w:val="18"/>
              </w:rPr>
            </w:pPr>
            <w:r>
              <w:rPr>
                <w:rFonts w:ascii="Calibri"/>
                <w:spacing w:val="-1"/>
                <w:sz w:val="18"/>
              </w:rPr>
              <w:t>14,071.11</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4,520.19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965.00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Calibri" w:hAnsi="Calibri" w:cs="Calibri" w:eastAsia="Calibri" w:hint="default"/>
                <w:sz w:val="18"/>
                <w:szCs w:val="18"/>
              </w:rPr>
            </w:pPr>
            <w:r>
              <w:rPr>
                <w:rFonts w:ascii="Calibri"/>
                <w:spacing w:val="-2"/>
                <w:sz w:val="18"/>
              </w:rPr>
              <w:t>727.41</w:t>
            </w:r>
          </w:p>
        </w:tc>
      </w:tr>
      <w:tr>
        <w:trPr>
          <w:trHeight w:val="323"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29,433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88,002.36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52,643.88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10,625.49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z w:val="18"/>
              </w:rPr>
              <w:t>-985.19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Calibri" w:hAnsi="Calibri" w:cs="Calibri" w:eastAsia="Calibri" w:hint="default"/>
                <w:sz w:val="18"/>
                <w:szCs w:val="18"/>
              </w:rPr>
            </w:pPr>
            <w:r>
              <w:rPr>
                <w:rFonts w:ascii="宋体"/>
                <w:spacing w:val="-1"/>
                <w:sz w:val="18"/>
              </w:rPr>
              <w:t>-7</w:t>
            </w:r>
            <w:r>
              <w:rPr>
                <w:rFonts w:ascii="Calibri"/>
                <w:spacing w:val="-1"/>
                <w:sz w:val="18"/>
              </w:rPr>
              <w:t>03.14</w:t>
            </w:r>
            <w:r>
              <w:rPr>
                <w:rFonts w:ascii="Calibri"/>
                <w:sz w:val="18"/>
              </w:rPr>
            </w:r>
          </w:p>
        </w:tc>
      </w:tr>
      <w:tr>
        <w:trPr>
          <w:trHeight w:val="476"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秦皇岛市金原房地产开发有限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13,500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21,090.05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
              <w:jc w:val="right"/>
              <w:rPr>
                <w:rFonts w:ascii="Calibri" w:hAnsi="Calibri" w:cs="Calibri" w:eastAsia="Calibri" w:hint="default"/>
                <w:sz w:val="18"/>
                <w:szCs w:val="18"/>
              </w:rPr>
            </w:pPr>
            <w:r>
              <w:rPr>
                <w:rFonts w:ascii="Calibri"/>
                <w:spacing w:val="-1"/>
                <w:sz w:val="18"/>
              </w:rPr>
              <w:t>20,581.36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817.55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right"/>
              <w:rPr>
                <w:rFonts w:ascii="Calibri" w:hAnsi="Calibri" w:cs="Calibri" w:eastAsia="Calibri" w:hint="default"/>
                <w:sz w:val="18"/>
                <w:szCs w:val="18"/>
              </w:rPr>
            </w:pPr>
            <w:r>
              <w:rPr>
                <w:rFonts w:ascii="宋体"/>
                <w:spacing w:val="-1"/>
                <w:sz w:val="18"/>
              </w:rPr>
              <w:t>-305</w:t>
            </w:r>
            <w:r>
              <w:rPr>
                <w:rFonts w:ascii="Calibri"/>
                <w:spacing w:val="-1"/>
                <w:sz w:val="18"/>
              </w:rPr>
              <w:t>.94</w:t>
            </w:r>
            <w:r>
              <w:rPr>
                <w:rFonts w:ascii="Calibri"/>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right"/>
              <w:rPr>
                <w:rFonts w:ascii="Calibri" w:hAnsi="Calibri" w:cs="Calibri" w:eastAsia="Calibri" w:hint="default"/>
                <w:sz w:val="18"/>
                <w:szCs w:val="18"/>
              </w:rPr>
            </w:pPr>
            <w:r>
              <w:rPr>
                <w:rFonts w:ascii="宋体"/>
                <w:spacing w:val="-1"/>
                <w:sz w:val="18"/>
              </w:rPr>
              <w:t>-305</w:t>
            </w:r>
            <w:r>
              <w:rPr>
                <w:rFonts w:ascii="Calibri"/>
                <w:spacing w:val="-1"/>
                <w:sz w:val="18"/>
              </w:rPr>
              <w:t>.30</w:t>
            </w:r>
            <w:r>
              <w:rPr>
                <w:rFonts w:ascii="Calibri"/>
                <w:sz w:val="18"/>
              </w:rPr>
            </w:r>
          </w:p>
        </w:tc>
      </w:tr>
      <w:tr>
        <w:trPr>
          <w:trHeight w:val="478"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秦皇岛市金原商业管理有限责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零售业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5,691.14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right"/>
              <w:rPr>
                <w:rFonts w:ascii="Calibri" w:hAnsi="Calibri" w:cs="Calibri" w:eastAsia="Calibri" w:hint="default"/>
                <w:sz w:val="18"/>
                <w:szCs w:val="18"/>
              </w:rPr>
            </w:pPr>
            <w:r>
              <w:rPr>
                <w:rFonts w:ascii="宋体"/>
                <w:spacing w:val="-1"/>
                <w:sz w:val="18"/>
              </w:rPr>
              <w:t>-5</w:t>
            </w:r>
            <w:r>
              <w:rPr>
                <w:rFonts w:ascii="Calibri"/>
                <w:spacing w:val="-1"/>
                <w:sz w:val="18"/>
              </w:rPr>
              <w:t>,027.88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2,545.56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right"/>
              <w:rPr>
                <w:rFonts w:ascii="Calibri" w:hAnsi="Calibri" w:cs="Calibri" w:eastAsia="Calibri" w:hint="default"/>
                <w:sz w:val="18"/>
                <w:szCs w:val="18"/>
              </w:rPr>
            </w:pPr>
            <w:r>
              <w:rPr>
                <w:rFonts w:ascii="宋体"/>
                <w:spacing w:val="-1"/>
                <w:sz w:val="18"/>
              </w:rPr>
              <w:t>-2</w:t>
            </w:r>
            <w:r>
              <w:rPr>
                <w:rFonts w:ascii="Calibri"/>
                <w:spacing w:val="-1"/>
                <w:sz w:val="18"/>
              </w:rPr>
              <w:t>,776.34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right"/>
              <w:rPr>
                <w:rFonts w:ascii="Calibri" w:hAnsi="Calibri" w:cs="Calibri" w:eastAsia="Calibri" w:hint="default"/>
                <w:sz w:val="18"/>
                <w:szCs w:val="18"/>
              </w:rPr>
            </w:pPr>
            <w:r>
              <w:rPr>
                <w:rFonts w:ascii="宋体"/>
                <w:spacing w:val="-1"/>
                <w:sz w:val="18"/>
              </w:rPr>
              <w:t>-2</w:t>
            </w:r>
            <w:r>
              <w:rPr>
                <w:rFonts w:ascii="Calibri"/>
                <w:spacing w:val="-1"/>
                <w:sz w:val="18"/>
              </w:rPr>
              <w:t>,745.32</w:t>
            </w:r>
          </w:p>
        </w:tc>
      </w:tr>
      <w:tr>
        <w:trPr>
          <w:trHeight w:val="476"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484" w:type="dxa"/>
            <w:vMerge/>
            <w:tcBorders>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3" w:right="0"/>
              <w:jc w:val="left"/>
              <w:rPr>
                <w:rFonts w:ascii="宋体" w:hAnsi="宋体" w:cs="宋体" w:eastAsia="宋体" w:hint="default"/>
                <w:sz w:val="18"/>
                <w:szCs w:val="18"/>
              </w:rPr>
            </w:pPr>
            <w:r>
              <w:rPr>
                <w:rFonts w:ascii="宋体" w:hAnsi="宋体" w:cs="宋体" w:eastAsia="宋体" w:hint="default"/>
                <w:sz w:val="18"/>
                <w:szCs w:val="18"/>
              </w:rPr>
              <w:t>物业</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8"/>
              <w:jc w:val="right"/>
              <w:rPr>
                <w:rFonts w:ascii="Calibri" w:hAnsi="Calibri" w:cs="Calibri" w:eastAsia="Calibri" w:hint="default"/>
                <w:sz w:val="18"/>
                <w:szCs w:val="18"/>
              </w:rPr>
            </w:pPr>
            <w:r>
              <w:rPr>
                <w:rFonts w:ascii="Calibri"/>
                <w:spacing w:val="-1"/>
                <w:w w:val="95"/>
                <w:sz w:val="18"/>
              </w:rPr>
              <w:t>500</w:t>
            </w:r>
            <w:r>
              <w:rPr>
                <w:rFonts w:ascii="Calibri"/>
                <w:w w:val="95"/>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0"/>
              <w:jc w:val="right"/>
              <w:rPr>
                <w:rFonts w:ascii="Calibri" w:hAnsi="Calibri" w:cs="Calibri" w:eastAsia="Calibri" w:hint="default"/>
                <w:sz w:val="18"/>
                <w:szCs w:val="18"/>
              </w:rPr>
            </w:pPr>
            <w:r>
              <w:rPr>
                <w:rFonts w:ascii="Calibri"/>
                <w:spacing w:val="-1"/>
                <w:sz w:val="18"/>
              </w:rPr>
              <w:t>1,275.77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9"/>
              <w:jc w:val="right"/>
              <w:rPr>
                <w:rFonts w:ascii="Calibri" w:hAnsi="Calibri" w:cs="Calibri" w:eastAsia="Calibri" w:hint="default"/>
                <w:sz w:val="18"/>
                <w:szCs w:val="18"/>
              </w:rPr>
            </w:pPr>
            <w:r>
              <w:rPr>
                <w:rFonts w:ascii="Calibri"/>
                <w:spacing w:val="-1"/>
                <w:sz w:val="18"/>
              </w:rPr>
              <w:t>-113.62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9"/>
              <w:jc w:val="right"/>
              <w:rPr>
                <w:rFonts w:ascii="Calibri" w:hAnsi="Calibri" w:cs="Calibri" w:eastAsia="Calibri" w:hint="default"/>
                <w:sz w:val="18"/>
                <w:szCs w:val="18"/>
              </w:rPr>
            </w:pPr>
            <w:r>
              <w:rPr>
                <w:rFonts w:ascii="Calibri"/>
                <w:spacing w:val="-1"/>
                <w:sz w:val="18"/>
              </w:rPr>
              <w:t>1,875.40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8"/>
              <w:jc w:val="right"/>
              <w:rPr>
                <w:rFonts w:ascii="Calibri" w:hAnsi="Calibri" w:cs="Calibri" w:eastAsia="Calibri" w:hint="default"/>
                <w:sz w:val="18"/>
                <w:szCs w:val="18"/>
              </w:rPr>
            </w:pPr>
            <w:r>
              <w:rPr>
                <w:rFonts w:ascii="Calibri"/>
                <w:spacing w:val="-1"/>
                <w:sz w:val="18"/>
              </w:rPr>
              <w:t>-200.19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0"/>
              <w:jc w:val="right"/>
              <w:rPr>
                <w:rFonts w:ascii="Calibri" w:hAnsi="Calibri" w:cs="Calibri" w:eastAsia="Calibri" w:hint="default"/>
                <w:sz w:val="18"/>
                <w:szCs w:val="18"/>
              </w:rPr>
            </w:pPr>
            <w:r>
              <w:rPr>
                <w:rFonts w:ascii="宋体"/>
                <w:spacing w:val="-1"/>
                <w:sz w:val="18"/>
              </w:rPr>
              <w:t>-</w:t>
            </w:r>
            <w:r>
              <w:rPr>
                <w:rFonts w:ascii="Calibri"/>
                <w:spacing w:val="-1"/>
                <w:sz w:val="18"/>
              </w:rPr>
              <w:t>210.16</w:t>
            </w:r>
            <w:r>
              <w:rPr>
                <w:rFonts w:ascii="Calibri"/>
                <w:sz w:val="18"/>
              </w:rPr>
            </w:r>
          </w:p>
        </w:tc>
      </w:tr>
    </w:tbl>
    <w:p>
      <w:pPr>
        <w:pStyle w:val="BodyText"/>
        <w:spacing w:line="260" w:lineRule="exact" w:before="0"/>
        <w:ind w:left="824" w:right="418"/>
        <w:jc w:val="left"/>
      </w:pPr>
      <w:r>
        <w:rPr/>
        <w:t>注：创世漫道的总资产、净资产为</w:t>
      </w:r>
      <w:r>
        <w:rPr>
          <w:spacing w:val="-53"/>
        </w:rPr>
        <w:t> </w:t>
      </w:r>
      <w:r>
        <w:rPr>
          <w:rFonts w:ascii="宋体" w:hAnsi="宋体" w:cs="宋体" w:eastAsia="宋体" w:hint="default"/>
        </w:rPr>
        <w:t>2014</w:t>
      </w:r>
      <w:r>
        <w:rPr>
          <w:rFonts w:ascii="宋体" w:hAnsi="宋体" w:cs="宋体" w:eastAsia="宋体" w:hint="default"/>
          <w:spacing w:val="-54"/>
        </w:rPr>
        <w:t> </w:t>
      </w:r>
      <w:r>
        <w:rPr/>
        <w:t>年期末值。</w:t>
      </w:r>
    </w:p>
    <w:p>
      <w:pPr>
        <w:spacing w:line="240" w:lineRule="auto" w:before="10"/>
        <w:rPr>
          <w:rFonts w:ascii="宋体" w:hAnsi="宋体" w:cs="宋体" w:eastAsia="宋体" w:hint="default"/>
          <w:sz w:val="14"/>
          <w:szCs w:val="14"/>
        </w:rPr>
      </w:pPr>
    </w:p>
    <w:p>
      <w:pPr>
        <w:pStyle w:val="BodyText"/>
        <w:spacing w:line="240" w:lineRule="auto" w:before="0"/>
        <w:ind w:left="824" w:right="5945"/>
        <w:jc w:val="left"/>
      </w:pPr>
      <w:r>
        <w:rPr>
          <w:rFonts w:ascii="宋体" w:hAnsi="宋体" w:cs="宋体" w:eastAsia="宋体" w:hint="default"/>
        </w:rPr>
        <w:t>(2)</w:t>
      </w:r>
      <w:r>
        <w:rPr>
          <w:rFonts w:ascii="宋体" w:hAnsi="宋体" w:cs="宋体" w:eastAsia="宋体" w:hint="default"/>
          <w:spacing w:val="-1"/>
        </w:rPr>
        <w:t> </w:t>
      </w:r>
      <w:r>
        <w:rPr/>
        <w:t>间接控股公司情况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37"/>
        <w:gridCol w:w="484"/>
        <w:gridCol w:w="777"/>
        <w:gridCol w:w="798"/>
        <w:gridCol w:w="742"/>
        <w:gridCol w:w="882"/>
        <w:gridCol w:w="910"/>
        <w:gridCol w:w="882"/>
        <w:gridCol w:w="896"/>
        <w:gridCol w:w="918"/>
      </w:tblGrid>
      <w:tr>
        <w:trPr>
          <w:trHeight w:val="945"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46" w:right="145"/>
              <w:jc w:val="both"/>
              <w:rPr>
                <w:rFonts w:ascii="宋体" w:hAnsi="宋体" w:cs="宋体" w:eastAsia="宋体" w:hint="default"/>
                <w:sz w:val="18"/>
                <w:szCs w:val="18"/>
              </w:rPr>
            </w:pPr>
            <w:r>
              <w:rPr>
                <w:rFonts w:ascii="宋体" w:hAnsi="宋体" w:cs="宋体" w:eastAsia="宋体" w:hint="default"/>
                <w:sz w:val="18"/>
                <w:szCs w:val="18"/>
              </w:rPr>
              <w:t>司 类 型</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202"/>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43"/>
              <w:jc w:val="both"/>
              <w:rPr>
                <w:rFonts w:ascii="宋体" w:hAnsi="宋体" w:cs="宋体" w:eastAsia="宋体" w:hint="default"/>
                <w:sz w:val="18"/>
                <w:szCs w:val="18"/>
              </w:rPr>
            </w:pPr>
            <w:r>
              <w:rPr>
                <w:rFonts w:ascii="宋体" w:hAnsi="宋体" w:cs="宋体" w:eastAsia="宋体" w:hint="default"/>
                <w:sz w:val="18"/>
                <w:szCs w:val="18"/>
              </w:rPr>
              <w:t>主要产 品或服 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26" w:right="113"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5" w:right="164"/>
              <w:jc w:val="left"/>
              <w:rPr>
                <w:rFonts w:ascii="宋体" w:hAnsi="宋体" w:cs="宋体" w:eastAsia="宋体" w:hint="default"/>
                <w:sz w:val="18"/>
                <w:szCs w:val="18"/>
              </w:rPr>
            </w:pPr>
            <w:r>
              <w:rPr>
                <w:rFonts w:ascii="宋体" w:hAnsi="宋体" w:cs="宋体" w:eastAsia="宋体" w:hint="default"/>
                <w:sz w:val="18"/>
                <w:szCs w:val="18"/>
              </w:rPr>
              <w:t>总资产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8" w:right="179"/>
              <w:jc w:val="left"/>
              <w:rPr>
                <w:rFonts w:ascii="宋体" w:hAnsi="宋体" w:cs="宋体" w:eastAsia="宋体" w:hint="default"/>
                <w:sz w:val="18"/>
                <w:szCs w:val="18"/>
              </w:rPr>
            </w:pPr>
            <w:r>
              <w:rPr>
                <w:rFonts w:ascii="宋体" w:hAnsi="宋体" w:cs="宋体" w:eastAsia="宋体" w:hint="default"/>
                <w:sz w:val="18"/>
                <w:szCs w:val="18"/>
              </w:rPr>
              <w:t>净资产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228"/>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242"/>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2" w:right="185"/>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2"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p>
        </w:tc>
        <w:tc>
          <w:tcPr>
            <w:tcW w:w="4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46" w:right="145"/>
              <w:jc w:val="both"/>
              <w:rPr>
                <w:rFonts w:ascii="宋体" w:hAnsi="宋体" w:cs="宋体" w:eastAsia="宋体" w:hint="default"/>
                <w:sz w:val="18"/>
                <w:szCs w:val="18"/>
              </w:rPr>
            </w:pPr>
            <w:r>
              <w:rPr>
                <w:rFonts w:ascii="宋体" w:hAnsi="宋体" w:cs="宋体" w:eastAsia="宋体" w:hint="default"/>
                <w:sz w:val="18"/>
                <w:szCs w:val="18"/>
              </w:rPr>
              <w:t>有 限 责 任</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2"/>
              <w:jc w:val="right"/>
              <w:rPr>
                <w:rFonts w:ascii="宋体" w:hAnsi="宋体" w:cs="宋体" w:eastAsia="宋体" w:hint="default"/>
                <w:sz w:val="18"/>
                <w:szCs w:val="18"/>
              </w:rPr>
            </w:pPr>
            <w:r>
              <w:rPr>
                <w:rFonts w:ascii="宋体" w:hAnsi="宋体" w:cs="宋体" w:eastAsia="宋体" w:hint="default"/>
                <w:sz w:val="18"/>
                <w:szCs w:val="18"/>
              </w:rPr>
              <w:t>商铺</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11,000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3" w:right="0"/>
              <w:jc w:val="center"/>
              <w:rPr>
                <w:rFonts w:ascii="Calibri" w:hAnsi="Calibri" w:cs="Calibri" w:eastAsia="Calibri" w:hint="default"/>
                <w:sz w:val="18"/>
                <w:szCs w:val="18"/>
              </w:rPr>
            </w:pPr>
            <w:r>
              <w:rPr>
                <w:rFonts w:ascii="Calibri"/>
                <w:sz w:val="18"/>
              </w:rPr>
              <w:t>16,097.90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0"/>
              <w:jc w:val="right"/>
              <w:rPr>
                <w:rFonts w:ascii="Calibri" w:hAnsi="Calibri" w:cs="Calibri" w:eastAsia="Calibri" w:hint="default"/>
                <w:sz w:val="18"/>
                <w:szCs w:val="18"/>
              </w:rPr>
            </w:pPr>
            <w:r>
              <w:rPr>
                <w:rFonts w:ascii="Calibri"/>
                <w:spacing w:val="-1"/>
                <w:sz w:val="18"/>
              </w:rPr>
              <w:t>14,761.89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1"/>
              <w:jc w:val="right"/>
              <w:rPr>
                <w:rFonts w:ascii="Calibri" w:hAnsi="Calibri" w:cs="Calibri" w:eastAsia="Calibri" w:hint="default"/>
                <w:sz w:val="18"/>
                <w:szCs w:val="18"/>
              </w:rPr>
            </w:pPr>
            <w:r>
              <w:rPr>
                <w:rFonts w:ascii="Calibri"/>
                <w:spacing w:val="-1"/>
                <w:sz w:val="18"/>
              </w:rPr>
              <w:t>2,212.51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0"/>
              <w:jc w:val="right"/>
              <w:rPr>
                <w:rFonts w:ascii="Calibri" w:hAnsi="Calibri" w:cs="Calibri" w:eastAsia="Calibri" w:hint="default"/>
                <w:sz w:val="18"/>
                <w:szCs w:val="18"/>
              </w:rPr>
            </w:pPr>
            <w:r>
              <w:rPr>
                <w:rFonts w:ascii="Calibri"/>
                <w:sz w:val="18"/>
              </w:rPr>
              <w:t>80.71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1"/>
              <w:jc w:val="right"/>
              <w:rPr>
                <w:rFonts w:ascii="Calibri" w:hAnsi="Calibri" w:cs="Calibri" w:eastAsia="Calibri" w:hint="default"/>
                <w:sz w:val="18"/>
                <w:szCs w:val="18"/>
              </w:rPr>
            </w:pPr>
            <w:r>
              <w:rPr>
                <w:rFonts w:ascii="Calibri"/>
                <w:spacing w:val="-2"/>
                <w:sz w:val="18"/>
              </w:rPr>
              <w:t>106.67</w:t>
            </w:r>
            <w:r>
              <w:rPr>
                <w:rFonts w:ascii="Calibri"/>
                <w:sz w:val="18"/>
              </w:rPr>
            </w:r>
          </w:p>
        </w:tc>
      </w:tr>
      <w:tr>
        <w:trPr>
          <w:trHeight w:val="322"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2"/>
              <w:jc w:val="right"/>
              <w:rPr>
                <w:rFonts w:ascii="宋体" w:hAnsi="宋体" w:cs="宋体" w:eastAsia="宋体" w:hint="default"/>
                <w:sz w:val="18"/>
                <w:szCs w:val="18"/>
              </w:rPr>
            </w:pPr>
            <w:r>
              <w:rPr>
                <w:rFonts w:ascii="宋体" w:hAnsi="宋体" w:cs="宋体" w:eastAsia="宋体" w:hint="default"/>
                <w:sz w:val="18"/>
                <w:szCs w:val="18"/>
              </w:rPr>
              <w:t>商铺</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7,000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 w:right="0"/>
              <w:jc w:val="center"/>
              <w:rPr>
                <w:rFonts w:ascii="Calibri" w:hAnsi="Calibri" w:cs="Calibri" w:eastAsia="Calibri" w:hint="default"/>
                <w:sz w:val="18"/>
                <w:szCs w:val="18"/>
              </w:rPr>
            </w:pPr>
            <w:r>
              <w:rPr>
                <w:rFonts w:ascii="Calibri"/>
                <w:sz w:val="18"/>
              </w:rPr>
              <w:t>54,219.85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11,371.05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1"/>
              <w:jc w:val="right"/>
              <w:rPr>
                <w:rFonts w:ascii="Calibri" w:hAnsi="Calibri" w:cs="Calibri" w:eastAsia="Calibri" w:hint="default"/>
                <w:sz w:val="18"/>
                <w:szCs w:val="18"/>
              </w:rPr>
            </w:pPr>
            <w:r>
              <w:rPr>
                <w:rFonts w:ascii="Calibri"/>
                <w:spacing w:val="-1"/>
                <w:sz w:val="18"/>
              </w:rPr>
              <w:t>6,612.88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1,460.84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1,129.59</w:t>
            </w:r>
          </w:p>
        </w:tc>
      </w:tr>
      <w:tr>
        <w:trPr>
          <w:trHeight w:val="323"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2"/>
              <w:jc w:val="right"/>
              <w:rPr>
                <w:rFonts w:ascii="宋体" w:hAnsi="宋体" w:cs="宋体" w:eastAsia="宋体" w:hint="default"/>
                <w:sz w:val="18"/>
                <w:szCs w:val="18"/>
              </w:rPr>
            </w:pPr>
            <w:r>
              <w:rPr>
                <w:rFonts w:ascii="宋体" w:hAnsi="宋体" w:cs="宋体" w:eastAsia="宋体" w:hint="default"/>
                <w:sz w:val="18"/>
                <w:szCs w:val="18"/>
              </w:rPr>
              <w:t>商铺</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3,160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2" w:right="0"/>
              <w:jc w:val="center"/>
              <w:rPr>
                <w:rFonts w:ascii="Calibri" w:hAnsi="Calibri" w:cs="Calibri" w:eastAsia="Calibri" w:hint="default"/>
                <w:sz w:val="18"/>
                <w:szCs w:val="18"/>
              </w:rPr>
            </w:pPr>
            <w:r>
              <w:rPr>
                <w:rFonts w:ascii="Calibri"/>
                <w:sz w:val="18"/>
              </w:rPr>
              <w:t>16,694.98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3,180.59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1,113.58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0"/>
              <w:jc w:val="right"/>
              <w:rPr>
                <w:rFonts w:ascii="Calibri" w:hAnsi="Calibri" w:cs="Calibri" w:eastAsia="Calibri" w:hint="default"/>
                <w:sz w:val="18"/>
                <w:szCs w:val="18"/>
              </w:rPr>
            </w:pPr>
            <w:r>
              <w:rPr>
                <w:rFonts w:ascii="宋体"/>
                <w:spacing w:val="-1"/>
                <w:sz w:val="18"/>
              </w:rPr>
              <w:t>-216</w:t>
            </w:r>
            <w:r>
              <w:rPr>
                <w:rFonts w:ascii="Calibri"/>
                <w:spacing w:val="-1"/>
                <w:sz w:val="18"/>
              </w:rPr>
              <w:t>.46</w:t>
            </w:r>
            <w:r>
              <w:rPr>
                <w:rFonts w:ascii="Calibri"/>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8"/>
              <w:jc w:val="right"/>
              <w:rPr>
                <w:rFonts w:ascii="Calibri" w:hAnsi="Calibri" w:cs="Calibri" w:eastAsia="Calibri" w:hint="default"/>
                <w:sz w:val="18"/>
                <w:szCs w:val="18"/>
              </w:rPr>
            </w:pPr>
            <w:r>
              <w:rPr>
                <w:rFonts w:ascii="宋体"/>
                <w:spacing w:val="-1"/>
                <w:sz w:val="18"/>
              </w:rPr>
              <w:t>-328</w:t>
            </w:r>
            <w:r>
              <w:rPr>
                <w:rFonts w:ascii="Calibri"/>
                <w:spacing w:val="-1"/>
                <w:sz w:val="18"/>
              </w:rPr>
              <w:t>.17</w:t>
            </w:r>
          </w:p>
        </w:tc>
      </w:tr>
      <w:tr>
        <w:trPr>
          <w:trHeight w:val="322"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安徽省新长江商品交易有限公司</w:t>
            </w:r>
          </w:p>
        </w:tc>
        <w:tc>
          <w:tcPr>
            <w:tcW w:w="484" w:type="dxa"/>
            <w:vMerge/>
            <w:tcBorders>
              <w:left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2"/>
              <w:jc w:val="right"/>
              <w:rPr>
                <w:rFonts w:ascii="宋体" w:hAnsi="宋体" w:cs="宋体" w:eastAsia="宋体" w:hint="default"/>
                <w:sz w:val="18"/>
                <w:szCs w:val="18"/>
              </w:rPr>
            </w:pPr>
            <w:r>
              <w:rPr>
                <w:rFonts w:ascii="宋体" w:hAnsi="宋体" w:cs="宋体" w:eastAsia="宋体" w:hint="default"/>
                <w:sz w:val="18"/>
                <w:szCs w:val="18"/>
              </w:rPr>
              <w:t>贸易</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2,000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7" w:right="0"/>
              <w:jc w:val="center"/>
              <w:rPr>
                <w:rFonts w:ascii="Calibri" w:hAnsi="Calibri" w:cs="Calibri" w:eastAsia="Calibri" w:hint="default"/>
                <w:sz w:val="18"/>
                <w:szCs w:val="18"/>
              </w:rPr>
            </w:pPr>
            <w:r>
              <w:rPr>
                <w:rFonts w:ascii="Calibri"/>
                <w:sz w:val="18"/>
              </w:rPr>
              <w:t>2,490.57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0"/>
              <w:jc w:val="right"/>
              <w:rPr>
                <w:rFonts w:ascii="Calibri" w:hAnsi="Calibri" w:cs="Calibri" w:eastAsia="Calibri" w:hint="default"/>
                <w:sz w:val="18"/>
                <w:szCs w:val="18"/>
              </w:rPr>
            </w:pPr>
            <w:r>
              <w:rPr>
                <w:rFonts w:ascii="Calibri"/>
                <w:spacing w:val="-1"/>
                <w:sz w:val="18"/>
              </w:rPr>
              <w:t>2,297.93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Calibri" w:hAnsi="Calibri" w:cs="Calibri" w:eastAsia="Calibri" w:hint="default"/>
                <w:sz w:val="18"/>
                <w:szCs w:val="18"/>
              </w:rPr>
            </w:pPr>
            <w:r>
              <w:rPr>
                <w:rFonts w:ascii="宋体"/>
                <w:spacing w:val="-1"/>
                <w:sz w:val="18"/>
              </w:rPr>
              <w:t>-71</w:t>
            </w:r>
            <w:r>
              <w:rPr>
                <w:rFonts w:ascii="Calibri"/>
                <w:spacing w:val="-1"/>
                <w:sz w:val="18"/>
              </w:rPr>
              <w:t>.47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1"/>
                <w:sz w:val="18"/>
              </w:rPr>
              <w:t>-64</w:t>
            </w:r>
            <w:r>
              <w:rPr>
                <w:rFonts w:ascii="Calibri"/>
                <w:spacing w:val="-1"/>
                <w:sz w:val="18"/>
              </w:rPr>
              <w:t>.72</w:t>
            </w:r>
          </w:p>
        </w:tc>
      </w:tr>
      <w:tr>
        <w:trPr>
          <w:trHeight w:val="478" w:hRule="exact"/>
        </w:trPr>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9"/>
                <w:sz w:val="18"/>
                <w:szCs w:val="18"/>
              </w:rPr>
              <w:t>芜湖茂业农副产品市场有限公司</w:t>
            </w:r>
          </w:p>
        </w:tc>
        <w:tc>
          <w:tcPr>
            <w:tcW w:w="484" w:type="dxa"/>
            <w:vMerge/>
            <w:tcBorders>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市场</w:t>
            </w:r>
          </w:p>
          <w:p>
            <w:pPr>
              <w:pStyle w:val="TableParagraph"/>
              <w:spacing w:line="235" w:lineRule="exact"/>
              <w:ind w:left="213"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2,200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9" w:right="0"/>
              <w:jc w:val="center"/>
              <w:rPr>
                <w:rFonts w:ascii="Calibri" w:hAnsi="Calibri" w:cs="Calibri" w:eastAsia="Calibri" w:hint="default"/>
                <w:sz w:val="18"/>
                <w:szCs w:val="18"/>
              </w:rPr>
            </w:pPr>
            <w:r>
              <w:rPr>
                <w:rFonts w:ascii="Calibri"/>
                <w:sz w:val="18"/>
              </w:rPr>
              <w:t>2,371.74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9"/>
              <w:jc w:val="right"/>
              <w:rPr>
                <w:rFonts w:ascii="Calibri" w:hAnsi="Calibri" w:cs="Calibri" w:eastAsia="Calibri" w:hint="default"/>
                <w:sz w:val="18"/>
                <w:szCs w:val="18"/>
              </w:rPr>
            </w:pPr>
            <w:r>
              <w:rPr>
                <w:rFonts w:ascii="Calibri"/>
                <w:spacing w:val="-1"/>
                <w:sz w:val="18"/>
              </w:rPr>
              <w:t>2,217.69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9"/>
              <w:jc w:val="right"/>
              <w:rPr>
                <w:rFonts w:ascii="Calibri" w:hAnsi="Calibri" w:cs="Calibri" w:eastAsia="Calibri" w:hint="default"/>
                <w:sz w:val="18"/>
                <w:szCs w:val="18"/>
              </w:rPr>
            </w:pPr>
            <w:r>
              <w:rPr>
                <w:rFonts w:ascii="Calibri"/>
                <w:sz w:val="18"/>
              </w:rPr>
              <w:t>440.38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
              <w:jc w:val="right"/>
              <w:rPr>
                <w:rFonts w:ascii="Calibri" w:hAnsi="Calibri" w:cs="Calibri" w:eastAsia="Calibri" w:hint="default"/>
                <w:sz w:val="18"/>
                <w:szCs w:val="18"/>
              </w:rPr>
            </w:pPr>
            <w:r>
              <w:rPr>
                <w:rFonts w:ascii="Calibri"/>
                <w:sz w:val="18"/>
              </w:rPr>
              <w:t>180.71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155.61</w:t>
            </w:r>
          </w:p>
        </w:tc>
      </w:tr>
    </w:tbl>
    <w:p>
      <w:pPr>
        <w:spacing w:line="240" w:lineRule="auto" w:before="0"/>
        <w:rPr>
          <w:rFonts w:ascii="宋体" w:hAnsi="宋体" w:cs="宋体" w:eastAsia="宋体" w:hint="default"/>
          <w:sz w:val="20"/>
          <w:szCs w:val="20"/>
        </w:rPr>
      </w:pPr>
    </w:p>
    <w:p>
      <w:pPr>
        <w:pStyle w:val="BodyText"/>
        <w:spacing w:line="273" w:lineRule="auto" w:before="35"/>
        <w:ind w:right="1187" w:firstLine="420"/>
        <w:jc w:val="both"/>
      </w:pPr>
      <w:r>
        <w:rPr>
          <w:rFonts w:ascii="宋体" w:hAnsi="宋体" w:cs="宋体" w:eastAsia="宋体" w:hint="default"/>
          <w:spacing w:val="-3"/>
        </w:rPr>
        <w:t>2</w:t>
      </w:r>
      <w:r>
        <w:rPr>
          <w:spacing w:val="-3"/>
        </w:rPr>
        <w:t>、单个子公司净利润对公司净利润影响达到</w:t>
      </w:r>
      <w:r>
        <w:rPr>
          <w:spacing w:val="-81"/>
        </w:rPr>
        <w:t> </w:t>
      </w:r>
      <w:r>
        <w:rPr>
          <w:rFonts w:ascii="宋体" w:hAnsi="宋体" w:cs="宋体" w:eastAsia="宋体" w:hint="default"/>
        </w:rPr>
        <w:t>10%</w:t>
      </w:r>
      <w:r>
        <w:rPr/>
        <w:t>以上的是秦皇岛茂业控股有限公司、秦皇岛市金原 </w:t>
      </w:r>
      <w:r>
        <w:rPr>
          <w:spacing w:val="-1"/>
        </w:rPr>
        <w:t>商业管理有限责任公司、滁州茂业投资发展有限公司，其报告期实现的营业收入、营业利润、净利润见</w:t>
      </w:r>
      <w:r>
        <w:rPr>
          <w:spacing w:val="-100"/>
        </w:rPr>
        <w:t> </w:t>
      </w:r>
      <w:r>
        <w:rPr>
          <w:spacing w:val="-100"/>
        </w:rPr>
      </w:r>
      <w:r>
        <w:rPr/>
        <w:t>上表“</w:t>
      </w:r>
      <w:r>
        <w:rPr>
          <w:rFonts w:ascii="宋体" w:hAnsi="宋体" w:cs="宋体" w:eastAsia="宋体" w:hint="default"/>
        </w:rPr>
        <w:t>(1) </w:t>
      </w:r>
      <w:r>
        <w:rPr/>
        <w:t>主要子公司情况、</w:t>
      </w:r>
      <w:r>
        <w:rPr>
          <w:rFonts w:ascii="宋体" w:hAnsi="宋体" w:cs="宋体" w:eastAsia="宋体" w:hint="default"/>
        </w:rPr>
        <w:t>(2)</w:t>
      </w:r>
      <w:r>
        <w:rPr>
          <w:rFonts w:ascii="宋体" w:hAnsi="宋体" w:cs="宋体" w:eastAsia="宋体" w:hint="default"/>
          <w:spacing w:val="5"/>
        </w:rPr>
        <w:t> </w:t>
      </w:r>
      <w:r>
        <w:rPr>
          <w:spacing w:val="-11"/>
        </w:rPr>
        <w:t>间接控股公司情况”。</w:t>
      </w:r>
    </w:p>
    <w:p>
      <w:pPr>
        <w:pStyle w:val="BodyText"/>
        <w:spacing w:line="240" w:lineRule="auto"/>
        <w:ind w:left="824" w:right="418"/>
        <w:jc w:val="left"/>
      </w:pPr>
      <w:r>
        <w:rPr>
          <w:rFonts w:ascii="宋体" w:hAnsi="宋体" w:cs="宋体" w:eastAsia="宋体" w:hint="default"/>
        </w:rPr>
        <w:t>3</w:t>
      </w:r>
      <w:r>
        <w:rPr/>
        <w:t>、单个子公司业绩波动情况及其变动原因分析。</w:t>
      </w:r>
    </w:p>
    <w:p>
      <w:pPr>
        <w:pStyle w:val="BodyText"/>
        <w:spacing w:line="240" w:lineRule="auto" w:before="37"/>
        <w:ind w:left="824" w:right="418"/>
        <w:jc w:val="left"/>
      </w:pPr>
      <w:r>
        <w:rPr>
          <w:rFonts w:ascii="宋体" w:hAnsi="宋体" w:cs="宋体" w:eastAsia="宋体" w:hint="default"/>
        </w:rPr>
        <w:t>(1)</w:t>
      </w:r>
      <w:r>
        <w:rPr>
          <w:rFonts w:ascii="宋体" w:hAnsi="宋体" w:cs="宋体" w:eastAsia="宋体" w:hint="default"/>
          <w:spacing w:val="29"/>
        </w:rPr>
        <w:t> </w:t>
      </w:r>
      <w:r>
        <w:rPr>
          <w:spacing w:val="3"/>
        </w:rPr>
        <w:t>安徽国润在安徽合肥、芜湖、滁州、淮南四地经营商业地产，报告期安徽国润实现营业收入</w:t>
      </w:r>
    </w:p>
    <w:p>
      <w:pPr>
        <w:pStyle w:val="BodyText"/>
        <w:spacing w:line="240" w:lineRule="auto" w:before="37"/>
        <w:ind w:right="418"/>
        <w:jc w:val="left"/>
      </w:pPr>
      <w:r>
        <w:rPr>
          <w:rFonts w:ascii="宋体" w:hAnsi="宋体" w:cs="宋体" w:eastAsia="宋体" w:hint="default"/>
        </w:rPr>
        <w:t>10,665.49</w:t>
      </w:r>
      <w:r>
        <w:rPr>
          <w:rFonts w:ascii="宋体" w:hAnsi="宋体" w:cs="宋体" w:eastAsia="宋体" w:hint="default"/>
          <w:spacing w:val="-76"/>
        </w:rPr>
        <w:t> </w:t>
      </w:r>
      <w:r>
        <w:rPr/>
        <w:t>万元同比增幅</w:t>
      </w:r>
      <w:r>
        <w:rPr>
          <w:spacing w:val="-76"/>
        </w:rPr>
        <w:t> </w:t>
      </w:r>
      <w:r>
        <w:rPr>
          <w:rFonts w:ascii="宋体" w:hAnsi="宋体" w:cs="宋体" w:eastAsia="宋体" w:hint="default"/>
        </w:rPr>
        <w:t>26.52%</w:t>
      </w:r>
      <w:r>
        <w:rPr/>
        <w:t>，营收增加主要来自淮南实现存量销售、滁州实现存量、新盘销售，但</w:t>
      </w:r>
    </w:p>
    <w:p>
      <w:pPr>
        <w:pStyle w:val="BodyText"/>
        <w:spacing w:line="240" w:lineRule="auto" w:before="37"/>
        <w:ind w:right="418"/>
        <w:jc w:val="left"/>
      </w:pPr>
      <w:r>
        <w:rPr/>
        <w:t>受新盘建设成本相对较高、售房均价同比持平和计提坏账 </w:t>
      </w:r>
      <w:r>
        <w:rPr>
          <w:rFonts w:ascii="宋体" w:hAnsi="宋体" w:cs="宋体" w:eastAsia="宋体" w:hint="default"/>
        </w:rPr>
        <w:t>1,438.80</w:t>
      </w:r>
      <w:r>
        <w:rPr>
          <w:rFonts w:ascii="宋体" w:hAnsi="宋体" w:cs="宋体" w:eastAsia="宋体" w:hint="default"/>
          <w:spacing w:val="-41"/>
        </w:rPr>
        <w:t> </w:t>
      </w:r>
      <w:r>
        <w:rPr/>
        <w:t>万元影响，报告期安徽国润及滁州</w:t>
      </w:r>
    </w:p>
    <w:p>
      <w:pPr>
        <w:pStyle w:val="BodyText"/>
        <w:spacing w:line="240" w:lineRule="auto" w:before="37"/>
        <w:ind w:right="418"/>
        <w:jc w:val="left"/>
      </w:pPr>
      <w:r>
        <w:rPr/>
        <w:t>茂业的营业成本增幅较大</w:t>
      </w:r>
      <w:r>
        <w:rPr>
          <w:spacing w:val="-105"/>
        </w:rPr>
        <w:t>，</w:t>
      </w:r>
      <w:r>
        <w:rPr/>
        <w:t>安徽国</w:t>
      </w:r>
      <w:r>
        <w:rPr>
          <w:spacing w:val="-2"/>
        </w:rPr>
        <w:t>润</w:t>
      </w:r>
      <w:r>
        <w:rPr/>
        <w:t>净利润由上年同期亏损</w:t>
      </w:r>
      <w:r>
        <w:rPr>
          <w:spacing w:val="-62"/>
        </w:rPr>
        <w:t> </w:t>
      </w:r>
      <w:r>
        <w:rPr>
          <w:rFonts w:ascii="宋体" w:hAnsi="宋体" w:cs="宋体" w:eastAsia="宋体" w:hint="default"/>
        </w:rPr>
        <w:t>360.26</w:t>
      </w:r>
      <w:r>
        <w:rPr>
          <w:rFonts w:ascii="宋体" w:hAnsi="宋体" w:cs="宋体" w:eastAsia="宋体" w:hint="default"/>
          <w:spacing w:val="-62"/>
        </w:rPr>
        <w:t> </w:t>
      </w:r>
      <w:r>
        <w:rPr/>
        <w:t>万元</w:t>
      </w:r>
      <w:r>
        <w:rPr>
          <w:spacing w:val="-2"/>
        </w:rPr>
        <w:t>变</w:t>
      </w:r>
      <w:r>
        <w:rPr/>
        <w:t>为本期亏损</w:t>
      </w:r>
      <w:r>
        <w:rPr>
          <w:spacing w:val="-62"/>
        </w:rPr>
        <w:t> </w:t>
      </w:r>
      <w:r>
        <w:rPr>
          <w:rFonts w:ascii="宋体" w:hAnsi="宋体" w:cs="宋体" w:eastAsia="宋体" w:hint="default"/>
        </w:rPr>
        <w:t>703.14</w:t>
      </w:r>
      <w:r>
        <w:rPr>
          <w:rFonts w:ascii="宋体" w:hAnsi="宋体" w:cs="宋体" w:eastAsia="宋体" w:hint="default"/>
          <w:spacing w:val="-62"/>
        </w:rPr>
        <w:t> </w:t>
      </w:r>
      <w:r>
        <w:rPr/>
        <w:t>万元</w:t>
      </w:r>
      <w:r>
        <w:rPr>
          <w:spacing w:val="-106"/>
        </w:rPr>
        <w:t>。</w:t>
      </w:r>
      <w:r>
        <w:rPr>
          <w:rFonts w:ascii="宋体" w:hAnsi="宋体" w:cs="宋体" w:eastAsia="宋体" w:hint="default"/>
          <w:spacing w:val="-1"/>
        </w:rPr>
        <w:t>(</w:t>
      </w:r>
      <w:r>
        <w:rPr>
          <w:spacing w:val="1"/>
        </w:rPr>
        <w:t>注：</w:t>
      </w:r>
      <w:r>
        <w:rPr/>
      </w:r>
    </w:p>
    <w:p>
      <w:pPr>
        <w:pStyle w:val="BodyText"/>
        <w:spacing w:line="240" w:lineRule="auto" w:before="37"/>
        <w:ind w:right="418"/>
        <w:jc w:val="left"/>
      </w:pPr>
      <w:r>
        <w:rPr/>
        <w:t>计提坏账事项见</w:t>
      </w:r>
      <w:r>
        <w:rPr>
          <w:spacing w:val="-71"/>
        </w:rPr>
        <w:t> </w:t>
      </w:r>
      <w:r>
        <w:rPr>
          <w:rFonts w:ascii="宋体" w:hAnsi="宋体" w:cs="宋体" w:eastAsia="宋体" w:hint="default"/>
        </w:rPr>
        <w:t>2014</w:t>
      </w:r>
      <w:r>
        <w:rPr>
          <w:rFonts w:ascii="宋体" w:hAnsi="宋体" w:cs="宋体" w:eastAsia="宋体" w:hint="default"/>
          <w:spacing w:val="-72"/>
        </w:rPr>
        <w:t> </w:t>
      </w:r>
      <w:r>
        <w:rPr/>
        <w:t>年</w:t>
      </w:r>
      <w:r>
        <w:rPr>
          <w:spacing w:val="-73"/>
        </w:rPr>
        <w:t> </w:t>
      </w:r>
      <w:r>
        <w:rPr>
          <w:rFonts w:ascii="宋体" w:hAnsi="宋体" w:cs="宋体" w:eastAsia="宋体" w:hint="default"/>
        </w:rPr>
        <w:t>8</w:t>
      </w:r>
      <w:r>
        <w:rPr>
          <w:rFonts w:ascii="宋体" w:hAnsi="宋体" w:cs="宋体" w:eastAsia="宋体" w:hint="default"/>
          <w:spacing w:val="-71"/>
        </w:rPr>
        <w:t> </w:t>
      </w:r>
      <w:r>
        <w:rPr/>
        <w:t>月</w:t>
      </w:r>
      <w:r>
        <w:rPr>
          <w:spacing w:val="-73"/>
        </w:rPr>
        <w:t> </w:t>
      </w:r>
      <w:r>
        <w:rPr>
          <w:rFonts w:ascii="宋体" w:hAnsi="宋体" w:cs="宋体" w:eastAsia="宋体" w:hint="default"/>
        </w:rPr>
        <w:t>29</w:t>
      </w:r>
      <w:r>
        <w:rPr>
          <w:rFonts w:ascii="宋体" w:hAnsi="宋体" w:cs="宋体" w:eastAsia="宋体" w:hint="default"/>
          <w:spacing w:val="-71"/>
        </w:rPr>
        <w:t> </w:t>
      </w:r>
      <w:r>
        <w:rPr/>
        <w:t>日刊载于巨潮资讯网的公司第六届董事会</w:t>
      </w:r>
      <w:r>
        <w:rPr>
          <w:spacing w:val="-72"/>
        </w:rPr>
        <w:t> </w:t>
      </w:r>
      <w:r>
        <w:rPr>
          <w:rFonts w:ascii="宋体" w:hAnsi="宋体" w:cs="宋体" w:eastAsia="宋体" w:hint="default"/>
        </w:rPr>
        <w:t>2014</w:t>
      </w:r>
      <w:r>
        <w:rPr>
          <w:rFonts w:ascii="宋体" w:hAnsi="宋体" w:cs="宋体" w:eastAsia="宋体" w:hint="default"/>
          <w:spacing w:val="-71"/>
        </w:rPr>
        <w:t> </w:t>
      </w:r>
      <w:r>
        <w:rPr/>
        <w:t>年第九次会议决议公告</w:t>
      </w:r>
      <w:r>
        <w:rPr>
          <w:rFonts w:ascii="宋体" w:hAnsi="宋体" w:cs="宋体" w:eastAsia="宋体" w:hint="default"/>
        </w:rPr>
        <w:t>)</w:t>
      </w:r>
      <w:r>
        <w:rPr/>
        <w:t>。</w:t>
      </w:r>
    </w:p>
    <w:p>
      <w:pPr>
        <w:pStyle w:val="BodyText"/>
        <w:spacing w:line="240" w:lineRule="auto" w:before="37"/>
        <w:ind w:left="824" w:right="418"/>
        <w:jc w:val="left"/>
      </w:pPr>
      <w:r>
        <w:rPr>
          <w:rFonts w:ascii="宋体" w:hAnsi="宋体" w:cs="宋体" w:eastAsia="宋体" w:hint="default"/>
        </w:rPr>
        <w:t>(2)</w:t>
      </w:r>
      <w:r>
        <w:rPr>
          <w:rFonts w:ascii="宋体" w:hAnsi="宋体" w:cs="宋体" w:eastAsia="宋体" w:hint="default"/>
          <w:spacing w:val="-1"/>
        </w:rPr>
        <w:t> </w:t>
      </w:r>
      <w:r>
        <w:rPr/>
        <w:t>受</w:t>
      </w:r>
      <w:r>
        <w:rPr>
          <w:spacing w:val="-50"/>
        </w:rPr>
        <w:t> </w:t>
      </w:r>
      <w:r>
        <w:rPr>
          <w:rFonts w:ascii="宋体" w:hAnsi="宋体" w:cs="宋体" w:eastAsia="宋体" w:hint="default"/>
        </w:rPr>
        <w:t>1,253</w:t>
      </w:r>
      <w:r>
        <w:rPr>
          <w:rFonts w:ascii="宋体" w:hAnsi="宋体" w:cs="宋体" w:eastAsia="宋体" w:hint="default"/>
          <w:spacing w:val="-50"/>
        </w:rPr>
        <w:t> </w:t>
      </w:r>
      <w:r>
        <w:rPr/>
        <w:t>户业主</w:t>
      </w:r>
      <w:r>
        <w:rPr>
          <w:rFonts w:ascii="宋体" w:hAnsi="宋体" w:cs="宋体" w:eastAsia="宋体" w:hint="default"/>
        </w:rPr>
        <w:t>(</w:t>
      </w:r>
      <w:r>
        <w:rPr/>
        <w:t>占全部业主的</w:t>
      </w:r>
      <w:r>
        <w:rPr>
          <w:spacing w:val="-50"/>
        </w:rPr>
        <w:t> </w:t>
      </w:r>
      <w:r>
        <w:rPr>
          <w:rFonts w:ascii="宋体" w:hAnsi="宋体" w:cs="宋体" w:eastAsia="宋体" w:hint="default"/>
        </w:rPr>
        <w:t>93.99%)</w:t>
      </w:r>
      <w:r>
        <w:rPr/>
        <w:t>委托，秦皇岛市金原商业管理有限责任公司</w:t>
      </w:r>
      <w:r>
        <w:rPr>
          <w:rFonts w:ascii="宋体" w:hAnsi="宋体" w:cs="宋体" w:eastAsia="宋体" w:hint="default"/>
        </w:rPr>
        <w:t>(</w:t>
      </w:r>
      <w:r>
        <w:rPr/>
        <w:t>简称金原</w:t>
      </w:r>
    </w:p>
    <w:p>
      <w:pPr>
        <w:pStyle w:val="BodyText"/>
        <w:spacing w:line="240" w:lineRule="auto" w:before="37"/>
        <w:ind w:right="418"/>
        <w:jc w:val="left"/>
      </w:pPr>
      <w:r>
        <w:rPr/>
        <w:t>商业</w:t>
      </w:r>
      <w:r>
        <w:rPr>
          <w:rFonts w:ascii="宋体" w:hAnsi="宋体" w:cs="宋体" w:eastAsia="宋体" w:hint="default"/>
        </w:rPr>
        <w:t>)</w:t>
      </w:r>
      <w:r>
        <w:rPr/>
        <w:t>经营金原商厦，从事百货零售及餐饮业务，由于报告期自</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20</w:t>
      </w:r>
      <w:r>
        <w:rPr>
          <w:rFonts w:ascii="宋体" w:hAnsi="宋体" w:cs="宋体" w:eastAsia="宋体" w:hint="default"/>
          <w:spacing w:val="-47"/>
        </w:rPr>
        <w:t> </w:t>
      </w:r>
      <w:r>
        <w:rPr/>
        <w:t>日起至</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15</w:t>
      </w:r>
      <w:r>
        <w:rPr>
          <w:rFonts w:ascii="宋体" w:hAnsi="宋体" w:cs="宋体" w:eastAsia="宋体" w:hint="default"/>
          <w:spacing w:val="-48"/>
        </w:rPr>
        <w:t> </w:t>
      </w:r>
      <w:r>
        <w:rPr/>
        <w:t>日止金</w:t>
      </w:r>
    </w:p>
    <w:p>
      <w:pPr>
        <w:pStyle w:val="BodyText"/>
        <w:spacing w:line="240" w:lineRule="auto" w:before="37"/>
        <w:ind w:right="418"/>
        <w:jc w:val="left"/>
      </w:pPr>
      <w:r>
        <w:rPr/>
        <w:t>原商厦闭店改造近</w:t>
      </w:r>
      <w:r>
        <w:rPr>
          <w:spacing w:val="-55"/>
        </w:rPr>
        <w:t> </w:t>
      </w:r>
      <w:r>
        <w:rPr>
          <w:rFonts w:ascii="宋体" w:hAnsi="宋体" w:cs="宋体" w:eastAsia="宋体" w:hint="default"/>
        </w:rPr>
        <w:t>8</w:t>
      </w:r>
      <w:r>
        <w:rPr>
          <w:rFonts w:ascii="宋体" w:hAnsi="宋体" w:cs="宋体" w:eastAsia="宋体" w:hint="default"/>
          <w:spacing w:val="-55"/>
        </w:rPr>
        <w:t> </w:t>
      </w:r>
      <w:r>
        <w:rPr/>
        <w:t>个月，报告期金原商业实现营业收入</w:t>
      </w:r>
      <w:r>
        <w:rPr>
          <w:spacing w:val="-55"/>
        </w:rPr>
        <w:t> </w:t>
      </w:r>
      <w:r>
        <w:rPr>
          <w:rFonts w:ascii="宋体" w:hAnsi="宋体" w:cs="宋体" w:eastAsia="宋体" w:hint="default"/>
        </w:rPr>
        <w:t>2,545.56</w:t>
      </w:r>
      <w:r>
        <w:rPr>
          <w:rFonts w:ascii="宋体" w:hAnsi="宋体" w:cs="宋体" w:eastAsia="宋体" w:hint="default"/>
          <w:spacing w:val="-56"/>
        </w:rPr>
        <w:t> </w:t>
      </w:r>
      <w:r>
        <w:rPr>
          <w:spacing w:val="-4"/>
        </w:rPr>
        <w:t>万元，同比减收</w:t>
      </w:r>
      <w:r>
        <w:rPr>
          <w:spacing w:val="-55"/>
        </w:rPr>
        <w:t> </w:t>
      </w:r>
      <w:r>
        <w:rPr>
          <w:rFonts w:ascii="宋体" w:hAnsi="宋体" w:cs="宋体" w:eastAsia="宋体" w:hint="default"/>
        </w:rPr>
        <w:t>6,483.27</w:t>
      </w:r>
      <w:r>
        <w:rPr>
          <w:rFonts w:ascii="宋体" w:hAnsi="宋体" w:cs="宋体" w:eastAsia="宋体" w:hint="default"/>
          <w:spacing w:val="-56"/>
        </w:rPr>
        <w:t> </w:t>
      </w:r>
      <w:r>
        <w:rPr/>
        <w:t>万元降幅</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right="418"/>
        <w:jc w:val="left"/>
      </w:pPr>
      <w:r>
        <w:rPr>
          <w:rFonts w:ascii="宋体" w:hAnsi="宋体" w:cs="宋体" w:eastAsia="宋体" w:hint="default"/>
        </w:rPr>
        <w:t>71.81%</w:t>
      </w:r>
      <w:r>
        <w:rPr/>
        <w:t>，受闭店改造影响利润</w:t>
      </w:r>
      <w:r>
        <w:rPr>
          <w:spacing w:val="-65"/>
        </w:rPr>
        <w:t> </w:t>
      </w:r>
      <w:r>
        <w:rPr>
          <w:rFonts w:ascii="宋体" w:hAnsi="宋体" w:cs="宋体" w:eastAsia="宋体" w:hint="default"/>
        </w:rPr>
        <w:t>1,757.90</w:t>
      </w:r>
      <w:r>
        <w:rPr>
          <w:rFonts w:ascii="宋体" w:hAnsi="宋体" w:cs="宋体" w:eastAsia="宋体" w:hint="default"/>
          <w:spacing w:val="-64"/>
        </w:rPr>
        <w:t> </w:t>
      </w:r>
      <w:r>
        <w:rPr/>
        <w:t>万元，加上同期支付业主商铺收益</w:t>
      </w:r>
      <w:r>
        <w:rPr>
          <w:spacing w:val="-64"/>
        </w:rPr>
        <w:t> </w:t>
      </w:r>
      <w:r>
        <w:rPr>
          <w:rFonts w:ascii="宋体" w:hAnsi="宋体" w:cs="宋体" w:eastAsia="宋体" w:hint="default"/>
        </w:rPr>
        <w:t>2,860.87</w:t>
      </w:r>
      <w:r>
        <w:rPr>
          <w:rFonts w:ascii="宋体" w:hAnsi="宋体" w:cs="宋体" w:eastAsia="宋体" w:hint="default"/>
          <w:spacing w:val="-65"/>
        </w:rPr>
        <w:t> </w:t>
      </w:r>
      <w:r>
        <w:rPr/>
        <w:t>万元，报告期金原</w:t>
      </w:r>
    </w:p>
    <w:p>
      <w:pPr>
        <w:pStyle w:val="BodyText"/>
        <w:spacing w:line="273" w:lineRule="auto" w:before="37"/>
        <w:ind w:right="1178"/>
        <w:jc w:val="left"/>
      </w:pPr>
      <w:r>
        <w:rPr/>
        <w:t>商业由上年同期亏损</w:t>
      </w:r>
      <w:r>
        <w:rPr>
          <w:spacing w:val="-50"/>
        </w:rPr>
        <w:t> </w:t>
      </w:r>
      <w:r>
        <w:rPr>
          <w:rFonts w:ascii="宋体" w:hAnsi="宋体" w:cs="宋体" w:eastAsia="宋体" w:hint="default"/>
        </w:rPr>
        <w:t>1,249.74</w:t>
      </w:r>
      <w:r>
        <w:rPr>
          <w:rFonts w:ascii="宋体" w:hAnsi="宋体" w:cs="宋体" w:eastAsia="宋体" w:hint="default"/>
          <w:spacing w:val="-50"/>
        </w:rPr>
        <w:t> </w:t>
      </w:r>
      <w:r>
        <w:rPr/>
        <w:t>万元变为本期亏损</w:t>
      </w:r>
      <w:r>
        <w:rPr>
          <w:spacing w:val="-49"/>
        </w:rPr>
        <w:t> </w:t>
      </w:r>
      <w:r>
        <w:rPr>
          <w:rFonts w:ascii="宋体" w:hAnsi="宋体" w:cs="宋体" w:eastAsia="宋体" w:hint="default"/>
        </w:rPr>
        <w:t>2,745.32</w:t>
      </w:r>
      <w:r>
        <w:rPr>
          <w:rFonts w:ascii="宋体" w:hAnsi="宋体" w:cs="宋体" w:eastAsia="宋体" w:hint="default"/>
          <w:spacing w:val="-50"/>
        </w:rPr>
        <w:t> </w:t>
      </w:r>
      <w:r>
        <w:rPr>
          <w:spacing w:val="-3"/>
        </w:rPr>
        <w:t>万元。有关受托经营事项可阅读本报告第五</w:t>
      </w:r>
      <w:r>
        <w:rPr/>
        <w:t> 章第三节合同及其履行情况的相关内容。</w:t>
      </w:r>
    </w:p>
    <w:p>
      <w:pPr>
        <w:pStyle w:val="BodyText"/>
        <w:spacing w:line="240" w:lineRule="auto"/>
        <w:ind w:left="824" w:right="418"/>
        <w:jc w:val="left"/>
      </w:pPr>
      <w:r>
        <w:rPr>
          <w:rFonts w:ascii="宋体" w:hAnsi="宋体" w:cs="宋体" w:eastAsia="宋体" w:hint="default"/>
        </w:rPr>
        <w:t>(3)</w:t>
      </w:r>
      <w:r>
        <w:rPr>
          <w:rFonts w:ascii="宋体" w:hAnsi="宋体" w:cs="宋体" w:eastAsia="宋体" w:hint="default"/>
          <w:spacing w:val="-44"/>
        </w:rPr>
        <w:t> </w:t>
      </w:r>
      <w:r>
        <w:rPr/>
        <w:t>芜湖茂业置业有限公司</w:t>
      </w:r>
      <w:r>
        <w:rPr>
          <w:rFonts w:ascii="宋体" w:hAnsi="宋体" w:cs="宋体" w:eastAsia="宋体" w:hint="default"/>
        </w:rPr>
        <w:t>(</w:t>
      </w:r>
      <w:r>
        <w:rPr/>
        <w:t>简称芜湖茂业</w:t>
      </w:r>
      <w:r>
        <w:rPr>
          <w:rFonts w:ascii="宋体" w:hAnsi="宋体" w:cs="宋体" w:eastAsia="宋体" w:hint="default"/>
        </w:rPr>
        <w:t>)</w:t>
      </w:r>
      <w:r>
        <w:rPr/>
        <w:t>位于城市市区，所在地经济发展较快，业务收入来自商</w:t>
      </w:r>
    </w:p>
    <w:p>
      <w:pPr>
        <w:pStyle w:val="BodyText"/>
        <w:spacing w:line="273" w:lineRule="auto" w:before="37"/>
        <w:ind w:right="1172"/>
        <w:jc w:val="left"/>
      </w:pPr>
      <w:r>
        <w:rPr/>
        <w:t>铺出租，报告期营业收入同比基本持平，因公司业务整合、转型，前期投入的开发费用 </w:t>
      </w:r>
      <w:r>
        <w:rPr>
          <w:rFonts w:ascii="宋体" w:hAnsi="宋体" w:cs="宋体" w:eastAsia="宋体" w:hint="default"/>
        </w:rPr>
        <w:t>697.65</w:t>
      </w:r>
      <w:r>
        <w:rPr>
          <w:rFonts w:ascii="宋体" w:hAnsi="宋体" w:cs="宋体" w:eastAsia="宋体" w:hint="default"/>
          <w:spacing w:val="-40"/>
        </w:rPr>
        <w:t> </w:t>
      </w:r>
      <w:r>
        <w:rPr/>
        <w:t>万元预 计未来不能产生收益摊入本期成本，芜湖茂业实现净利润同比减少</w:t>
      </w:r>
      <w:r>
        <w:rPr>
          <w:spacing w:val="-55"/>
        </w:rPr>
        <w:t> </w:t>
      </w:r>
      <w:r>
        <w:rPr>
          <w:rFonts w:ascii="宋体" w:hAnsi="宋体" w:cs="宋体" w:eastAsia="宋体" w:hint="default"/>
        </w:rPr>
        <w:t>477.20</w:t>
      </w:r>
      <w:r>
        <w:rPr>
          <w:rFonts w:ascii="宋体" w:hAnsi="宋体" w:cs="宋体" w:eastAsia="宋体" w:hint="default"/>
          <w:spacing w:val="-55"/>
        </w:rPr>
        <w:t> </w:t>
      </w:r>
      <w:r>
        <w:rPr/>
        <w:t>万元降幅</w:t>
      </w:r>
      <w:r>
        <w:rPr>
          <w:spacing w:val="-56"/>
        </w:rPr>
        <w:t> </w:t>
      </w:r>
      <w:r>
        <w:rPr>
          <w:rFonts w:ascii="宋体" w:hAnsi="宋体" w:cs="宋体" w:eastAsia="宋体" w:hint="default"/>
        </w:rPr>
        <w:t>81.73%</w:t>
      </w:r>
      <w:r>
        <w:rPr/>
        <w:t>。</w:t>
      </w:r>
    </w:p>
    <w:p>
      <w:pPr>
        <w:pStyle w:val="BodyText"/>
        <w:spacing w:line="240" w:lineRule="auto"/>
        <w:ind w:left="824" w:right="418"/>
        <w:jc w:val="left"/>
      </w:pPr>
      <w:r>
        <w:rPr>
          <w:rFonts w:ascii="宋体" w:hAnsi="宋体" w:cs="宋体" w:eastAsia="宋体" w:hint="default"/>
        </w:rPr>
        <w:t>(4)</w:t>
      </w:r>
      <w:r>
        <w:rPr>
          <w:rFonts w:ascii="宋体" w:hAnsi="宋体" w:cs="宋体" w:eastAsia="宋体" w:hint="default"/>
          <w:spacing w:val="-43"/>
        </w:rPr>
        <w:t> </w:t>
      </w:r>
      <w:r>
        <w:rPr/>
        <w:t>淮南茂业位于城市非中心区，所在地经济发展较慢，当地市场仍需培育，业务收入来自存量商</w:t>
      </w:r>
    </w:p>
    <w:p>
      <w:pPr>
        <w:pStyle w:val="BodyText"/>
        <w:spacing w:line="240" w:lineRule="auto" w:before="37"/>
        <w:ind w:right="418"/>
        <w:jc w:val="left"/>
      </w:pPr>
      <w:r>
        <w:rPr/>
        <w:t>铺销售和出租，报告期营业收入同比增加</w:t>
      </w:r>
      <w:r>
        <w:rPr>
          <w:spacing w:val="-59"/>
        </w:rPr>
        <w:t> </w:t>
      </w:r>
      <w:r>
        <w:rPr>
          <w:rFonts w:ascii="宋体" w:hAnsi="宋体" w:cs="宋体" w:eastAsia="宋体" w:hint="default"/>
        </w:rPr>
        <w:t>491.45</w:t>
      </w:r>
      <w:r>
        <w:rPr>
          <w:rFonts w:ascii="宋体" w:hAnsi="宋体" w:cs="宋体" w:eastAsia="宋体" w:hint="default"/>
          <w:spacing w:val="-60"/>
        </w:rPr>
        <w:t> </w:t>
      </w:r>
      <w:r>
        <w:rPr/>
        <w:t>万元，本期没有上年土地增值税清算</w:t>
      </w:r>
      <w:r>
        <w:rPr>
          <w:spacing w:val="-59"/>
        </w:rPr>
        <w:t> </w:t>
      </w:r>
      <w:r>
        <w:rPr>
          <w:rFonts w:ascii="宋体" w:hAnsi="宋体" w:cs="宋体" w:eastAsia="宋体" w:hint="default"/>
        </w:rPr>
        <w:t>495.32</w:t>
      </w:r>
      <w:r>
        <w:rPr>
          <w:rFonts w:ascii="宋体" w:hAnsi="宋体" w:cs="宋体" w:eastAsia="宋体" w:hint="default"/>
          <w:spacing w:val="-60"/>
        </w:rPr>
        <w:t> </w:t>
      </w:r>
      <w:r>
        <w:rPr>
          <w:spacing w:val="-4"/>
        </w:rPr>
        <w:t>万元，期</w:t>
      </w:r>
    </w:p>
    <w:p>
      <w:pPr>
        <w:pStyle w:val="BodyText"/>
        <w:spacing w:line="273" w:lineRule="auto" w:before="37"/>
        <w:ind w:right="1172"/>
        <w:jc w:val="left"/>
      </w:pPr>
      <w:r>
        <w:rPr/>
        <w:t>间成本、费用控制较好，报告期淮南茂业的净利润由上年同期亏损</w:t>
      </w:r>
      <w:r>
        <w:rPr>
          <w:spacing w:val="-49"/>
        </w:rPr>
        <w:t> </w:t>
      </w:r>
      <w:r>
        <w:rPr>
          <w:rFonts w:ascii="宋体" w:hAnsi="宋体" w:cs="宋体" w:eastAsia="宋体" w:hint="default"/>
        </w:rPr>
        <w:t>1,445.96</w:t>
      </w:r>
      <w:r>
        <w:rPr>
          <w:rFonts w:ascii="宋体" w:hAnsi="宋体" w:cs="宋体" w:eastAsia="宋体" w:hint="default"/>
          <w:spacing w:val="-47"/>
        </w:rPr>
        <w:t> </w:t>
      </w:r>
      <w:r>
        <w:rPr/>
        <w:t>万元变为本期亏损</w:t>
      </w:r>
      <w:r>
        <w:rPr>
          <w:spacing w:val="-49"/>
        </w:rPr>
        <w:t> </w:t>
      </w:r>
      <w:r>
        <w:rPr>
          <w:rFonts w:ascii="宋体" w:hAnsi="宋体" w:cs="宋体" w:eastAsia="宋体" w:hint="default"/>
        </w:rPr>
        <w:t>328.17 </w:t>
      </w:r>
      <w:r>
        <w:rPr/>
        <w:t>万元。</w:t>
      </w:r>
    </w:p>
    <w:p>
      <w:pPr>
        <w:pStyle w:val="BodyText"/>
        <w:spacing w:line="240" w:lineRule="auto" w:before="70"/>
        <w:ind w:left="824" w:right="418"/>
        <w:jc w:val="left"/>
      </w:pPr>
      <w:r>
        <w:rPr>
          <w:rFonts w:ascii="宋体" w:hAnsi="宋体" w:cs="宋体" w:eastAsia="宋体" w:hint="default"/>
        </w:rPr>
        <w:t>4</w:t>
      </w:r>
      <w:r>
        <w:rPr/>
        <w:t>、公司持有与公司主业关联度较小的子公司的名称、目的和未来经营计划</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3"/>
        <w:gridCol w:w="3312"/>
        <w:gridCol w:w="4060"/>
      </w:tblGrid>
      <w:tr>
        <w:trPr>
          <w:trHeight w:val="60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21" w:right="0"/>
              <w:jc w:val="left"/>
              <w:rPr>
                <w:rFonts w:ascii="宋体" w:hAnsi="宋体" w:cs="宋体" w:eastAsia="宋体" w:hint="default"/>
                <w:sz w:val="18"/>
                <w:szCs w:val="18"/>
              </w:rPr>
            </w:pPr>
            <w:r>
              <w:rPr>
                <w:rFonts w:ascii="宋体" w:hAnsi="宋体" w:cs="宋体" w:eastAsia="宋体" w:hint="default"/>
                <w:sz w:val="18"/>
                <w:szCs w:val="18"/>
              </w:rPr>
              <w:t>设立、持有目的</w:t>
            </w:r>
          </w:p>
        </w:tc>
        <w:tc>
          <w:tcPr>
            <w:tcW w:w="4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未来经营计划</w:t>
            </w:r>
          </w:p>
        </w:tc>
      </w:tr>
      <w:tr>
        <w:trPr>
          <w:trHeight w:val="565"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04"/>
              <w:jc w:val="left"/>
              <w:rPr>
                <w:rFonts w:ascii="宋体" w:hAnsi="宋体" w:cs="宋体" w:eastAsia="宋体" w:hint="default"/>
                <w:sz w:val="18"/>
                <w:szCs w:val="18"/>
              </w:rPr>
            </w:pPr>
            <w:r>
              <w:rPr>
                <w:rFonts w:ascii="宋体" w:hAnsi="宋体" w:cs="宋体" w:eastAsia="宋体" w:hint="default"/>
                <w:spacing w:val="14"/>
                <w:sz w:val="18"/>
                <w:szCs w:val="18"/>
              </w:rPr>
              <w:t>秦皇岛市渤海物流煤炭经销</w:t>
            </w:r>
            <w:r>
              <w:rPr>
                <w:rFonts w:ascii="宋体" w:hAnsi="宋体" w:cs="宋体" w:eastAsia="宋体" w:hint="default"/>
                <w:sz w:val="18"/>
                <w:szCs w:val="18"/>
              </w:rPr>
              <w:t> 有限公司</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05"/>
              <w:jc w:val="left"/>
              <w:rPr>
                <w:rFonts w:ascii="宋体" w:hAnsi="宋体" w:cs="宋体" w:eastAsia="宋体" w:hint="default"/>
                <w:sz w:val="18"/>
                <w:szCs w:val="18"/>
              </w:rPr>
            </w:pPr>
            <w:r>
              <w:rPr>
                <w:rFonts w:ascii="宋体" w:hAnsi="宋体" w:cs="宋体" w:eastAsia="宋体" w:hint="default"/>
                <w:sz w:val="18"/>
                <w:szCs w:val="18"/>
              </w:rPr>
              <w:t>利用秦皇岛煤炭物流的独特条件开展煤</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炭贸易</w:t>
            </w:r>
          </w:p>
        </w:tc>
        <w:tc>
          <w:tcPr>
            <w:tcW w:w="4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03"/>
              <w:jc w:val="left"/>
              <w:rPr>
                <w:rFonts w:ascii="宋体" w:hAnsi="宋体" w:cs="宋体" w:eastAsia="宋体" w:hint="default"/>
                <w:sz w:val="18"/>
                <w:szCs w:val="18"/>
              </w:rPr>
            </w:pPr>
            <w:r>
              <w:rPr>
                <w:rFonts w:ascii="宋体" w:hAnsi="宋体" w:cs="宋体" w:eastAsia="宋体" w:hint="default"/>
                <w:spacing w:val="2"/>
                <w:sz w:val="18"/>
                <w:szCs w:val="18"/>
              </w:rPr>
              <w:t>报告期后以吸收合并方式注销，有关情况见本报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告第五章第二节“二、报告期企业合并事项”。</w:t>
            </w:r>
          </w:p>
        </w:tc>
      </w:tr>
      <w:tr>
        <w:trPr>
          <w:trHeight w:val="56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104"/>
              <w:jc w:val="left"/>
              <w:rPr>
                <w:rFonts w:ascii="宋体" w:hAnsi="宋体" w:cs="宋体" w:eastAsia="宋体" w:hint="default"/>
                <w:sz w:val="18"/>
                <w:szCs w:val="18"/>
              </w:rPr>
            </w:pPr>
            <w:r>
              <w:rPr>
                <w:rFonts w:ascii="宋体" w:hAnsi="宋体" w:cs="宋体" w:eastAsia="宋体" w:hint="default"/>
                <w:spacing w:val="14"/>
                <w:sz w:val="18"/>
                <w:szCs w:val="18"/>
              </w:rPr>
              <w:t>安徽省新长江商品交易有限</w:t>
            </w:r>
            <w:r>
              <w:rPr>
                <w:rFonts w:ascii="宋体" w:hAnsi="宋体" w:cs="宋体" w:eastAsia="宋体" w:hint="default"/>
                <w:sz w:val="18"/>
                <w:szCs w:val="18"/>
              </w:rPr>
              <w:t> 公司</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105"/>
              <w:jc w:val="left"/>
              <w:rPr>
                <w:rFonts w:ascii="宋体" w:hAnsi="宋体" w:cs="宋体" w:eastAsia="宋体" w:hint="default"/>
                <w:sz w:val="18"/>
                <w:szCs w:val="18"/>
              </w:rPr>
            </w:pPr>
            <w:r>
              <w:rPr>
                <w:rFonts w:ascii="宋体" w:hAnsi="宋体" w:cs="宋体" w:eastAsia="宋体" w:hint="default"/>
                <w:sz w:val="18"/>
                <w:szCs w:val="18"/>
              </w:rPr>
              <w:t>作为投资方与安徽国润共同持有芜湖茂</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业等间接控股子公司股权</w:t>
            </w:r>
          </w:p>
        </w:tc>
        <w:tc>
          <w:tcPr>
            <w:tcW w:w="4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经营业务暂停</w:t>
            </w:r>
          </w:p>
        </w:tc>
      </w:tr>
      <w:tr>
        <w:trPr>
          <w:trHeight w:val="56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4"/>
              <w:jc w:val="left"/>
              <w:rPr>
                <w:rFonts w:ascii="宋体" w:hAnsi="宋体" w:cs="宋体" w:eastAsia="宋体" w:hint="default"/>
                <w:sz w:val="18"/>
                <w:szCs w:val="18"/>
              </w:rPr>
            </w:pPr>
            <w:r>
              <w:rPr>
                <w:rFonts w:ascii="宋体" w:hAnsi="宋体" w:cs="宋体" w:eastAsia="宋体" w:hint="default"/>
                <w:spacing w:val="14"/>
                <w:sz w:val="18"/>
                <w:szCs w:val="18"/>
              </w:rPr>
              <w:t>芜湖茂业农副产品市场有限</w:t>
            </w:r>
            <w:r>
              <w:rPr>
                <w:rFonts w:ascii="宋体" w:hAnsi="宋体" w:cs="宋体" w:eastAsia="宋体" w:hint="default"/>
                <w:sz w:val="18"/>
                <w:szCs w:val="18"/>
              </w:rPr>
              <w:t> 公司</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在芜湖当地开展农产品市场建设及交易</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业务</w:t>
            </w:r>
          </w:p>
        </w:tc>
        <w:tc>
          <w:tcPr>
            <w:tcW w:w="4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4"/>
              <w:jc w:val="left"/>
              <w:rPr>
                <w:rFonts w:ascii="宋体" w:hAnsi="宋体" w:cs="宋体" w:eastAsia="宋体" w:hint="default"/>
                <w:sz w:val="18"/>
                <w:szCs w:val="18"/>
              </w:rPr>
            </w:pPr>
            <w:r>
              <w:rPr>
                <w:rFonts w:ascii="宋体" w:hAnsi="宋体" w:cs="宋体" w:eastAsia="宋体" w:hint="default"/>
                <w:spacing w:val="2"/>
                <w:sz w:val="18"/>
                <w:szCs w:val="18"/>
              </w:rPr>
              <w:t>持续规范农产品市场秩序，进一步加强管理，提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高经营收入、收益。</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rFonts w:ascii="宋体" w:hAnsi="宋体" w:cs="宋体" w:eastAsia="宋体" w:hint="default"/>
        </w:rPr>
        <w:t>5</w:t>
      </w:r>
      <w:r>
        <w:rPr/>
        <w:t>、报告期内取得和处置子公司的情况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3"/>
        <w:gridCol w:w="2553"/>
        <w:gridCol w:w="2356"/>
        <w:gridCol w:w="2464"/>
      </w:tblGrid>
      <w:tr>
        <w:trPr>
          <w:trHeight w:val="47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报告期内取得和处置子公司目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报告期内取得和处置子公司</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对整体经营和业绩的影响</w:t>
            </w:r>
          </w:p>
        </w:tc>
      </w:tr>
      <w:tr>
        <w:trPr>
          <w:trHeight w:val="47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优化公司主业结构，提高公司抗</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风险能力和可持续发展能力。</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非公开发行股份及支付现金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相结合的方式取得。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拓宽公司主业的利润来源，增</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强主业的盈利能力。</w:t>
            </w:r>
          </w:p>
        </w:tc>
      </w:tr>
      <w:tr>
        <w:trPr>
          <w:trHeight w:val="47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秦皇岛市渤海物流煤炭经销有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增强公司主业的资金运用，提高</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运营效率，降低成本。</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以吸收合并方式处置，报告期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后已完成注销。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符合公司发展战略，不损害公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司及股东利益。</w:t>
            </w:r>
          </w:p>
        </w:tc>
      </w:tr>
    </w:tbl>
    <w:p>
      <w:pPr>
        <w:spacing w:line="240" w:lineRule="auto" w:before="0"/>
        <w:rPr>
          <w:rFonts w:ascii="宋体" w:hAnsi="宋体" w:cs="宋体" w:eastAsia="宋体" w:hint="default"/>
          <w:sz w:val="20"/>
          <w:szCs w:val="20"/>
        </w:rPr>
      </w:pPr>
    </w:p>
    <w:p>
      <w:pPr>
        <w:pStyle w:val="BodyText"/>
        <w:spacing w:line="240" w:lineRule="auto" w:before="35"/>
        <w:ind w:left="824" w:right="418"/>
        <w:jc w:val="left"/>
      </w:pPr>
      <w:r>
        <w:rPr/>
        <w:t>报告期经工商变更登记，公司子公司更名情况见下表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104"/>
        <w:gridCol w:w="4821"/>
      </w:tblGrid>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原名</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秦皇岛华联商城金原物业服务有限公司</w:t>
            </w:r>
          </w:p>
        </w:tc>
      </w:tr>
    </w:tbl>
    <w:p>
      <w:pPr>
        <w:pStyle w:val="BodyText"/>
        <w:spacing w:line="260" w:lineRule="exact" w:before="0"/>
        <w:ind w:left="930" w:right="594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
        </w:rPr>
        <w:t> </w:t>
      </w:r>
      <w:r>
        <w:rPr/>
        <w:t>非募集资金投资的重大项目情况</w:t>
      </w:r>
    </w:p>
    <w:p>
      <w:pPr>
        <w:pStyle w:val="BodyText"/>
        <w:spacing w:line="273" w:lineRule="auto" w:before="37"/>
        <w:ind w:right="1174" w:firstLine="420"/>
        <w:jc w:val="left"/>
        <w:rPr>
          <w:rFonts w:ascii="宋体" w:hAnsi="宋体" w:cs="宋体" w:eastAsia="宋体" w:hint="default"/>
        </w:rPr>
      </w:pPr>
      <w:r>
        <w:rPr/>
        <w:t>投资总额超过公司上年末经审计净资产 </w:t>
      </w:r>
      <w:r>
        <w:rPr>
          <w:rFonts w:ascii="宋体" w:hAnsi="宋体" w:cs="宋体" w:eastAsia="宋体" w:hint="default"/>
        </w:rPr>
        <w:t>10%</w:t>
      </w:r>
      <w:r>
        <w:rPr/>
        <w:t>的非募集资金投资项目有滁州财富广场 </w:t>
      </w:r>
      <w:r>
        <w:rPr>
          <w:rFonts w:ascii="宋体" w:hAnsi="宋体" w:cs="宋体" w:eastAsia="宋体" w:hint="default"/>
        </w:rPr>
        <w:t>1</w:t>
      </w:r>
      <w:r>
        <w:rPr>
          <w:rFonts w:ascii="宋体" w:hAnsi="宋体" w:cs="宋体" w:eastAsia="宋体" w:hint="default"/>
          <w:spacing w:val="-42"/>
        </w:rPr>
        <w:t> </w:t>
      </w:r>
      <w:r>
        <w:rPr/>
        <w:t>期项目</w:t>
      </w:r>
      <w:r>
        <w:rPr>
          <w:rFonts w:ascii="宋体" w:hAnsi="宋体" w:cs="宋体" w:eastAsia="宋体" w:hint="default"/>
        </w:rPr>
        <w:t>(</w:t>
      </w:r>
      <w:r>
        <w:rPr/>
        <w:t>简称 广场</w:t>
      </w:r>
      <w:r>
        <w:rPr>
          <w:spacing w:val="-54"/>
        </w:rPr>
        <w:t> </w:t>
      </w:r>
      <w:r>
        <w:rPr>
          <w:rFonts w:ascii="宋体" w:hAnsi="宋体" w:cs="宋体" w:eastAsia="宋体" w:hint="default"/>
        </w:rPr>
        <w:t>1</w:t>
      </w:r>
      <w:r>
        <w:rPr>
          <w:rFonts w:ascii="宋体" w:hAnsi="宋体" w:cs="宋体" w:eastAsia="宋体" w:hint="default"/>
          <w:spacing w:val="-54"/>
        </w:rPr>
        <w:t> </w:t>
      </w:r>
      <w:r>
        <w:rPr/>
        <w:t>期</w:t>
      </w:r>
      <w:r>
        <w:rPr>
          <w:rFonts w:ascii="宋体" w:hAnsi="宋体" w:cs="宋体" w:eastAsia="宋体" w:hint="default"/>
        </w:rPr>
        <w:t>)</w:t>
      </w:r>
      <w:r>
        <w:rPr/>
        <w:t>、滁州财富广场</w:t>
      </w:r>
      <w:r>
        <w:rPr>
          <w:spacing w:val="-55"/>
        </w:rPr>
        <w:t> </w:t>
      </w:r>
      <w:r>
        <w:rPr>
          <w:rFonts w:ascii="宋体" w:hAnsi="宋体" w:cs="宋体" w:eastAsia="宋体" w:hint="default"/>
        </w:rPr>
        <w:t>2</w:t>
      </w:r>
      <w:r>
        <w:rPr>
          <w:rFonts w:ascii="宋体" w:hAnsi="宋体" w:cs="宋体" w:eastAsia="宋体" w:hint="default"/>
          <w:spacing w:val="-54"/>
        </w:rPr>
        <w:t> </w:t>
      </w:r>
      <w:r>
        <w:rPr/>
        <w:t>项目</w:t>
      </w:r>
      <w:r>
        <w:rPr>
          <w:rFonts w:ascii="宋体" w:hAnsi="宋体" w:cs="宋体" w:eastAsia="宋体" w:hint="default"/>
        </w:rPr>
        <w:t>(</w:t>
      </w:r>
      <w:r>
        <w:rPr/>
        <w:t>简称广场</w:t>
      </w:r>
      <w:r>
        <w:rPr>
          <w:spacing w:val="-54"/>
        </w:rPr>
        <w:t> </w:t>
      </w:r>
      <w:r>
        <w:rPr>
          <w:rFonts w:ascii="宋体" w:hAnsi="宋体" w:cs="宋体" w:eastAsia="宋体" w:hint="default"/>
        </w:rPr>
        <w:t>2</w:t>
      </w:r>
      <w:r>
        <w:rPr>
          <w:rFonts w:ascii="宋体" w:hAnsi="宋体" w:cs="宋体" w:eastAsia="宋体" w:hint="default"/>
          <w:spacing w:val="-54"/>
        </w:rPr>
        <w:t> </w:t>
      </w:r>
      <w:r>
        <w:rPr/>
        <w:t>期</w:t>
      </w:r>
      <w:r>
        <w:rPr>
          <w:rFonts w:ascii="宋体" w:hAnsi="宋体" w:cs="宋体" w:eastAsia="宋体" w:hint="default"/>
        </w:rPr>
        <w:t>)</w:t>
      </w:r>
      <w:r>
        <w:rPr/>
        <w:t>等</w:t>
      </w:r>
      <w:r>
        <w:rPr>
          <w:spacing w:val="-55"/>
        </w:rPr>
        <w:t> </w:t>
      </w:r>
      <w:r>
        <w:rPr>
          <w:rFonts w:ascii="宋体" w:hAnsi="宋体" w:cs="宋体" w:eastAsia="宋体" w:hint="default"/>
        </w:rPr>
        <w:t>2</w:t>
      </w:r>
      <w:r>
        <w:rPr>
          <w:rFonts w:ascii="宋体" w:hAnsi="宋体" w:cs="宋体" w:eastAsia="宋体" w:hint="default"/>
          <w:spacing w:val="-54"/>
        </w:rPr>
        <w:t> </w:t>
      </w:r>
      <w:r>
        <w:rPr/>
        <w:t>个，有关情况见下表</w:t>
      </w:r>
      <w:r>
        <w:rPr>
          <w:rFonts w:ascii="宋体" w:hAnsi="宋体" w:cs="宋体" w:eastAsia="宋体" w:hint="default"/>
        </w:rPr>
        <w:t>(</w:t>
      </w:r>
      <w:r>
        <w:rPr/>
        <w:t>金额单位：万元</w:t>
      </w:r>
      <w:r>
        <w:rPr>
          <w:rFonts w:ascii="宋体" w:hAnsi="宋体" w:cs="宋体" w:eastAsia="宋体" w:hint="default"/>
        </w:rPr>
        <w:t>)</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994"/>
        <w:gridCol w:w="851"/>
        <w:gridCol w:w="992"/>
        <w:gridCol w:w="1559"/>
        <w:gridCol w:w="1276"/>
        <w:gridCol w:w="992"/>
        <w:gridCol w:w="3261"/>
      </w:tblGrid>
      <w:tr>
        <w:trPr>
          <w:trHeight w:val="70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102" w:right="53"/>
              <w:jc w:val="left"/>
              <w:rPr>
                <w:rFonts w:ascii="宋体" w:hAnsi="宋体" w:cs="宋体" w:eastAsia="宋体" w:hint="default"/>
                <w:sz w:val="18"/>
                <w:szCs w:val="18"/>
              </w:rPr>
            </w:pPr>
            <w:r>
              <w:rPr>
                <w:rFonts w:ascii="宋体" w:hAnsi="宋体" w:cs="宋体" w:eastAsia="宋体" w:hint="default"/>
                <w:spacing w:val="32"/>
                <w:sz w:val="18"/>
                <w:szCs w:val="18"/>
              </w:rPr>
              <w:t>计划投</w:t>
            </w:r>
            <w:r>
              <w:rPr>
                <w:rFonts w:ascii="宋体" w:hAnsi="宋体" w:cs="宋体" w:eastAsia="宋体" w:hint="default"/>
                <w:spacing w:val="-42"/>
                <w:sz w:val="18"/>
                <w:szCs w:val="18"/>
              </w:rPr>
              <w:t> </w:t>
            </w:r>
            <w:r>
              <w:rPr>
                <w:rFonts w:ascii="宋体" w:hAnsi="宋体" w:cs="宋体" w:eastAsia="宋体" w:hint="default"/>
                <w:sz w:val="18"/>
                <w:szCs w:val="18"/>
              </w:rPr>
              <w:t>资总额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103" w:right="80"/>
              <w:jc w:val="left"/>
              <w:rPr>
                <w:rFonts w:ascii="宋体" w:hAnsi="宋体" w:cs="宋体" w:eastAsia="宋体" w:hint="default"/>
                <w:sz w:val="18"/>
                <w:szCs w:val="18"/>
              </w:rPr>
            </w:pPr>
            <w:r>
              <w:rPr>
                <w:rFonts w:ascii="宋体" w:hAnsi="宋体" w:cs="宋体" w:eastAsia="宋体" w:hint="default"/>
                <w:spacing w:val="14"/>
                <w:sz w:val="18"/>
                <w:szCs w:val="18"/>
              </w:rPr>
              <w:t>本报告期</w:t>
            </w:r>
            <w:r>
              <w:rPr>
                <w:rFonts w:ascii="宋体" w:hAnsi="宋体" w:cs="宋体" w:eastAsia="宋体" w:hint="default"/>
                <w:spacing w:val="-71"/>
                <w:sz w:val="18"/>
                <w:szCs w:val="18"/>
              </w:rPr>
              <w:t> </w:t>
            </w:r>
            <w:r>
              <w:rPr>
                <w:rFonts w:ascii="宋体" w:hAnsi="宋体" w:cs="宋体" w:eastAsia="宋体" w:hint="default"/>
                <w:sz w:val="18"/>
                <w:szCs w:val="18"/>
              </w:rPr>
              <w:t>投入金额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101" w:right="104"/>
              <w:jc w:val="left"/>
              <w:rPr>
                <w:rFonts w:ascii="宋体" w:hAnsi="宋体" w:cs="宋体" w:eastAsia="宋体" w:hint="default"/>
                <w:sz w:val="18"/>
                <w:szCs w:val="18"/>
              </w:rPr>
            </w:pPr>
            <w:r>
              <w:rPr>
                <w:rFonts w:ascii="宋体" w:hAnsi="宋体" w:cs="宋体" w:eastAsia="宋体" w:hint="default"/>
                <w:spacing w:val="11"/>
                <w:sz w:val="18"/>
                <w:szCs w:val="18"/>
              </w:rPr>
              <w:t>截至报告期末累</w:t>
            </w:r>
            <w:r>
              <w:rPr>
                <w:rFonts w:ascii="宋体" w:hAnsi="宋体" w:cs="宋体" w:eastAsia="宋体" w:hint="default"/>
                <w:sz w:val="18"/>
                <w:szCs w:val="18"/>
              </w:rPr>
              <w:t> 计实际投入金额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项目收益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项目内容</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车城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p>
          <w:p>
            <w:pPr>
              <w:pStyle w:val="TableParagraph"/>
              <w:spacing w:line="234" w:lineRule="exact"/>
              <w:ind w:left="21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商铺和办公场所，建筑面积约</w:t>
            </w:r>
            <w:r>
              <w:rPr>
                <w:rFonts w:ascii="宋体" w:hAnsi="宋体" w:cs="宋体" w:eastAsia="宋体" w:hint="default"/>
                <w:spacing w:val="11"/>
                <w:sz w:val="18"/>
                <w:szCs w:val="18"/>
              </w:rPr>
              <w:t> </w:t>
            </w:r>
            <w:r>
              <w:rPr>
                <w:rFonts w:ascii="宋体" w:hAnsi="宋体" w:cs="宋体" w:eastAsia="宋体" w:hint="default"/>
                <w:sz w:val="18"/>
                <w:szCs w:val="18"/>
              </w:rPr>
              <w:t>40,913</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平方米。</w:t>
            </w:r>
          </w:p>
        </w:tc>
      </w:tr>
      <w:tr>
        <w:trPr>
          <w:trHeight w:val="5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18,430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14,752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1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p>
          <w:p>
            <w:pPr>
              <w:pStyle w:val="TableParagraph"/>
              <w:spacing w:line="235" w:lineRule="exact"/>
              <w:ind w:left="2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258</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1" w:right="103"/>
              <w:jc w:val="left"/>
              <w:rPr>
                <w:rFonts w:ascii="宋体" w:hAnsi="宋体" w:cs="宋体" w:eastAsia="宋体" w:hint="default"/>
                <w:sz w:val="18"/>
                <w:szCs w:val="18"/>
              </w:rPr>
            </w:pPr>
            <w:r>
              <w:rPr>
                <w:rFonts w:ascii="宋体" w:hAnsi="宋体" w:cs="宋体" w:eastAsia="宋体" w:hint="default"/>
                <w:spacing w:val="4"/>
                <w:sz w:val="18"/>
                <w:szCs w:val="18"/>
              </w:rPr>
              <w:t>商场、办公场所，建筑面积约</w:t>
            </w:r>
            <w:r>
              <w:rPr>
                <w:rFonts w:ascii="宋体" w:hAnsi="宋体" w:cs="宋体" w:eastAsia="宋体" w:hint="default"/>
                <w:spacing w:val="11"/>
                <w:sz w:val="18"/>
                <w:szCs w:val="18"/>
              </w:rPr>
              <w:t> </w:t>
            </w:r>
            <w:r>
              <w:rPr>
                <w:rFonts w:ascii="宋体" w:hAnsi="宋体" w:cs="宋体" w:eastAsia="宋体" w:hint="default"/>
                <w:sz w:val="18"/>
                <w:szCs w:val="18"/>
              </w:rPr>
              <w:t>61,357 </w:t>
            </w:r>
            <w:r>
              <w:rPr>
                <w:rFonts w:ascii="宋体" w:hAnsi="宋体" w:cs="宋体" w:eastAsia="宋体" w:hint="default"/>
                <w:sz w:val="18"/>
                <w:szCs w:val="18"/>
              </w:rPr>
              <w:t>平方米。</w:t>
            </w:r>
          </w:p>
        </w:tc>
      </w:tr>
      <w:tr>
        <w:trPr>
          <w:trHeight w:val="47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41,922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25,659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年动工</w:t>
            </w:r>
          </w:p>
          <w:p>
            <w:pPr>
              <w:pStyle w:val="TableParagraph"/>
              <w:spacing w:line="235" w:lineRule="exact"/>
              <w:ind w:left="2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1,260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商场、办公场所、高星级酒店，建筑面</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积约</w:t>
            </w:r>
            <w:r>
              <w:rPr>
                <w:rFonts w:ascii="宋体" w:hAnsi="宋体" w:cs="宋体" w:eastAsia="宋体" w:hint="default"/>
                <w:spacing w:val="-46"/>
                <w:sz w:val="18"/>
                <w:szCs w:val="18"/>
              </w:rPr>
              <w:t> </w:t>
            </w:r>
            <w:r>
              <w:rPr>
                <w:rFonts w:ascii="宋体" w:hAnsi="宋体" w:cs="宋体" w:eastAsia="宋体" w:hint="default"/>
                <w:sz w:val="18"/>
                <w:szCs w:val="18"/>
              </w:rPr>
              <w:t>90,272</w:t>
            </w:r>
            <w:r>
              <w:rPr>
                <w:rFonts w:ascii="宋体" w:hAnsi="宋体" w:cs="宋体" w:eastAsia="宋体" w:hint="default"/>
                <w:spacing w:val="-46"/>
                <w:sz w:val="18"/>
                <w:szCs w:val="18"/>
              </w:rPr>
              <w:t> </w:t>
            </w:r>
            <w:r>
              <w:rPr>
                <w:rFonts w:ascii="宋体" w:hAnsi="宋体" w:cs="宋体" w:eastAsia="宋体" w:hint="default"/>
                <w:sz w:val="18"/>
                <w:szCs w:val="18"/>
              </w:rPr>
              <w:t>平方米。</w:t>
            </w:r>
          </w:p>
        </w:tc>
      </w:tr>
      <w:tr>
        <w:trPr>
          <w:trHeight w:val="36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71,012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4,982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z w:val="18"/>
              </w:rPr>
              <w:t>50,863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2,329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六、</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1-3</w:t>
      </w:r>
      <w:r>
        <w:rPr>
          <w:rFonts w:ascii="宋体" w:hAnsi="宋体" w:cs="宋体" w:eastAsia="宋体" w:hint="default"/>
          <w:spacing w:val="-53"/>
        </w:rPr>
        <w:t> </w:t>
      </w:r>
      <w:r>
        <w:rPr/>
        <w:t>月经营业绩的预计</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97" w:firstLine="420"/>
        <w:jc w:val="both"/>
      </w:pPr>
      <w:r>
        <w:rPr>
          <w:spacing w:val="3"/>
        </w:rPr>
        <w:t>预测年初至下一报告期期末的累计净利润可能为亏损或者与上年同期相比发生大幅度变动的警示</w:t>
      </w:r>
      <w:r>
        <w:rPr/>
        <w:t> 及原因说明。</w:t>
      </w:r>
    </w:p>
    <w:p>
      <w:pPr>
        <w:pStyle w:val="BodyText"/>
        <w:tabs>
          <w:tab w:pos="1614" w:val="left" w:leader="none"/>
        </w:tabs>
        <w:spacing w:line="240" w:lineRule="auto"/>
        <w:ind w:left="564" w:right="1066"/>
        <w:jc w:val="left"/>
      </w:pPr>
      <w:r>
        <w:rPr/>
        <w:t>□ 适用</w:t>
        <w:tab/>
        <w:t>√ 不适用</w:t>
      </w:r>
    </w:p>
    <w:p>
      <w:pPr>
        <w:spacing w:line="240" w:lineRule="auto" w:before="9"/>
        <w:rPr>
          <w:rFonts w:ascii="宋体" w:hAnsi="宋体" w:cs="宋体" w:eastAsia="宋体" w:hint="default"/>
          <w:sz w:val="26"/>
          <w:szCs w:val="26"/>
        </w:rPr>
      </w:pPr>
    </w:p>
    <w:p>
      <w:pPr>
        <w:pStyle w:val="Heading3"/>
        <w:tabs>
          <w:tab w:pos="4219" w:val="left" w:leader="none"/>
        </w:tabs>
        <w:spacing w:line="240" w:lineRule="auto" w:before="0"/>
        <w:ind w:left="3375" w:right="1066"/>
        <w:jc w:val="left"/>
        <w:rPr>
          <w:b w:val="0"/>
          <w:bCs w:val="0"/>
        </w:rPr>
      </w:pPr>
      <w:r>
        <w:rPr>
          <w:w w:val="95"/>
        </w:rPr>
        <w:t>第二节</w:t>
        <w:tab/>
      </w:r>
      <w:r>
        <w:rPr/>
        <w:t>对公司未来发展的展望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73" w:lineRule="auto" w:before="0"/>
        <w:ind w:left="564" w:right="1066" w:firstLine="1"/>
        <w:jc w:val="left"/>
      </w:pPr>
      <w:r>
        <w:rPr/>
        <w:t>一、行业竞争格局和发展趋势 </w:t>
      </w:r>
      <w:r>
        <w:rPr>
          <w:spacing w:val="-4"/>
        </w:rPr>
        <w:t>公司主营的百货零售、信息服务和辅业商业地产属于第三产业的重要部门，在国家调结构、扩内需、</w:t>
      </w:r>
    </w:p>
    <w:p>
      <w:pPr>
        <w:pStyle w:val="BodyText"/>
        <w:spacing w:line="273" w:lineRule="auto"/>
        <w:ind w:left="0" w:right="1149"/>
        <w:jc w:val="right"/>
      </w:pPr>
      <w:r>
        <w:rPr>
          <w:spacing w:val="-1"/>
        </w:rPr>
        <w:t>促消费的政策支持下，具有市场空间，宏观环境或行业环境良好。我国信息消费市场规模庞大，移动通</w:t>
      </w:r>
      <w:r>
        <w:rPr/>
        <w:t> </w:t>
      </w:r>
      <w:r>
        <w:rPr>
          <w:spacing w:val="-1"/>
        </w:rPr>
        <w:t>信技术也取得了长足发展，目前正处于居民消费升级和信息化、工业化、城镇化、农业现代化加快融合</w:t>
      </w:r>
      <w:r>
        <w:rPr/>
        <w:t> </w:t>
      </w:r>
      <w:r>
        <w:rPr>
          <w:spacing w:val="-1"/>
        </w:rPr>
        <w:t>发展的阶段，随着移动信息技术的迅速进步，移动信息服务行业是未来业务增长空间广阔的朝阳产业。</w:t>
      </w:r>
      <w:r>
        <w:rPr>
          <w:spacing w:val="-71"/>
        </w:rPr>
        <w:t> </w:t>
      </w:r>
      <w:r>
        <w:rPr>
          <w:spacing w:val="-71"/>
        </w:rPr>
      </w:r>
      <w:r>
        <w:rPr>
          <w:spacing w:val="-1"/>
        </w:rPr>
        <w:t>公司零售业以百货零售为主，还有超市、家居业态，经营门店位于秦皇岛市中心区域，在当地业务</w:t>
      </w:r>
      <w:r>
        <w:rPr/>
        <w:t> </w:t>
      </w:r>
      <w:r>
        <w:rPr>
          <w:spacing w:val="-1"/>
        </w:rPr>
        <w:t>规模最大，在国内知名商业企业和外资零售连锁企业相继进驻、本地同行倾力拓展市场份额的环境中，</w:t>
      </w:r>
      <w:r>
        <w:rPr>
          <w:spacing w:val="-69"/>
        </w:rPr>
        <w:t> </w:t>
      </w:r>
      <w:r>
        <w:rPr>
          <w:spacing w:val="-69"/>
        </w:rPr>
      </w:r>
      <w:r>
        <w:rPr/>
        <w:t>公司百货零售近三年的收入在</w:t>
      </w:r>
      <w:r>
        <w:rPr>
          <w:spacing w:val="-31"/>
        </w:rPr>
        <w:t> </w:t>
      </w:r>
      <w:r>
        <w:rPr>
          <w:rFonts w:ascii="宋体" w:hAnsi="宋体" w:cs="宋体" w:eastAsia="宋体" w:hint="default"/>
        </w:rPr>
        <w:t>15</w:t>
      </w:r>
      <w:r>
        <w:rPr>
          <w:rFonts w:ascii="宋体" w:hAnsi="宋体" w:cs="宋体" w:eastAsia="宋体" w:hint="default"/>
          <w:spacing w:val="-30"/>
        </w:rPr>
        <w:t> </w:t>
      </w:r>
      <w:r>
        <w:rPr/>
        <w:t>亿元——</w:t>
      </w:r>
      <w:r>
        <w:rPr>
          <w:rFonts w:ascii="宋体" w:hAnsi="宋体" w:cs="宋体" w:eastAsia="宋体" w:hint="default"/>
        </w:rPr>
        <w:t>17</w:t>
      </w:r>
      <w:r>
        <w:rPr>
          <w:rFonts w:ascii="宋体" w:hAnsi="宋体" w:cs="宋体" w:eastAsia="宋体" w:hint="default"/>
          <w:spacing w:val="-30"/>
        </w:rPr>
        <w:t> </w:t>
      </w:r>
      <w:r>
        <w:rPr/>
        <w:t>亿元之间波动、报告期营收同比减少</w:t>
      </w:r>
      <w:r>
        <w:rPr>
          <w:spacing w:val="-30"/>
        </w:rPr>
        <w:t> </w:t>
      </w:r>
      <w:r>
        <w:rPr>
          <w:rFonts w:ascii="宋体" w:hAnsi="宋体" w:cs="宋体" w:eastAsia="宋体" w:hint="default"/>
        </w:rPr>
        <w:t>5,387.20</w:t>
      </w:r>
      <w:r>
        <w:rPr>
          <w:rFonts w:ascii="宋体" w:hAnsi="宋体" w:cs="宋体" w:eastAsia="宋体" w:hint="default"/>
          <w:spacing w:val="-30"/>
        </w:rPr>
        <w:t> </w:t>
      </w:r>
      <w:r>
        <w:rPr/>
        <w:t>万元降幅</w:t>
      </w:r>
    </w:p>
    <w:p>
      <w:pPr>
        <w:pStyle w:val="BodyText"/>
        <w:spacing w:line="273" w:lineRule="auto"/>
        <w:ind w:left="144" w:right="1186"/>
        <w:jc w:val="both"/>
      </w:pPr>
      <w:r>
        <w:rPr>
          <w:rFonts w:ascii="宋体" w:hAnsi="宋体" w:cs="宋体" w:eastAsia="宋体" w:hint="default"/>
        </w:rPr>
        <w:t>3.15%</w:t>
      </w:r>
      <w:r>
        <w:rPr/>
        <w:t>，出现了波动、下降情形，但公司百货零售收入占当地限额</w:t>
      </w:r>
      <w:r>
        <w:rPr>
          <w:rFonts w:ascii="宋体" w:hAnsi="宋体" w:cs="宋体" w:eastAsia="宋体" w:hint="default"/>
        </w:rPr>
        <w:t>(</w:t>
      </w:r>
      <w:r>
        <w:rPr/>
        <w:t>营业额</w:t>
      </w:r>
      <w:r>
        <w:rPr>
          <w:spacing w:val="-73"/>
        </w:rPr>
        <w:t> </w:t>
      </w:r>
      <w:r>
        <w:rPr>
          <w:rFonts w:ascii="宋体" w:hAnsi="宋体" w:cs="宋体" w:eastAsia="宋体" w:hint="default"/>
        </w:rPr>
        <w:t>1,000</w:t>
      </w:r>
      <w:r>
        <w:rPr>
          <w:rFonts w:ascii="宋体" w:hAnsi="宋体" w:cs="宋体" w:eastAsia="宋体" w:hint="default"/>
          <w:spacing w:val="-73"/>
        </w:rPr>
        <w:t> </w:t>
      </w:r>
      <w:r>
        <w:rPr/>
        <w:t>万元</w:t>
      </w:r>
      <w:r>
        <w:rPr>
          <w:rFonts w:ascii="宋体" w:hAnsi="宋体" w:cs="宋体" w:eastAsia="宋体" w:hint="default"/>
        </w:rPr>
        <w:t>)</w:t>
      </w:r>
      <w:r>
        <w:rPr/>
        <w:t>以上百货店</w:t>
      </w:r>
      <w:r>
        <w:rPr>
          <w:rFonts w:ascii="宋体" w:hAnsi="宋体" w:cs="宋体" w:eastAsia="宋体" w:hint="default"/>
        </w:rPr>
        <w:t>/</w:t>
      </w:r>
      <w:r>
        <w:rPr/>
        <w:t>购物</w:t>
      </w:r>
      <w:r>
        <w:rPr>
          <w:spacing w:val="1"/>
        </w:rPr>
        <w:t> </w:t>
      </w:r>
      <w:r>
        <w:rPr/>
        <w:t>中心销售额</w:t>
      </w:r>
      <w:r>
        <w:rPr>
          <w:rFonts w:ascii="宋体" w:hAnsi="宋体" w:cs="宋体" w:eastAsia="宋体" w:hint="default"/>
        </w:rPr>
        <w:t>(</w:t>
      </w:r>
      <w:r>
        <w:rPr/>
        <w:t>出自《秦皇岛统计年鉴》的数据</w:t>
      </w:r>
      <w:r>
        <w:rPr>
          <w:rFonts w:ascii="宋体" w:hAnsi="宋体" w:cs="宋体" w:eastAsia="宋体" w:hint="default"/>
        </w:rPr>
        <w:t>)</w:t>
      </w:r>
      <w:r>
        <w:rPr/>
        <w:t>的比例</w:t>
      </w:r>
      <w:r>
        <w:rPr>
          <w:spacing w:val="-64"/>
        </w:rPr>
        <w:t> </w:t>
      </w:r>
      <w:r>
        <w:rPr>
          <w:rFonts w:ascii="宋体" w:hAnsi="宋体" w:cs="宋体" w:eastAsia="宋体" w:hint="default"/>
        </w:rPr>
        <w:t>2012</w:t>
      </w:r>
      <w:r>
        <w:rPr>
          <w:rFonts w:ascii="宋体" w:hAnsi="宋体" w:cs="宋体" w:eastAsia="宋体" w:hint="default"/>
          <w:spacing w:val="-64"/>
        </w:rPr>
        <w:t> </w:t>
      </w:r>
      <w:r>
        <w:rPr/>
        <w:t>年、</w:t>
      </w:r>
      <w:r>
        <w:rPr>
          <w:rFonts w:ascii="宋体" w:hAnsi="宋体" w:cs="宋体" w:eastAsia="宋体" w:hint="default"/>
        </w:rPr>
        <w:t>2013</w:t>
      </w:r>
      <w:r>
        <w:rPr>
          <w:rFonts w:ascii="宋体" w:hAnsi="宋体" w:cs="宋体" w:eastAsia="宋体" w:hint="default"/>
          <w:spacing w:val="-64"/>
        </w:rPr>
        <w:t> </w:t>
      </w:r>
      <w:r>
        <w:rPr/>
        <w:t>年分别为</w:t>
      </w:r>
      <w:r>
        <w:rPr>
          <w:spacing w:val="-64"/>
        </w:rPr>
        <w:t> </w:t>
      </w:r>
      <w:r>
        <w:rPr>
          <w:rFonts w:ascii="宋体" w:hAnsi="宋体" w:cs="宋体" w:eastAsia="宋体" w:hint="default"/>
        </w:rPr>
        <w:t>77.05%</w:t>
      </w:r>
      <w:r>
        <w:rPr/>
        <w:t>、</w:t>
      </w:r>
      <w:r>
        <w:rPr>
          <w:rFonts w:ascii="宋体" w:hAnsi="宋体" w:cs="宋体" w:eastAsia="宋体" w:hint="default"/>
        </w:rPr>
        <w:t>77.79%</w:t>
      </w:r>
      <w:r>
        <w:rPr/>
        <w:t>，仍占据 </w:t>
      </w:r>
      <w:r>
        <w:rPr>
          <w:spacing w:val="-1"/>
        </w:rPr>
        <w:t>行业的主导地位，将与竞争对手继续保持着规模、位置、品牌、服务、营运优势，以支撑公司未来经营</w:t>
      </w:r>
      <w:r>
        <w:rPr>
          <w:spacing w:val="-103"/>
        </w:rPr>
        <w:t> </w:t>
      </w:r>
      <w:r>
        <w:rPr>
          <w:spacing w:val="-103"/>
        </w:rPr>
      </w:r>
      <w:r>
        <w:rPr/>
        <w:t>业绩。</w:t>
      </w:r>
    </w:p>
    <w:p>
      <w:pPr>
        <w:pStyle w:val="BodyText"/>
        <w:spacing w:line="273" w:lineRule="auto"/>
        <w:ind w:left="144" w:right="1188" w:firstLine="420"/>
        <w:jc w:val="both"/>
      </w:pPr>
      <w:r>
        <w:rPr>
          <w:spacing w:val="-1"/>
        </w:rPr>
        <w:t>公司信息服务业以电信增值业务中的短消息服务为主。目前国内企业短信服务行业由于客户、行业</w:t>
      </w:r>
      <w:r>
        <w:rPr/>
        <w:t> </w:t>
      </w:r>
      <w:r>
        <w:rPr>
          <w:spacing w:val="-1"/>
        </w:rPr>
        <w:t>管理、技术等因素制约，进入门槛相对较高。公司信息服务业专注于行业应用需求的移动短彩信发送领</w:t>
      </w:r>
      <w:r>
        <w:rPr>
          <w:spacing w:val="-102"/>
        </w:rPr>
        <w:t> </w:t>
      </w:r>
      <w:r>
        <w:rPr>
          <w:spacing w:val="-102"/>
        </w:rPr>
      </w:r>
      <w:r>
        <w:rPr>
          <w:spacing w:val="-1"/>
        </w:rPr>
        <w:t>域，主要向电子商务、互联网企业、物流快递等企业客户提供触发类移动信息服务，凭借技术优势和与</w:t>
      </w:r>
      <w:r>
        <w:rPr>
          <w:spacing w:val="-100"/>
        </w:rPr>
        <w:t> </w:t>
      </w:r>
      <w:r>
        <w:rPr>
          <w:spacing w:val="-100"/>
        </w:rPr>
      </w:r>
      <w:r>
        <w:rPr>
          <w:spacing w:val="-1"/>
        </w:rPr>
        <w:t>竞争对手有区别、比竞争对手服务更好的策略，吸引了京东商城、腾讯等众多知名企业客户，并为全国</w:t>
      </w:r>
      <w:r>
        <w:rPr>
          <w:spacing w:val="-99"/>
        </w:rPr>
        <w:t> </w:t>
      </w:r>
      <w:r>
        <w:rPr>
          <w:spacing w:val="-99"/>
        </w:rPr>
      </w:r>
      <w:r>
        <w:rPr>
          <w:spacing w:val="-1"/>
        </w:rPr>
        <w:t>“两会”提供移动信息服务，已经发展为国内一家领先的移动信息智能传输服务提供商，能够有效把握</w:t>
      </w:r>
      <w:r>
        <w:rPr>
          <w:spacing w:val="-102"/>
        </w:rPr>
        <w:t> </w:t>
      </w:r>
      <w:r>
        <w:rPr>
          <w:spacing w:val="-102"/>
        </w:rPr>
      </w:r>
      <w:r>
        <w:rPr/>
        <w:t>客户需求，不断完善技术平台，进一步确立领先的行业地位。公司全资子公司创世漫道 </w:t>
      </w:r>
      <w:r>
        <w:rPr>
          <w:rFonts w:ascii="宋体" w:hAnsi="宋体" w:cs="宋体" w:eastAsia="宋体" w:hint="default"/>
        </w:rPr>
        <w:t>2013</w:t>
      </w:r>
      <w:r>
        <w:rPr>
          <w:rFonts w:ascii="宋体" w:hAnsi="宋体" w:cs="宋体" w:eastAsia="宋体" w:hint="default"/>
          <w:spacing w:val="-40"/>
        </w:rPr>
        <w:t> </w:t>
      </w:r>
      <w:r>
        <w:rPr/>
        <w:t>年实现短</w:t>
      </w:r>
    </w:p>
    <w:p>
      <w:pPr>
        <w:pStyle w:val="BodyText"/>
        <w:spacing w:line="273" w:lineRule="auto"/>
        <w:ind w:left="144" w:right="1188"/>
        <w:jc w:val="both"/>
      </w:pPr>
      <w:r>
        <w:rPr/>
        <w:t>彩信业务发送量近</w:t>
      </w:r>
      <w:r>
        <w:rPr>
          <w:spacing w:val="-53"/>
        </w:rPr>
        <w:t> </w:t>
      </w:r>
      <w:r>
        <w:rPr>
          <w:rFonts w:ascii="宋体" w:hAnsi="宋体" w:cs="宋体" w:eastAsia="宋体" w:hint="default"/>
        </w:rPr>
        <w:t>57</w:t>
      </w:r>
      <w:r>
        <w:rPr>
          <w:rFonts w:ascii="宋体" w:hAnsi="宋体" w:cs="宋体" w:eastAsia="宋体" w:hint="default"/>
          <w:spacing w:val="-52"/>
        </w:rPr>
        <w:t> </w:t>
      </w:r>
      <w:r>
        <w:rPr>
          <w:spacing w:val="-7"/>
        </w:rPr>
        <w:t>亿条，</w:t>
      </w:r>
      <w:r>
        <w:rPr>
          <w:rFonts w:ascii="宋体" w:hAnsi="宋体" w:cs="宋体" w:eastAsia="宋体" w:hint="default"/>
          <w:spacing w:val="-7"/>
        </w:rPr>
        <w:t>2014</w:t>
      </w:r>
      <w:r>
        <w:rPr>
          <w:rFonts w:ascii="宋体" w:hAnsi="宋体" w:cs="宋体" w:eastAsia="宋体" w:hint="default"/>
          <w:spacing w:val="-51"/>
        </w:rPr>
        <w:t> </w:t>
      </w:r>
      <w:r>
        <w:rPr/>
        <w:t>年实现短彩信业务发送量</w:t>
      </w:r>
      <w:r>
        <w:rPr>
          <w:spacing w:val="-52"/>
        </w:rPr>
        <w:t> </w:t>
      </w:r>
      <w:r>
        <w:rPr>
          <w:rFonts w:ascii="宋体" w:hAnsi="宋体" w:cs="宋体" w:eastAsia="宋体" w:hint="default"/>
        </w:rPr>
        <w:t>70</w:t>
      </w:r>
      <w:r>
        <w:rPr>
          <w:rFonts w:ascii="宋体" w:hAnsi="宋体" w:cs="宋体" w:eastAsia="宋体" w:hint="default"/>
          <w:spacing w:val="-52"/>
        </w:rPr>
        <w:t> </w:t>
      </w:r>
      <w:r>
        <w:rPr>
          <w:spacing w:val="-3"/>
        </w:rPr>
        <w:t>余亿条，业务发展快将增加公司未来的经</w:t>
      </w:r>
      <w:r>
        <w:rPr/>
        <w:t> 营业绩。</w:t>
      </w:r>
    </w:p>
    <w:p>
      <w:pPr>
        <w:pStyle w:val="BodyText"/>
        <w:spacing w:line="273" w:lineRule="auto"/>
        <w:ind w:left="144" w:right="1066" w:firstLine="420"/>
        <w:jc w:val="left"/>
      </w:pPr>
      <w:r>
        <w:rPr/>
        <w:t>公司房地产以商业地产为主，业务分布在安徽合肥、芜湖、滁州、淮南等地，项目位于城市非中心 区域或新区，业务规模有限，市场份额较小。公司房地产拥有独立开发的行业地位，受当地经济发展快 </w:t>
      </w:r>
      <w:r>
        <w:rPr>
          <w:spacing w:val="-4"/>
        </w:rPr>
        <w:t>慢、城市化进程的不同影响，开发项目正由批发市场向商业综合体转型过渡，与知名竞争对手同台竞技，</w:t>
      </w:r>
      <w:r>
        <w:rPr>
          <w:spacing w:val="-67"/>
        </w:rPr>
        <w:t> </w:t>
      </w:r>
      <w:r>
        <w:rPr>
          <w:spacing w:val="-67"/>
        </w:rPr>
      </w:r>
      <w:r>
        <w:rPr/>
        <w:t>具有开发、出售、招商、经营的竞争能力。公司将解决过渡期开发资金偏紧问题，力争地产业务为公司</w:t>
      </w:r>
      <w:r>
        <w:rPr>
          <w:spacing w:val="1"/>
        </w:rPr>
        <w:t> </w:t>
      </w:r>
      <w:r>
        <w:rPr/>
        <w:t>未来经营业绩作出贡献。</w:t>
      </w:r>
    </w:p>
    <w:p>
      <w:pPr>
        <w:pStyle w:val="BodyText"/>
        <w:spacing w:line="240" w:lineRule="auto" w:before="163"/>
        <w:ind w:left="566" w:right="1066"/>
        <w:jc w:val="left"/>
      </w:pPr>
      <w:r>
        <w:rPr/>
        <w:t>二、公司发展战略</w:t>
      </w:r>
    </w:p>
    <w:p>
      <w:pPr>
        <w:pStyle w:val="BodyText"/>
        <w:spacing w:line="273" w:lineRule="auto" w:before="37"/>
        <w:ind w:left="144" w:right="1187" w:firstLine="420"/>
        <w:jc w:val="both"/>
      </w:pPr>
      <w:r>
        <w:rPr/>
        <w:t>公司在秦皇岛当地拥有</w:t>
      </w:r>
      <w:r>
        <w:rPr>
          <w:spacing w:val="-73"/>
        </w:rPr>
        <w:t> </w:t>
      </w:r>
      <w:r>
        <w:rPr>
          <w:rFonts w:ascii="宋体" w:hAnsi="宋体" w:cs="宋体" w:eastAsia="宋体" w:hint="default"/>
        </w:rPr>
        <w:t>4</w:t>
      </w:r>
      <w:r>
        <w:rPr>
          <w:rFonts w:ascii="宋体" w:hAnsi="宋体" w:cs="宋体" w:eastAsia="宋体" w:hint="default"/>
          <w:spacing w:val="-72"/>
        </w:rPr>
        <w:t> </w:t>
      </w:r>
      <w:r>
        <w:rPr/>
        <w:t>个百货门店，据《秦皇岛统计年鉴</w:t>
      </w:r>
      <w:r>
        <w:rPr>
          <w:rFonts w:ascii="宋体" w:hAnsi="宋体" w:cs="宋体" w:eastAsia="宋体" w:hint="default"/>
        </w:rPr>
        <w:t>(2014)</w:t>
      </w:r>
      <w:r>
        <w:rPr/>
        <w:t>》数据，公司占当地社会消费品 零售总额的比例由</w:t>
      </w:r>
      <w:r>
        <w:rPr>
          <w:spacing w:val="-52"/>
        </w:rPr>
        <w:t> </w:t>
      </w:r>
      <w:r>
        <w:rPr>
          <w:rFonts w:ascii="宋体" w:hAnsi="宋体" w:cs="宋体" w:eastAsia="宋体" w:hint="default"/>
        </w:rPr>
        <w:t>2012</w:t>
      </w:r>
      <w:r>
        <w:rPr>
          <w:rFonts w:ascii="宋体" w:hAnsi="宋体" w:cs="宋体" w:eastAsia="宋体" w:hint="default"/>
          <w:spacing w:val="-53"/>
        </w:rPr>
        <w:t> </w:t>
      </w:r>
      <w:r>
        <w:rPr/>
        <w:t>年的</w:t>
      </w:r>
      <w:r>
        <w:rPr>
          <w:spacing w:val="-52"/>
        </w:rPr>
        <w:t> </w:t>
      </w:r>
      <w:r>
        <w:rPr>
          <w:rFonts w:ascii="宋体" w:hAnsi="宋体" w:cs="宋体" w:eastAsia="宋体" w:hint="default"/>
        </w:rPr>
        <w:t>3.49%</w:t>
      </w:r>
      <w:r>
        <w:rPr/>
        <w:t>降至</w:t>
      </w:r>
      <w:r>
        <w:rPr>
          <w:spacing w:val="-52"/>
        </w:rPr>
        <w:t> </w:t>
      </w:r>
      <w:r>
        <w:rPr>
          <w:rFonts w:ascii="宋体" w:hAnsi="宋体" w:cs="宋体" w:eastAsia="宋体" w:hint="default"/>
        </w:rPr>
        <w:t>2013</w:t>
      </w:r>
      <w:r>
        <w:rPr>
          <w:rFonts w:ascii="宋体" w:hAnsi="宋体" w:cs="宋体" w:eastAsia="宋体" w:hint="default"/>
          <w:spacing w:val="-52"/>
        </w:rPr>
        <w:t> </w:t>
      </w:r>
      <w:r>
        <w:rPr/>
        <w:t>年的</w:t>
      </w:r>
      <w:r>
        <w:rPr>
          <w:spacing w:val="-54"/>
        </w:rPr>
        <w:t> </w:t>
      </w:r>
      <w:r>
        <w:rPr>
          <w:rFonts w:ascii="宋体" w:hAnsi="宋体" w:cs="宋体" w:eastAsia="宋体" w:hint="default"/>
        </w:rPr>
        <w:t>3.33%</w:t>
      </w:r>
      <w:r>
        <w:rPr/>
        <w:t>，表明收入趋缓甚至有所下降，</w:t>
      </w:r>
      <w:r>
        <w:rPr>
          <w:rFonts w:ascii="宋体" w:hAnsi="宋体" w:cs="宋体" w:eastAsia="宋体" w:hint="default"/>
        </w:rPr>
        <w:t>2012</w:t>
      </w:r>
      <w:r>
        <w:rPr>
          <w:rFonts w:ascii="宋体" w:hAnsi="宋体" w:cs="宋体" w:eastAsia="宋体" w:hint="default"/>
          <w:spacing w:val="-51"/>
        </w:rPr>
        <w:t> </w:t>
      </w:r>
      <w:r>
        <w:rPr/>
        <w:t>年、</w:t>
      </w:r>
      <w:r>
        <w:rPr>
          <w:rFonts w:ascii="宋体" w:hAnsi="宋体" w:cs="宋体" w:eastAsia="宋体" w:hint="default"/>
        </w:rPr>
        <w:t>2013 </w:t>
      </w:r>
      <w:r>
        <w:rPr/>
        <w:t>年公司百货零售收入占当地限额以上百货店</w:t>
      </w:r>
      <w:r>
        <w:rPr>
          <w:rFonts w:ascii="宋体" w:hAnsi="宋体" w:cs="宋体" w:eastAsia="宋体" w:hint="default"/>
        </w:rPr>
        <w:t>/</w:t>
      </w:r>
      <w:r>
        <w:rPr/>
        <w:t>购物中心销售额的比例分别为</w:t>
      </w:r>
      <w:r>
        <w:rPr>
          <w:spacing w:val="-44"/>
        </w:rPr>
        <w:t> </w:t>
      </w:r>
      <w:r>
        <w:rPr>
          <w:rFonts w:ascii="宋体" w:hAnsi="宋体" w:cs="宋体" w:eastAsia="宋体" w:hint="default"/>
        </w:rPr>
        <w:t>77.05%</w:t>
      </w:r>
      <w:r>
        <w:rPr/>
        <w:t>、</w:t>
      </w:r>
      <w:r>
        <w:rPr>
          <w:rFonts w:ascii="宋体" w:hAnsi="宋体" w:cs="宋体" w:eastAsia="宋体" w:hint="default"/>
        </w:rPr>
        <w:t>77.79%</w:t>
      </w:r>
      <w:r>
        <w:rPr/>
        <w:t>处于高位， 公司百货零售在当地的主导地位形成了对公司有利的竞争格局。</w:t>
      </w:r>
    </w:p>
    <w:p>
      <w:pPr>
        <w:pStyle w:val="BodyText"/>
        <w:spacing w:line="273" w:lineRule="auto"/>
        <w:ind w:left="144" w:right="1188" w:firstLine="420"/>
        <w:jc w:val="both"/>
      </w:pPr>
      <w:r>
        <w:rPr>
          <w:spacing w:val="-1"/>
        </w:rPr>
        <w:t>公司信息服务凭借技术优势和更好的服务，吸引了京东商城、腾讯等众多知名企业客户，并为全国</w:t>
      </w:r>
      <w:r>
        <w:rPr/>
        <w:t> “两会”提供移动信息服务，短</w:t>
      </w:r>
      <w:r>
        <w:rPr>
          <w:rFonts w:ascii="宋体" w:hAnsi="宋体" w:cs="宋体" w:eastAsia="宋体" w:hint="default"/>
        </w:rPr>
        <w:t>(</w:t>
      </w:r>
      <w:r>
        <w:rPr/>
        <w:t>彩</w:t>
      </w:r>
      <w:r>
        <w:rPr>
          <w:rFonts w:ascii="宋体" w:hAnsi="宋体" w:cs="宋体" w:eastAsia="宋体" w:hint="default"/>
        </w:rPr>
        <w:t>)</w:t>
      </w:r>
      <w:r>
        <w:rPr/>
        <w:t>信业务发送量由上期的近</w:t>
      </w:r>
      <w:r>
        <w:rPr>
          <w:spacing w:val="-61"/>
        </w:rPr>
        <w:t> </w:t>
      </w:r>
      <w:r>
        <w:rPr>
          <w:rFonts w:ascii="宋体" w:hAnsi="宋体" w:cs="宋体" w:eastAsia="宋体" w:hint="default"/>
        </w:rPr>
        <w:t>57</w:t>
      </w:r>
      <w:r>
        <w:rPr>
          <w:rFonts w:ascii="宋体" w:hAnsi="宋体" w:cs="宋体" w:eastAsia="宋体" w:hint="default"/>
          <w:spacing w:val="-60"/>
        </w:rPr>
        <w:t> </w:t>
      </w:r>
      <w:r>
        <w:rPr/>
        <w:t>亿条迅速升至本期的</w:t>
      </w:r>
      <w:r>
        <w:rPr>
          <w:spacing w:val="-60"/>
        </w:rPr>
        <w:t> </w:t>
      </w:r>
      <w:r>
        <w:rPr>
          <w:rFonts w:ascii="宋体" w:hAnsi="宋体" w:cs="宋体" w:eastAsia="宋体" w:hint="default"/>
        </w:rPr>
        <w:t>70</w:t>
      </w:r>
      <w:r>
        <w:rPr>
          <w:rFonts w:ascii="宋体" w:hAnsi="宋体" w:cs="宋体" w:eastAsia="宋体" w:hint="default"/>
          <w:spacing w:val="-60"/>
        </w:rPr>
        <w:t> </w:t>
      </w:r>
      <w:r>
        <w:rPr>
          <w:spacing w:val="-3"/>
        </w:rPr>
        <w:t>余亿条，保持</w:t>
      </w:r>
      <w:r>
        <w:rPr/>
        <w:t> 着较强的竞争力。</w:t>
      </w:r>
    </w:p>
    <w:p>
      <w:pPr>
        <w:pStyle w:val="BodyText"/>
        <w:spacing w:line="273" w:lineRule="auto"/>
        <w:ind w:left="144" w:right="1066" w:firstLine="420"/>
        <w:jc w:val="left"/>
      </w:pPr>
      <w:r>
        <w:rPr/>
        <w:t>公司关注百货零售占当地限额以上市场份额保持稳定、信息服务业发展迅速及行业对垃圾短信进行 集中治理所给予的发展机遇，关注内外资进入本地零售业使得竞争日趋加剧、网上购物的发展、公司商 业地产开发处于转型过渡期等给传统业务带来的挑战，关注信息服务业对技术、人才、应用等高要求的 </w:t>
      </w:r>
      <w:r>
        <w:rPr>
          <w:spacing w:val="-4"/>
        </w:rPr>
        <w:t>挑战，关注成本尤其是人工成本上升压力持续增加。公司将坚持让消费者称心满意、以市场需求为定位、</w:t>
      </w:r>
      <w:r>
        <w:rPr>
          <w:spacing w:val="-68"/>
        </w:rPr>
        <w:t> </w:t>
      </w:r>
      <w:r>
        <w:rPr>
          <w:spacing w:val="-68"/>
        </w:rPr>
      </w:r>
      <w:r>
        <w:rPr/>
        <w:t>以百货零售同现代移动信息服务业并存为主要经营业务和发展方向、以员工为本、以追求利润回报投资</w:t>
      </w:r>
    </w:p>
    <w:p>
      <w:pPr>
        <w:spacing w:after="0" w:line="273"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355" w:lineRule="auto" w:before="35"/>
        <w:ind w:left="564" w:right="1972" w:hanging="421"/>
        <w:jc w:val="left"/>
      </w:pPr>
      <w:r>
        <w:rPr/>
        <w:t>者和追求社会及市场良好影响为长远目标的发展战略。 为保证公司发展战略的实施，公司零售业、信息服务业、房地产业的业务发展规划如下：</w:t>
      </w:r>
    </w:p>
    <w:p>
      <w:pPr>
        <w:pStyle w:val="BodyText"/>
        <w:spacing w:line="241" w:lineRule="exact" w:before="0"/>
        <w:ind w:left="564" w:right="1066"/>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5"/>
        </w:rPr>
        <w:t> </w:t>
      </w:r>
      <w:r>
        <w:rPr/>
        <w:t>做精做强做大百货零售，兼顾超市、家居等卖场，积极寻求拓展门店、区域，积累开展网上</w:t>
      </w:r>
    </w:p>
    <w:p>
      <w:pPr>
        <w:pStyle w:val="BodyText"/>
        <w:spacing w:line="240" w:lineRule="auto" w:before="37"/>
        <w:ind w:left="144" w:right="1066"/>
        <w:jc w:val="left"/>
      </w:pPr>
      <w:r>
        <w:rPr/>
        <w:t>购物的资源，持续赢得市场份额。</w:t>
      </w:r>
    </w:p>
    <w:p>
      <w:pPr>
        <w:pStyle w:val="BodyText"/>
        <w:spacing w:line="273" w:lineRule="auto" w:before="68"/>
        <w:ind w:left="144" w:right="1189" w:firstLine="42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大力发展以短</w:t>
      </w:r>
      <w:r>
        <w:rPr>
          <w:rFonts w:ascii="宋体" w:hAnsi="宋体" w:cs="宋体" w:eastAsia="宋体" w:hint="default"/>
        </w:rPr>
        <w:t>(</w:t>
      </w:r>
      <w:r>
        <w:rPr/>
        <w:t>彩</w:t>
      </w:r>
      <w:r>
        <w:rPr>
          <w:rFonts w:ascii="宋体" w:hAnsi="宋体" w:cs="宋体" w:eastAsia="宋体" w:hint="default"/>
        </w:rPr>
        <w:t>)</w:t>
      </w:r>
      <w:r>
        <w:rPr/>
        <w:t>信应用为主的智能信息传输业务，逐步开展移动互联网软件开发及应用服 务，寻求相关应用服务向其他领域拓展。</w:t>
      </w:r>
    </w:p>
    <w:p>
      <w:pPr>
        <w:pStyle w:val="BodyText"/>
        <w:spacing w:line="273" w:lineRule="auto" w:before="39"/>
        <w:ind w:left="144" w:right="1066" w:firstLine="42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9"/>
        </w:rPr>
        <w:t> </w:t>
      </w:r>
      <w:r>
        <w:rPr/>
        <w:t>依据当地经济发展水平，结合市场多元需求，围绕服务于公司零售业和提升公司业绩的大局， 规划好待开发项目，稳妥推进以商业地产为主的房地产开发、销售、经营业务。</w:t>
      </w:r>
    </w:p>
    <w:p>
      <w:pPr>
        <w:pStyle w:val="BodyText"/>
        <w:spacing w:line="240" w:lineRule="auto" w:before="163"/>
        <w:ind w:left="565" w:right="1066"/>
        <w:jc w:val="left"/>
      </w:pPr>
      <w:r>
        <w:rPr/>
        <w:t>三、经营计划</w:t>
      </w:r>
    </w:p>
    <w:p>
      <w:pPr>
        <w:pStyle w:val="BodyText"/>
        <w:spacing w:line="240" w:lineRule="auto" w:before="68"/>
        <w:ind w:left="564" w:right="1066"/>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公司新年度经营计划</w:t>
      </w:r>
    </w:p>
    <w:p>
      <w:pPr>
        <w:pStyle w:val="BodyText"/>
        <w:spacing w:line="273" w:lineRule="auto" w:before="37"/>
        <w:ind w:left="144" w:right="1073" w:firstLine="420"/>
        <w:jc w:val="left"/>
      </w:pPr>
      <w:r>
        <w:rPr>
          <w:rFonts w:ascii="宋体" w:hAnsi="宋体" w:cs="宋体" w:eastAsia="宋体" w:hint="default"/>
          <w:spacing w:val="-6"/>
        </w:rPr>
        <w:t>1</w:t>
      </w:r>
      <w:r>
        <w:rPr>
          <w:spacing w:val="-6"/>
        </w:rPr>
        <w:t>、</w:t>
      </w:r>
      <w:r>
        <w:rPr>
          <w:rFonts w:ascii="宋体" w:hAnsi="宋体" w:cs="宋体" w:eastAsia="宋体" w:hint="default"/>
          <w:spacing w:val="-6"/>
        </w:rPr>
        <w:t>2015</w:t>
      </w:r>
      <w:r>
        <w:rPr>
          <w:rFonts w:ascii="宋体" w:hAnsi="宋体" w:cs="宋体" w:eastAsia="宋体" w:hint="default"/>
          <w:spacing w:val="-35"/>
        </w:rPr>
        <w:t> </w:t>
      </w:r>
      <w:r>
        <w:rPr>
          <w:spacing w:val="-2"/>
        </w:rPr>
        <w:t>年公司将继续关注零售业的市场变化，注重增长质量，促进百货零售的营业收入有所增长，</w:t>
      </w:r>
      <w:r>
        <w:rPr/>
        <w:t> 控制成本、费用增减变动幅度在合理的范围，增强效益。</w:t>
      </w:r>
    </w:p>
    <w:p>
      <w:pPr>
        <w:pStyle w:val="BodyText"/>
        <w:spacing w:line="240" w:lineRule="auto"/>
        <w:ind w:left="564" w:right="1066"/>
        <w:jc w:val="left"/>
        <w:rPr>
          <w:rFonts w:ascii="宋体" w:hAnsi="宋体" w:cs="宋体" w:eastAsia="宋体" w:hint="default"/>
        </w:rPr>
      </w:pPr>
      <w:r>
        <w:rPr>
          <w:rFonts w:ascii="宋体" w:hAnsi="宋体" w:cs="宋体" w:eastAsia="宋体" w:hint="default"/>
        </w:rPr>
        <w:t>2</w:t>
      </w:r>
      <w:r>
        <w:rPr>
          <w:spacing w:val="-101"/>
        </w:rPr>
        <w:t>、</w:t>
      </w:r>
      <w:r>
        <w:rPr/>
        <w:t>公司全资子公司创世漫道将继续发展业务客户</w:t>
      </w:r>
      <w:r>
        <w:rPr>
          <w:spacing w:val="-101"/>
        </w:rPr>
        <w:t>，</w:t>
      </w:r>
      <w:r>
        <w:rPr/>
        <w:t>拓宽信息服务领域</w:t>
      </w:r>
      <w:r>
        <w:rPr>
          <w:spacing w:val="-101"/>
        </w:rPr>
        <w:t>，</w:t>
      </w:r>
      <w:r>
        <w:rPr/>
        <w:t>争取</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2"/>
        </w:rPr>
        <w:t>营</w:t>
      </w:r>
      <w:r>
        <w:rPr/>
        <w:t>业收入</w:t>
      </w:r>
      <w:r>
        <w:rPr>
          <w:spacing w:val="-53"/>
        </w:rPr>
        <w:t> </w:t>
      </w:r>
      <w:r>
        <w:rPr>
          <w:rFonts w:ascii="宋体" w:hAnsi="宋体" w:cs="宋体" w:eastAsia="宋体" w:hint="default"/>
        </w:rPr>
        <w:t>3</w:t>
      </w:r>
      <w:r>
        <w:rPr>
          <w:rFonts w:ascii="宋体" w:hAnsi="宋体" w:cs="宋体" w:eastAsia="宋体" w:hint="default"/>
          <w:spacing w:val="-1"/>
        </w:rPr>
        <w:t>7</w:t>
      </w:r>
      <w:r>
        <w:rPr>
          <w:rFonts w:ascii="宋体" w:hAnsi="宋体" w:cs="宋体" w:eastAsia="宋体" w:hint="default"/>
        </w:rPr>
        <w:t>,000</w:t>
      </w:r>
    </w:p>
    <w:p>
      <w:pPr>
        <w:pStyle w:val="BodyText"/>
        <w:spacing w:line="273" w:lineRule="auto" w:before="37"/>
        <w:ind w:left="144" w:right="1185"/>
        <w:jc w:val="left"/>
      </w:pPr>
      <w:r>
        <w:rPr/>
        <w:t>万元</w:t>
      </w:r>
      <w:r>
        <w:rPr>
          <w:rFonts w:ascii="宋体" w:hAnsi="宋体" w:cs="宋体" w:eastAsia="宋体" w:hint="default"/>
        </w:rPr>
        <w:t>(</w:t>
      </w:r>
      <w:r>
        <w:rPr/>
        <w:t>较</w:t>
      </w:r>
      <w:r>
        <w:rPr>
          <w:spacing w:val="-52"/>
        </w:rPr>
        <w:t> </w:t>
      </w:r>
      <w:r>
        <w:rPr>
          <w:rFonts w:ascii="宋体" w:hAnsi="宋体" w:cs="宋体" w:eastAsia="宋体" w:hint="default"/>
        </w:rPr>
        <w:t>2014</w:t>
      </w:r>
      <w:r>
        <w:rPr>
          <w:rFonts w:ascii="宋体" w:hAnsi="宋体" w:cs="宋体" w:eastAsia="宋体" w:hint="default"/>
          <w:spacing w:val="-52"/>
        </w:rPr>
        <w:t> </w:t>
      </w:r>
      <w:r>
        <w:rPr/>
        <w:t>年营收</w:t>
      </w:r>
      <w:r>
        <w:rPr>
          <w:spacing w:val="-53"/>
        </w:rPr>
        <w:t> </w:t>
      </w:r>
      <w:r>
        <w:rPr>
          <w:rFonts w:ascii="宋体" w:hAnsi="宋体" w:cs="宋体" w:eastAsia="宋体" w:hint="default"/>
        </w:rPr>
        <w:t>32,326.20</w:t>
      </w:r>
      <w:r>
        <w:rPr>
          <w:rFonts w:ascii="宋体" w:hAnsi="宋体" w:cs="宋体" w:eastAsia="宋体" w:hint="default"/>
          <w:spacing w:val="-51"/>
        </w:rPr>
        <w:t> </w:t>
      </w:r>
      <w:r>
        <w:rPr>
          <w:spacing w:val="-1"/>
        </w:rPr>
        <w:t>万元增幅约</w:t>
      </w:r>
      <w:r>
        <w:rPr>
          <w:spacing w:val="-51"/>
        </w:rPr>
        <w:t> </w:t>
      </w:r>
      <w:r>
        <w:rPr>
          <w:rFonts w:ascii="宋体" w:hAnsi="宋体" w:cs="宋体" w:eastAsia="宋体" w:hint="default"/>
          <w:spacing w:val="-9"/>
        </w:rPr>
        <w:t>14.46%)</w:t>
      </w:r>
      <w:r>
        <w:rPr>
          <w:spacing w:val="-9"/>
        </w:rPr>
        <w:t>，净利润</w:t>
      </w:r>
      <w:r>
        <w:rPr>
          <w:spacing w:val="-52"/>
        </w:rPr>
        <w:t> </w:t>
      </w:r>
      <w:r>
        <w:rPr>
          <w:rFonts w:ascii="宋体" w:hAnsi="宋体" w:cs="宋体" w:eastAsia="宋体" w:hint="default"/>
          <w:spacing w:val="-1"/>
        </w:rPr>
        <w:t>7,400</w:t>
      </w:r>
      <w:r>
        <w:rPr>
          <w:rFonts w:ascii="宋体" w:hAnsi="宋体" w:cs="宋体" w:eastAsia="宋体" w:hint="default"/>
          <w:spacing w:val="-51"/>
        </w:rPr>
        <w:t> </w:t>
      </w:r>
      <w:r>
        <w:rPr>
          <w:spacing w:val="-1"/>
        </w:rPr>
        <w:t>万元</w:t>
      </w:r>
      <w:r>
        <w:rPr>
          <w:rFonts w:ascii="宋体" w:hAnsi="宋体" w:cs="宋体" w:eastAsia="宋体" w:hint="default"/>
          <w:spacing w:val="-1"/>
        </w:rPr>
        <w:t>(</w:t>
      </w:r>
      <w:r>
        <w:rPr>
          <w:spacing w:val="-1"/>
        </w:rPr>
        <w:t>较</w:t>
      </w:r>
      <w:r>
        <w:rPr>
          <w:spacing w:val="-52"/>
        </w:rPr>
        <w:t> </w:t>
      </w:r>
      <w:r>
        <w:rPr>
          <w:rFonts w:ascii="宋体" w:hAnsi="宋体" w:cs="宋体" w:eastAsia="宋体" w:hint="default"/>
        </w:rPr>
        <w:t>2014</w:t>
      </w:r>
      <w:r>
        <w:rPr>
          <w:rFonts w:ascii="宋体" w:hAnsi="宋体" w:cs="宋体" w:eastAsia="宋体" w:hint="default"/>
          <w:spacing w:val="-50"/>
        </w:rPr>
        <w:t> </w:t>
      </w:r>
      <w:r>
        <w:rPr>
          <w:spacing w:val="-1"/>
        </w:rPr>
        <w:t>年净利</w:t>
      </w:r>
      <w:r>
        <w:rPr>
          <w:spacing w:val="-53"/>
        </w:rPr>
        <w:t> </w:t>
      </w:r>
      <w:r>
        <w:rPr>
          <w:rFonts w:ascii="宋体" w:hAnsi="宋体" w:cs="宋体" w:eastAsia="宋体" w:hint="default"/>
        </w:rPr>
        <w:t>6,394.79</w:t>
      </w:r>
      <w:r>
        <w:rPr>
          <w:rFonts w:ascii="宋体" w:hAnsi="宋体" w:cs="宋体" w:eastAsia="宋体" w:hint="default"/>
          <w:spacing w:val="-50"/>
        </w:rPr>
        <w:t> </w:t>
      </w:r>
      <w:r>
        <w:rPr/>
        <w:t>万元 增幅约</w:t>
      </w:r>
      <w:r>
        <w:rPr>
          <w:spacing w:val="-54"/>
        </w:rPr>
        <w:t> </w:t>
      </w:r>
      <w:r>
        <w:rPr>
          <w:rFonts w:ascii="宋体" w:hAnsi="宋体" w:cs="宋体" w:eastAsia="宋体" w:hint="default"/>
        </w:rPr>
        <w:t>15.72%)</w:t>
      </w:r>
      <w:r>
        <w:rPr/>
        <w:t>，费用、成本增幅不高于营收增幅。</w:t>
      </w:r>
    </w:p>
    <w:p>
      <w:pPr>
        <w:pStyle w:val="BodyText"/>
        <w:spacing w:line="273" w:lineRule="auto" w:before="39"/>
        <w:ind w:left="564" w:right="1066"/>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公司新年度经营目标 </w:t>
      </w:r>
      <w:r>
        <w:rPr>
          <w:rFonts w:ascii="宋体" w:hAnsi="宋体" w:cs="宋体" w:eastAsia="宋体" w:hint="default"/>
        </w:rPr>
        <w:t>1</w:t>
      </w:r>
      <w:r>
        <w:rPr/>
        <w:t>、努力提升销售额，扩大市场影响力，保持公司百货零售营收和盈利的稳定，保持良好的财务状</w:t>
      </w:r>
    </w:p>
    <w:p>
      <w:pPr>
        <w:pStyle w:val="BodyText"/>
        <w:spacing w:line="240" w:lineRule="auto"/>
        <w:ind w:left="144" w:right="1066"/>
        <w:jc w:val="left"/>
      </w:pPr>
      <w:r>
        <w:rPr/>
        <w:t>况。</w:t>
      </w:r>
    </w:p>
    <w:p>
      <w:pPr>
        <w:pStyle w:val="BodyText"/>
        <w:spacing w:line="240" w:lineRule="auto" w:before="37"/>
        <w:ind w:left="564" w:right="1066"/>
        <w:jc w:val="left"/>
      </w:pPr>
      <w:r>
        <w:rPr>
          <w:rFonts w:ascii="宋体" w:hAnsi="宋体" w:cs="宋体" w:eastAsia="宋体" w:hint="default"/>
        </w:rPr>
        <w:t>2</w:t>
      </w:r>
      <w:r>
        <w:rPr/>
        <w:t>、实现信息服务业营收和盈利的双增长。</w:t>
      </w:r>
    </w:p>
    <w:p>
      <w:pPr>
        <w:pStyle w:val="BodyText"/>
        <w:spacing w:line="240" w:lineRule="auto" w:before="37"/>
        <w:ind w:left="564" w:right="1066"/>
        <w:jc w:val="left"/>
      </w:pPr>
      <w:r>
        <w:rPr/>
        <w:t>上述经营计划、经营目标并不代表公司对 </w:t>
      </w:r>
      <w:r>
        <w:rPr>
          <w:rFonts w:ascii="宋体" w:hAnsi="宋体" w:cs="宋体" w:eastAsia="宋体" w:hint="default"/>
        </w:rPr>
        <w:t>2015</w:t>
      </w:r>
      <w:r>
        <w:rPr>
          <w:rFonts w:ascii="宋体" w:hAnsi="宋体" w:cs="宋体" w:eastAsia="宋体" w:hint="default"/>
          <w:spacing w:val="-40"/>
        </w:rPr>
        <w:t> </w:t>
      </w:r>
      <w:r>
        <w:rPr/>
        <w:t>年度的盈利预测，能否实现取决于市场状况变化、</w:t>
      </w:r>
    </w:p>
    <w:p>
      <w:pPr>
        <w:pStyle w:val="BodyText"/>
        <w:spacing w:line="240" w:lineRule="auto" w:before="37"/>
        <w:ind w:left="144" w:right="1066"/>
        <w:jc w:val="left"/>
      </w:pPr>
      <w:r>
        <w:rPr/>
        <w:t>经营团队的努力程度等多种因素，存在很大的不确定性，请投资者特别注意。</w:t>
      </w:r>
    </w:p>
    <w:p>
      <w:pPr>
        <w:pStyle w:val="BodyText"/>
        <w:spacing w:line="271" w:lineRule="auto" w:before="131"/>
        <w:ind w:left="564" w:right="1066"/>
        <w:jc w:val="left"/>
      </w:pPr>
      <w:r>
        <w:rPr/>
        <w:t>为达到上述经营目标拟采取下列策略和行动： </w:t>
      </w:r>
      <w:r>
        <w:rPr>
          <w:rFonts w:ascii="宋体" w:hAnsi="宋体" w:cs="宋体" w:eastAsia="宋体" w:hint="default"/>
        </w:rPr>
        <w:t>1</w:t>
      </w:r>
      <w:r>
        <w:rPr/>
        <w:t>、寻求创新，善于发现和抓住机遇，敢于突破挑战，集中资源积极拓展，主动布局；尝试百货与</w:t>
      </w:r>
    </w:p>
    <w:p>
      <w:pPr>
        <w:pStyle w:val="BodyText"/>
        <w:spacing w:line="273" w:lineRule="auto" w:before="10"/>
        <w:ind w:left="564" w:right="1066" w:hanging="421"/>
        <w:jc w:val="left"/>
      </w:pPr>
      <w:r>
        <w:rPr/>
        <w:t>信息传输的业务协同，探讨</w:t>
      </w:r>
      <w:r>
        <w:rPr>
          <w:spacing w:val="-54"/>
        </w:rPr>
        <w:t> </w:t>
      </w:r>
      <w:r>
        <w:rPr>
          <w:rFonts w:ascii="宋体" w:hAnsi="宋体" w:cs="宋体" w:eastAsia="宋体" w:hint="default"/>
        </w:rPr>
        <w:t>o2o</w:t>
      </w:r>
      <w:r>
        <w:rPr>
          <w:rFonts w:ascii="宋体" w:hAnsi="宋体" w:cs="宋体" w:eastAsia="宋体" w:hint="default"/>
          <w:spacing w:val="-53"/>
        </w:rPr>
        <w:t> </w:t>
      </w:r>
      <w:r>
        <w:rPr/>
        <w:t>的运作及微信营销、移动商城购物，提高市场占有率。 </w:t>
      </w:r>
      <w:r>
        <w:rPr>
          <w:rFonts w:ascii="宋体" w:hAnsi="宋体" w:cs="宋体" w:eastAsia="宋体" w:hint="default"/>
        </w:rPr>
        <w:t>2</w:t>
      </w:r>
      <w:r>
        <w:rPr/>
        <w:t>、继续提高技术水准，建立现代化运维系统，通过学习、培训提升人员职业技能，控制好成本，</w:t>
      </w:r>
    </w:p>
    <w:p>
      <w:pPr>
        <w:pStyle w:val="BodyText"/>
        <w:spacing w:line="273" w:lineRule="auto"/>
        <w:ind w:left="564" w:right="1066" w:hanging="421"/>
        <w:jc w:val="left"/>
      </w:pPr>
      <w:r>
        <w:rPr/>
        <w:t>以更好的服务重点发展电子商务、互联网、金融及物流行业的优质触发类短信客户。 </w:t>
      </w:r>
      <w:r>
        <w:rPr>
          <w:rFonts w:ascii="宋体" w:hAnsi="宋体" w:cs="宋体" w:eastAsia="宋体" w:hint="default"/>
        </w:rPr>
        <w:t>3</w:t>
      </w:r>
      <w:r>
        <w:rPr/>
        <w:t>、持续、深入、细致地推进营运工作，依据市场需求、竞争格局变化，调整商场定位，突出错位</w:t>
      </w:r>
    </w:p>
    <w:p>
      <w:pPr>
        <w:pStyle w:val="BodyText"/>
        <w:spacing w:line="273" w:lineRule="auto"/>
        <w:ind w:left="144" w:right="1177"/>
        <w:jc w:val="left"/>
      </w:pPr>
      <w:r>
        <w:rPr>
          <w:spacing w:val="-1"/>
        </w:rPr>
        <w:t>经营；优化商品品牌，整合消费群体；装饰布置卖场，塑造整体形象；加强理论与技能培训，提升团队</w:t>
      </w:r>
      <w:r>
        <w:rPr>
          <w:spacing w:val="-103"/>
        </w:rPr>
        <w:t> </w:t>
      </w:r>
      <w:r>
        <w:rPr>
          <w:spacing w:val="-103"/>
        </w:rPr>
      </w:r>
      <w:r>
        <w:rPr/>
        <w:t>及员工的互助合作、竞争与服务意识；行动到位，标准一致。</w:t>
      </w:r>
    </w:p>
    <w:p>
      <w:pPr>
        <w:pStyle w:val="BodyText"/>
        <w:spacing w:line="273" w:lineRule="auto"/>
        <w:ind w:left="144" w:right="1066" w:firstLine="420"/>
        <w:jc w:val="left"/>
      </w:pPr>
      <w:r>
        <w:rPr>
          <w:rFonts w:ascii="宋体" w:hAnsi="宋体" w:cs="宋体" w:eastAsia="宋体" w:hint="default"/>
        </w:rPr>
        <w:t>4</w:t>
      </w:r>
      <w:r>
        <w:rPr/>
        <w:t>、继续抓住淡季时机，利用好假日、节日，开展内容丰富、形式多样的促销活动，扩大现有市场 份额。</w:t>
      </w:r>
    </w:p>
    <w:p>
      <w:pPr>
        <w:pStyle w:val="BodyText"/>
        <w:spacing w:line="273" w:lineRule="auto"/>
        <w:ind w:left="144" w:right="1186" w:firstLine="420"/>
        <w:jc w:val="both"/>
      </w:pPr>
      <w:r>
        <w:rPr>
          <w:rFonts w:ascii="宋体" w:hAnsi="宋体" w:cs="宋体" w:eastAsia="宋体" w:hint="default"/>
        </w:rPr>
        <w:t>5</w:t>
      </w:r>
      <w:r>
        <w:rPr/>
        <w:t>、进一步提高诚信度，坚守服务承诺、合作承诺，取信于消费者，取信于供应商；同时控制商品 </w:t>
      </w:r>
      <w:r>
        <w:rPr>
          <w:spacing w:val="-2"/>
        </w:rPr>
        <w:t>货源质量和价格，携手供应商，面向不同层次需求的消费者，体现品牌、个性、时尚、多样化，增强服</w:t>
      </w:r>
      <w:r>
        <w:rPr>
          <w:spacing w:val="-61"/>
        </w:rPr>
        <w:t> </w:t>
      </w:r>
      <w:r>
        <w:rPr>
          <w:spacing w:val="-61"/>
        </w:rPr>
      </w:r>
      <w:r>
        <w:rPr/>
        <w:t>务硬件。</w:t>
      </w:r>
    </w:p>
    <w:p>
      <w:pPr>
        <w:pStyle w:val="BodyText"/>
        <w:spacing w:line="273" w:lineRule="auto"/>
        <w:ind w:left="144" w:right="1066" w:firstLine="420"/>
        <w:jc w:val="left"/>
      </w:pPr>
      <w:r>
        <w:rPr>
          <w:rFonts w:ascii="宋体" w:hAnsi="宋体" w:cs="宋体" w:eastAsia="宋体" w:hint="default"/>
        </w:rPr>
        <w:t>6</w:t>
      </w:r>
      <w:r>
        <w:rPr/>
        <w:t>、掌握项目进度，寻求合作方，做好新盘销售及经营安排，推动存量商用房产消化，同时加大招 商力度，提高仓储、存量房产等资源的出租收益。</w:t>
      </w:r>
    </w:p>
    <w:p>
      <w:pPr>
        <w:pStyle w:val="BodyText"/>
        <w:spacing w:line="273" w:lineRule="auto"/>
        <w:ind w:left="144" w:right="1071" w:firstLine="420"/>
        <w:jc w:val="left"/>
      </w:pPr>
      <w:r>
        <w:rPr>
          <w:rFonts w:ascii="宋体" w:hAnsi="宋体" w:cs="宋体" w:eastAsia="宋体" w:hint="default"/>
          <w:spacing w:val="-1"/>
        </w:rPr>
        <w:t>7</w:t>
      </w:r>
      <w:r>
        <w:rPr>
          <w:spacing w:val="-1"/>
        </w:rPr>
        <w:t>、围绕经营计划、目标，坚持、勤奋、执著，关注细节、数据、落实；做好财务的事先预算控制，</w:t>
      </w:r>
      <w:r>
        <w:rPr/>
        <w:t> 加大预算刚性，控制成本费用；做好问责和考核工作，完善激励约束机制；抓紧制度、文化、执行力建 设；同时继续做好经营合同、项目管理、资金使用、内部专项审计等各项工作。</w:t>
      </w:r>
    </w:p>
    <w:p>
      <w:pPr>
        <w:pStyle w:val="BodyText"/>
        <w:spacing w:line="273" w:lineRule="auto" w:before="163"/>
        <w:ind w:left="564" w:right="1175" w:firstLine="1"/>
        <w:jc w:val="left"/>
      </w:pPr>
      <w:r>
        <w:rPr/>
        <w:t>四、资金需求 </w:t>
      </w:r>
      <w:r>
        <w:rPr>
          <w:spacing w:val="-1"/>
        </w:rPr>
        <w:t>公司资金来源：一是自有资金，系公司零售业、信息服务业和房地产实现销售收到的资金；二是经</w:t>
      </w:r>
    </w:p>
    <w:p>
      <w:pPr>
        <w:pStyle w:val="BodyText"/>
        <w:spacing w:line="240" w:lineRule="auto"/>
        <w:ind w:left="144" w:right="1066"/>
        <w:jc w:val="left"/>
      </w:pPr>
      <w:r>
        <w:rPr/>
        <w:t>营负债，系公司发行购物卡的预收款；三是银行借贷，截至 </w:t>
      </w:r>
      <w:r>
        <w:rPr>
          <w:rFonts w:ascii="宋体" w:hAnsi="宋体" w:cs="宋体" w:eastAsia="宋体" w:hint="default"/>
        </w:rPr>
        <w:t>2014</w:t>
      </w:r>
      <w:r>
        <w:rPr>
          <w:rFonts w:ascii="宋体" w:hAnsi="宋体" w:cs="宋体" w:eastAsia="宋体" w:hint="default"/>
          <w:spacing w:val="-40"/>
        </w:rPr>
        <w:t> </w:t>
      </w:r>
      <w:r>
        <w:rPr/>
        <w:t>年末公司贷款余额为零。公司资金来</w:t>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824" w:right="418" w:hanging="421"/>
        <w:jc w:val="left"/>
      </w:pPr>
      <w:r>
        <w:rPr>
          <w:spacing w:val="-4"/>
        </w:rPr>
        <w:t>源将以自有资金为主，债务融资为补充，未来尚未有表外融资、股权融资、衍生品融资等其他融资计划。</w:t>
      </w:r>
      <w:r>
        <w:rPr>
          <w:spacing w:val="-65"/>
        </w:rPr>
        <w:t> </w:t>
      </w:r>
      <w:r>
        <w:rPr>
          <w:spacing w:val="-65"/>
        </w:rPr>
      </w:r>
      <w:r>
        <w:rPr/>
        <w:t>公司资金成本主要由股东分红及银行借款利息构成。 公司资金使用情况：主要用于公司主营业务发展、正常经营运转、开发项目投入、偿还银行借款、</w:t>
      </w:r>
    </w:p>
    <w:p>
      <w:pPr>
        <w:pStyle w:val="BodyText"/>
        <w:spacing w:line="240" w:lineRule="auto"/>
        <w:ind w:right="5945"/>
        <w:jc w:val="left"/>
      </w:pPr>
      <w:r>
        <w:rPr/>
        <w:t>股东分红等。</w:t>
      </w:r>
    </w:p>
    <w:p>
      <w:pPr>
        <w:spacing w:line="240" w:lineRule="auto" w:before="10"/>
        <w:rPr>
          <w:rFonts w:ascii="宋体" w:hAnsi="宋体" w:cs="宋体" w:eastAsia="宋体" w:hint="default"/>
          <w:sz w:val="14"/>
          <w:szCs w:val="14"/>
        </w:rPr>
      </w:pPr>
    </w:p>
    <w:p>
      <w:pPr>
        <w:pStyle w:val="BodyText"/>
        <w:spacing w:line="273" w:lineRule="auto" w:before="0"/>
        <w:ind w:left="824" w:right="1175" w:firstLine="1"/>
        <w:jc w:val="left"/>
      </w:pPr>
      <w:r>
        <w:rPr/>
        <w:t>五、可能面对的风险 </w:t>
      </w:r>
      <w:r>
        <w:rPr>
          <w:spacing w:val="-1"/>
        </w:rPr>
        <w:t>零售业的竞争、信息服务的客户集中度上升及新技术替代、房地产的持续开发销售经营是对公司未</w:t>
      </w:r>
    </w:p>
    <w:p>
      <w:pPr>
        <w:pStyle w:val="BodyText"/>
        <w:spacing w:line="240" w:lineRule="auto"/>
        <w:ind w:right="418"/>
        <w:jc w:val="left"/>
      </w:pPr>
      <w:r>
        <w:rPr/>
        <w:t>来发展战略和经营目标的实现产生不利影响的风险因素。</w:t>
      </w:r>
    </w:p>
    <w:p>
      <w:pPr>
        <w:pStyle w:val="BodyText"/>
        <w:spacing w:line="273" w:lineRule="auto" w:before="99"/>
        <w:ind w:right="1194"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0"/>
        </w:rPr>
        <w:t> </w:t>
      </w:r>
      <w:r>
        <w:rPr/>
        <w:t>零售业的竞争风险因素。公司零售业以百货为主，经营门店集中于秦皇岛市城市中心区域， 虽然具有行业龙头地位，但仍需面对市场的激烈竞争。</w:t>
      </w:r>
    </w:p>
    <w:p>
      <w:pPr>
        <w:pStyle w:val="BodyText"/>
        <w:spacing w:line="273" w:lineRule="auto"/>
        <w:ind w:right="1187" w:firstLine="420"/>
        <w:jc w:val="both"/>
      </w:pPr>
      <w:r>
        <w:rPr>
          <w:spacing w:val="-1"/>
        </w:rPr>
        <w:t>竞争来自三个方面，一是进入当地的竞争对手在成长，争夺市场份额的商战惨烈，受此影响公司近</w:t>
      </w:r>
      <w:r>
        <w:rPr/>
        <w:t> </w:t>
      </w:r>
      <w:r>
        <w:rPr>
          <w:rFonts w:ascii="宋体" w:hAnsi="宋体" w:cs="宋体" w:eastAsia="宋体" w:hint="default"/>
        </w:rPr>
        <w:t>3</w:t>
      </w:r>
      <w:r>
        <w:rPr>
          <w:rFonts w:ascii="宋体" w:hAnsi="宋体" w:cs="宋体" w:eastAsia="宋体" w:hint="default"/>
          <w:spacing w:val="-74"/>
        </w:rPr>
        <w:t> </w:t>
      </w:r>
      <w:r>
        <w:rPr/>
        <w:t>年来百货门店营业收入的变动幅度分别是</w:t>
      </w:r>
      <w:r>
        <w:rPr>
          <w:spacing w:val="-74"/>
        </w:rPr>
        <w:t> </w:t>
      </w:r>
      <w:r>
        <w:rPr>
          <w:rFonts w:ascii="宋体" w:hAnsi="宋体" w:cs="宋体" w:eastAsia="宋体" w:hint="default"/>
        </w:rPr>
        <w:t>3.11%</w:t>
      </w:r>
      <w:r>
        <w:rPr/>
        <w:t>、</w:t>
      </w:r>
      <w:r>
        <w:rPr>
          <w:rFonts w:ascii="宋体" w:hAnsi="宋体" w:cs="宋体" w:eastAsia="宋体" w:hint="default"/>
        </w:rPr>
        <w:t>8.18%</w:t>
      </w:r>
      <w:r>
        <w:rPr/>
        <w:t>、</w:t>
      </w:r>
      <w:r>
        <w:rPr>
          <w:rFonts w:ascii="宋体" w:hAnsi="宋体" w:cs="宋体" w:eastAsia="宋体" w:hint="default"/>
        </w:rPr>
        <w:t>-3.15%</w:t>
      </w:r>
      <w:r>
        <w:rPr/>
        <w:t>，增长出现波动、下降情形。二是当 </w:t>
      </w:r>
      <w:r>
        <w:rPr>
          <w:spacing w:val="-4"/>
        </w:rPr>
        <w:t>地商业零售物业开发在持续，商业网点在扩大，而消费客源及消费实力有限</w:t>
      </w:r>
      <w:r>
        <w:rPr>
          <w:rFonts w:ascii="宋体" w:hAnsi="宋体" w:cs="宋体" w:eastAsia="宋体" w:hint="default"/>
          <w:spacing w:val="-4"/>
        </w:rPr>
        <w:t>(</w:t>
      </w:r>
      <w:r>
        <w:rPr>
          <w:spacing w:val="-4"/>
        </w:rPr>
        <w:t>据《秦皇岛统计年鉴》，当</w:t>
      </w:r>
      <w:r>
        <w:rPr>
          <w:spacing w:val="-67"/>
        </w:rPr>
        <w:t> </w:t>
      </w:r>
      <w:r>
        <w:rPr>
          <w:spacing w:val="-67"/>
        </w:rPr>
      </w:r>
      <w:r>
        <w:rPr/>
        <w:t>地人口、收入、支出变化情况见下表</w:t>
      </w:r>
      <w:r>
        <w:rPr>
          <w:rFonts w:ascii="宋体" w:hAnsi="宋体" w:cs="宋体" w:eastAsia="宋体" w:hint="default"/>
        </w:rPr>
        <w:t>)</w:t>
      </w:r>
      <w:r>
        <w:rPr/>
        <w:t>。三是网上购物的扩张，据《商务部“十二五”电子商务发展指</w:t>
      </w:r>
      <w:r>
        <w:rPr>
          <w:spacing w:val="-50"/>
        </w:rPr>
        <w:t> </w:t>
      </w:r>
      <w:r>
        <w:rPr>
          <w:spacing w:val="-50"/>
        </w:rPr>
      </w:r>
      <w:r>
        <w:rPr>
          <w:spacing w:val="-18"/>
        </w:rPr>
        <w:t>导意见》：到</w:t>
      </w:r>
      <w:r>
        <w:rPr>
          <w:spacing w:val="-46"/>
        </w:rPr>
        <w:t> </w:t>
      </w:r>
      <w:r>
        <w:rPr>
          <w:rFonts w:ascii="宋体" w:hAnsi="宋体" w:cs="宋体" w:eastAsia="宋体" w:hint="default"/>
        </w:rPr>
        <w:t>2015</w:t>
      </w:r>
      <w:r>
        <w:rPr>
          <w:rFonts w:ascii="宋体" w:hAnsi="宋体" w:cs="宋体" w:eastAsia="宋体" w:hint="default"/>
          <w:spacing w:val="-43"/>
        </w:rPr>
        <w:t> </w:t>
      </w:r>
      <w:r>
        <w:rPr>
          <w:spacing w:val="-1"/>
        </w:rPr>
        <w:t>年我国网络零售额相当于社会消费品零售总额的</w:t>
      </w:r>
      <w:r>
        <w:rPr>
          <w:spacing w:val="-44"/>
        </w:rPr>
        <w:t> </w:t>
      </w:r>
      <w:r>
        <w:rPr>
          <w:rFonts w:ascii="宋体" w:hAnsi="宋体" w:cs="宋体" w:eastAsia="宋体" w:hint="default"/>
          <w:spacing w:val="-1"/>
        </w:rPr>
        <w:t>9%</w:t>
      </w:r>
      <w:r>
        <w:rPr>
          <w:spacing w:val="-1"/>
        </w:rPr>
        <w:t>以上。</w:t>
      </w:r>
    </w:p>
    <w:p>
      <w:pPr>
        <w:pStyle w:val="BodyText"/>
        <w:spacing w:line="240" w:lineRule="auto"/>
        <w:ind w:left="824" w:right="5945"/>
        <w:jc w:val="left"/>
      </w:pPr>
      <w:r>
        <w:rPr/>
        <w:t>秦皇岛人口、收入、支出变化情况</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546"/>
        <w:gridCol w:w="992"/>
        <w:gridCol w:w="1134"/>
        <w:gridCol w:w="992"/>
        <w:gridCol w:w="993"/>
        <w:gridCol w:w="1134"/>
        <w:gridCol w:w="1134"/>
      </w:tblGrid>
      <w:tr>
        <w:trPr>
          <w:trHeight w:val="323" w:hRule="exact"/>
        </w:trPr>
        <w:tc>
          <w:tcPr>
            <w:tcW w:w="35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8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总人口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289.80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297.72</w:t>
            </w:r>
          </w:p>
        </w:tc>
      </w:tr>
      <w:tr>
        <w:trPr>
          <w:trHeight w:val="28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非农业人口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129.15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130.55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131.93</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城市居民家庭年人均可支配收入增速</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10.20</w:t>
            </w:r>
          </w:p>
        </w:tc>
      </w:tr>
      <w:tr>
        <w:trPr>
          <w:trHeight w:val="28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城市居民家庭年人均消费性支出增速</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73" w:lineRule="auto" w:before="35"/>
        <w:ind w:right="1149" w:firstLine="420"/>
        <w:jc w:val="both"/>
      </w:pPr>
      <w:r>
        <w:rPr/>
        <w:t>应对措施：公司是当地历史最久、规模最大的商业零售企业，享有较高的零售份额和市场知名度、 </w:t>
      </w:r>
      <w:r>
        <w:rPr>
          <w:spacing w:val="-1"/>
        </w:rPr>
        <w:t>诚信度，公司将继续开展错位经营，调整业态，提高服务，突出品牌，控制成本、费用，扩张地盘，积</w:t>
      </w:r>
      <w:r>
        <w:rPr>
          <w:spacing w:val="-100"/>
        </w:rPr>
        <w:t> </w:t>
      </w:r>
      <w:r>
        <w:rPr>
          <w:spacing w:val="-100"/>
        </w:rPr>
      </w:r>
      <w:r>
        <w:rPr/>
        <w:t>累资源适时开展网购业务，以赢得竞争，争取未来零售经营业绩有更好的表现。</w:t>
      </w:r>
    </w:p>
    <w:p>
      <w:pPr>
        <w:pStyle w:val="BodyText"/>
        <w:spacing w:line="273" w:lineRule="auto" w:before="70"/>
        <w:ind w:left="824" w:right="41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信息服务业的风险因素。 </w:t>
      </w:r>
      <w:r>
        <w:rPr>
          <w:rFonts w:ascii="宋体" w:hAnsi="宋体" w:cs="宋体" w:eastAsia="宋体" w:hint="default"/>
        </w:rPr>
        <w:t>1</w:t>
      </w:r>
      <w:r>
        <w:rPr/>
        <w:t>、客户集中度上升风险。基于创世漫道在企业移动信息服务行业的领先地位、良好服务，创世漫</w:t>
      </w:r>
    </w:p>
    <w:p>
      <w:pPr>
        <w:pStyle w:val="BodyText"/>
        <w:spacing w:line="273" w:lineRule="auto"/>
        <w:ind w:right="1077"/>
        <w:jc w:val="left"/>
      </w:pPr>
      <w:r>
        <w:rPr/>
        <w:t>道与主要客户之间的合作关系保持稳定，由于部分优质客户自身业务快速发展使得客户集中度呈现上升 </w:t>
      </w:r>
      <w:r>
        <w:rPr>
          <w:spacing w:val="-7"/>
        </w:rPr>
        <w:t>趋势，</w:t>
      </w:r>
      <w:r>
        <w:rPr>
          <w:rFonts w:ascii="宋体" w:hAnsi="宋体" w:cs="宋体" w:eastAsia="宋体" w:hint="default"/>
          <w:spacing w:val="-7"/>
        </w:rPr>
        <w:t>2012</w:t>
      </w:r>
      <w:r>
        <w:rPr>
          <w:rFonts w:ascii="宋体" w:hAnsi="宋体" w:cs="宋体" w:eastAsia="宋体" w:hint="default"/>
          <w:spacing w:val="-50"/>
        </w:rPr>
        <w:t> </w:t>
      </w:r>
      <w:r>
        <w:rPr>
          <w:spacing w:val="-9"/>
        </w:rPr>
        <w:t>年、</w:t>
      </w:r>
      <w:r>
        <w:rPr>
          <w:rFonts w:ascii="宋体" w:hAnsi="宋体" w:cs="宋体" w:eastAsia="宋体" w:hint="default"/>
          <w:spacing w:val="-9"/>
        </w:rPr>
        <w:t>2013</w:t>
      </w:r>
      <w:r>
        <w:rPr>
          <w:rFonts w:ascii="宋体" w:hAnsi="宋体" w:cs="宋体" w:eastAsia="宋体" w:hint="default"/>
          <w:spacing w:val="-49"/>
        </w:rPr>
        <w:t> </w:t>
      </w:r>
      <w:r>
        <w:rPr>
          <w:spacing w:val="-9"/>
        </w:rPr>
        <w:t>年、</w:t>
      </w:r>
      <w:r>
        <w:rPr>
          <w:rFonts w:ascii="宋体" w:hAnsi="宋体" w:cs="宋体" w:eastAsia="宋体" w:hint="default"/>
          <w:spacing w:val="-9"/>
        </w:rPr>
        <w:t>2014</w:t>
      </w:r>
      <w:r>
        <w:rPr>
          <w:rFonts w:ascii="宋体" w:hAnsi="宋体" w:cs="宋体" w:eastAsia="宋体" w:hint="default"/>
          <w:spacing w:val="-46"/>
        </w:rPr>
        <w:t> </w:t>
      </w:r>
      <w:r>
        <w:rPr/>
        <w:t>年创世漫道营收中前五大客户的收入占比分别为</w:t>
      </w:r>
      <w:r>
        <w:rPr>
          <w:spacing w:val="-48"/>
        </w:rPr>
        <w:t> </w:t>
      </w:r>
      <w:r>
        <w:rPr>
          <w:rFonts w:ascii="宋体" w:hAnsi="宋体" w:cs="宋体" w:eastAsia="宋体" w:hint="default"/>
          <w:spacing w:val="-6"/>
        </w:rPr>
        <w:t>23.18%</w:t>
      </w:r>
      <w:r>
        <w:rPr>
          <w:spacing w:val="-6"/>
        </w:rPr>
        <w:t>、</w:t>
      </w:r>
      <w:r>
        <w:rPr>
          <w:rFonts w:ascii="宋体" w:hAnsi="宋体" w:cs="宋体" w:eastAsia="宋体" w:hint="default"/>
          <w:spacing w:val="-6"/>
        </w:rPr>
        <w:t>22.19%</w:t>
      </w:r>
      <w:r>
        <w:rPr>
          <w:spacing w:val="-6"/>
        </w:rPr>
        <w:t>、</w:t>
      </w:r>
      <w:r>
        <w:rPr>
          <w:rFonts w:ascii="宋体" w:hAnsi="宋体" w:cs="宋体" w:eastAsia="宋体" w:hint="default"/>
          <w:spacing w:val="-6"/>
        </w:rPr>
        <w:t>38.3%</w:t>
      </w:r>
      <w:r>
        <w:rPr>
          <w:spacing w:val="-6"/>
        </w:rPr>
        <w:t>。</w:t>
      </w:r>
      <w:r>
        <w:rPr/>
        <w:t> 如未来因宏观经济变动、市场竞争恶化等因素导致重要客户流失，将会影响创世漫道的经营和盈利。</w:t>
      </w:r>
    </w:p>
    <w:p>
      <w:pPr>
        <w:pStyle w:val="BodyText"/>
        <w:spacing w:line="273" w:lineRule="auto"/>
        <w:ind w:right="1189" w:firstLine="420"/>
        <w:jc w:val="both"/>
      </w:pPr>
      <w:r>
        <w:rPr>
          <w:rFonts w:ascii="宋体" w:hAnsi="宋体" w:cs="宋体" w:eastAsia="宋体" w:hint="default"/>
        </w:rPr>
        <w:t>2</w:t>
      </w:r>
      <w:r>
        <w:rPr/>
        <w:t>、新技术替代风险。随着</w:t>
      </w:r>
      <w:r>
        <w:rPr>
          <w:spacing w:val="-43"/>
        </w:rPr>
        <w:t> </w:t>
      </w:r>
      <w:r>
        <w:rPr>
          <w:rFonts w:ascii="宋体" w:hAnsi="宋体" w:cs="宋体" w:eastAsia="宋体" w:hint="default"/>
        </w:rPr>
        <w:t>4G</w:t>
      </w:r>
      <w:r>
        <w:rPr/>
        <w:t>、大数据、移动互联网等技术的商业应用对移动信息服务行业的技术 创新和产品服务升级提出更高要求，将对公司移动信息传输的市场竞争能力带来不利影响。</w:t>
      </w:r>
    </w:p>
    <w:p>
      <w:pPr>
        <w:pStyle w:val="BodyText"/>
        <w:spacing w:line="273" w:lineRule="auto"/>
        <w:ind w:right="1148" w:firstLine="420"/>
        <w:jc w:val="both"/>
      </w:pPr>
      <w:r>
        <w:rPr/>
        <w:t>应对措施：提升信息服务质量、加强与运营商的合作，更好更快的为客户服务，并申请各类资质， </w:t>
      </w:r>
      <w:r>
        <w:rPr>
          <w:spacing w:val="-1"/>
        </w:rPr>
        <w:t>增强公司竞争能力，同时拓展业务领域，扩大客户群，降低客户集中度，防范大客户依赖风险。创世漫</w:t>
      </w:r>
      <w:r>
        <w:rPr>
          <w:spacing w:val="1"/>
        </w:rPr>
        <w:t> </w:t>
      </w:r>
      <w:r>
        <w:rPr/>
        <w:t>道开展移动信息服务业务以来， 一直高度关注技术发展的最新趋势，并依据移动信息服务市场变化，</w:t>
      </w:r>
      <w:r>
        <w:rPr>
          <w:spacing w:val="-51"/>
        </w:rPr>
        <w:t> </w:t>
      </w:r>
      <w:r>
        <w:rPr>
          <w:spacing w:val="-51"/>
        </w:rPr>
      </w:r>
      <w:r>
        <w:rPr>
          <w:spacing w:val="-1"/>
        </w:rPr>
        <w:t>适时将新的技术成果运用于业务实践中，优化业务技术以满足不同客户的个性化需求，化解新技术替代</w:t>
      </w:r>
      <w:r>
        <w:rPr>
          <w:spacing w:val="-99"/>
        </w:rPr>
        <w:t> </w:t>
      </w:r>
      <w:r>
        <w:rPr>
          <w:spacing w:val="-99"/>
        </w:rPr>
      </w:r>
      <w:r>
        <w:rPr/>
        <w:t>风险。</w:t>
      </w:r>
    </w:p>
    <w:p>
      <w:pPr>
        <w:pStyle w:val="BodyText"/>
        <w:spacing w:line="273" w:lineRule="auto"/>
        <w:ind w:right="1187" w:firstLine="420"/>
        <w:jc w:val="both"/>
      </w:pPr>
      <w:r>
        <w:rPr/>
        <w:t>上述信息服务业的风险因素系公司 </w:t>
      </w:r>
      <w:r>
        <w:rPr>
          <w:rFonts w:ascii="宋体" w:hAnsi="宋体" w:cs="宋体" w:eastAsia="宋体" w:hint="default"/>
        </w:rPr>
        <w:t>2014</w:t>
      </w:r>
      <w:r>
        <w:rPr>
          <w:rFonts w:ascii="宋体" w:hAnsi="宋体" w:cs="宋体" w:eastAsia="宋体" w:hint="default"/>
          <w:spacing w:val="-41"/>
        </w:rPr>
        <w:t> </w:t>
      </w:r>
      <w:r>
        <w:rPr/>
        <w:t>年重组收购相关资产形成，采取上述应对措施后，创世漫 </w:t>
      </w:r>
      <w:r>
        <w:rPr>
          <w:spacing w:val="-1"/>
        </w:rPr>
        <w:t>道在客户群不断扩大、新技术应用迅速发展中，业务发展快，营收和盈利双增长，将增加未来公司的业</w:t>
      </w:r>
      <w:r>
        <w:rPr>
          <w:spacing w:val="-100"/>
        </w:rPr>
        <w:t> </w:t>
      </w:r>
      <w:r>
        <w:rPr>
          <w:spacing w:val="-100"/>
        </w:rPr>
      </w:r>
      <w:r>
        <w:rPr/>
        <w:t>绩。</w:t>
      </w:r>
    </w:p>
    <w:p>
      <w:pPr>
        <w:pStyle w:val="BodyText"/>
        <w:spacing w:line="273" w:lineRule="auto" w:before="70"/>
        <w:ind w:right="1189" w:firstLine="420"/>
        <w:jc w:val="both"/>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5"/>
        </w:rPr>
        <w:t> </w:t>
      </w:r>
      <w:r>
        <w:rPr/>
        <w:t>房地产业务的风险因素。公司以商业地产为主的房地产业务分布在安徽合肥、芜湖、滁州、 </w:t>
      </w:r>
      <w:r>
        <w:rPr>
          <w:spacing w:val="-1"/>
        </w:rPr>
        <w:t>淮南等地，项目位于城市非中心区域或新区，受宏观调控和当地经济发展速度、城市化进程有区别的影</w:t>
      </w:r>
      <w:r>
        <w:rPr>
          <w:spacing w:val="-102"/>
        </w:rPr>
        <w:t> </w:t>
      </w:r>
      <w:r>
        <w:rPr>
          <w:spacing w:val="-102"/>
        </w:rPr>
      </w:r>
      <w:r>
        <w:rPr/>
        <w:t>响，要面对开发、销售、经营的风险。</w:t>
      </w:r>
    </w:p>
    <w:p>
      <w:pPr>
        <w:pStyle w:val="BodyText"/>
        <w:spacing w:line="240" w:lineRule="auto"/>
        <w:ind w:left="824" w:right="418"/>
        <w:jc w:val="left"/>
      </w:pPr>
      <w:r>
        <w:rPr>
          <w:rFonts w:ascii="宋体" w:hAnsi="宋体" w:cs="宋体" w:eastAsia="宋体" w:hint="default"/>
        </w:rPr>
        <w:t>1</w:t>
      </w:r>
      <w:r>
        <w:rPr/>
        <w:t>、开发风险。由于当地城市化进程加快、政府规划水准进一步提高，公司开发项目正由投资少、</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89"/>
        <w:jc w:val="both"/>
      </w:pPr>
      <w:r>
        <w:rPr>
          <w:spacing w:val="-1"/>
        </w:rPr>
        <w:t>工期短、销售快的批发市场向投资大、工期长、销售慢、含有写字楼、商场及高星级酒店的商业综合体</w:t>
      </w:r>
      <w:r>
        <w:rPr/>
        <w:t> 转变，加大了资金压力，</w:t>
      </w:r>
    </w:p>
    <w:p>
      <w:pPr>
        <w:pStyle w:val="BodyText"/>
        <w:spacing w:line="273" w:lineRule="auto"/>
        <w:ind w:right="418" w:firstLine="420"/>
        <w:jc w:val="left"/>
      </w:pPr>
      <w:r>
        <w:rPr>
          <w:rFonts w:ascii="宋体" w:hAnsi="宋体" w:cs="宋体" w:eastAsia="宋体" w:hint="default"/>
        </w:rPr>
        <w:t>2</w:t>
      </w:r>
      <w:r>
        <w:rPr/>
        <w:t>、销售风险。由于商业综合体对投资者实力的要求更高、存量尾盘可选择性小，新盘地处城市非 中心区，增加了楼盘销售的难度。</w:t>
      </w:r>
    </w:p>
    <w:p>
      <w:pPr>
        <w:pStyle w:val="BodyText"/>
        <w:spacing w:line="273" w:lineRule="auto" w:before="8"/>
        <w:ind w:right="418" w:firstLine="420"/>
        <w:jc w:val="left"/>
      </w:pPr>
      <w:r>
        <w:rPr>
          <w:rFonts w:ascii="宋体" w:hAnsi="宋体" w:cs="宋体" w:eastAsia="宋体" w:hint="default"/>
        </w:rPr>
        <w:t>3</w:t>
      </w:r>
      <w:r>
        <w:rPr/>
        <w:t>、经营风险。由于当地城市化要求与经济发展水平、消费能力不同步，增加了商场、高星级酒店 的招商、经营或出租的难度。</w:t>
      </w:r>
    </w:p>
    <w:p>
      <w:pPr>
        <w:pStyle w:val="BodyText"/>
        <w:spacing w:line="273" w:lineRule="auto" w:before="163"/>
        <w:ind w:right="418" w:firstLine="420"/>
        <w:jc w:val="left"/>
      </w:pPr>
      <w:r>
        <w:rPr>
          <w:spacing w:val="-4"/>
        </w:rPr>
        <w:t>应对措施：上述风险因素对公司当期经营业绩未有大的影响，公司将通过自筹资金、控制施工成本、</w:t>
      </w:r>
      <w:r>
        <w:rPr/>
        <w:t> 处置低效资产回收资金等途径化解开发风险；采取优质优价促进可售楼盘销售、使开发产品适应市场需 求、掌控施工进度的措施化解销售风险；计划用提升自身营运能力，寻求与酒店经营知名品牌合作、或 出售给投资方的办法化解经营风险。</w:t>
      </w:r>
    </w:p>
    <w:p>
      <w:pPr>
        <w:pStyle w:val="BodyText"/>
        <w:spacing w:line="240" w:lineRule="auto" w:before="70"/>
        <w:ind w:left="824" w:right="418"/>
        <w:jc w:val="left"/>
      </w:pPr>
      <w:r>
        <w:rPr>
          <w:rFonts w:ascii="宋体" w:hAnsi="宋体" w:cs="宋体" w:eastAsia="宋体" w:hint="default"/>
        </w:rPr>
        <w:t>(</w:t>
      </w:r>
      <w:r>
        <w:rPr/>
        <w:t>四</w:t>
      </w:r>
      <w:r>
        <w:rPr>
          <w:rFonts w:ascii="宋体" w:hAnsi="宋体" w:cs="宋体" w:eastAsia="宋体" w:hint="default"/>
        </w:rPr>
        <w:t>)</w:t>
      </w:r>
      <w:r>
        <w:rPr/>
        <w:t>公司将按照应对措施防范上述风险因素酿成风险。</w:t>
      </w:r>
    </w:p>
    <w:p>
      <w:pPr>
        <w:spacing w:line="240" w:lineRule="auto" w:before="10"/>
        <w:rPr>
          <w:rFonts w:ascii="宋体" w:hAnsi="宋体" w:cs="宋体" w:eastAsia="宋体" w:hint="default"/>
          <w:sz w:val="14"/>
          <w:szCs w:val="14"/>
        </w:rPr>
      </w:pPr>
    </w:p>
    <w:p>
      <w:pPr>
        <w:pStyle w:val="BodyText"/>
        <w:spacing w:line="300" w:lineRule="auto" w:before="0"/>
        <w:ind w:left="824" w:right="1175"/>
        <w:jc w:val="left"/>
      </w:pPr>
      <w:r>
        <w:rPr/>
        <w:t>六、与上年度财务报告相比，会计政策、会计估计和核算方法发生变化的情况说明 </w:t>
      </w:r>
      <w:r>
        <w:rPr>
          <w:spacing w:val="-1"/>
        </w:rPr>
        <w:t>根据国家财政部新颁布或修订的企业会计准则，公司将执行或变更相关会计政策，有关内容可查阅</w:t>
      </w:r>
    </w:p>
    <w:p>
      <w:pPr>
        <w:pStyle w:val="BodyText"/>
        <w:spacing w:line="258" w:lineRule="exact" w:before="0"/>
        <w:ind w:right="0"/>
        <w:jc w:val="both"/>
      </w:pPr>
      <w:r>
        <w:rPr>
          <w:rFonts w:ascii="宋体" w:hAnsi="宋体" w:cs="宋体" w:eastAsia="宋体" w:hint="default"/>
        </w:rPr>
        <w:t>2014</w:t>
      </w:r>
      <w:r>
        <w:rPr>
          <w:rFonts w:ascii="宋体" w:hAnsi="宋体" w:cs="宋体" w:eastAsia="宋体" w:hint="default"/>
          <w:spacing w:val="-35"/>
        </w:rPr>
        <w:t> </w:t>
      </w:r>
      <w:r>
        <w:rPr/>
        <w:t>年</w:t>
      </w:r>
      <w:r>
        <w:rPr>
          <w:spacing w:val="-38"/>
        </w:rPr>
        <w:t> </w:t>
      </w:r>
      <w:r>
        <w:rPr>
          <w:rFonts w:ascii="宋体" w:hAnsi="宋体" w:cs="宋体" w:eastAsia="宋体" w:hint="default"/>
        </w:rPr>
        <w:t>10</w:t>
      </w:r>
      <w:r>
        <w:rPr>
          <w:rFonts w:ascii="宋体" w:hAnsi="宋体" w:cs="宋体" w:eastAsia="宋体" w:hint="default"/>
          <w:spacing w:val="-37"/>
        </w:rPr>
        <w:t> </w:t>
      </w:r>
      <w:r>
        <w:rPr/>
        <w:t>月</w:t>
      </w:r>
      <w:r>
        <w:rPr>
          <w:spacing w:val="-37"/>
        </w:rPr>
        <w:t> </w:t>
      </w:r>
      <w:r>
        <w:rPr>
          <w:rFonts w:ascii="宋体" w:hAnsi="宋体" w:cs="宋体" w:eastAsia="宋体" w:hint="default"/>
        </w:rPr>
        <w:t>25</w:t>
      </w:r>
      <w:r>
        <w:rPr>
          <w:rFonts w:ascii="宋体" w:hAnsi="宋体" w:cs="宋体" w:eastAsia="宋体" w:hint="default"/>
          <w:spacing w:val="-36"/>
        </w:rPr>
        <w:t> </w:t>
      </w:r>
      <w:r>
        <w:rPr/>
        <w:t>日刊载于巨潮资讯网的《公司第六届董事会</w:t>
      </w:r>
      <w:r>
        <w:rPr>
          <w:spacing w:val="-36"/>
        </w:rPr>
        <w:t> </w:t>
      </w:r>
      <w:r>
        <w:rPr>
          <w:rFonts w:ascii="宋体" w:hAnsi="宋体" w:cs="宋体" w:eastAsia="宋体" w:hint="default"/>
        </w:rPr>
        <w:t>2014</w:t>
      </w:r>
      <w:r>
        <w:rPr>
          <w:rFonts w:ascii="宋体" w:hAnsi="宋体" w:cs="宋体" w:eastAsia="宋体" w:hint="default"/>
          <w:spacing w:val="-36"/>
        </w:rPr>
        <w:t> </w:t>
      </w:r>
      <w:r>
        <w:rPr/>
        <w:t>年第十次会议决议公告》</w:t>
      </w:r>
      <w:r>
        <w:rPr>
          <w:rFonts w:ascii="宋体" w:hAnsi="宋体" w:cs="宋体" w:eastAsia="宋体" w:hint="default"/>
        </w:rPr>
        <w:t>(</w:t>
      </w:r>
      <w:r>
        <w:rPr/>
        <w:t>公告编号</w:t>
      </w:r>
    </w:p>
    <w:p>
      <w:pPr>
        <w:pStyle w:val="BodyText"/>
        <w:spacing w:line="240" w:lineRule="auto" w:before="37"/>
        <w:ind w:right="0"/>
        <w:jc w:val="both"/>
      </w:pPr>
      <w:r>
        <w:rPr>
          <w:rFonts w:ascii="宋体" w:hAnsi="宋体" w:cs="宋体" w:eastAsia="宋体" w:hint="default"/>
        </w:rPr>
        <w:t>2014</w:t>
      </w:r>
      <w:r>
        <w:rPr/>
        <w:t>—</w:t>
      </w:r>
      <w:r>
        <w:rPr>
          <w:rFonts w:ascii="宋体" w:hAnsi="宋体" w:cs="宋体" w:eastAsia="宋体" w:hint="default"/>
        </w:rPr>
        <w:t>63)</w:t>
      </w:r>
      <w:r>
        <w:rPr/>
        <w:t>。</w:t>
      </w:r>
    </w:p>
    <w:p>
      <w:pPr>
        <w:pStyle w:val="BodyText"/>
        <w:spacing w:line="273" w:lineRule="auto" w:before="68"/>
        <w:ind w:right="1185" w:firstLine="420"/>
        <w:jc w:val="both"/>
      </w:pPr>
      <w:r>
        <w:rPr/>
        <w:t>据修订后的《企业会计准则第</w:t>
      </w:r>
      <w:r>
        <w:rPr>
          <w:spacing w:val="-73"/>
        </w:rPr>
        <w:t> </w:t>
      </w:r>
      <w:r>
        <w:rPr>
          <w:rFonts w:ascii="宋体" w:hAnsi="宋体" w:cs="宋体" w:eastAsia="宋体" w:hint="default"/>
        </w:rPr>
        <w:t>2</w:t>
      </w:r>
      <w:r>
        <w:rPr>
          <w:rFonts w:ascii="宋体" w:hAnsi="宋体" w:cs="宋体" w:eastAsia="宋体" w:hint="default"/>
          <w:spacing w:val="-72"/>
        </w:rPr>
        <w:t> </w:t>
      </w:r>
      <w:r>
        <w:rPr/>
        <w:t>号——长期股权投资》等八项会计准则变更了相关会计政策，本次 </w:t>
      </w:r>
      <w:r>
        <w:rPr>
          <w:spacing w:val="-1"/>
        </w:rPr>
        <w:t>调整为会计政策变更，对公司合并财务报表所有者权益、净利润无影响，不涉及追溯调整。本次变更对</w:t>
      </w:r>
      <w:r>
        <w:rPr>
          <w:spacing w:val="-99"/>
        </w:rPr>
        <w:t> </w:t>
      </w:r>
      <w:r>
        <w:rPr>
          <w:spacing w:val="-99"/>
        </w:rPr>
      </w:r>
      <w:r>
        <w:rPr>
          <w:spacing w:val="-1"/>
        </w:rPr>
        <w:t>公司财务报表的影响仅限于合并资产负债表列报数据的科目变化，有关追溯重述的内容见本报告第十章</w:t>
      </w:r>
      <w:r>
        <w:rPr>
          <w:spacing w:val="-101"/>
        </w:rPr>
        <w:t> </w:t>
      </w:r>
      <w:r>
        <w:rPr>
          <w:spacing w:val="-101"/>
        </w:rPr>
      </w:r>
      <w:r>
        <w:rPr>
          <w:spacing w:val="-5"/>
        </w:rPr>
        <w:t>财务报告“附注十六会计政策变更相关补充资料”。</w:t>
      </w:r>
    </w:p>
    <w:p>
      <w:pPr>
        <w:pStyle w:val="BodyText"/>
        <w:spacing w:line="240" w:lineRule="auto" w:before="163"/>
        <w:ind w:left="824" w:right="418"/>
        <w:jc w:val="left"/>
      </w:pPr>
      <w:r>
        <w:rPr/>
        <w:t>七、与上年度财务报告相比，合并报表范围发生变化的情况说明</w:t>
      </w:r>
    </w:p>
    <w:p>
      <w:pPr>
        <w:pStyle w:val="BodyText"/>
        <w:spacing w:line="273" w:lineRule="auto" w:before="100"/>
        <w:ind w:right="1176" w:firstLine="420"/>
        <w:jc w:val="left"/>
      </w:pPr>
      <w:r>
        <w:rPr/>
        <w:t>因</w:t>
      </w:r>
      <w:r>
        <w:rPr>
          <w:spacing w:val="-50"/>
        </w:rPr>
        <w:t> </w:t>
      </w:r>
      <w:r>
        <w:rPr>
          <w:rFonts w:ascii="宋体" w:hAnsi="宋体" w:cs="宋体" w:eastAsia="宋体" w:hint="default"/>
        </w:rPr>
        <w:t>2014</w:t>
      </w:r>
      <w:r>
        <w:rPr>
          <w:rFonts w:ascii="宋体" w:hAnsi="宋体" w:cs="宋体" w:eastAsia="宋体" w:hint="default"/>
          <w:spacing w:val="-49"/>
        </w:rPr>
        <w:t> </w:t>
      </w:r>
      <w:r>
        <w:rPr/>
        <w:t>年重组公司收购了创世漫道</w:t>
      </w:r>
      <w:r>
        <w:rPr>
          <w:spacing w:val="-50"/>
        </w:rPr>
        <w:t> </w:t>
      </w:r>
      <w:r>
        <w:rPr>
          <w:rFonts w:ascii="宋体" w:hAnsi="宋体" w:cs="宋体" w:eastAsia="宋体" w:hint="default"/>
        </w:rPr>
        <w:t>100%</w:t>
      </w:r>
      <w:r>
        <w:rPr/>
        <w:t>的股权，报告期公司合并报表范围发生变化，由于系非同 一控制下的合并，创世漫道的财务数据自购买日</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日起并入本公司合并报表范围。</w:t>
      </w:r>
    </w:p>
    <w:p>
      <w:pPr>
        <w:tabs>
          <w:tab w:pos="4900" w:val="left" w:leader="none"/>
        </w:tabs>
        <w:spacing w:line="624" w:lineRule="exact" w:before="66"/>
        <w:ind w:left="824" w:right="4840" w:firstLine="3232"/>
        <w:jc w:val="left"/>
        <w:rPr>
          <w:rFonts w:ascii="宋体" w:hAnsi="宋体" w:cs="宋体" w:eastAsia="宋体" w:hint="default"/>
          <w:sz w:val="21"/>
          <w:szCs w:val="21"/>
        </w:rPr>
      </w:pPr>
      <w:r>
        <w:rPr>
          <w:rFonts w:ascii="宋体" w:hAnsi="宋体" w:cs="宋体" w:eastAsia="宋体" w:hint="default"/>
          <w:b/>
          <w:bCs/>
          <w:w w:val="95"/>
          <w:sz w:val="21"/>
          <w:szCs w:val="21"/>
        </w:rPr>
        <w:t>第三节</w:t>
        <w:tab/>
      </w:r>
      <w:r>
        <w:rPr>
          <w:rFonts w:ascii="宋体" w:hAnsi="宋体" w:cs="宋体" w:eastAsia="宋体" w:hint="default"/>
          <w:b/>
          <w:bCs/>
          <w:sz w:val="21"/>
          <w:szCs w:val="21"/>
        </w:rPr>
        <w:t>利润分配预案</w:t>
      </w:r>
      <w:r>
        <w:rPr>
          <w:rFonts w:ascii="宋体" w:hAnsi="宋体" w:cs="宋体" w:eastAsia="宋体" w:hint="default"/>
          <w:b/>
          <w:bCs/>
          <w:w w:val="99"/>
          <w:sz w:val="21"/>
          <w:szCs w:val="21"/>
        </w:rPr>
        <w:t> </w:t>
      </w:r>
      <w:r>
        <w:rPr>
          <w:rFonts w:ascii="宋体" w:hAnsi="宋体" w:cs="宋体" w:eastAsia="宋体" w:hint="default"/>
          <w:sz w:val="21"/>
          <w:szCs w:val="21"/>
        </w:rPr>
        <w:t>一、报告期内利润分配政策的制定、执行情况</w:t>
      </w:r>
    </w:p>
    <w:p>
      <w:pPr>
        <w:pStyle w:val="BodyText"/>
        <w:spacing w:line="217" w:lineRule="exact" w:before="0"/>
        <w:ind w:left="824" w:right="418"/>
        <w:jc w:val="left"/>
      </w:pPr>
      <w:r>
        <w:rPr/>
        <w:t>按照证监会《上市公司监管指引</w:t>
      </w:r>
      <w:r>
        <w:rPr>
          <w:spacing w:val="-74"/>
        </w:rPr>
        <w:t> </w:t>
      </w:r>
      <w:r>
        <w:rPr>
          <w:rFonts w:ascii="宋体" w:hAnsi="宋体" w:cs="宋体" w:eastAsia="宋体" w:hint="default"/>
        </w:rPr>
        <w:t>3</w:t>
      </w:r>
      <w:r>
        <w:rPr>
          <w:rFonts w:ascii="宋体" w:hAnsi="宋体" w:cs="宋体" w:eastAsia="宋体" w:hint="default"/>
          <w:spacing w:val="-74"/>
        </w:rPr>
        <w:t> </w:t>
      </w:r>
      <w:r>
        <w:rPr/>
        <w:t>号——上市公司现金分红》等文件规定，报告期公司制定了未来</w:t>
      </w:r>
    </w:p>
    <w:p>
      <w:pPr>
        <w:pStyle w:val="BodyText"/>
        <w:spacing w:line="273" w:lineRule="auto" w:before="37"/>
        <w:ind w:right="1149"/>
        <w:jc w:val="both"/>
      </w:pPr>
      <w:r>
        <w:rPr>
          <w:spacing w:val="-1"/>
        </w:rPr>
        <w:t>三年股东分红规划</w:t>
      </w:r>
      <w:r>
        <w:rPr>
          <w:rFonts w:ascii="宋体" w:hAnsi="宋体" w:cs="宋体" w:eastAsia="宋体" w:hint="default"/>
          <w:spacing w:val="-1"/>
        </w:rPr>
        <w:t>(2014</w:t>
      </w:r>
      <w:r>
        <w:rPr>
          <w:spacing w:val="-1"/>
        </w:rPr>
        <w:t>—</w:t>
      </w:r>
      <w:r>
        <w:rPr>
          <w:rFonts w:ascii="宋体" w:hAnsi="宋体" w:cs="宋体" w:eastAsia="宋体" w:hint="default"/>
          <w:spacing w:val="-1"/>
        </w:rPr>
        <w:t>2016</w:t>
      </w:r>
      <w:r>
        <w:rPr>
          <w:rFonts w:ascii="宋体" w:hAnsi="宋体" w:cs="宋体" w:eastAsia="宋体" w:hint="default"/>
          <w:spacing w:val="-54"/>
        </w:rPr>
        <w:t> </w:t>
      </w:r>
      <w:r>
        <w:rPr>
          <w:spacing w:val="-8"/>
        </w:rPr>
        <w:t>年</w:t>
      </w:r>
      <w:r>
        <w:rPr>
          <w:rFonts w:ascii="宋体" w:hAnsi="宋体" w:cs="宋体" w:eastAsia="宋体" w:hint="default"/>
          <w:spacing w:val="-8"/>
        </w:rPr>
        <w:t>)</w:t>
      </w:r>
      <w:r>
        <w:rPr>
          <w:spacing w:val="-8"/>
        </w:rPr>
        <w:t>。该规划经公司第六届董事会</w:t>
      </w:r>
      <w:r>
        <w:rPr>
          <w:spacing w:val="-55"/>
        </w:rPr>
        <w:t> </w:t>
      </w:r>
      <w:r>
        <w:rPr>
          <w:rFonts w:ascii="宋体" w:hAnsi="宋体" w:cs="宋体" w:eastAsia="宋体" w:hint="default"/>
        </w:rPr>
        <w:t>2014</w:t>
      </w:r>
      <w:r>
        <w:rPr>
          <w:rFonts w:ascii="宋体" w:hAnsi="宋体" w:cs="宋体" w:eastAsia="宋体" w:hint="default"/>
          <w:spacing w:val="-55"/>
        </w:rPr>
        <w:t> </w:t>
      </w:r>
      <w:r>
        <w:rPr>
          <w:spacing w:val="-9"/>
        </w:rPr>
        <w:t>年第八次会议审议通过、公司</w:t>
      </w:r>
      <w:r>
        <w:rPr>
          <w:spacing w:val="-55"/>
        </w:rPr>
        <w:t> </w:t>
      </w:r>
      <w:r>
        <w:rPr>
          <w:rFonts w:ascii="宋体" w:hAnsi="宋体" w:cs="宋体" w:eastAsia="宋体" w:hint="default"/>
        </w:rPr>
        <w:t>2014</w:t>
      </w:r>
      <w:r>
        <w:rPr>
          <w:rFonts w:ascii="宋体" w:hAnsi="宋体" w:cs="宋体" w:eastAsia="宋体" w:hint="default"/>
          <w:spacing w:val="-97"/>
        </w:rPr>
        <w:t> </w:t>
      </w:r>
      <w:r>
        <w:rPr/>
        <w:t>年第一次临时股东大会批准，有关利润分配政策</w:t>
      </w:r>
      <w:r>
        <w:rPr>
          <w:rFonts w:ascii="宋体" w:hAnsi="宋体" w:cs="宋体" w:eastAsia="宋体" w:hint="default"/>
        </w:rPr>
        <w:t>(</w:t>
      </w:r>
      <w:r>
        <w:rPr/>
        <w:t>包括现金分红</w:t>
      </w:r>
      <w:r>
        <w:rPr>
          <w:rFonts w:ascii="宋体" w:hAnsi="宋体" w:cs="宋体" w:eastAsia="宋体" w:hint="default"/>
        </w:rPr>
        <w:t>)</w:t>
      </w:r>
      <w:r>
        <w:rPr/>
        <w:t>符合《公司章程》及审议程序的规定。 报告期公司没有调整或变更利润分配政策。</w:t>
      </w:r>
    </w:p>
    <w:p>
      <w:pPr>
        <w:pStyle w:val="BodyText"/>
        <w:spacing w:line="273" w:lineRule="auto"/>
        <w:ind w:right="1188" w:firstLine="420"/>
        <w:jc w:val="both"/>
      </w:pPr>
      <w:r>
        <w:rPr/>
        <w:t>报告期公司董事会提出的 </w:t>
      </w:r>
      <w:r>
        <w:rPr>
          <w:rFonts w:ascii="宋体" w:hAnsi="宋体" w:cs="宋体" w:eastAsia="宋体" w:hint="default"/>
        </w:rPr>
        <w:t>2013</w:t>
      </w:r>
      <w:r>
        <w:rPr>
          <w:rFonts w:ascii="宋体" w:hAnsi="宋体" w:cs="宋体" w:eastAsia="宋体" w:hint="default"/>
          <w:spacing w:val="-41"/>
        </w:rPr>
        <w:t> </w:t>
      </w:r>
      <w:r>
        <w:rPr/>
        <w:t>年度的现金分红预案，现金分红比例不低于当期实现归属于上市公 司股东净利润的</w:t>
      </w:r>
      <w:r>
        <w:rPr>
          <w:spacing w:val="-41"/>
        </w:rPr>
        <w:t> </w:t>
      </w:r>
      <w:r>
        <w:rPr>
          <w:rFonts w:ascii="宋体" w:hAnsi="宋体" w:cs="宋体" w:eastAsia="宋体" w:hint="default"/>
        </w:rPr>
        <w:t>10%</w:t>
      </w:r>
      <w:r>
        <w:rPr/>
        <w:t>，符合公司章程分红标准和分红比例的规定，事先听取并经独立董事发表意见，能 够充分听取并保护中小投资者的合法权益。</w:t>
      </w:r>
    </w:p>
    <w:p>
      <w:pPr>
        <w:pStyle w:val="BodyText"/>
        <w:spacing w:line="240" w:lineRule="auto"/>
        <w:ind w:left="824" w:right="418"/>
        <w:jc w:val="left"/>
      </w:pPr>
      <w:r>
        <w:rPr/>
        <w:t>报告期内现金分红政策的制定及执行情况专项说明</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972"/>
        <w:gridCol w:w="5954"/>
      </w:tblGrid>
      <w:tr>
        <w:trPr>
          <w:trHeight w:val="322" w:hRule="exact"/>
        </w:trPr>
        <w:tc>
          <w:tcPr>
            <w:tcW w:w="9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76"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21"/>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现金分红的优先顺序、具体条件、分红间隔及最低比例、审议程序等符合公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司章程的规定或股东大会决议的要求。</w:t>
            </w:r>
          </w:p>
        </w:tc>
      </w:tr>
      <w:tr>
        <w:trPr>
          <w:trHeight w:val="350"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现金分红不低于当期实现归属于上市公司股东净利润的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r>
      <w:tr>
        <w:trPr>
          <w:trHeight w:val="351"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完备。</w:t>
            </w:r>
          </w:p>
        </w:tc>
      </w:tr>
      <w:tr>
        <w:trPr>
          <w:trHeight w:val="476"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了解是否具备公司章程规定的现金分红条件，提出分红建议，对分红预案事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先发表意见。</w:t>
            </w:r>
          </w:p>
        </w:tc>
      </w:tr>
      <w:tr>
        <w:trPr>
          <w:trHeight w:val="478"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法权益是否得到了充分保护：</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中小股东有充分表达意见和诉求的机会，其合法权益得到了充分保护。</w:t>
            </w:r>
          </w:p>
        </w:tc>
      </w:tr>
    </w:tbl>
    <w:p>
      <w:pPr>
        <w:spacing w:after="0" w:line="240"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972"/>
        <w:gridCol w:w="5954"/>
      </w:tblGrid>
      <w:tr>
        <w:trPr>
          <w:trHeight w:val="478"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合规、透明：</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报告期公司没有调整或变更现金分红政策。</w:t>
            </w:r>
          </w:p>
        </w:tc>
      </w:tr>
    </w:tbl>
    <w:p>
      <w:pPr>
        <w:spacing w:line="240" w:lineRule="auto" w:before="0"/>
        <w:rPr>
          <w:rFonts w:ascii="宋体" w:hAnsi="宋体" w:cs="宋体" w:eastAsia="宋体" w:hint="default"/>
          <w:sz w:val="20"/>
          <w:szCs w:val="20"/>
        </w:rPr>
      </w:pPr>
    </w:p>
    <w:p>
      <w:pPr>
        <w:pStyle w:val="BodyText"/>
        <w:spacing w:line="273" w:lineRule="auto" w:before="35"/>
        <w:ind w:left="824" w:right="2392"/>
        <w:jc w:val="left"/>
      </w:pPr>
      <w:r>
        <w:rPr/>
        <w:t>二、公司近三年</w:t>
      </w:r>
      <w:r>
        <w:rPr>
          <w:rFonts w:ascii="宋体" w:hAnsi="宋体" w:cs="宋体" w:eastAsia="宋体" w:hint="default"/>
        </w:rPr>
        <w:t>(</w:t>
      </w:r>
      <w:r>
        <w:rPr/>
        <w:t>含报告期</w:t>
      </w:r>
      <w:r>
        <w:rPr>
          <w:rFonts w:ascii="宋体" w:hAnsi="宋体" w:cs="宋体" w:eastAsia="宋体" w:hint="default"/>
        </w:rPr>
        <w:t>)</w:t>
      </w:r>
      <w:r>
        <w:rPr/>
        <w:t>的利润分配方案或预案、资本公积金转增股本方案或预案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利润分配方案或预案、资本公积金转增股本方案或预案</w:t>
      </w:r>
    </w:p>
    <w:tbl>
      <w:tblPr>
        <w:tblW w:w="0" w:type="auto"/>
        <w:jc w:val="left"/>
        <w:tblInd w:w="115" w:type="dxa"/>
        <w:tblLayout w:type="fixed"/>
        <w:tblCellMar>
          <w:top w:w="0" w:type="dxa"/>
          <w:left w:w="0" w:type="dxa"/>
          <w:bottom w:w="0" w:type="dxa"/>
          <w:right w:w="0" w:type="dxa"/>
        </w:tblCellMar>
        <w:tblLook w:val="01E0"/>
      </w:tblPr>
      <w:tblGrid>
        <w:gridCol w:w="3120"/>
        <w:gridCol w:w="6805"/>
      </w:tblGrid>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分配年度</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6" w:right="0"/>
              <w:jc w:val="left"/>
              <w:rPr>
                <w:rFonts w:ascii="宋体" w:hAnsi="宋体" w:cs="宋体" w:eastAsia="宋体" w:hint="default"/>
                <w:sz w:val="18"/>
                <w:szCs w:val="18"/>
              </w:rPr>
            </w:pPr>
            <w:r>
              <w:rPr>
                <w:rFonts w:ascii="宋体" w:hAnsi="宋体" w:cs="宋体" w:eastAsia="宋体" w:hint="default"/>
                <w:sz w:val="18"/>
                <w:szCs w:val="18"/>
              </w:rPr>
              <w:t>利润分配方案或预案、资本公积金转增股本方案或预案</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0.16</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r>
        <w:trPr>
          <w:trHeight w:val="34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0.42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1"/>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bl>
    <w:p>
      <w:pPr>
        <w:spacing w:line="240" w:lineRule="auto" w:before="10"/>
        <w:rPr>
          <w:rFonts w:ascii="宋体" w:hAnsi="宋体" w:cs="宋体" w:eastAsia="宋体" w:hint="default"/>
          <w:sz w:val="21"/>
          <w:szCs w:val="21"/>
        </w:rPr>
      </w:pPr>
    </w:p>
    <w:p>
      <w:pPr>
        <w:pStyle w:val="BodyText"/>
        <w:spacing w:line="240" w:lineRule="auto" w:before="35"/>
        <w:ind w:left="824" w:right="594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公司近三年现金分红情况表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702"/>
        <w:gridCol w:w="1808"/>
        <w:gridCol w:w="1594"/>
        <w:gridCol w:w="1594"/>
        <w:gridCol w:w="1668"/>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440" w:right="169" w:hanging="270"/>
              <w:jc w:val="left"/>
              <w:rPr>
                <w:rFonts w:ascii="宋体" w:hAnsi="宋体" w:cs="宋体" w:eastAsia="宋体" w:hint="default"/>
                <w:sz w:val="18"/>
                <w:szCs w:val="18"/>
              </w:rPr>
            </w:pPr>
            <w:r>
              <w:rPr>
                <w:rFonts w:ascii="宋体" w:hAnsi="宋体" w:cs="宋体" w:eastAsia="宋体" w:hint="default"/>
                <w:sz w:val="18"/>
                <w:szCs w:val="18"/>
              </w:rPr>
              <w:t>现金分红金额</w:t>
            </w:r>
            <w:r>
              <w:rPr>
                <w:rFonts w:ascii="宋体" w:hAnsi="宋体" w:cs="宋体" w:eastAsia="宋体" w:hint="default"/>
                <w:sz w:val="18"/>
                <w:szCs w:val="18"/>
              </w:rPr>
              <w:t>(</w:t>
            </w:r>
            <w:r>
              <w:rPr>
                <w:rFonts w:ascii="宋体" w:hAnsi="宋体" w:cs="宋体" w:eastAsia="宋体" w:hint="default"/>
                <w:sz w:val="18"/>
                <w:szCs w:val="18"/>
              </w:rPr>
              <w:t>含 税</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p>
            <w:pPr>
              <w:pStyle w:val="TableParagraph"/>
              <w:spacing w:line="240" w:lineRule="auto"/>
              <w:ind w:left="22" w:right="153"/>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p>
            <w:pPr>
              <w:pStyle w:val="TableParagraph"/>
              <w:spacing w:line="240" w:lineRule="auto"/>
              <w:ind w:left="22" w:right="119"/>
              <w:jc w:val="left"/>
              <w:rPr>
                <w:rFonts w:ascii="宋体" w:hAnsi="宋体" w:cs="宋体" w:eastAsia="宋体" w:hint="default"/>
                <w:sz w:val="18"/>
                <w:szCs w:val="18"/>
              </w:rPr>
            </w:pPr>
            <w:r>
              <w:rPr>
                <w:rFonts w:ascii="宋体" w:hAnsi="宋体" w:cs="宋体" w:eastAsia="宋体" w:hint="default"/>
                <w:sz w:val="18"/>
                <w:szCs w:val="18"/>
              </w:rPr>
              <w:t>于上市公司股东的 净利润的比率</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以现金方式要约回</w:t>
            </w:r>
          </w:p>
          <w:p>
            <w:pPr>
              <w:pStyle w:val="TableParagraph"/>
              <w:spacing w:line="240" w:lineRule="auto"/>
              <w:ind w:left="22" w:right="119"/>
              <w:jc w:val="left"/>
              <w:rPr>
                <w:rFonts w:ascii="宋体" w:hAnsi="宋体" w:cs="宋体" w:eastAsia="宋体" w:hint="default"/>
                <w:sz w:val="18"/>
                <w:szCs w:val="18"/>
              </w:rPr>
            </w:pPr>
            <w:r>
              <w:rPr>
                <w:rFonts w:ascii="宋体" w:hAnsi="宋体" w:cs="宋体" w:eastAsia="宋体" w:hint="default"/>
                <w:sz w:val="18"/>
                <w:szCs w:val="18"/>
              </w:rPr>
              <w:t>购股份资金计入现 金分红的金额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以现金方式要约回</w:t>
            </w:r>
          </w:p>
          <w:p>
            <w:pPr>
              <w:pStyle w:val="TableParagraph"/>
              <w:spacing w:line="240" w:lineRule="auto"/>
              <w:ind w:left="22" w:right="193"/>
              <w:jc w:val="left"/>
              <w:rPr>
                <w:rFonts w:ascii="宋体" w:hAnsi="宋体" w:cs="宋体" w:eastAsia="宋体" w:hint="default"/>
                <w:sz w:val="18"/>
                <w:szCs w:val="18"/>
              </w:rPr>
            </w:pPr>
            <w:r>
              <w:rPr>
                <w:rFonts w:ascii="宋体" w:hAnsi="宋体" w:cs="宋体" w:eastAsia="宋体" w:hint="default"/>
                <w:sz w:val="18"/>
                <w:szCs w:val="18"/>
              </w:rPr>
              <w:t>购股份资金计入现 金分红的比例</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994.92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9,875.52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1,871.19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9,290.38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20.14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1,113.80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11,026.80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10.10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73" w:lineRule="auto" w:before="35"/>
        <w:ind w:left="824" w:right="1179"/>
        <w:jc w:val="left"/>
      </w:pPr>
      <w:r>
        <w:rPr/>
        <w:t>二、</w:t>
      </w:r>
      <w:r>
        <w:rPr>
          <w:rFonts w:ascii="宋体" w:hAnsi="宋体" w:cs="宋体" w:eastAsia="宋体" w:hint="default"/>
        </w:rPr>
        <w:t>2014</w:t>
      </w:r>
      <w:r>
        <w:rPr>
          <w:rFonts w:ascii="宋体" w:hAnsi="宋体" w:cs="宋体" w:eastAsia="宋体" w:hint="default"/>
          <w:spacing w:val="-52"/>
        </w:rPr>
        <w:t> </w:t>
      </w:r>
      <w:r>
        <w:rPr/>
        <w:t>年度利润分配预案 经中兴华会计师事务所</w:t>
      </w:r>
      <w:r>
        <w:rPr>
          <w:rFonts w:ascii="宋体" w:hAnsi="宋体" w:cs="宋体" w:eastAsia="宋体" w:hint="default"/>
        </w:rPr>
        <w:t>(</w:t>
      </w:r>
      <w:r>
        <w:rPr/>
        <w:t>特殊普通合伙</w:t>
      </w:r>
      <w:r>
        <w:rPr>
          <w:rFonts w:ascii="宋体" w:hAnsi="宋体" w:cs="宋体" w:eastAsia="宋体" w:hint="default"/>
        </w:rPr>
        <w:t>)</w:t>
      </w:r>
      <w:r>
        <w:rPr/>
        <w:t>审计，报告期公司实现净利润为</w:t>
      </w:r>
      <w:r>
        <w:rPr>
          <w:spacing w:val="-66"/>
        </w:rPr>
        <w:t> </w:t>
      </w:r>
      <w:r>
        <w:rPr>
          <w:rFonts w:ascii="宋体" w:hAnsi="宋体" w:cs="宋体" w:eastAsia="宋体" w:hint="default"/>
        </w:rPr>
        <w:t>98,755,198.43</w:t>
      </w:r>
      <w:r>
        <w:rPr>
          <w:rFonts w:ascii="宋体" w:hAnsi="宋体" w:cs="宋体" w:eastAsia="宋体" w:hint="default"/>
          <w:spacing w:val="-66"/>
        </w:rPr>
        <w:t> </w:t>
      </w:r>
      <w:r>
        <w:rPr>
          <w:spacing w:val="-4"/>
        </w:rPr>
        <w:t>元，按照公</w:t>
      </w:r>
    </w:p>
    <w:p>
      <w:pPr>
        <w:pStyle w:val="BodyText"/>
        <w:spacing w:line="240" w:lineRule="auto"/>
        <w:ind w:right="0"/>
        <w:jc w:val="both"/>
        <w:rPr>
          <w:rFonts w:ascii="宋体" w:hAnsi="宋体" w:cs="宋体" w:eastAsia="宋体" w:hint="default"/>
        </w:rPr>
      </w:pPr>
      <w:r>
        <w:rPr/>
        <w:t>司章程规定提取 </w:t>
      </w:r>
      <w:r>
        <w:rPr>
          <w:rFonts w:ascii="宋体" w:hAnsi="宋体" w:cs="宋体" w:eastAsia="宋体" w:hint="default"/>
        </w:rPr>
        <w:t>10%</w:t>
      </w:r>
      <w:r>
        <w:rPr/>
        <w:t>的法定盈余公积金 </w:t>
      </w:r>
      <w:r>
        <w:rPr>
          <w:rFonts w:ascii="宋体" w:hAnsi="宋体" w:cs="宋体" w:eastAsia="宋体" w:hint="default"/>
        </w:rPr>
        <w:t>9,875,519.84 </w:t>
      </w:r>
      <w:r>
        <w:rPr/>
        <w:t>元，当年可供股东分配的利润为</w:t>
      </w:r>
      <w:r>
        <w:rPr>
          <w:spacing w:val="-52"/>
        </w:rPr>
        <w:t> </w:t>
      </w:r>
      <w:r>
        <w:rPr>
          <w:rFonts w:ascii="宋体" w:hAnsi="宋体" w:cs="宋体" w:eastAsia="宋体" w:hint="default"/>
        </w:rPr>
        <w:t>88,879,678.59</w:t>
      </w:r>
    </w:p>
    <w:p>
      <w:pPr>
        <w:pStyle w:val="BodyText"/>
        <w:spacing w:line="240" w:lineRule="auto" w:before="37"/>
        <w:ind w:right="0"/>
        <w:jc w:val="both"/>
      </w:pPr>
      <w:r>
        <w:rPr>
          <w:spacing w:val="-6"/>
        </w:rPr>
        <w:t>元，加上上年度结存未分配利润</w:t>
      </w:r>
      <w:r>
        <w:rPr>
          <w:spacing w:val="-52"/>
        </w:rPr>
        <w:t> </w:t>
      </w:r>
      <w:r>
        <w:rPr>
          <w:rFonts w:ascii="宋体" w:hAnsi="宋体" w:cs="宋体" w:eastAsia="宋体" w:hint="default"/>
        </w:rPr>
        <w:t>261,806,090.50</w:t>
      </w:r>
      <w:r>
        <w:rPr>
          <w:rFonts w:ascii="宋体" w:hAnsi="宋体" w:cs="宋体" w:eastAsia="宋体" w:hint="default"/>
          <w:spacing w:val="-52"/>
        </w:rPr>
        <w:t> </w:t>
      </w:r>
      <w:r>
        <w:rPr>
          <w:spacing w:val="-19"/>
        </w:rPr>
        <w:t>元，减去</w:t>
      </w:r>
      <w:r>
        <w:rPr>
          <w:spacing w:val="-53"/>
        </w:rPr>
        <w:t> </w:t>
      </w:r>
      <w:r>
        <w:rPr>
          <w:rFonts w:ascii="宋体" w:hAnsi="宋体" w:cs="宋体" w:eastAsia="宋体" w:hint="default"/>
        </w:rPr>
        <w:t>2014</w:t>
      </w:r>
      <w:r>
        <w:rPr>
          <w:rFonts w:ascii="宋体" w:hAnsi="宋体" w:cs="宋体" w:eastAsia="宋体" w:hint="default"/>
          <w:spacing w:val="-53"/>
        </w:rPr>
        <w:t> </w:t>
      </w:r>
      <w:r>
        <w:rPr/>
        <w:t>年进行的上年度分红</w:t>
      </w:r>
      <w:r>
        <w:rPr>
          <w:spacing w:val="-52"/>
        </w:rPr>
        <w:t> </w:t>
      </w:r>
      <w:r>
        <w:rPr>
          <w:rFonts w:ascii="宋体" w:hAnsi="宋体" w:cs="宋体" w:eastAsia="宋体" w:hint="default"/>
        </w:rPr>
        <w:t>18,711,859.16</w:t>
      </w:r>
      <w:r>
        <w:rPr>
          <w:rFonts w:ascii="宋体" w:hAnsi="宋体" w:cs="宋体" w:eastAsia="宋体" w:hint="default"/>
          <w:spacing w:val="-53"/>
        </w:rPr>
        <w:t> </w:t>
      </w:r>
      <w:r>
        <w:rPr/>
        <w:t>元，</w:t>
      </w:r>
    </w:p>
    <w:p>
      <w:pPr>
        <w:pStyle w:val="BodyText"/>
        <w:spacing w:line="240" w:lineRule="auto" w:before="37"/>
        <w:ind w:right="0"/>
        <w:jc w:val="both"/>
      </w:pPr>
      <w:r>
        <w:rPr>
          <w:rFonts w:ascii="宋体" w:hAnsi="宋体" w:cs="宋体" w:eastAsia="宋体" w:hint="default"/>
        </w:rPr>
        <w:t>2014</w:t>
      </w:r>
      <w:r>
        <w:rPr>
          <w:rFonts w:ascii="宋体" w:hAnsi="宋体" w:cs="宋体" w:eastAsia="宋体" w:hint="default"/>
          <w:spacing w:val="-53"/>
        </w:rPr>
        <w:t> </w:t>
      </w:r>
      <w:r>
        <w:rPr/>
        <w:t>年公司实际可供股东分配的利润为</w:t>
      </w:r>
      <w:r>
        <w:rPr>
          <w:spacing w:val="-53"/>
        </w:rPr>
        <w:t> </w:t>
      </w:r>
      <w:r>
        <w:rPr>
          <w:rFonts w:ascii="宋体" w:hAnsi="宋体" w:cs="宋体" w:eastAsia="宋体" w:hint="default"/>
        </w:rPr>
        <w:t>331,973,909.93</w:t>
      </w:r>
      <w:r>
        <w:rPr>
          <w:rFonts w:ascii="宋体" w:hAnsi="宋体" w:cs="宋体" w:eastAsia="宋体" w:hint="default"/>
          <w:spacing w:val="-53"/>
        </w:rPr>
        <w:t> </w:t>
      </w:r>
      <w:r>
        <w:rPr>
          <w:spacing w:val="-11"/>
        </w:rPr>
        <w:t>元。董事会拟定：以</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日的公司</w:t>
      </w:r>
    </w:p>
    <w:p>
      <w:pPr>
        <w:pStyle w:val="BodyText"/>
        <w:spacing w:line="273" w:lineRule="auto" w:before="37"/>
        <w:ind w:left="824" w:right="1175" w:hanging="421"/>
        <w:jc w:val="left"/>
      </w:pPr>
      <w:r>
        <w:rPr/>
        <w:t>总股本为基数，拟每</w:t>
      </w:r>
      <w:r>
        <w:rPr>
          <w:spacing w:val="-53"/>
        </w:rPr>
        <w:t> </w:t>
      </w:r>
      <w:r>
        <w:rPr>
          <w:rFonts w:ascii="宋体" w:hAnsi="宋体" w:cs="宋体" w:eastAsia="宋体" w:hint="default"/>
          <w:spacing w:val="-1"/>
        </w:rPr>
        <w:t>10</w:t>
      </w:r>
      <w:r>
        <w:rPr>
          <w:rFonts w:ascii="宋体" w:hAnsi="宋体" w:cs="宋体" w:eastAsia="宋体" w:hint="default"/>
          <w:spacing w:val="-53"/>
        </w:rPr>
        <w:t> </w:t>
      </w:r>
      <w:r>
        <w:rPr/>
        <w:t>股派</w:t>
      </w:r>
      <w:r>
        <w:rPr>
          <w:spacing w:val="-53"/>
        </w:rPr>
        <w:t> </w:t>
      </w:r>
      <w:r>
        <w:rPr>
          <w:rFonts w:ascii="宋体" w:hAnsi="宋体" w:cs="宋体" w:eastAsia="宋体" w:hint="default"/>
          <w:spacing w:val="-1"/>
        </w:rPr>
        <w:t>0.16</w:t>
      </w:r>
      <w:r>
        <w:rPr>
          <w:rFonts w:ascii="宋体" w:hAnsi="宋体" w:cs="宋体" w:eastAsia="宋体" w:hint="default"/>
          <w:spacing w:val="-52"/>
        </w:rPr>
        <w:t> </w:t>
      </w:r>
      <w:r>
        <w:rPr>
          <w:spacing w:val="-5"/>
        </w:rPr>
        <w:t>元（含税），不送股，也不进行资本公积金转增股本。</w:t>
      </w:r>
      <w:r>
        <w:rPr>
          <w:spacing w:val="-93"/>
        </w:rPr>
        <w:t> </w:t>
      </w:r>
      <w:r>
        <w:rPr>
          <w:spacing w:val="-93"/>
        </w:rPr>
      </w:r>
      <w:r>
        <w:rPr>
          <w:spacing w:val="-1"/>
        </w:rPr>
        <w:t>公司现金分红政策为进行股利分配时首选现金分红，保持现金分红的连续性、稳定性。本次现金分</w:t>
      </w:r>
    </w:p>
    <w:p>
      <w:pPr>
        <w:pStyle w:val="BodyText"/>
        <w:spacing w:line="273" w:lineRule="auto"/>
        <w:ind w:right="1188"/>
        <w:jc w:val="both"/>
      </w:pPr>
      <w:r>
        <w:rPr/>
        <w:t>红预案符合公司章程和公司未来三年股东分红规划</w:t>
      </w:r>
      <w:r>
        <w:rPr>
          <w:rFonts w:ascii="宋体" w:hAnsi="宋体" w:cs="宋体" w:eastAsia="宋体" w:hint="default"/>
        </w:rPr>
        <w:t>(2014</w:t>
      </w:r>
      <w:r>
        <w:rPr/>
        <w:t>—</w:t>
      </w:r>
      <w:r>
        <w:rPr>
          <w:rFonts w:ascii="宋体" w:hAnsi="宋体" w:cs="宋体" w:eastAsia="宋体" w:hint="default"/>
        </w:rPr>
        <w:t>2016</w:t>
      </w:r>
      <w:r>
        <w:rPr>
          <w:rFonts w:ascii="宋体" w:hAnsi="宋体" w:cs="宋体" w:eastAsia="宋体" w:hint="default"/>
          <w:spacing w:val="-44"/>
        </w:rPr>
        <w:t> </w:t>
      </w:r>
      <w:r>
        <w:rPr>
          <w:spacing w:val="-6"/>
        </w:rPr>
        <w:t>年</w:t>
      </w:r>
      <w:r>
        <w:rPr>
          <w:rFonts w:ascii="宋体" w:hAnsi="宋体" w:cs="宋体" w:eastAsia="宋体" w:hint="default"/>
          <w:spacing w:val="-6"/>
        </w:rPr>
        <w:t>)</w:t>
      </w:r>
      <w:r>
        <w:rPr>
          <w:spacing w:val="-6"/>
        </w:rPr>
        <w:t>规定，听取并征得独立董事同意，充</w:t>
      </w:r>
      <w:r>
        <w:rPr/>
        <w:t> 分保护中小股东的合法权益。本次利润分配预案尚需提请公司股东大会审议。</w:t>
      </w:r>
    </w:p>
    <w:p>
      <w:pPr>
        <w:tabs>
          <w:tab w:pos="4163" w:val="left" w:leader="none"/>
        </w:tabs>
        <w:spacing w:line="624" w:lineRule="exact" w:before="66"/>
        <w:ind w:left="824" w:right="1187" w:firstLine="2494"/>
        <w:jc w:val="left"/>
        <w:rPr>
          <w:rFonts w:ascii="宋体" w:hAnsi="宋体" w:cs="宋体" w:eastAsia="宋体" w:hint="default"/>
          <w:sz w:val="21"/>
          <w:szCs w:val="21"/>
        </w:rPr>
      </w:pPr>
      <w:r>
        <w:rPr>
          <w:rFonts w:ascii="宋体" w:hAnsi="宋体" w:cs="宋体" w:eastAsia="宋体" w:hint="default"/>
          <w:b/>
          <w:bCs/>
          <w:w w:val="95"/>
          <w:sz w:val="21"/>
          <w:szCs w:val="21"/>
        </w:rPr>
        <w:t>第四节</w:t>
        <w:tab/>
      </w:r>
      <w:r>
        <w:rPr>
          <w:rFonts w:ascii="宋体" w:hAnsi="宋体" w:cs="宋体" w:eastAsia="宋体" w:hint="default"/>
          <w:b/>
          <w:bCs/>
          <w:sz w:val="21"/>
          <w:szCs w:val="21"/>
        </w:rPr>
        <w:t>公司履行社会责任的工作情况</w:t>
      </w:r>
      <w:r>
        <w:rPr>
          <w:rFonts w:ascii="宋体" w:hAnsi="宋体" w:cs="宋体" w:eastAsia="宋体" w:hint="default"/>
          <w:b/>
          <w:bCs/>
          <w:w w:val="99"/>
          <w:sz w:val="21"/>
          <w:szCs w:val="21"/>
        </w:rPr>
        <w:t> </w:t>
      </w:r>
      <w:r>
        <w:rPr>
          <w:rFonts w:ascii="宋体" w:hAnsi="宋体" w:cs="宋体" w:eastAsia="宋体" w:hint="default"/>
          <w:spacing w:val="-1"/>
          <w:sz w:val="21"/>
          <w:szCs w:val="21"/>
        </w:rPr>
        <w:t>让消费者称心满意、以员工为本、追求利润回报投资者和追求社会及市场良好影响是公司发展战略</w:t>
      </w:r>
    </w:p>
    <w:p>
      <w:pPr>
        <w:pStyle w:val="BodyText"/>
        <w:spacing w:line="217" w:lineRule="exact" w:before="0"/>
        <w:ind w:right="0"/>
        <w:jc w:val="both"/>
      </w:pPr>
      <w:r>
        <w:rPr/>
        <w:t>的构成内容。为此公司完善相关制度，落实部门职能，依据公司所处行业、业务性质、周边环境、相关</w:t>
      </w:r>
    </w:p>
    <w:p>
      <w:pPr>
        <w:pStyle w:val="BodyText"/>
        <w:spacing w:line="273" w:lineRule="auto" w:before="37"/>
        <w:ind w:right="1187"/>
        <w:jc w:val="both"/>
      </w:pPr>
      <w:r>
        <w:rPr>
          <w:spacing w:val="-1"/>
        </w:rPr>
        <w:t>者利益，按照法律法规规章要求，做好履行社会责任工作。报告期获得河北省技术监督局、河北省质量</w:t>
      </w:r>
      <w:r>
        <w:rPr>
          <w:spacing w:val="-99"/>
        </w:rPr>
        <w:t> </w:t>
      </w:r>
      <w:r>
        <w:rPr>
          <w:spacing w:val="-99"/>
        </w:rPr>
      </w:r>
      <w:r>
        <w:rPr>
          <w:spacing w:val="-13"/>
        </w:rPr>
        <w:t>奖评审委员会“河北省服务名牌”，河北省政府“二</w:t>
      </w:r>
      <w:r>
        <w:rPr>
          <w:spacing w:val="-48"/>
        </w:rPr>
        <w:t> </w:t>
      </w:r>
      <w:r>
        <w:rPr>
          <w:rFonts w:ascii="宋体" w:hAnsi="宋体" w:cs="宋体" w:eastAsia="宋体" w:hint="default"/>
        </w:rPr>
        <w:t>0</w:t>
      </w:r>
      <w:r>
        <w:rPr>
          <w:rFonts w:ascii="宋体" w:hAnsi="宋体" w:cs="宋体" w:eastAsia="宋体" w:hint="default"/>
          <w:spacing w:val="-47"/>
        </w:rPr>
        <w:t> </w:t>
      </w:r>
      <w:r>
        <w:rPr>
          <w:spacing w:val="-11"/>
        </w:rPr>
        <w:t>一三年度百强民营企业”，秦皇岛市委、市政府</w:t>
      </w:r>
      <w:r>
        <w:rPr>
          <w:spacing w:val="-54"/>
        </w:rPr>
        <w:t> </w:t>
      </w:r>
      <w:r>
        <w:rPr/>
        <w:t>“市</w:t>
      </w:r>
      <w:r>
        <w:rPr/>
        <w:t> </w:t>
      </w:r>
      <w:r>
        <w:rPr>
          <w:spacing w:val="-11"/>
        </w:rPr>
        <w:t>级文明单位”、秦皇岛市</w:t>
      </w:r>
      <w:r>
        <w:rPr>
          <w:spacing w:val="-50"/>
        </w:rPr>
        <w:t> </w:t>
      </w:r>
      <w:r>
        <w:rPr>
          <w:rFonts w:ascii="宋体" w:hAnsi="宋体" w:cs="宋体" w:eastAsia="宋体" w:hint="default"/>
        </w:rPr>
        <w:t>119</w:t>
      </w:r>
      <w:r>
        <w:rPr>
          <w:rFonts w:ascii="宋体" w:hAnsi="宋体" w:cs="宋体" w:eastAsia="宋体" w:hint="default"/>
          <w:spacing w:val="-49"/>
        </w:rPr>
        <w:t> </w:t>
      </w:r>
      <w:r>
        <w:rPr>
          <w:spacing w:val="-2"/>
        </w:rPr>
        <w:t>远程监控中心“秦皇岛市</w:t>
      </w:r>
      <w:r>
        <w:rPr>
          <w:spacing w:val="-50"/>
        </w:rPr>
        <w:t> </w:t>
      </w:r>
      <w:r>
        <w:rPr>
          <w:rFonts w:ascii="宋体" w:hAnsi="宋体" w:cs="宋体" w:eastAsia="宋体" w:hint="default"/>
        </w:rPr>
        <w:t>2014</w:t>
      </w:r>
      <w:r>
        <w:rPr>
          <w:rFonts w:ascii="宋体" w:hAnsi="宋体" w:cs="宋体" w:eastAsia="宋体" w:hint="default"/>
          <w:spacing w:val="-50"/>
        </w:rPr>
        <w:t> </w:t>
      </w:r>
      <w:r>
        <w:rPr>
          <w:spacing w:val="-1"/>
        </w:rPr>
        <w:t>年度消防远程监控运行先进单位”等荣誉称</w:t>
      </w:r>
      <w:r>
        <w:rPr/>
        <w:t> 号。</w:t>
      </w:r>
    </w:p>
    <w:p>
      <w:pPr>
        <w:pStyle w:val="BodyText"/>
        <w:spacing w:line="273" w:lineRule="auto"/>
        <w:ind w:right="1187" w:firstLine="420"/>
        <w:jc w:val="both"/>
      </w:pPr>
      <w:r>
        <w:rPr>
          <w:spacing w:val="-1"/>
        </w:rPr>
        <w:t>公司按规范性程序召开股东大会，按照《公司章程》规定进行现金分红，及时回复投资者咨询，公</w:t>
      </w:r>
      <w:r>
        <w:rPr/>
        <w:t> 平披露信息。</w:t>
      </w:r>
    </w:p>
    <w:p>
      <w:pPr>
        <w:pStyle w:val="BodyText"/>
        <w:spacing w:line="273" w:lineRule="auto"/>
        <w:ind w:right="1188" w:firstLine="420"/>
        <w:jc w:val="both"/>
      </w:pPr>
      <w:r>
        <w:rPr>
          <w:spacing w:val="-6"/>
        </w:rPr>
        <w:t>重视维护员工合法权益，建立并施行符合《劳动法》、《劳动合同法》的用工管理制度。公司按国家</w:t>
      </w:r>
      <w:r>
        <w:rPr/>
        <w:t> </w:t>
      </w:r>
      <w:r>
        <w:rPr>
          <w:spacing w:val="-1"/>
        </w:rPr>
        <w:t>规定和标准提供社会统筹和各项保障，签劳动合同，休带薪年休假，提供健康、安全的工作环境，开展</w:t>
      </w:r>
      <w:r>
        <w:rPr>
          <w:spacing w:val="-102"/>
        </w:rPr>
        <w:t> </w:t>
      </w:r>
      <w:r>
        <w:rPr>
          <w:spacing w:val="-102"/>
        </w:rPr>
      </w:r>
      <w:r>
        <w:rPr/>
        <w:t>各种相关培训，对涉及职工切身利益的事项，通过职工代表大会、工会会议的形式听取意见。</w:t>
      </w:r>
    </w:p>
    <w:p>
      <w:pPr>
        <w:pStyle w:val="BodyText"/>
        <w:spacing w:line="273" w:lineRule="auto"/>
        <w:ind w:right="1188" w:firstLine="420"/>
        <w:jc w:val="both"/>
      </w:pPr>
      <w:r>
        <w:rPr>
          <w:spacing w:val="-1"/>
        </w:rPr>
        <w:t>诚实对待供应商和客户。公司采取宣传教育、健全制度、规范流程等措施反商业贿赂，未出现商业</w:t>
      </w:r>
      <w:r>
        <w:rPr/>
        <w:t> </w:t>
      </w:r>
      <w:r>
        <w:rPr>
          <w:spacing w:val="-1"/>
        </w:rPr>
        <w:t>贿赂情形。公司以双方平等协商签订的合同确认供应商、客户的权利、义务，为供应商提供“供应链系</w:t>
      </w:r>
      <w:r>
        <w:rPr>
          <w:spacing w:val="-103"/>
        </w:rPr>
        <w:t> </w:t>
      </w:r>
      <w:r>
        <w:rPr>
          <w:spacing w:val="-103"/>
        </w:rPr>
      </w:r>
      <w:r>
        <w:rPr/>
        <w:t>统”方便其结算、对账等相关业务。</w:t>
      </w:r>
    </w:p>
    <w:p>
      <w:pPr>
        <w:pStyle w:val="BodyText"/>
        <w:spacing w:line="240" w:lineRule="auto"/>
        <w:ind w:left="824" w:right="418"/>
        <w:jc w:val="left"/>
      </w:pPr>
      <w:r>
        <w:rPr/>
        <w:t>更好地为消费者服务。公开发布服务宣言，向消费者承诺</w:t>
      </w:r>
      <w:r>
        <w:rPr>
          <w:spacing w:val="61"/>
        </w:rPr>
        <w:t> </w:t>
      </w:r>
      <w:r>
        <w:rPr/>
        <w:t>“购物不满意就退换、服务不满意就索</w:t>
      </w:r>
    </w:p>
    <w:p>
      <w:pPr>
        <w:spacing w:after="0" w:line="240" w:lineRule="auto"/>
        <w:jc w:val="left"/>
        <w:sectPr>
          <w:footerReference w:type="default" r:id="rId18"/>
          <w:pgSz w:w="11910" w:h="16840"/>
          <w:pgMar w:footer="1219" w:header="883"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87"/>
        <w:jc w:val="both"/>
      </w:pPr>
      <w:r>
        <w:rPr>
          <w:spacing w:val="-2"/>
        </w:rPr>
        <w:t>赔”，并履行该承诺；制订商品质量管理制度，各商场</w:t>
      </w:r>
      <w:r>
        <w:rPr>
          <w:rFonts w:ascii="宋体" w:hAnsi="宋体" w:cs="宋体" w:eastAsia="宋体" w:hint="default"/>
          <w:spacing w:val="-2"/>
        </w:rPr>
        <w:t>(</w:t>
      </w:r>
      <w:r>
        <w:rPr>
          <w:spacing w:val="-2"/>
        </w:rPr>
        <w:t>超市</w:t>
      </w:r>
      <w:r>
        <w:rPr>
          <w:rFonts w:ascii="宋体" w:hAnsi="宋体" w:cs="宋体" w:eastAsia="宋体" w:hint="default"/>
          <w:spacing w:val="-2"/>
        </w:rPr>
        <w:t>)</w:t>
      </w:r>
      <w:r>
        <w:rPr>
          <w:spacing w:val="-2"/>
        </w:rPr>
        <w:t>形成专人专职负责的三级商品质量管理网</w:t>
      </w:r>
      <w:r>
        <w:rPr>
          <w:spacing w:val="-62"/>
        </w:rPr>
        <w:t> </w:t>
      </w:r>
      <w:r>
        <w:rPr>
          <w:spacing w:val="-62"/>
        </w:rPr>
      </w:r>
      <w:r>
        <w:rPr>
          <w:spacing w:val="-1"/>
        </w:rPr>
        <w:t>络，防止假冒伪劣，维护上柜商品的知识产权和食品安全；各商场设送货上门专线，通过拨打服务电话</w:t>
      </w:r>
      <w:r>
        <w:rPr>
          <w:spacing w:val="-100"/>
        </w:rPr>
        <w:t> </w:t>
      </w:r>
      <w:r>
        <w:rPr>
          <w:spacing w:val="-100"/>
        </w:rPr>
      </w:r>
      <w:r>
        <w:rPr>
          <w:spacing w:val="-1"/>
        </w:rPr>
        <w:t>选购商品，满足不出户购物需求；采取技术手段，演练预案，杜绝隐患，严防可能的突发事件，确保各</w:t>
      </w:r>
      <w:r>
        <w:rPr/>
        <w:t> 商场的公共安全。</w:t>
      </w:r>
    </w:p>
    <w:p>
      <w:pPr>
        <w:pStyle w:val="BodyText"/>
        <w:spacing w:line="273" w:lineRule="auto" w:before="8"/>
        <w:ind w:right="418" w:firstLine="420"/>
        <w:jc w:val="left"/>
      </w:pPr>
      <w:r>
        <w:rPr>
          <w:spacing w:val="-4"/>
        </w:rPr>
        <w:t>进行节能改造。报告期公司商场改造及管理的商场、写字楼加装节电器，使用节能新产品、新技术，</w:t>
      </w:r>
      <w:r>
        <w:rPr/>
        <w:t> 年节约电费 </w:t>
      </w:r>
      <w:r>
        <w:rPr>
          <w:rFonts w:ascii="宋体" w:hAnsi="宋体" w:cs="宋体" w:eastAsia="宋体" w:hint="default"/>
        </w:rPr>
        <w:t>44.6</w:t>
      </w:r>
      <w:r>
        <w:rPr>
          <w:rFonts w:ascii="宋体" w:hAnsi="宋体" w:cs="宋体" w:eastAsia="宋体" w:hint="default"/>
          <w:spacing w:val="-41"/>
        </w:rPr>
        <w:t> </w:t>
      </w:r>
      <w:r>
        <w:rPr/>
        <w:t>万元；公司房地产在项目开发过程中，积极采用绿色、环保建材和可以节约能源的设 计、技术和原料；创世漫道一直倡导绿色环保科技，积极采用具有高效能比的服务器，并优先使用节能 机房、光纤光缆，从而降低能耗，并减少铜等不可再生资源的使用。</w:t>
      </w:r>
    </w:p>
    <w:p>
      <w:pPr>
        <w:pStyle w:val="BodyText"/>
        <w:spacing w:line="240" w:lineRule="auto"/>
        <w:ind w:left="824" w:right="418"/>
        <w:jc w:val="left"/>
        <w:rPr>
          <w:rFonts w:ascii="宋体" w:hAnsi="宋体" w:cs="宋体" w:eastAsia="宋体" w:hint="default"/>
        </w:rPr>
      </w:pPr>
      <w:r>
        <w:rPr/>
        <w:t>报告期内，公司响应市委市政府关于在全市开展“博爱一日捐”募捐活动的号召，公司员工</w:t>
      </w:r>
      <w:r>
        <w:rPr>
          <w:spacing w:val="-40"/>
        </w:rPr>
        <w:t> </w:t>
      </w:r>
      <w:r>
        <w:rPr>
          <w:rFonts w:ascii="宋体" w:hAnsi="宋体" w:cs="宋体" w:eastAsia="宋体" w:hint="default"/>
        </w:rPr>
        <w:t>2,163</w:t>
      </w:r>
    </w:p>
    <w:p>
      <w:pPr>
        <w:pStyle w:val="BodyText"/>
        <w:spacing w:line="544" w:lineRule="auto" w:before="37"/>
        <w:ind w:left="824" w:right="1664" w:hanging="421"/>
        <w:jc w:val="left"/>
      </w:pPr>
      <w:r>
        <w:rPr/>
        <w:pict>
          <v:shape style="position:absolute;margin-left:50.759998pt;margin-top:50.953651pt;width:497pt;height:67.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3"/>
                    <w:gridCol w:w="1402"/>
                    <w:gridCol w:w="992"/>
                    <w:gridCol w:w="1419"/>
                    <w:gridCol w:w="2410"/>
                    <w:gridCol w:w="2410"/>
                  </w:tblGrid>
                  <w:tr>
                    <w:trPr>
                      <w:trHeight w:val="476"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4"/>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谈论的主要内容及提供的资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854"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2014/06/05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3" w:right="100"/>
                          <w:jc w:val="left"/>
                          <w:rPr>
                            <w:rFonts w:ascii="宋体" w:hAnsi="宋体" w:cs="宋体" w:eastAsia="宋体" w:hint="default"/>
                            <w:sz w:val="18"/>
                            <w:szCs w:val="18"/>
                          </w:rPr>
                        </w:pPr>
                        <w:r>
                          <w:rPr>
                            <w:rFonts w:ascii="宋体" w:hAnsi="宋体" w:cs="宋体" w:eastAsia="宋体" w:hint="default"/>
                            <w:spacing w:val="17"/>
                            <w:sz w:val="18"/>
                            <w:szCs w:val="18"/>
                          </w:rPr>
                          <w:t>石家庄太行宾</w:t>
                        </w:r>
                        <w:r>
                          <w:rPr>
                            <w:rFonts w:ascii="宋体" w:hAnsi="宋体" w:cs="宋体" w:eastAsia="宋体" w:hint="default"/>
                            <w:sz w:val="18"/>
                            <w:szCs w:val="18"/>
                          </w:rPr>
                          <w:t> 馆会议室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网路远程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1" w:right="102"/>
                          <w:jc w:val="both"/>
                          <w:rPr>
                            <w:rFonts w:ascii="宋体" w:hAnsi="宋体" w:cs="宋体" w:eastAsia="宋体" w:hint="default"/>
                            <w:sz w:val="18"/>
                            <w:szCs w:val="18"/>
                          </w:rPr>
                        </w:pPr>
                        <w:r>
                          <w:rPr>
                            <w:rFonts w:ascii="宋体" w:hAnsi="宋体" w:cs="宋体" w:eastAsia="宋体" w:hint="default"/>
                            <w:sz w:val="18"/>
                            <w:szCs w:val="18"/>
                          </w:rPr>
                          <w:t>参加河北辖区上市公司</w:t>
                        </w:r>
                        <w:r>
                          <w:rPr>
                            <w:rFonts w:ascii="宋体" w:hAnsi="宋体" w:cs="宋体" w:eastAsia="宋体" w:hint="default"/>
                            <w:spacing w:val="-57"/>
                            <w:sz w:val="18"/>
                            <w:szCs w:val="18"/>
                          </w:rPr>
                          <w:t> </w:t>
                        </w:r>
                        <w:r>
                          <w:rPr>
                            <w:rFonts w:ascii="宋体" w:hAnsi="宋体" w:cs="宋体" w:eastAsia="宋体" w:hint="default"/>
                            <w:sz w:val="18"/>
                            <w:szCs w:val="18"/>
                          </w:rPr>
                          <w:t>2014 </w:t>
                        </w:r>
                        <w:r>
                          <w:rPr>
                            <w:rFonts w:ascii="宋体" w:hAnsi="宋体" w:cs="宋体" w:eastAsia="宋体" w:hint="default"/>
                            <w:spacing w:val="2"/>
                            <w:sz w:val="18"/>
                            <w:szCs w:val="18"/>
                          </w:rPr>
                          <w:t>年度网上集体接待日活动的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3" w:right="98"/>
                          <w:jc w:val="both"/>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2013</w:t>
                        </w:r>
                        <w:r>
                          <w:rPr>
                            <w:rFonts w:ascii="宋体" w:hAnsi="宋体" w:cs="宋体" w:eastAsia="宋体" w:hint="default"/>
                            <w:spacing w:val="8"/>
                            <w:sz w:val="18"/>
                            <w:szCs w:val="18"/>
                          </w:rPr>
                          <w:t> </w:t>
                        </w:r>
                        <w:r>
                          <w:rPr>
                            <w:rFonts w:ascii="宋体" w:hAnsi="宋体" w:cs="宋体" w:eastAsia="宋体" w:hint="default"/>
                            <w:spacing w:val="3"/>
                            <w:sz w:val="18"/>
                            <w:szCs w:val="18"/>
                          </w:rPr>
                          <w:t>年年报、发展战 </w:t>
                        </w:r>
                        <w:r>
                          <w:rPr>
                            <w:rFonts w:ascii="宋体" w:hAnsi="宋体" w:cs="宋体" w:eastAsia="宋体" w:hint="default"/>
                            <w:spacing w:val="2"/>
                            <w:sz w:val="18"/>
                            <w:szCs w:val="18"/>
                          </w:rPr>
                          <w:t>略、经营情况、公司治理等</w:t>
                        </w:r>
                        <w:r>
                          <w:rPr>
                            <w:rFonts w:ascii="宋体" w:hAnsi="宋体" w:cs="宋体" w:eastAsia="宋体" w:hint="default"/>
                            <w:sz w:val="18"/>
                            <w:szCs w:val="18"/>
                          </w:rPr>
                          <w:t> 事项进行沟通</w:t>
                        </w:r>
                        <w:r>
                          <w:rPr>
                            <w:rFonts w:ascii="宋体" w:hAnsi="宋体" w:cs="宋体" w:eastAsia="宋体" w:hint="default"/>
                            <w:sz w:val="18"/>
                            <w:szCs w:val="18"/>
                          </w:rPr>
                          <w:t>(</w:t>
                        </w:r>
                        <w:r>
                          <w:rPr>
                            <w:rFonts w:ascii="宋体" w:hAnsi="宋体" w:cs="宋体" w:eastAsia="宋体" w:hint="default"/>
                            <w:sz w:val="18"/>
                            <w:szCs w:val="18"/>
                          </w:rPr>
                          <w:t>未提供资料</w:t>
                        </w:r>
                        <w:r>
                          <w:rPr>
                            <w:rFonts w:ascii="宋体" w:hAnsi="宋体" w:cs="宋体" w:eastAsia="宋体" w:hint="default"/>
                            <w:sz w:val="18"/>
                            <w:szCs w:val="18"/>
                          </w:rPr>
                          <w:t>)</w:t>
                        </w:r>
                      </w:p>
                    </w:tc>
                  </w:tr>
                </w:tbl>
                <w:p>
                  <w:pPr/>
                </w:p>
              </w:txbxContent>
            </v:textbox>
            <w10:wrap type="none"/>
          </v:shape>
        </w:pict>
      </w:r>
      <w:r>
        <w:rPr/>
        <w:t>人参加捐款金额为</w:t>
      </w:r>
      <w:r>
        <w:rPr>
          <w:spacing w:val="-54"/>
        </w:rPr>
        <w:t> </w:t>
      </w:r>
      <w:r>
        <w:rPr>
          <w:rFonts w:ascii="宋体" w:hAnsi="宋体" w:cs="宋体" w:eastAsia="宋体" w:hint="default"/>
        </w:rPr>
        <w:t>27,675</w:t>
      </w:r>
      <w:r>
        <w:rPr>
          <w:rFonts w:ascii="宋体" w:hAnsi="宋体" w:cs="宋体" w:eastAsia="宋体" w:hint="default"/>
          <w:spacing w:val="-54"/>
        </w:rPr>
        <w:t> </w:t>
      </w:r>
      <w:r>
        <w:rPr/>
        <w:t>元；另外到青龙三星乡东转城号村进行帮扶慰问并送去慰问金</w:t>
      </w:r>
      <w:r>
        <w:rPr>
          <w:spacing w:val="-54"/>
        </w:rPr>
        <w:t> </w:t>
      </w:r>
      <w:r>
        <w:rPr>
          <w:rFonts w:ascii="宋体" w:hAnsi="宋体" w:cs="宋体" w:eastAsia="宋体" w:hint="default"/>
        </w:rPr>
        <w:t>3</w:t>
      </w:r>
      <w:r>
        <w:rPr>
          <w:rFonts w:ascii="宋体" w:hAnsi="宋体" w:cs="宋体" w:eastAsia="宋体" w:hint="default"/>
          <w:spacing w:val="-54"/>
        </w:rPr>
        <w:t> </w:t>
      </w:r>
      <w:r>
        <w:rPr/>
        <w:t>万元。 报告期内接待调研、沟通、采访等活动登记表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1"/>
        <w:spacing w:line="240" w:lineRule="auto" w:before="1"/>
        <w:ind w:right="785"/>
        <w:jc w:val="center"/>
        <w:rPr>
          <w:b w:val="0"/>
          <w:bCs w:val="0"/>
        </w:rPr>
      </w:pPr>
      <w:r>
        <w:rPr/>
        <w:t>第五章</w:t>
      </w:r>
      <w:r>
        <w:rPr>
          <w:spacing w:val="-5"/>
        </w:rPr>
        <w:t> </w:t>
      </w:r>
      <w:r>
        <w:rPr/>
        <w:t>重要事项</w:t>
      </w:r>
      <w:r>
        <w:rPr>
          <w:b w:val="0"/>
          <w:bCs w:val="0"/>
        </w:rPr>
      </w:r>
    </w:p>
    <w:p>
      <w:pPr>
        <w:spacing w:line="240" w:lineRule="auto" w:before="5"/>
        <w:rPr>
          <w:rFonts w:ascii="宋体" w:hAnsi="宋体" w:cs="宋体" w:eastAsia="宋体" w:hint="default"/>
          <w:b/>
          <w:bCs/>
          <w:sz w:val="34"/>
          <w:szCs w:val="34"/>
        </w:rPr>
      </w:pPr>
    </w:p>
    <w:p>
      <w:pPr>
        <w:pStyle w:val="BodyText"/>
        <w:spacing w:line="273" w:lineRule="auto" w:before="0"/>
        <w:ind w:right="1189" w:firstLine="420"/>
        <w:jc w:val="both"/>
      </w:pPr>
      <w:r>
        <w:rPr>
          <w:spacing w:val="-1"/>
        </w:rPr>
        <w:t>公司没有发生控股股东及其关联方占用资金情况，公司聘请的会计师事务所对资金占用的专项审核</w:t>
      </w:r>
      <w:r>
        <w:rPr/>
        <w:t> 意见，已和本年报同日刊载在巨潮资讯网上。</w:t>
      </w:r>
    </w:p>
    <w:p>
      <w:pPr>
        <w:pStyle w:val="BodyText"/>
        <w:spacing w:line="240" w:lineRule="auto"/>
        <w:ind w:left="824" w:right="418"/>
        <w:jc w:val="left"/>
      </w:pPr>
      <w:r>
        <w:rPr/>
        <w:t>公司报告期内没有破产重整、出售重大资产事项。</w:t>
      </w:r>
    </w:p>
    <w:p>
      <w:pPr>
        <w:pStyle w:val="BodyText"/>
        <w:spacing w:line="273" w:lineRule="auto" w:before="37"/>
        <w:ind w:right="1186" w:firstLine="420"/>
        <w:jc w:val="both"/>
      </w:pPr>
      <w:r>
        <w:rPr/>
        <w:t>报告期内公司没有发生累计关联交易总额高于 </w:t>
      </w:r>
      <w:r>
        <w:rPr>
          <w:rFonts w:ascii="宋体" w:hAnsi="宋体" w:cs="宋体" w:eastAsia="宋体" w:hint="default"/>
        </w:rPr>
        <w:t>3,000 </w:t>
      </w:r>
      <w:r>
        <w:rPr/>
        <w:t>万元且占公司最近一期经审计净资产值</w:t>
      </w:r>
      <w:r>
        <w:rPr>
          <w:spacing w:val="-41"/>
        </w:rPr>
        <w:t> </w:t>
      </w:r>
      <w:r>
        <w:rPr>
          <w:rFonts w:ascii="宋体" w:hAnsi="宋体" w:cs="宋体" w:eastAsia="宋体" w:hint="default"/>
        </w:rPr>
        <w:t>5%</w:t>
      </w:r>
      <w:r>
        <w:rPr/>
        <w:t>以 </w:t>
      </w:r>
      <w:r>
        <w:rPr>
          <w:spacing w:val="-1"/>
        </w:rPr>
        <w:t>上的重大关联交易事项，没有与日常经营相关的、资产收购或出售的关联交易，没有与关联方共同对外</w:t>
      </w:r>
      <w:r>
        <w:rPr>
          <w:spacing w:val="-102"/>
        </w:rPr>
        <w:t> </w:t>
      </w:r>
      <w:r>
        <w:rPr>
          <w:spacing w:val="-102"/>
        </w:rPr>
      </w:r>
      <w:r>
        <w:rPr/>
        <w:t>投资事项或与关联方债权债务往来情况。</w:t>
      </w:r>
    </w:p>
    <w:p>
      <w:pPr>
        <w:pStyle w:val="BodyText"/>
        <w:spacing w:line="240" w:lineRule="auto"/>
        <w:ind w:left="824" w:right="5945"/>
        <w:jc w:val="left"/>
      </w:pPr>
      <w:r>
        <w:rPr/>
        <w:t>公司尚未实施股权激励。</w:t>
      </w:r>
    </w:p>
    <w:p>
      <w:pPr>
        <w:pStyle w:val="BodyText"/>
        <w:spacing w:line="273" w:lineRule="auto" w:before="37"/>
        <w:ind w:right="1188" w:firstLine="420"/>
        <w:jc w:val="both"/>
      </w:pPr>
      <w:r>
        <w:rPr>
          <w:spacing w:val="-4"/>
        </w:rPr>
        <w:t>公司及其董事、监事、高级管理人员、持有</w:t>
      </w:r>
      <w:r>
        <w:rPr>
          <w:spacing w:val="-71"/>
        </w:rPr>
        <w:t> </w:t>
      </w:r>
      <w:r>
        <w:rPr>
          <w:rFonts w:ascii="宋体" w:hAnsi="宋体" w:cs="宋体" w:eastAsia="宋体" w:hint="default"/>
        </w:rPr>
        <w:t>5%</w:t>
      </w:r>
      <w:r>
        <w:rPr/>
        <w:t>以上股份的公司股东、实际控制人在报告期内，没有 </w:t>
      </w:r>
      <w:r>
        <w:rPr>
          <w:spacing w:val="-1"/>
        </w:rPr>
        <w:t>受有权机关调查、被司法机关或纪检部门采取强制措施、被移送司法机关或追究刑事责任、被中国证监</w:t>
      </w:r>
      <w:r>
        <w:rPr>
          <w:spacing w:val="-102"/>
        </w:rPr>
        <w:t> </w:t>
      </w:r>
      <w:r>
        <w:rPr>
          <w:spacing w:val="-102"/>
        </w:rPr>
      </w:r>
      <w:r>
        <w:rPr>
          <w:spacing w:val="-1"/>
        </w:rPr>
        <w:t>会立案调查或行政处罚、被市场禁入或认定为不适当人选、被其他行政管理部门处罚，以及被证券交易</w:t>
      </w:r>
      <w:r>
        <w:rPr>
          <w:spacing w:val="-101"/>
        </w:rPr>
        <w:t> </w:t>
      </w:r>
      <w:r>
        <w:rPr>
          <w:spacing w:val="-101"/>
        </w:rPr>
      </w:r>
      <w:r>
        <w:rPr/>
        <w:t>所公开谴责的情形。</w:t>
      </w:r>
    </w:p>
    <w:p>
      <w:pPr>
        <w:spacing w:line="240" w:lineRule="auto" w:before="6"/>
        <w:rPr>
          <w:rFonts w:ascii="宋体" w:hAnsi="宋体" w:cs="宋体" w:eastAsia="宋体" w:hint="default"/>
          <w:sz w:val="24"/>
          <w:szCs w:val="24"/>
        </w:rPr>
      </w:pPr>
    </w:p>
    <w:p>
      <w:pPr>
        <w:pStyle w:val="Heading3"/>
        <w:tabs>
          <w:tab w:pos="843" w:val="left" w:leader="none"/>
        </w:tabs>
        <w:spacing w:line="240" w:lineRule="auto" w:before="0"/>
        <w:ind w:left="0" w:right="783"/>
        <w:jc w:val="center"/>
        <w:rPr>
          <w:b w:val="0"/>
          <w:bCs w:val="0"/>
        </w:rPr>
      </w:pPr>
      <w:r>
        <w:rPr>
          <w:w w:val="95"/>
        </w:rPr>
        <w:t>第一节</w:t>
        <w:tab/>
      </w:r>
      <w:r>
        <w:rPr/>
        <w:t>诉讼、仲裁等事项</w:t>
      </w:r>
      <w:r>
        <w:rPr>
          <w:b w:val="0"/>
          <w:bCs w:val="0"/>
        </w:rPr>
      </w:r>
    </w:p>
    <w:p>
      <w:pPr>
        <w:spacing w:line="240" w:lineRule="auto" w:before="13"/>
        <w:rPr>
          <w:rFonts w:ascii="宋体" w:hAnsi="宋体" w:cs="宋体" w:eastAsia="宋体" w:hint="default"/>
          <w:b/>
          <w:bCs/>
          <w:sz w:val="23"/>
          <w:szCs w:val="23"/>
        </w:rPr>
      </w:pPr>
    </w:p>
    <w:p>
      <w:pPr>
        <w:pStyle w:val="BodyText"/>
        <w:spacing w:line="273" w:lineRule="auto" w:before="35"/>
        <w:ind w:left="824" w:right="1175"/>
        <w:jc w:val="left"/>
      </w:pPr>
      <w:r>
        <w:rPr/>
        <w:t>本年度公司无重大诉讼、仲裁事项和媒体质疑事项。 </w:t>
      </w:r>
      <w:r>
        <w:rPr>
          <w:spacing w:val="-1"/>
        </w:rPr>
        <w:t>公司间接控股公司滁州茂业涉及仲裁事项见本报告第十章财务报告附注“十二、或有事项”相关内</w:t>
      </w:r>
    </w:p>
    <w:p>
      <w:pPr>
        <w:pStyle w:val="BodyText"/>
        <w:spacing w:line="240" w:lineRule="auto"/>
        <w:ind w:right="5945"/>
        <w:jc w:val="left"/>
      </w:pPr>
      <w:r>
        <w:rPr/>
        <w:t>容。</w:t>
      </w:r>
    </w:p>
    <w:p>
      <w:pPr>
        <w:spacing w:line="240" w:lineRule="auto" w:before="13"/>
        <w:rPr>
          <w:rFonts w:ascii="宋体" w:hAnsi="宋体" w:cs="宋体" w:eastAsia="宋体" w:hint="default"/>
          <w:sz w:val="23"/>
          <w:szCs w:val="23"/>
        </w:rPr>
      </w:pPr>
    </w:p>
    <w:p>
      <w:pPr>
        <w:pStyle w:val="Heading3"/>
        <w:tabs>
          <w:tab w:pos="4690" w:val="left" w:leader="none"/>
        </w:tabs>
        <w:spacing w:line="240" w:lineRule="auto"/>
        <w:ind w:left="3846" w:right="418"/>
        <w:jc w:val="left"/>
        <w:rPr>
          <w:b w:val="0"/>
          <w:bCs w:val="0"/>
        </w:rPr>
      </w:pPr>
      <w:r>
        <w:rPr>
          <w:w w:val="95"/>
        </w:rPr>
        <w:t>第二节</w:t>
        <w:tab/>
      </w:r>
      <w:r>
        <w:rPr/>
        <w:t>重大资产收购情况</w:t>
      </w:r>
      <w:r>
        <w:rPr>
          <w:b w:val="0"/>
          <w:bCs w:val="0"/>
        </w:rPr>
      </w:r>
    </w:p>
    <w:p>
      <w:pPr>
        <w:spacing w:line="240" w:lineRule="auto" w:before="9"/>
        <w:rPr>
          <w:rFonts w:ascii="宋体" w:hAnsi="宋体" w:cs="宋体" w:eastAsia="宋体" w:hint="default"/>
          <w:b/>
          <w:bCs/>
          <w:sz w:val="26"/>
          <w:szCs w:val="26"/>
        </w:rPr>
      </w:pPr>
    </w:p>
    <w:p>
      <w:pPr>
        <w:pStyle w:val="BodyText"/>
        <w:spacing w:line="273" w:lineRule="auto" w:before="0"/>
        <w:ind w:left="824" w:right="1171"/>
        <w:jc w:val="left"/>
      </w:pPr>
      <w:r>
        <w:rPr/>
        <w:t>一、报告期收购重大资产简要情况 </w:t>
      </w:r>
      <w:r>
        <w:rPr>
          <w:spacing w:val="-3"/>
        </w:rPr>
        <w:t>为了优化公司业务结构，提高公司抗风险能力和可持续发展能力，</w:t>
      </w:r>
      <w:r>
        <w:rPr>
          <w:rFonts w:ascii="宋体" w:hAnsi="宋体" w:cs="宋体" w:eastAsia="宋体" w:hint="default"/>
          <w:spacing w:val="-3"/>
        </w:rPr>
        <w:t>2014</w:t>
      </w:r>
      <w:r>
        <w:rPr>
          <w:rFonts w:ascii="宋体" w:hAnsi="宋体" w:cs="宋体" w:eastAsia="宋体" w:hint="default"/>
          <w:spacing w:val="-45"/>
        </w:rPr>
        <w:t> </w:t>
      </w:r>
      <w:r>
        <w:rPr/>
        <w:t>年公司启动并实施完毕重大</w:t>
      </w:r>
    </w:p>
    <w:p>
      <w:pPr>
        <w:pStyle w:val="BodyText"/>
        <w:spacing w:line="240" w:lineRule="auto"/>
        <w:ind w:right="418"/>
        <w:jc w:val="left"/>
      </w:pPr>
      <w:r>
        <w:rPr/>
        <w:t>资产重组。经公司 </w:t>
      </w:r>
      <w:r>
        <w:rPr>
          <w:rFonts w:ascii="宋体" w:hAnsi="宋体" w:cs="宋体" w:eastAsia="宋体" w:hint="default"/>
        </w:rPr>
        <w:t>2014</w:t>
      </w:r>
      <w:r>
        <w:rPr>
          <w:rFonts w:ascii="宋体" w:hAnsi="宋体" w:cs="宋体" w:eastAsia="宋体" w:hint="default"/>
          <w:spacing w:val="-40"/>
        </w:rPr>
        <w:t> </w:t>
      </w:r>
      <w:r>
        <w:rPr/>
        <w:t>年第一次临时股东大会审议通过、证监会核准批复，公司以非公开发行股份及</w:t>
      </w:r>
    </w:p>
    <w:p>
      <w:pPr>
        <w:spacing w:after="0" w:line="240" w:lineRule="auto"/>
        <w:jc w:val="left"/>
        <w:sectPr>
          <w:footerReference w:type="default" r:id="rId19"/>
          <w:pgSz w:w="11910" w:h="16840"/>
          <w:pgMar w:footer="1219" w:header="883" w:top="1140" w:bottom="1400" w:left="900" w:right="0"/>
          <w:pgNumType w:start="21"/>
        </w:sectPr>
      </w:pPr>
    </w:p>
    <w:p>
      <w:pPr>
        <w:spacing w:line="240" w:lineRule="auto" w:before="9"/>
        <w:rPr>
          <w:rFonts w:ascii="宋体" w:hAnsi="宋体" w:cs="宋体" w:eastAsia="宋体" w:hint="default"/>
          <w:sz w:val="17"/>
          <w:szCs w:val="17"/>
        </w:rPr>
      </w:pPr>
    </w:p>
    <w:p>
      <w:pPr>
        <w:pStyle w:val="BodyText"/>
        <w:spacing w:line="273" w:lineRule="auto" w:before="35"/>
        <w:ind w:right="1175"/>
        <w:jc w:val="left"/>
      </w:pPr>
      <w:r>
        <w:rPr/>
        <w:t>支付现金相结合的方式购买鹰溪谷与博升优势合计持有的创世漫道</w:t>
      </w:r>
      <w:r>
        <w:rPr>
          <w:spacing w:val="-40"/>
        </w:rPr>
        <w:t> </w:t>
      </w:r>
      <w:r>
        <w:rPr>
          <w:rFonts w:ascii="宋体" w:hAnsi="宋体" w:cs="宋体" w:eastAsia="宋体" w:hint="default"/>
          <w:spacing w:val="-6"/>
        </w:rPr>
        <w:t>100%</w:t>
      </w:r>
      <w:r>
        <w:rPr>
          <w:spacing w:val="-6"/>
        </w:rPr>
        <w:t>股权，同时向特定对象峰幽投资</w:t>
      </w:r>
      <w:r>
        <w:rPr>
          <w:spacing w:val="-103"/>
        </w:rPr>
        <w:t> </w:t>
      </w:r>
      <w:r>
        <w:rPr>
          <w:spacing w:val="-103"/>
        </w:rPr>
      </w:r>
      <w:r>
        <w:rPr/>
        <w:t>非公开发行股份募集配套资金，全部用于本次股权收购的现金对价支付。</w:t>
      </w:r>
    </w:p>
    <w:p>
      <w:pPr>
        <w:pStyle w:val="BodyText"/>
        <w:spacing w:line="273" w:lineRule="auto"/>
        <w:ind w:right="1187" w:firstLine="420"/>
        <w:jc w:val="both"/>
        <w:rPr>
          <w:rFonts w:ascii="宋体" w:hAnsi="宋体" w:cs="宋体" w:eastAsia="宋体" w:hint="default"/>
        </w:rPr>
      </w:pPr>
      <w:r>
        <w:rPr>
          <w:spacing w:val="-1"/>
        </w:rPr>
        <w:t>据证监会《关于核准茂业物流股份有限公司向孝昌鹰溪谷投资中心</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等发行股份购买资产</w:t>
      </w:r>
      <w:r>
        <w:rPr/>
        <w:t> 并募集配套资金的批复》</w:t>
      </w:r>
      <w:r>
        <w:rPr>
          <w:rFonts w:ascii="宋体" w:hAnsi="宋体" w:cs="宋体" w:eastAsia="宋体" w:hint="default"/>
        </w:rPr>
        <w:t>(</w:t>
      </w:r>
      <w:r>
        <w:rPr/>
        <w:t>证监许可</w:t>
      </w:r>
      <w:r>
        <w:rPr>
          <w:spacing w:val="-2"/>
        </w:rPr>
        <w:t> </w:t>
      </w:r>
      <w:r>
        <w:rPr>
          <w:rFonts w:ascii="宋体" w:hAnsi="宋体" w:cs="宋体" w:eastAsia="宋体" w:hint="default"/>
        </w:rPr>
        <w:t>[2014]1225</w:t>
      </w:r>
      <w:r>
        <w:rPr>
          <w:rFonts w:ascii="宋体" w:hAnsi="宋体" w:cs="宋体" w:eastAsia="宋体" w:hint="default"/>
          <w:spacing w:val="-52"/>
        </w:rPr>
        <w:t> </w:t>
      </w:r>
      <w:r>
        <w:rPr/>
        <w:t>号文件</w:t>
      </w:r>
      <w:r>
        <w:rPr>
          <w:rFonts w:ascii="宋体" w:hAnsi="宋体" w:cs="宋体" w:eastAsia="宋体" w:hint="default"/>
        </w:rPr>
        <w:t>)</w:t>
      </w:r>
      <w:r>
        <w:rPr/>
        <w:t>，公司</w:t>
      </w:r>
      <w:r>
        <w:rPr>
          <w:spacing w:val="-51"/>
        </w:rPr>
        <w:t> </w:t>
      </w:r>
      <w:r>
        <w:rPr>
          <w:rFonts w:ascii="宋体" w:hAnsi="宋体" w:cs="宋体" w:eastAsia="宋体" w:hint="default"/>
        </w:rPr>
        <w:t>2014</w:t>
      </w:r>
      <w:r>
        <w:rPr>
          <w:rFonts w:ascii="宋体" w:hAnsi="宋体" w:cs="宋体" w:eastAsia="宋体" w:hint="default"/>
          <w:spacing w:val="-50"/>
        </w:rPr>
        <w:t> </w:t>
      </w:r>
      <w:r>
        <w:rPr/>
        <w:t>年重组以每股</w:t>
      </w:r>
      <w:r>
        <w:rPr>
          <w:spacing w:val="-51"/>
        </w:rPr>
        <w:t> </w:t>
      </w:r>
      <w:r>
        <w:rPr>
          <w:rFonts w:ascii="宋体" w:hAnsi="宋体" w:cs="宋体" w:eastAsia="宋体" w:hint="default"/>
        </w:rPr>
        <w:t>4.98</w:t>
      </w:r>
      <w:r>
        <w:rPr>
          <w:rFonts w:ascii="宋体" w:hAnsi="宋体" w:cs="宋体" w:eastAsia="宋体" w:hint="default"/>
          <w:spacing w:val="-51"/>
        </w:rPr>
        <w:t> </w:t>
      </w:r>
      <w:r>
        <w:rPr/>
        <w:t>元的价格，分 别向鹰溪谷、博升优势、峰幽投资发行股份</w:t>
      </w:r>
      <w:r>
        <w:rPr>
          <w:spacing w:val="-63"/>
        </w:rPr>
        <w:t> </w:t>
      </w:r>
      <w:r>
        <w:rPr>
          <w:rFonts w:ascii="宋体" w:hAnsi="宋体" w:cs="宋体" w:eastAsia="宋体" w:hint="default"/>
        </w:rPr>
        <w:t>148,360,844</w:t>
      </w:r>
      <w:r>
        <w:rPr>
          <w:rFonts w:ascii="宋体" w:hAnsi="宋体" w:cs="宋体" w:eastAsia="宋体" w:hint="default"/>
          <w:spacing w:val="-63"/>
        </w:rPr>
        <w:t> </w:t>
      </w:r>
      <w:r>
        <w:rPr/>
        <w:t>股、</w:t>
      </w:r>
      <w:r>
        <w:rPr>
          <w:rFonts w:ascii="宋体" w:hAnsi="宋体" w:cs="宋体" w:eastAsia="宋体" w:hint="default"/>
        </w:rPr>
        <w:t>1,498,595</w:t>
      </w:r>
      <w:r>
        <w:rPr>
          <w:rFonts w:ascii="宋体" w:hAnsi="宋体" w:cs="宋体" w:eastAsia="宋体" w:hint="default"/>
          <w:spacing w:val="-64"/>
        </w:rPr>
        <w:t> </w:t>
      </w:r>
      <w:r>
        <w:rPr/>
        <w:t>股、</w:t>
      </w:r>
      <w:r>
        <w:rPr>
          <w:rFonts w:ascii="宋体" w:hAnsi="宋体" w:cs="宋体" w:eastAsia="宋体" w:hint="default"/>
        </w:rPr>
        <w:t>26,445,783</w:t>
      </w:r>
      <w:r>
        <w:rPr>
          <w:rFonts w:ascii="宋体" w:hAnsi="宋体" w:cs="宋体" w:eastAsia="宋体" w:hint="default"/>
          <w:spacing w:val="-64"/>
        </w:rPr>
        <w:t> </w:t>
      </w:r>
      <w:r>
        <w:rPr/>
        <w:t>股，收到峰幽 投资的募集资金为</w:t>
      </w:r>
      <w:r>
        <w:rPr>
          <w:spacing w:val="-68"/>
        </w:rPr>
        <w:t> </w:t>
      </w:r>
      <w:r>
        <w:rPr>
          <w:rFonts w:ascii="宋体" w:hAnsi="宋体" w:cs="宋体" w:eastAsia="宋体" w:hint="default"/>
        </w:rPr>
        <w:t>131,699,999.34</w:t>
      </w:r>
      <w:r>
        <w:rPr>
          <w:rFonts w:ascii="宋体" w:hAnsi="宋体" w:cs="宋体" w:eastAsia="宋体" w:hint="default"/>
          <w:spacing w:val="-67"/>
        </w:rPr>
        <w:t> </w:t>
      </w:r>
      <w:r>
        <w:rPr>
          <w:spacing w:val="-14"/>
        </w:rPr>
        <w:t>元，减去发行费用</w:t>
      </w:r>
      <w:r>
        <w:rPr>
          <w:spacing w:val="-67"/>
        </w:rPr>
        <w:t> </w:t>
      </w:r>
      <w:r>
        <w:rPr>
          <w:rFonts w:ascii="宋体" w:hAnsi="宋体" w:cs="宋体" w:eastAsia="宋体" w:hint="default"/>
        </w:rPr>
        <w:t>1,975,500.00</w:t>
      </w:r>
      <w:r>
        <w:rPr>
          <w:rFonts w:ascii="宋体" w:hAnsi="宋体" w:cs="宋体" w:eastAsia="宋体" w:hint="default"/>
          <w:spacing w:val="-67"/>
        </w:rPr>
        <w:t> </w:t>
      </w:r>
      <w:r>
        <w:rPr>
          <w:spacing w:val="-13"/>
        </w:rPr>
        <w:t>元，募集资金净额为</w:t>
      </w:r>
      <w:r>
        <w:rPr>
          <w:spacing w:val="-66"/>
        </w:rPr>
        <w:t> </w:t>
      </w:r>
      <w:r>
        <w:rPr>
          <w:rFonts w:ascii="宋体" w:hAnsi="宋体" w:cs="宋体" w:eastAsia="宋体" w:hint="default"/>
          <w:spacing w:val="-1"/>
        </w:rPr>
        <w:t>129,724,499.34</w:t>
      </w:r>
      <w:r>
        <w:rPr>
          <w:rFonts w:ascii="宋体" w:hAnsi="宋体" w:cs="宋体" w:eastAsia="宋体" w:hint="default"/>
          <w:spacing w:val="-103"/>
        </w:rPr>
        <w:t> </w:t>
      </w:r>
      <w:r>
        <w:rPr>
          <w:rFonts w:ascii="宋体" w:hAnsi="宋体" w:cs="宋体" w:eastAsia="宋体" w:hint="default"/>
          <w:spacing w:val="-103"/>
        </w:rPr>
      </w:r>
      <w:r>
        <w:rPr>
          <w:spacing w:val="-4"/>
        </w:rPr>
        <w:t>元，全部用于本次股权收购的现金对价支付给鹰溪谷和博升优势。有关情况及相关信息查询索引见下表</w:t>
      </w:r>
      <w:r>
        <w:rPr>
          <w:rFonts w:ascii="宋体" w:hAnsi="宋体" w:cs="宋体" w:eastAsia="宋体" w:hint="default"/>
          <w:spacing w:val="-4"/>
        </w:rPr>
        <w:t>:</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994"/>
        <w:gridCol w:w="1559"/>
        <w:gridCol w:w="630"/>
        <w:gridCol w:w="1072"/>
        <w:gridCol w:w="851"/>
        <w:gridCol w:w="2552"/>
        <w:gridCol w:w="851"/>
        <w:gridCol w:w="142"/>
        <w:gridCol w:w="850"/>
        <w:gridCol w:w="426"/>
      </w:tblGrid>
      <w:tr>
        <w:trPr>
          <w:trHeight w:val="14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pacing w:val="9"/>
                <w:sz w:val="18"/>
                <w:szCs w:val="18"/>
              </w:rPr>
              <w:t>交易对方或 </w:t>
            </w:r>
            <w:r>
              <w:rPr>
                <w:rFonts w:ascii="宋体" w:hAnsi="宋体" w:cs="宋体" w:eastAsia="宋体" w:hint="default"/>
                <w:sz w:val="18"/>
                <w:szCs w:val="18"/>
              </w:rPr>
              <w:t>最终控制方</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1"/>
                <w:sz w:val="18"/>
                <w:szCs w:val="18"/>
              </w:rPr>
              <w:t>交易价格（万</w:t>
            </w:r>
            <w:r>
              <w:rPr>
                <w:rFonts w:ascii="宋体" w:hAnsi="宋体" w:cs="宋体" w:eastAsia="宋体" w:hint="default"/>
                <w:sz w:val="18"/>
                <w:szCs w:val="18"/>
              </w:rPr>
              <w:t> 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对公司经营的影响</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 w:right="11"/>
              <w:jc w:val="left"/>
              <w:rPr>
                <w:rFonts w:ascii="宋体" w:hAnsi="宋体" w:cs="宋体" w:eastAsia="宋体" w:hint="default"/>
                <w:sz w:val="18"/>
                <w:szCs w:val="18"/>
              </w:rPr>
            </w:pPr>
            <w:r>
              <w:rPr>
                <w:rFonts w:ascii="宋体" w:hAnsi="宋体" w:cs="宋体" w:eastAsia="宋体" w:hint="default"/>
                <w:spacing w:val="9"/>
                <w:sz w:val="18"/>
                <w:szCs w:val="18"/>
              </w:rPr>
              <w:t>对公司损益 </w:t>
            </w:r>
            <w:r>
              <w:rPr>
                <w:rFonts w:ascii="宋体" w:hAnsi="宋体" w:cs="宋体" w:eastAsia="宋体" w:hint="default"/>
                <w:sz w:val="18"/>
                <w:szCs w:val="18"/>
              </w:rPr>
              <w:t>的影响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18"/>
                <w:sz w:val="18"/>
                <w:szCs w:val="18"/>
              </w:rPr>
              <w:t>该资产为</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7" w:lineRule="auto" w:before="1"/>
              <w:ind w:left="22" w:right="-4"/>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5"/>
                <w:sz w:val="18"/>
                <w:szCs w:val="18"/>
              </w:rPr>
              <w:t> </w:t>
            </w:r>
            <w:r>
              <w:rPr>
                <w:rFonts w:ascii="宋体" w:hAnsi="宋体" w:cs="宋体" w:eastAsia="宋体" w:hint="default"/>
                <w:spacing w:val="16"/>
                <w:sz w:val="18"/>
                <w:szCs w:val="18"/>
              </w:rPr>
              <w:t>市公司</w:t>
            </w:r>
            <w:r>
              <w:rPr>
                <w:rFonts w:ascii="宋体" w:hAnsi="宋体" w:cs="宋体" w:eastAsia="宋体" w:hint="default"/>
                <w:spacing w:val="-65"/>
                <w:sz w:val="18"/>
                <w:szCs w:val="18"/>
              </w:rPr>
              <w:t> </w:t>
            </w:r>
            <w:r>
              <w:rPr>
                <w:rFonts w:ascii="宋体" w:hAnsi="宋体" w:cs="宋体" w:eastAsia="宋体" w:hint="default"/>
                <w:spacing w:val="18"/>
                <w:sz w:val="18"/>
                <w:szCs w:val="18"/>
              </w:rPr>
              <w:t>贡献的净</w:t>
            </w:r>
            <w:r>
              <w:rPr>
                <w:rFonts w:ascii="宋体" w:hAnsi="宋体" w:cs="宋体" w:eastAsia="宋体" w:hint="default"/>
                <w:spacing w:val="-87"/>
                <w:sz w:val="18"/>
                <w:szCs w:val="18"/>
              </w:rPr>
              <w:t> </w:t>
            </w:r>
            <w:r>
              <w:rPr>
                <w:rFonts w:ascii="宋体" w:hAnsi="宋体" w:cs="宋体" w:eastAsia="宋体" w:hint="default"/>
                <w:spacing w:val="18"/>
                <w:sz w:val="18"/>
                <w:szCs w:val="18"/>
              </w:rPr>
              <w:t>利润占净</w:t>
            </w:r>
            <w:r>
              <w:rPr>
                <w:rFonts w:ascii="宋体" w:hAnsi="宋体" w:cs="宋体" w:eastAsia="宋体" w:hint="default"/>
                <w:spacing w:val="-87"/>
                <w:sz w:val="18"/>
                <w:szCs w:val="18"/>
              </w:rPr>
              <w:t> </w:t>
            </w:r>
            <w:r>
              <w:rPr>
                <w:rFonts w:ascii="宋体" w:hAnsi="宋体" w:cs="宋体" w:eastAsia="宋体" w:hint="default"/>
                <w:spacing w:val="18"/>
                <w:sz w:val="18"/>
                <w:szCs w:val="18"/>
              </w:rPr>
              <w:t>利润总额</w:t>
            </w:r>
            <w:r>
              <w:rPr>
                <w:rFonts w:ascii="宋体" w:hAnsi="宋体" w:cs="宋体" w:eastAsia="宋体" w:hint="default"/>
                <w:spacing w:val="-87"/>
                <w:sz w:val="18"/>
                <w:szCs w:val="18"/>
              </w:rPr>
              <w:t> </w:t>
            </w:r>
            <w:r>
              <w:rPr>
                <w:rFonts w:ascii="宋体" w:hAnsi="宋体" w:cs="宋体" w:eastAsia="宋体" w:hint="default"/>
                <w:sz w:val="18"/>
                <w:szCs w:val="18"/>
              </w:rPr>
              <w:t>的比率</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2" w:right="14"/>
              <w:jc w:val="both"/>
              <w:rPr>
                <w:rFonts w:ascii="宋体" w:hAnsi="宋体" w:cs="宋体" w:eastAsia="宋体" w:hint="default"/>
                <w:sz w:val="18"/>
                <w:szCs w:val="18"/>
              </w:rPr>
            </w:pPr>
            <w:r>
              <w:rPr>
                <w:rFonts w:ascii="宋体" w:hAnsi="宋体" w:cs="宋体" w:eastAsia="宋体" w:hint="default"/>
                <w:spacing w:val="8"/>
                <w:sz w:val="18"/>
                <w:szCs w:val="18"/>
              </w:rPr>
              <w:t>是否 为关 联交 </w:t>
            </w:r>
            <w:r>
              <w:rPr>
                <w:rFonts w:ascii="宋体" w:hAnsi="宋体" w:cs="宋体" w:eastAsia="宋体" w:hint="default"/>
                <w:sz w:val="18"/>
                <w:szCs w:val="18"/>
              </w:rPr>
              <w:t>易</w:t>
            </w:r>
          </w:p>
        </w:tc>
      </w:tr>
      <w:tr>
        <w:trPr>
          <w:trHeight w:val="5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鹰溪谷</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创世漫道</w:t>
            </w:r>
            <w:r>
              <w:rPr>
                <w:rFonts w:ascii="宋体" w:hAnsi="宋体" w:cs="宋体" w:eastAsia="宋体" w:hint="default"/>
                <w:spacing w:val="-46"/>
                <w:sz w:val="18"/>
                <w:szCs w:val="18"/>
              </w:rPr>
              <w:t> </w:t>
            </w:r>
            <w:r>
              <w:rPr>
                <w:rFonts w:ascii="宋体" w:hAnsi="宋体" w:cs="宋体" w:eastAsia="宋体" w:hint="default"/>
                <w:sz w:val="18"/>
                <w:szCs w:val="18"/>
              </w:rPr>
              <w:t>99%</w:t>
            </w:r>
            <w:r>
              <w:rPr>
                <w:rFonts w:ascii="宋体" w:hAnsi="宋体" w:cs="宋体" w:eastAsia="宋体" w:hint="default"/>
                <w:sz w:val="18"/>
                <w:szCs w:val="18"/>
              </w:rPr>
              <w:t>的股权</w:t>
            </w: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sz w:val="18"/>
              </w:rPr>
              <w:t>87,800.00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3"/>
              <w:jc w:val="both"/>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53"/>
                <w:sz w:val="18"/>
                <w:szCs w:val="18"/>
              </w:rPr>
              <w:t> </w:t>
            </w:r>
            <w:r>
              <w:rPr>
                <w:rFonts w:ascii="宋体" w:hAnsi="宋体" w:cs="宋体" w:eastAsia="宋体" w:hint="default"/>
                <w:spacing w:val="18"/>
                <w:sz w:val="18"/>
                <w:szCs w:val="18"/>
              </w:rPr>
              <w:t>股权</w:t>
            </w:r>
            <w:r>
              <w:rPr>
                <w:rFonts w:ascii="宋体" w:hAnsi="宋体" w:cs="宋体" w:eastAsia="宋体" w:hint="default"/>
                <w:spacing w:val="-53"/>
                <w:sz w:val="18"/>
                <w:szCs w:val="18"/>
              </w:rPr>
              <w:t> </w:t>
            </w:r>
            <w:r>
              <w:rPr>
                <w:rFonts w:ascii="宋体" w:hAnsi="宋体" w:cs="宋体" w:eastAsia="宋体" w:hint="default"/>
                <w:spacing w:val="18"/>
                <w:sz w:val="18"/>
                <w:szCs w:val="18"/>
              </w:rPr>
              <w:t>已全部过</w:t>
            </w:r>
            <w:r>
              <w:rPr>
                <w:rFonts w:ascii="宋体" w:hAnsi="宋体" w:cs="宋体" w:eastAsia="宋体" w:hint="default"/>
                <w:spacing w:val="-87"/>
                <w:sz w:val="18"/>
                <w:szCs w:val="18"/>
              </w:rPr>
              <w:t> </w:t>
            </w:r>
            <w:r>
              <w:rPr>
                <w:rFonts w:ascii="宋体" w:hAnsi="宋体" w:cs="宋体" w:eastAsia="宋体" w:hint="default"/>
                <w:spacing w:val="18"/>
                <w:sz w:val="18"/>
                <w:szCs w:val="18"/>
              </w:rPr>
              <w:t>户至公司</w:t>
            </w:r>
            <w:r>
              <w:rPr>
                <w:rFonts w:ascii="宋体" w:hAnsi="宋体" w:cs="宋体" w:eastAsia="宋体" w:hint="default"/>
                <w:spacing w:val="-87"/>
                <w:sz w:val="18"/>
                <w:szCs w:val="18"/>
              </w:rPr>
              <w:t> </w:t>
            </w:r>
            <w:r>
              <w:rPr>
                <w:rFonts w:ascii="宋体" w:hAnsi="宋体" w:cs="宋体" w:eastAsia="宋体" w:hint="default"/>
                <w:sz w:val="18"/>
                <w:szCs w:val="18"/>
              </w:rPr>
              <w:t>名下</w:t>
            </w:r>
          </w:p>
        </w:tc>
        <w:tc>
          <w:tcPr>
            <w:tcW w:w="2552" w:type="dxa"/>
            <w:vMerge w:val="restart"/>
            <w:tcBorders>
              <w:top w:val="single" w:sz="4" w:space="0" w:color="000000"/>
              <w:left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创世漫道已纳入公司经营管理，</w:t>
            </w:r>
          </w:p>
          <w:p>
            <w:pPr>
              <w:pStyle w:val="TableParagraph"/>
              <w:spacing w:line="237" w:lineRule="auto"/>
              <w:ind w:left="22" w:right="-2"/>
              <w:jc w:val="both"/>
              <w:rPr>
                <w:rFonts w:ascii="宋体" w:hAnsi="宋体" w:cs="宋体" w:eastAsia="宋体" w:hint="default"/>
                <w:sz w:val="18"/>
                <w:szCs w:val="18"/>
              </w:rPr>
            </w:pPr>
            <w:r>
              <w:rPr>
                <w:rFonts w:ascii="宋体" w:hAnsi="宋体" w:cs="宋体" w:eastAsia="宋体" w:hint="default"/>
                <w:spacing w:val="-2"/>
                <w:sz w:val="18"/>
                <w:szCs w:val="18"/>
              </w:rPr>
              <w:t>不影响公司管理层稳定性；同时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公司在传统的商业零售业务外， </w:t>
            </w:r>
            <w:r>
              <w:rPr>
                <w:rFonts w:ascii="宋体" w:hAnsi="宋体" w:cs="宋体" w:eastAsia="宋体" w:hint="default"/>
                <w:spacing w:val="-2"/>
                <w:sz w:val="18"/>
                <w:szCs w:val="18"/>
              </w:rPr>
              <w:t>新增移动信息服务业务，将优化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公司的主营业务结构，公司业务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规模及盈利能力将得到提升，将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稳定公司业务的连续性。</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1" w:right="11"/>
              <w:jc w:val="both"/>
              <w:rPr>
                <w:rFonts w:ascii="宋体" w:hAnsi="宋体" w:cs="宋体" w:eastAsia="宋体" w:hint="default"/>
                <w:sz w:val="18"/>
                <w:szCs w:val="18"/>
              </w:rPr>
            </w:pPr>
            <w:r>
              <w:rPr>
                <w:rFonts w:ascii="宋体" w:hAnsi="宋体" w:cs="宋体" w:eastAsia="宋体" w:hint="default"/>
                <w:spacing w:val="9"/>
                <w:sz w:val="18"/>
                <w:szCs w:val="18"/>
              </w:rPr>
              <w:t>自购买之日 起至报告期 末为公司贡 献的净利润</w:t>
            </w:r>
            <w:r>
              <w:rPr>
                <w:rFonts w:ascii="宋体" w:hAnsi="宋体" w:cs="宋体" w:eastAsia="宋体" w:hint="default"/>
                <w:sz w:val="18"/>
                <w:szCs w:val="18"/>
              </w:rPr>
            </w:r>
          </w:p>
          <w:p>
            <w:pPr>
              <w:pStyle w:val="TableParagraph"/>
              <w:spacing w:line="233" w:lineRule="exact"/>
              <w:ind w:left="21" w:right="0"/>
              <w:jc w:val="both"/>
              <w:rPr>
                <w:rFonts w:ascii="宋体" w:hAnsi="宋体" w:cs="宋体" w:eastAsia="宋体" w:hint="default"/>
                <w:sz w:val="18"/>
                <w:szCs w:val="18"/>
              </w:rPr>
            </w:pPr>
            <w:r>
              <w:rPr>
                <w:rFonts w:ascii="宋体" w:hAnsi="宋体" w:cs="宋体" w:eastAsia="宋体" w:hint="default"/>
                <w:sz w:val="18"/>
                <w:szCs w:val="18"/>
              </w:rPr>
              <w:t>727.41</w:t>
            </w:r>
            <w:r>
              <w:rPr>
                <w:rFonts w:ascii="宋体" w:hAnsi="宋体" w:cs="宋体" w:eastAsia="宋体" w:hint="default"/>
                <w:spacing w:val="-53"/>
                <w:sz w:val="18"/>
                <w:szCs w:val="18"/>
              </w:rPr>
              <w:t> </w:t>
            </w:r>
            <w:r>
              <w:rPr>
                <w:rFonts w:ascii="宋体" w:hAnsi="宋体" w:cs="宋体" w:eastAsia="宋体" w:hint="default"/>
                <w:sz w:val="18"/>
                <w:szCs w:val="18"/>
              </w:rPr>
              <w:t>万元</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7.37%</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创世漫道</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的股权</w:t>
            </w:r>
          </w:p>
        </w:tc>
        <w:tc>
          <w:tcPr>
            <w:tcW w:w="107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r>
      <w:tr>
        <w:trPr>
          <w:trHeight w:val="5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峰幽投资</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宋体" w:hAnsi="宋体" w:cs="宋体" w:eastAsia="宋体" w:hint="default"/>
                <w:sz w:val="18"/>
                <w:szCs w:val="18"/>
              </w:rPr>
              <w:t>13,170.00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7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r>
      <w:tr>
        <w:trPr>
          <w:trHeight w:val="323" w:hRule="exact"/>
        </w:trPr>
        <w:tc>
          <w:tcPr>
            <w:tcW w:w="9925" w:type="dxa"/>
            <w:gridSpan w:val="10"/>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7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3"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50)</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2014-08-23</w:t>
            </w:r>
          </w:p>
        </w:tc>
      </w:tr>
      <w:tr>
        <w:trPr>
          <w:trHeight w:val="322"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公司关于召开</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年第一次临时股东大会的通知</w:t>
            </w:r>
            <w:r>
              <w:rPr>
                <w:rFonts w:ascii="宋体" w:hAnsi="宋体" w:cs="宋体" w:eastAsia="宋体" w:hint="default"/>
                <w:sz w:val="18"/>
                <w:szCs w:val="18"/>
              </w:rPr>
              <w:t>(2014-54)</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sz w:val="18"/>
              </w:rPr>
              <w:t>2014-08-23</w:t>
            </w:r>
          </w:p>
        </w:tc>
      </w:tr>
      <w:tr>
        <w:trPr>
          <w:trHeight w:val="322"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(2014-60)</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2014-09-10</w:t>
            </w:r>
          </w:p>
        </w:tc>
      </w:tr>
      <w:tr>
        <w:trPr>
          <w:trHeight w:val="323"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公司关于重大资产重组获得中国证监会核准批复的公告</w:t>
            </w:r>
            <w:r>
              <w:rPr>
                <w:rFonts w:ascii="宋体" w:hAnsi="宋体" w:cs="宋体" w:eastAsia="宋体" w:hint="default"/>
                <w:sz w:val="18"/>
                <w:szCs w:val="18"/>
              </w:rPr>
              <w:t>(2014-68)</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2014-11-25</w:t>
            </w:r>
          </w:p>
        </w:tc>
      </w:tr>
      <w:tr>
        <w:trPr>
          <w:trHeight w:val="322"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公司发行股份及支付现金购买资产并向特定对象募集配套资金报告书</w:t>
            </w:r>
            <w:r>
              <w:rPr>
                <w:rFonts w:ascii="宋体" w:hAnsi="宋体" w:cs="宋体" w:eastAsia="宋体" w:hint="default"/>
                <w:sz w:val="18"/>
                <w:szCs w:val="18"/>
              </w:rPr>
              <w:t>(</w:t>
            </w:r>
            <w:r>
              <w:rPr>
                <w:rFonts w:ascii="宋体" w:hAnsi="宋体" w:cs="宋体" w:eastAsia="宋体" w:hint="default"/>
                <w:sz w:val="18"/>
                <w:szCs w:val="18"/>
              </w:rPr>
              <w:t>修订稿</w:t>
            </w:r>
            <w:r>
              <w:rPr>
                <w:rFonts w:ascii="宋体" w:hAnsi="宋体" w:cs="宋体" w:eastAsia="宋体" w:hint="default"/>
                <w:sz w:val="18"/>
                <w:szCs w:val="18"/>
              </w:rPr>
              <w:t>)</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sz w:val="18"/>
              </w:rPr>
              <w:t>2014-11-25</w:t>
            </w:r>
          </w:p>
        </w:tc>
      </w:tr>
      <w:tr>
        <w:trPr>
          <w:trHeight w:val="322"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公司关于重大资产重组完成资产过户的公告</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70)</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sz w:val="18"/>
              </w:rPr>
              <w:t>2014-11-28</w:t>
            </w:r>
          </w:p>
        </w:tc>
      </w:tr>
      <w:tr>
        <w:trPr>
          <w:trHeight w:val="323" w:hRule="exact"/>
        </w:trPr>
        <w:tc>
          <w:tcPr>
            <w:tcW w:w="994" w:type="dxa"/>
            <w:vMerge/>
            <w:tcBorders>
              <w:left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公司关于重大资产重组实施完毕公告</w:t>
            </w:r>
            <w:r>
              <w:rPr>
                <w:rFonts w:ascii="宋体" w:hAnsi="宋体" w:cs="宋体" w:eastAsia="宋体" w:hint="default"/>
                <w:sz w:val="18"/>
                <w:szCs w:val="18"/>
              </w:rPr>
              <w:t>(2014-72)</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2014-12-18</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公司发行股份及支付现金购买资产并向特定对象募集配套资金实施情况暨新增股份上市公告书</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sz w:val="18"/>
              </w:rPr>
              <w:t>2014-12-18</w:t>
            </w:r>
          </w:p>
        </w:tc>
      </w:tr>
    </w:tbl>
    <w:p>
      <w:pPr>
        <w:spacing w:line="240" w:lineRule="auto" w:before="0"/>
        <w:rPr>
          <w:rFonts w:ascii="宋体" w:hAnsi="宋体" w:cs="宋体" w:eastAsia="宋体" w:hint="default"/>
          <w:sz w:val="20"/>
          <w:szCs w:val="20"/>
        </w:rPr>
      </w:pPr>
    </w:p>
    <w:p>
      <w:pPr>
        <w:pStyle w:val="BodyText"/>
        <w:spacing w:line="240" w:lineRule="auto" w:before="35"/>
        <w:ind w:left="824" w:right="418"/>
        <w:jc w:val="left"/>
        <w:rPr>
          <w:rFonts w:ascii="宋体" w:hAnsi="宋体" w:cs="宋体" w:eastAsia="宋体" w:hint="default"/>
        </w:rPr>
      </w:pPr>
      <w:r>
        <w:rPr/>
        <w:t>自购买之日</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日起公司已将创世漫道纳入合并范围，本期增加公司总资产</w:t>
      </w:r>
      <w:r>
        <w:rPr>
          <w:spacing w:val="-51"/>
        </w:rPr>
        <w:t> </w:t>
      </w:r>
      <w:r>
        <w:rPr>
          <w:rFonts w:ascii="宋体" w:hAnsi="宋体" w:cs="宋体" w:eastAsia="宋体" w:hint="default"/>
        </w:rPr>
        <w:t>97,618.99</w:t>
      </w:r>
    </w:p>
    <w:p>
      <w:pPr>
        <w:pStyle w:val="BodyText"/>
        <w:spacing w:line="273" w:lineRule="auto" w:before="37"/>
        <w:ind w:right="1188"/>
        <w:jc w:val="both"/>
      </w:pPr>
      <w:r>
        <w:rPr>
          <w:spacing w:val="-16"/>
        </w:rPr>
        <w:t>万元、负债总额</w:t>
      </w:r>
      <w:r>
        <w:rPr>
          <w:spacing w:val="-69"/>
        </w:rPr>
        <w:t> </w:t>
      </w:r>
      <w:r>
        <w:rPr>
          <w:rFonts w:ascii="宋体" w:hAnsi="宋体" w:cs="宋体" w:eastAsia="宋体" w:hint="default"/>
        </w:rPr>
        <w:t>9,091.58</w:t>
      </w:r>
      <w:r>
        <w:rPr>
          <w:rFonts w:ascii="宋体" w:hAnsi="宋体" w:cs="宋体" w:eastAsia="宋体" w:hint="default"/>
          <w:spacing w:val="-70"/>
        </w:rPr>
        <w:t> </w:t>
      </w:r>
      <w:r>
        <w:rPr>
          <w:spacing w:val="-7"/>
        </w:rPr>
        <w:t>万元、归属于母公司所有者权益合计</w:t>
      </w:r>
      <w:r>
        <w:rPr>
          <w:spacing w:val="-69"/>
        </w:rPr>
        <w:t> </w:t>
      </w:r>
      <w:r>
        <w:rPr>
          <w:rFonts w:ascii="宋体" w:hAnsi="宋体" w:cs="宋体" w:eastAsia="宋体" w:hint="default"/>
        </w:rPr>
        <w:t>88,527.41</w:t>
      </w:r>
      <w:r>
        <w:rPr>
          <w:rFonts w:ascii="宋体" w:hAnsi="宋体" w:cs="宋体" w:eastAsia="宋体" w:hint="default"/>
          <w:spacing w:val="-69"/>
        </w:rPr>
        <w:t> </w:t>
      </w:r>
      <w:r>
        <w:rPr>
          <w:spacing w:val="-10"/>
        </w:rPr>
        <w:t>万元，本期实现利润总额</w:t>
      </w:r>
      <w:r>
        <w:rPr>
          <w:spacing w:val="-68"/>
        </w:rPr>
        <w:t> </w:t>
      </w:r>
      <w:r>
        <w:rPr>
          <w:rFonts w:ascii="宋体" w:hAnsi="宋体" w:cs="宋体" w:eastAsia="宋体" w:hint="default"/>
        </w:rPr>
        <w:t>965.00 </w:t>
      </w:r>
      <w:r>
        <w:rPr/>
        <w:t>万元占公司总的比例为</w:t>
      </w:r>
      <w:r>
        <w:rPr>
          <w:spacing w:val="-53"/>
        </w:rPr>
        <w:t> </w:t>
      </w:r>
      <w:r>
        <w:rPr>
          <w:rFonts w:ascii="宋体" w:hAnsi="宋体" w:cs="宋体" w:eastAsia="宋体" w:hint="default"/>
        </w:rPr>
        <w:t>6.49%</w:t>
      </w:r>
      <w:r>
        <w:rPr/>
        <w:t>。</w:t>
      </w:r>
    </w:p>
    <w:p>
      <w:pPr>
        <w:pStyle w:val="BodyText"/>
        <w:spacing w:line="240" w:lineRule="auto" w:before="163"/>
        <w:ind w:left="824" w:right="5945"/>
        <w:jc w:val="left"/>
      </w:pPr>
      <w:r>
        <w:rPr/>
        <w:t>二、报告期企业合并事项</w:t>
      </w:r>
    </w:p>
    <w:p>
      <w:pPr>
        <w:pStyle w:val="BodyText"/>
        <w:spacing w:line="273" w:lineRule="auto" w:before="37"/>
        <w:ind w:right="1176" w:firstLine="420"/>
        <w:jc w:val="left"/>
      </w:pPr>
      <w:r>
        <w:rPr/>
        <w:t>报告期内，经公司第六届董事会</w:t>
      </w:r>
      <w:r>
        <w:rPr>
          <w:spacing w:val="-64"/>
        </w:rPr>
        <w:t> </w:t>
      </w:r>
      <w:r>
        <w:rPr>
          <w:rFonts w:ascii="宋体" w:hAnsi="宋体" w:cs="宋体" w:eastAsia="宋体" w:hint="default"/>
        </w:rPr>
        <w:t>2014</w:t>
      </w:r>
      <w:r>
        <w:rPr>
          <w:rFonts w:ascii="宋体" w:hAnsi="宋体" w:cs="宋体" w:eastAsia="宋体" w:hint="default"/>
          <w:spacing w:val="-63"/>
        </w:rPr>
        <w:t> </w:t>
      </w:r>
      <w:r>
        <w:rPr/>
        <w:t>年第二次会议审议通过、公司</w:t>
      </w:r>
      <w:r>
        <w:rPr>
          <w:spacing w:val="-64"/>
        </w:rPr>
        <w:t> </w:t>
      </w:r>
      <w:r>
        <w:rPr>
          <w:rFonts w:ascii="宋体" w:hAnsi="宋体" w:cs="宋体" w:eastAsia="宋体" w:hint="default"/>
        </w:rPr>
        <w:t>2013</w:t>
      </w:r>
      <w:r>
        <w:rPr>
          <w:rFonts w:ascii="宋体" w:hAnsi="宋体" w:cs="宋体" w:eastAsia="宋体" w:hint="default"/>
          <w:spacing w:val="-63"/>
        </w:rPr>
        <w:t> </w:t>
      </w:r>
      <w:r>
        <w:rPr/>
        <w:t>年度股东大会批准，本公 </w:t>
      </w:r>
      <w:r>
        <w:rPr>
          <w:spacing w:val="3"/>
        </w:rPr>
        <w:t>司展开吸收合并全资子公司秦皇岛市渤海物流煤炭经销有限公司</w:t>
      </w:r>
      <w:r>
        <w:rPr>
          <w:rFonts w:ascii="宋体" w:hAnsi="宋体" w:cs="宋体" w:eastAsia="宋体" w:hint="default"/>
          <w:spacing w:val="3"/>
        </w:rPr>
        <w:t>(</w:t>
      </w:r>
      <w:r>
        <w:rPr>
          <w:spacing w:val="3"/>
        </w:rPr>
        <w:t>简称煤炭公司</w:t>
      </w:r>
      <w:r>
        <w:rPr>
          <w:rFonts w:ascii="宋体" w:hAnsi="宋体" w:cs="宋体" w:eastAsia="宋体" w:hint="default"/>
          <w:spacing w:val="3"/>
        </w:rPr>
        <w:t>)</w:t>
      </w:r>
      <w:r>
        <w:rPr>
          <w:spacing w:val="3"/>
        </w:rPr>
        <w:t>的工作。双方签订了</w:t>
      </w:r>
    </w:p>
    <w:p>
      <w:pPr>
        <w:pStyle w:val="BodyText"/>
        <w:spacing w:line="273" w:lineRule="auto"/>
        <w:ind w:right="1187"/>
        <w:jc w:val="both"/>
      </w:pPr>
      <w:r>
        <w:rPr>
          <w:spacing w:val="-1"/>
        </w:rPr>
        <w:t>《吸收合并协议》，编制资产负债表及财产清单，履行了通知债权人、债务人和公告义务，办理了税务</w:t>
      </w:r>
      <w:r>
        <w:rPr/>
        <w:t> 登记注销手续。截至报告期后的</w:t>
      </w:r>
      <w:r>
        <w:rPr>
          <w:spacing w:val="-59"/>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59"/>
        </w:rPr>
        <w:t> </w:t>
      </w:r>
      <w:r>
        <w:rPr/>
        <w:t>月</w:t>
      </w:r>
      <w:r>
        <w:rPr>
          <w:spacing w:val="-61"/>
        </w:rPr>
        <w:t> </w:t>
      </w:r>
      <w:r>
        <w:rPr>
          <w:rFonts w:ascii="宋体" w:hAnsi="宋体" w:cs="宋体" w:eastAsia="宋体" w:hint="default"/>
        </w:rPr>
        <w:t>27</w:t>
      </w:r>
      <w:r>
        <w:rPr>
          <w:rFonts w:ascii="宋体" w:hAnsi="宋体" w:cs="宋体" w:eastAsia="宋体" w:hint="default"/>
          <w:spacing w:val="-60"/>
        </w:rPr>
        <w:t> </w:t>
      </w:r>
      <w:r>
        <w:rPr/>
        <w:t>日，秦皇岛市工商行政管理局企业注册分局已注销煤炭 </w:t>
      </w:r>
      <w:r>
        <w:rPr>
          <w:spacing w:val="-1"/>
        </w:rPr>
        <w:t>公司，本次吸收合并工作实施完毕。因煤炭公司是本公司全资子公司，本次吸收合并不会对公司财务状</w:t>
      </w:r>
      <w:r>
        <w:rPr>
          <w:spacing w:val="-101"/>
        </w:rPr>
        <w:t> </w:t>
      </w:r>
      <w:r>
        <w:rPr>
          <w:spacing w:val="-101"/>
        </w:rPr>
      </w:r>
      <w:r>
        <w:rPr/>
        <w:t>况和经营成果产生不利影响。相关临时报告查询索引见下表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900"/>
        <w:gridCol w:w="1369"/>
        <w:gridCol w:w="5104"/>
        <w:gridCol w:w="2551"/>
      </w:tblGrid>
      <w:tr>
        <w:trPr>
          <w:trHeight w:val="323"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7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900" w:type="dxa"/>
            <w:vMerge/>
            <w:tcBorders>
              <w:left w:val="single" w:sz="4" w:space="0" w:color="000000"/>
              <w:right w:val="single" w:sz="4" w:space="0" w:color="000000"/>
            </w:tcBorders>
          </w:tcPr>
          <w:p>
            <w:pPr/>
          </w:p>
        </w:tc>
        <w:tc>
          <w:tcPr>
            <w:tcW w:w="6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900" w:type="dxa"/>
            <w:vMerge/>
            <w:tcBorders>
              <w:left w:val="single" w:sz="4" w:space="0" w:color="000000"/>
              <w:bottom w:val="single" w:sz="4" w:space="0" w:color="000000"/>
              <w:right w:val="single" w:sz="4" w:space="0" w:color="000000"/>
            </w:tcBorders>
          </w:tcPr>
          <w:p>
            <w:pPr/>
          </w:p>
        </w:tc>
        <w:tc>
          <w:tcPr>
            <w:tcW w:w="6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公司关于吸收合并全资子公司的公告 </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6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 </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900"/>
        <w:gridCol w:w="6474"/>
        <w:gridCol w:w="2551"/>
      </w:tblGrid>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公司关于完成吸收合并全资子公司的公告 </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三、公司报告期未出售资产。</w:t>
      </w:r>
    </w:p>
    <w:p>
      <w:pPr>
        <w:spacing w:line="240" w:lineRule="auto" w:before="0"/>
        <w:rPr>
          <w:rFonts w:ascii="宋体" w:hAnsi="宋体" w:cs="宋体" w:eastAsia="宋体" w:hint="default"/>
          <w:sz w:val="24"/>
          <w:szCs w:val="24"/>
        </w:rPr>
      </w:pPr>
    </w:p>
    <w:p>
      <w:pPr>
        <w:pStyle w:val="Heading3"/>
        <w:tabs>
          <w:tab w:pos="4690" w:val="left" w:leader="none"/>
        </w:tabs>
        <w:spacing w:line="240" w:lineRule="auto"/>
        <w:ind w:left="3846" w:right="418"/>
        <w:jc w:val="left"/>
        <w:rPr>
          <w:b w:val="0"/>
          <w:bCs w:val="0"/>
        </w:rPr>
      </w:pPr>
      <w:r>
        <w:rPr>
          <w:w w:val="95"/>
        </w:rPr>
        <w:t>第三节</w:t>
        <w:tab/>
      </w:r>
      <w:r>
        <w:rPr/>
        <w:t>合同及其履行情况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824" w:right="5945"/>
        <w:jc w:val="left"/>
      </w:pPr>
      <w:r>
        <w:rPr/>
        <w:t>一、受托经营事项</w:t>
      </w:r>
    </w:p>
    <w:p>
      <w:pPr>
        <w:pStyle w:val="BodyText"/>
        <w:spacing w:line="273" w:lineRule="auto" w:before="37"/>
        <w:ind w:right="1077" w:firstLine="420"/>
        <w:jc w:val="left"/>
      </w:pPr>
      <w:r>
        <w:rPr/>
        <w:t>报告期</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日，经公司第六届董事会</w:t>
      </w:r>
      <w:r>
        <w:rPr>
          <w:spacing w:val="-45"/>
        </w:rPr>
        <w:t> </w:t>
      </w:r>
      <w:r>
        <w:rPr>
          <w:rFonts w:ascii="宋体" w:hAnsi="宋体" w:cs="宋体" w:eastAsia="宋体" w:hint="default"/>
        </w:rPr>
        <w:t>2014</w:t>
      </w:r>
      <w:r>
        <w:rPr>
          <w:rFonts w:ascii="宋体" w:hAnsi="宋体" w:cs="宋体" w:eastAsia="宋体" w:hint="default"/>
          <w:spacing w:val="-45"/>
        </w:rPr>
        <w:t> </w:t>
      </w:r>
      <w:r>
        <w:rPr/>
        <w:t>年第七次会议批准，为保持公司在秦皇岛市 </w:t>
      </w:r>
      <w:r>
        <w:rPr>
          <w:spacing w:val="3"/>
        </w:rPr>
        <w:t>零售业的市场份额，逐步实现全资子公司秦皇岛市金原商业管理有限责任公司</w:t>
      </w:r>
      <w:r>
        <w:rPr>
          <w:rFonts w:ascii="宋体" w:hAnsi="宋体" w:cs="宋体" w:eastAsia="宋体" w:hint="default"/>
          <w:spacing w:val="3"/>
        </w:rPr>
        <w:t>(</w:t>
      </w:r>
      <w:r>
        <w:rPr>
          <w:spacing w:val="3"/>
        </w:rPr>
        <w:t>简称金原商业</w:t>
      </w:r>
      <w:r>
        <w:rPr>
          <w:rFonts w:ascii="宋体" w:hAnsi="宋体" w:cs="宋体" w:eastAsia="宋体" w:hint="default"/>
          <w:spacing w:val="3"/>
        </w:rPr>
        <w:t>)</w:t>
      </w:r>
      <w:r>
        <w:rPr>
          <w:spacing w:val="3"/>
        </w:rPr>
        <w:t>扭亏为</w:t>
      </w:r>
      <w:r>
        <w:rPr>
          <w:spacing w:val="-88"/>
        </w:rPr>
        <w:t> </w:t>
      </w:r>
      <w:r>
        <w:rPr>
          <w:spacing w:val="-88"/>
        </w:rPr>
      </w:r>
      <w:r>
        <w:rPr>
          <w:spacing w:val="-7"/>
        </w:rPr>
        <w:t>盈，经与金原商厦商铺产权所有者</w:t>
      </w:r>
      <w:r>
        <w:rPr>
          <w:rFonts w:ascii="宋体" w:hAnsi="宋体" w:cs="宋体" w:eastAsia="宋体" w:hint="default"/>
          <w:spacing w:val="-7"/>
        </w:rPr>
        <w:t>(</w:t>
      </w:r>
      <w:r>
        <w:rPr>
          <w:spacing w:val="-7"/>
        </w:rPr>
        <w:t>简称业主</w:t>
      </w:r>
      <w:r>
        <w:rPr>
          <w:rFonts w:ascii="宋体" w:hAnsi="宋体" w:cs="宋体" w:eastAsia="宋体" w:hint="default"/>
          <w:spacing w:val="-7"/>
        </w:rPr>
        <w:t>)</w:t>
      </w:r>
      <w:r>
        <w:rPr>
          <w:spacing w:val="-7"/>
        </w:rPr>
        <w:t>协商一致，金原商业和</w:t>
      </w:r>
      <w:r>
        <w:rPr>
          <w:spacing w:val="-46"/>
        </w:rPr>
        <w:t> </w:t>
      </w:r>
      <w:r>
        <w:rPr>
          <w:rFonts w:ascii="宋体" w:hAnsi="宋体" w:cs="宋体" w:eastAsia="宋体" w:hint="default"/>
        </w:rPr>
        <w:t>1,253</w:t>
      </w:r>
      <w:r>
        <w:rPr>
          <w:rFonts w:ascii="宋体" w:hAnsi="宋体" w:cs="宋体" w:eastAsia="宋体" w:hint="default"/>
          <w:spacing w:val="-46"/>
        </w:rPr>
        <w:t> </w:t>
      </w:r>
      <w:r>
        <w:rPr>
          <w:spacing w:val="-1"/>
        </w:rPr>
        <w:t>户业主</w:t>
      </w:r>
      <w:r>
        <w:rPr>
          <w:rFonts w:ascii="宋体" w:hAnsi="宋体" w:cs="宋体" w:eastAsia="宋体" w:hint="default"/>
          <w:spacing w:val="-1"/>
        </w:rPr>
        <w:t>(</w:t>
      </w:r>
      <w:r>
        <w:rPr>
          <w:spacing w:val="-1"/>
        </w:rPr>
        <w:t>占全部业主的</w:t>
      </w:r>
      <w:r>
        <w:rPr>
          <w:spacing w:val="-46"/>
        </w:rPr>
        <w:t> </w:t>
      </w:r>
      <w:r>
        <w:rPr>
          <w:rFonts w:ascii="宋体" w:hAnsi="宋体" w:cs="宋体" w:eastAsia="宋体" w:hint="default"/>
        </w:rPr>
        <w:t>93.99%)</w:t>
      </w:r>
      <w:r>
        <w:rPr>
          <w:rFonts w:ascii="宋体" w:hAnsi="宋体" w:cs="宋体" w:eastAsia="宋体" w:hint="default"/>
          <w:spacing w:val="-103"/>
        </w:rPr>
        <w:t> </w:t>
      </w:r>
      <w:r>
        <w:rPr>
          <w:rFonts w:ascii="宋体" w:hAnsi="宋体" w:cs="宋体" w:eastAsia="宋体" w:hint="default"/>
          <w:spacing w:val="-103"/>
        </w:rPr>
      </w:r>
      <w:r>
        <w:rPr>
          <w:spacing w:val="-2"/>
        </w:rPr>
        <w:t>陆续签署了《金原商厦委托管理协议书》，由金原商业受托经营金原商厦，从事百货零售及餐饮业务。</w:t>
      </w:r>
      <w:r>
        <w:rPr>
          <w:spacing w:val="-68"/>
        </w:rPr>
        <w:t> </w:t>
      </w:r>
      <w:r>
        <w:rPr>
          <w:spacing w:val="-68"/>
        </w:rPr>
      </w:r>
      <w:r>
        <w:rPr/>
        <w:t>受托经营的建筑面积合计</w:t>
      </w:r>
      <w:r>
        <w:rPr>
          <w:spacing w:val="-46"/>
        </w:rPr>
        <w:t> </w:t>
      </w:r>
      <w:r>
        <w:rPr>
          <w:rFonts w:ascii="宋体" w:hAnsi="宋体" w:cs="宋体" w:eastAsia="宋体" w:hint="default"/>
        </w:rPr>
        <w:t>36,044.94</w:t>
      </w:r>
      <w:r>
        <w:rPr>
          <w:rFonts w:ascii="宋体" w:hAnsi="宋体" w:cs="宋体" w:eastAsia="宋体" w:hint="default"/>
          <w:spacing w:val="-46"/>
        </w:rPr>
        <w:t> </w:t>
      </w:r>
      <w:r>
        <w:rPr/>
        <w:t>平方米，自协议签署之日起至</w:t>
      </w:r>
      <w:r>
        <w:rPr>
          <w:spacing w:val="-46"/>
        </w:rPr>
        <w:t> </w:t>
      </w:r>
      <w:r>
        <w:rPr>
          <w:rFonts w:ascii="宋体" w:hAnsi="宋体" w:cs="宋体" w:eastAsia="宋体" w:hint="default"/>
        </w:rPr>
        <w:t>2029</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7"/>
        </w:rPr>
        <w:t> </w:t>
      </w:r>
      <w:r>
        <w:rPr>
          <w:rFonts w:ascii="宋体" w:hAnsi="宋体" w:cs="宋体" w:eastAsia="宋体" w:hint="default"/>
        </w:rPr>
        <w:t>19</w:t>
      </w:r>
      <w:r>
        <w:rPr>
          <w:rFonts w:ascii="宋体" w:hAnsi="宋体" w:cs="宋体" w:eastAsia="宋体" w:hint="default"/>
          <w:spacing w:val="-46"/>
        </w:rPr>
        <w:t> </w:t>
      </w:r>
      <w:r>
        <w:rPr/>
        <w:t>日止，期限</w:t>
      </w:r>
      <w:r>
        <w:rPr>
          <w:spacing w:val="-47"/>
        </w:rPr>
        <w:t> </w:t>
      </w:r>
      <w:r>
        <w:rPr>
          <w:rFonts w:ascii="宋体" w:hAnsi="宋体" w:cs="宋体" w:eastAsia="宋体" w:hint="default"/>
        </w:rPr>
        <w:t>15</w:t>
      </w:r>
      <w:r>
        <w:rPr>
          <w:rFonts w:ascii="宋体" w:hAnsi="宋体" w:cs="宋体" w:eastAsia="宋体" w:hint="default"/>
          <w:spacing w:val="-47"/>
        </w:rPr>
        <w:t> </w:t>
      </w:r>
      <w:r>
        <w:rPr/>
        <w:t>年，</w:t>
      </w:r>
    </w:p>
    <w:p>
      <w:pPr>
        <w:pStyle w:val="BodyText"/>
        <w:spacing w:line="240" w:lineRule="auto"/>
        <w:ind w:right="418"/>
        <w:jc w:val="left"/>
      </w:pPr>
      <w:r>
        <w:rPr/>
        <w:t>期间金原商业向</w:t>
      </w:r>
      <w:r>
        <w:rPr>
          <w:spacing w:val="-52"/>
        </w:rPr>
        <w:t> </w:t>
      </w:r>
      <w:r>
        <w:rPr>
          <w:rFonts w:ascii="宋体" w:hAnsi="宋体" w:cs="宋体" w:eastAsia="宋体" w:hint="default"/>
        </w:rPr>
        <w:t>1,253</w:t>
      </w:r>
      <w:r>
        <w:rPr>
          <w:rFonts w:ascii="宋体" w:hAnsi="宋体" w:cs="宋体" w:eastAsia="宋体" w:hint="default"/>
          <w:spacing w:val="-53"/>
        </w:rPr>
        <w:t> </w:t>
      </w:r>
      <w:r>
        <w:rPr/>
        <w:t>户业主支付商铺收益</w:t>
      </w:r>
      <w:r>
        <w:rPr>
          <w:spacing w:val="-52"/>
        </w:rPr>
        <w:t> </w:t>
      </w:r>
      <w:r>
        <w:rPr>
          <w:rFonts w:ascii="宋体" w:hAnsi="宋体" w:cs="宋体" w:eastAsia="宋体" w:hint="default"/>
        </w:rPr>
        <w:t>44,775.00</w:t>
      </w:r>
      <w:r>
        <w:rPr>
          <w:rFonts w:ascii="宋体" w:hAnsi="宋体" w:cs="宋体" w:eastAsia="宋体" w:hint="default"/>
          <w:spacing w:val="-52"/>
        </w:rPr>
        <w:t> </w:t>
      </w:r>
      <w:r>
        <w:rPr/>
        <w:t>万</w:t>
      </w:r>
      <w:r>
        <w:rPr>
          <w:spacing w:val="-2"/>
        </w:rPr>
        <w:t>元</w:t>
      </w:r>
      <w:r>
        <w:rPr>
          <w:spacing w:val="-93"/>
        </w:rPr>
        <w:t>。</w:t>
      </w:r>
      <w:r>
        <w:rPr>
          <w:rFonts w:ascii="宋体" w:hAnsi="宋体" w:cs="宋体" w:eastAsia="宋体" w:hint="default"/>
        </w:rPr>
        <w:t>2011</w:t>
      </w:r>
      <w:r>
        <w:rPr>
          <w:rFonts w:ascii="宋体" w:hAnsi="宋体" w:cs="宋体" w:eastAsia="宋体" w:hint="default"/>
          <w:spacing w:val="-51"/>
        </w:rPr>
        <w:t> </w:t>
      </w:r>
      <w:r>
        <w:rPr/>
        <w:t>年金</w:t>
      </w:r>
      <w:r>
        <w:rPr>
          <w:spacing w:val="-2"/>
        </w:rPr>
        <w:t>原</w:t>
      </w:r>
      <w:r>
        <w:rPr/>
        <w:t>商业与</w:t>
      </w:r>
      <w:r>
        <w:rPr>
          <w:spacing w:val="-52"/>
        </w:rPr>
        <w:t> </w:t>
      </w:r>
      <w:r>
        <w:rPr>
          <w:rFonts w:ascii="宋体" w:hAnsi="宋体" w:cs="宋体" w:eastAsia="宋体" w:hint="default"/>
        </w:rPr>
        <w:t>1,329</w:t>
      </w:r>
      <w:r>
        <w:rPr>
          <w:rFonts w:ascii="宋体" w:hAnsi="宋体" w:cs="宋体" w:eastAsia="宋体" w:hint="default"/>
          <w:spacing w:val="-52"/>
        </w:rPr>
        <w:t> </w:t>
      </w:r>
      <w:r>
        <w:rPr/>
        <w:t>名自然人</w:t>
      </w:r>
      <w:r>
        <w:rPr>
          <w:spacing w:val="-2"/>
        </w:rPr>
        <w:t>业</w:t>
      </w:r>
      <w:r>
        <w:rPr/>
        <w:t>主签</w:t>
      </w:r>
    </w:p>
    <w:p>
      <w:pPr>
        <w:pStyle w:val="BodyText"/>
        <w:spacing w:line="273" w:lineRule="auto" w:before="37"/>
        <w:ind w:right="1173"/>
        <w:jc w:val="left"/>
      </w:pPr>
      <w:r>
        <w:rPr/>
        <w:t>署的《金原商厦委托管理协议》不再执行。有关情况见</w:t>
      </w:r>
      <w:r>
        <w:rPr>
          <w:spacing w:val="-41"/>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1</w:t>
      </w:r>
      <w:r>
        <w:rPr>
          <w:rFonts w:ascii="宋体" w:hAnsi="宋体" w:cs="宋体" w:eastAsia="宋体" w:hint="default"/>
          <w:spacing w:val="-42"/>
        </w:rPr>
        <w:t> </w:t>
      </w:r>
      <w:r>
        <w:rPr/>
        <w:t>日刊载于巨潮资讯网上的《公司 </w:t>
      </w:r>
      <w:r>
        <w:rPr>
          <w:spacing w:val="-5"/>
        </w:rPr>
        <w:t>关于全资子公司金原商业受托经营金原商厦的公告》。</w:t>
      </w:r>
    </w:p>
    <w:p>
      <w:pPr>
        <w:pStyle w:val="BodyText"/>
        <w:spacing w:line="273" w:lineRule="auto"/>
        <w:ind w:right="1081" w:firstLine="420"/>
        <w:jc w:val="left"/>
      </w:pPr>
      <w:r>
        <w:rPr/>
        <w:t>本次受托经营以支付有所增长的商铺收益方式取代原先的代收代支的交易模式，改变了金原商业不 能分享金原商厦培育、成长期增加的销售，未来能够提升金原商业的营收并实现扭亏为盈。因报告期内 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日起至</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spacing w:val="-1"/>
        </w:rPr>
        <w:t>15</w:t>
      </w:r>
      <w:r>
        <w:rPr>
          <w:rFonts w:ascii="宋体" w:hAnsi="宋体" w:cs="宋体" w:eastAsia="宋体" w:hint="default"/>
          <w:spacing w:val="-55"/>
        </w:rPr>
        <w:t> </w:t>
      </w:r>
      <w:r>
        <w:rPr>
          <w:spacing w:val="-1"/>
        </w:rPr>
        <w:t>日止金原商厦闭店改造近</w:t>
      </w:r>
      <w:r>
        <w:rPr>
          <w:spacing w:val="-55"/>
        </w:rPr>
        <w:t> </w:t>
      </w:r>
      <w:r>
        <w:rPr>
          <w:rFonts w:ascii="宋体" w:hAnsi="宋体" w:cs="宋体" w:eastAsia="宋体" w:hint="default"/>
        </w:rPr>
        <w:t>8</w:t>
      </w:r>
      <w:r>
        <w:rPr>
          <w:rFonts w:ascii="宋体" w:hAnsi="宋体" w:cs="宋体" w:eastAsia="宋体" w:hint="default"/>
          <w:spacing w:val="-55"/>
        </w:rPr>
        <w:t> </w:t>
      </w:r>
      <w:r>
        <w:rPr>
          <w:spacing w:val="-6"/>
        </w:rPr>
        <w:t>个月，若依据报告期营业期间月均收入计，</w:t>
      </w:r>
      <w:r>
        <w:rPr/>
        <w:t> 影利润</w:t>
      </w:r>
      <w:r>
        <w:rPr>
          <w:spacing w:val="-60"/>
        </w:rPr>
        <w:t> </w:t>
      </w:r>
      <w:r>
        <w:rPr>
          <w:rFonts w:ascii="宋体" w:hAnsi="宋体" w:cs="宋体" w:eastAsia="宋体" w:hint="default"/>
        </w:rPr>
        <w:t>1,757.90</w:t>
      </w:r>
      <w:r>
        <w:rPr>
          <w:rFonts w:ascii="宋体" w:hAnsi="宋体" w:cs="宋体" w:eastAsia="宋体" w:hint="default"/>
          <w:spacing w:val="-61"/>
        </w:rPr>
        <w:t> </w:t>
      </w:r>
      <w:r>
        <w:rPr/>
        <w:t>万元，导致受托经营本期为公司带来的损益达到公司报告期利润总额</w:t>
      </w:r>
      <w:r>
        <w:rPr>
          <w:spacing w:val="-60"/>
        </w:rPr>
        <w:t> </w:t>
      </w:r>
      <w:r>
        <w:rPr>
          <w:rFonts w:ascii="宋体" w:hAnsi="宋体" w:cs="宋体" w:eastAsia="宋体" w:hint="default"/>
          <w:spacing w:val="-6"/>
        </w:rPr>
        <w:t>10%</w:t>
      </w:r>
      <w:r>
        <w:rPr>
          <w:spacing w:val="-6"/>
        </w:rPr>
        <w:t>以上，有关情</w:t>
      </w:r>
      <w:r>
        <w:rPr/>
        <w:t> 况见下表</w:t>
      </w:r>
    </w:p>
    <w:p>
      <w:pPr>
        <w:spacing w:line="240" w:lineRule="auto" w:before="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45"/>
        <w:gridCol w:w="8080"/>
      </w:tblGrid>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委托方名称</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1,253</w:t>
            </w:r>
            <w:r>
              <w:rPr>
                <w:rFonts w:ascii="宋体" w:hAnsi="宋体" w:cs="宋体" w:eastAsia="宋体" w:hint="default"/>
                <w:spacing w:val="-46"/>
                <w:sz w:val="18"/>
                <w:szCs w:val="18"/>
              </w:rPr>
              <w:t> </w:t>
            </w:r>
            <w:r>
              <w:rPr>
                <w:rFonts w:ascii="宋体" w:hAnsi="宋体" w:cs="宋体" w:eastAsia="宋体" w:hint="default"/>
                <w:sz w:val="18"/>
                <w:szCs w:val="18"/>
              </w:rPr>
              <w:t>户业主</w:t>
            </w:r>
            <w:r>
              <w:rPr>
                <w:rFonts w:ascii="宋体" w:hAnsi="宋体" w:cs="宋体" w:eastAsia="宋体" w:hint="default"/>
                <w:sz w:val="18"/>
                <w:szCs w:val="18"/>
              </w:rPr>
              <w:t>(</w:t>
            </w:r>
            <w:r>
              <w:rPr>
                <w:rFonts w:ascii="宋体" w:hAnsi="宋体" w:cs="宋体" w:eastAsia="宋体" w:hint="default"/>
                <w:sz w:val="18"/>
                <w:szCs w:val="18"/>
              </w:rPr>
              <w:t>简称甲方</w:t>
            </w:r>
            <w:r>
              <w:rPr>
                <w:rFonts w:ascii="宋体" w:hAnsi="宋体" w:cs="宋体" w:eastAsia="宋体" w:hint="default"/>
                <w:sz w:val="18"/>
                <w:szCs w:val="18"/>
              </w:rPr>
              <w:t>)</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受托方名称</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r>
              <w:rPr>
                <w:rFonts w:ascii="宋体" w:hAnsi="宋体" w:cs="宋体" w:eastAsia="宋体" w:hint="default"/>
                <w:sz w:val="18"/>
                <w:szCs w:val="18"/>
              </w:rPr>
              <w:t>(</w:t>
            </w:r>
            <w:r>
              <w:rPr>
                <w:rFonts w:ascii="宋体" w:hAnsi="宋体" w:cs="宋体" w:eastAsia="宋体" w:hint="default"/>
                <w:sz w:val="18"/>
                <w:szCs w:val="18"/>
              </w:rPr>
              <w:t>简称乙方</w:t>
            </w:r>
            <w:r>
              <w:rPr>
                <w:rFonts w:ascii="宋体" w:hAnsi="宋体" w:cs="宋体" w:eastAsia="宋体" w:hint="default"/>
                <w:sz w:val="18"/>
                <w:szCs w:val="18"/>
              </w:rPr>
              <w:t>)</w:t>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托管资产情况</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“金原商厦”建筑结构为地上六层，其中一至五层经营百货，六层经营餐饮，总建筑面积</w:t>
            </w:r>
            <w:r>
              <w:rPr>
                <w:rFonts w:ascii="宋体" w:hAnsi="宋体" w:cs="宋体" w:eastAsia="宋体" w:hint="default"/>
                <w:spacing w:val="-62"/>
                <w:sz w:val="18"/>
                <w:szCs w:val="18"/>
              </w:rPr>
              <w:t> </w:t>
            </w:r>
            <w:r>
              <w:rPr>
                <w:rFonts w:ascii="宋体" w:hAnsi="宋体" w:cs="宋体" w:eastAsia="宋体" w:hint="default"/>
                <w:sz w:val="18"/>
                <w:szCs w:val="18"/>
              </w:rPr>
              <w:t>46,286.79</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平方米，受托经营建筑面积</w:t>
            </w:r>
            <w:r>
              <w:rPr>
                <w:rFonts w:ascii="宋体" w:hAnsi="宋体" w:cs="宋体" w:eastAsia="宋体" w:hint="default"/>
                <w:spacing w:val="-46"/>
                <w:sz w:val="18"/>
                <w:szCs w:val="18"/>
              </w:rPr>
              <w:t> </w:t>
            </w:r>
            <w:r>
              <w:rPr>
                <w:rFonts w:ascii="宋体" w:hAnsi="宋体" w:cs="宋体" w:eastAsia="宋体" w:hint="default"/>
                <w:sz w:val="18"/>
                <w:szCs w:val="18"/>
              </w:rPr>
              <w:t>36,044.94</w:t>
            </w:r>
            <w:r>
              <w:rPr>
                <w:rFonts w:ascii="宋体" w:hAnsi="宋体" w:cs="宋体" w:eastAsia="宋体" w:hint="default"/>
                <w:spacing w:val="-46"/>
                <w:sz w:val="18"/>
                <w:szCs w:val="18"/>
              </w:rPr>
              <w:t> </w:t>
            </w:r>
            <w:r>
              <w:rPr>
                <w:rFonts w:ascii="宋体" w:hAnsi="宋体" w:cs="宋体" w:eastAsia="宋体" w:hint="default"/>
                <w:sz w:val="18"/>
                <w:szCs w:val="18"/>
              </w:rPr>
              <w:t>平方米。</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托管资产涉及金额</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不涉及</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托管起始日</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自协议签署之日起</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托管终止日</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2029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日止</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托管收益</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十五年合计</w:t>
            </w:r>
            <w:r>
              <w:rPr>
                <w:rFonts w:ascii="宋体" w:hAnsi="宋体" w:cs="宋体" w:eastAsia="宋体" w:hint="default"/>
                <w:spacing w:val="-46"/>
                <w:sz w:val="18"/>
                <w:szCs w:val="18"/>
              </w:rPr>
              <w:t> </w:t>
            </w:r>
            <w:r>
              <w:rPr>
                <w:rFonts w:ascii="宋体" w:hAnsi="宋体" w:cs="宋体" w:eastAsia="宋体" w:hint="default"/>
                <w:sz w:val="18"/>
                <w:szCs w:val="18"/>
              </w:rPr>
              <w:t>44,775.00</w:t>
            </w:r>
            <w:r>
              <w:rPr>
                <w:rFonts w:ascii="宋体" w:hAnsi="宋体" w:cs="宋体" w:eastAsia="宋体" w:hint="default"/>
                <w:spacing w:val="-46"/>
                <w:sz w:val="18"/>
                <w:szCs w:val="18"/>
              </w:rPr>
              <w:t> </w:t>
            </w:r>
            <w:r>
              <w:rPr>
                <w:rFonts w:ascii="宋体" w:hAnsi="宋体" w:cs="宋体" w:eastAsia="宋体" w:hint="default"/>
                <w:sz w:val="18"/>
                <w:szCs w:val="18"/>
              </w:rPr>
              <w:t>万元，报告期支付业主商铺收益为</w:t>
            </w:r>
            <w:r>
              <w:rPr>
                <w:rFonts w:ascii="宋体" w:hAnsi="宋体" w:cs="宋体" w:eastAsia="宋体" w:hint="default"/>
                <w:spacing w:val="-46"/>
                <w:sz w:val="18"/>
                <w:szCs w:val="18"/>
              </w:rPr>
              <w:t> </w:t>
            </w:r>
            <w:r>
              <w:rPr>
                <w:rFonts w:ascii="宋体" w:hAnsi="宋体" w:cs="宋体" w:eastAsia="宋体" w:hint="default"/>
                <w:sz w:val="18"/>
                <w:szCs w:val="18"/>
              </w:rPr>
              <w:t>2,860.87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托管收益确定依据</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38"/>
                <w:sz w:val="18"/>
                <w:szCs w:val="18"/>
              </w:rPr>
              <w:t> </w:t>
            </w:r>
            <w:r>
              <w:rPr>
                <w:rFonts w:ascii="宋体" w:hAnsi="宋体" w:cs="宋体" w:eastAsia="宋体" w:hint="default"/>
                <w:sz w:val="18"/>
                <w:szCs w:val="18"/>
              </w:rPr>
              <w:t>2013</w:t>
            </w:r>
            <w:r>
              <w:rPr>
                <w:rFonts w:ascii="宋体" w:hAnsi="宋体" w:cs="宋体" w:eastAsia="宋体" w:hint="default"/>
                <w:spacing w:val="-38"/>
                <w:sz w:val="18"/>
                <w:szCs w:val="18"/>
              </w:rPr>
              <w:t> </w:t>
            </w:r>
            <w:r>
              <w:rPr>
                <w:rFonts w:ascii="宋体" w:hAnsi="宋体" w:cs="宋体" w:eastAsia="宋体" w:hint="default"/>
                <w:sz w:val="18"/>
                <w:szCs w:val="18"/>
              </w:rPr>
              <w:t>年代收代支商铺收益</w:t>
            </w:r>
            <w:r>
              <w:rPr>
                <w:rFonts w:ascii="宋体" w:hAnsi="宋体" w:cs="宋体" w:eastAsia="宋体" w:hint="default"/>
                <w:spacing w:val="-37"/>
                <w:sz w:val="18"/>
                <w:szCs w:val="18"/>
              </w:rPr>
              <w:t> </w:t>
            </w:r>
            <w:r>
              <w:rPr>
                <w:rFonts w:ascii="宋体" w:hAnsi="宋体" w:cs="宋体" w:eastAsia="宋体" w:hint="default"/>
                <w:sz w:val="18"/>
                <w:szCs w:val="18"/>
              </w:rPr>
              <w:t>2,627</w:t>
            </w:r>
            <w:r>
              <w:rPr>
                <w:rFonts w:ascii="宋体" w:hAnsi="宋体" w:cs="宋体" w:eastAsia="宋体" w:hint="default"/>
                <w:spacing w:val="-38"/>
                <w:sz w:val="18"/>
                <w:szCs w:val="18"/>
              </w:rPr>
              <w:t> </w:t>
            </w:r>
            <w:r>
              <w:rPr>
                <w:rFonts w:ascii="宋体" w:hAnsi="宋体" w:cs="宋体" w:eastAsia="宋体" w:hint="default"/>
                <w:sz w:val="18"/>
                <w:szCs w:val="18"/>
              </w:rPr>
              <w:t>万元为基准，受托方金原商业与业主协商确认了商铺收益。依据</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茂业物流现有门店的经营情况，金原商业年均支付商铺收益</w:t>
            </w:r>
            <w:r>
              <w:rPr>
                <w:rFonts w:ascii="宋体" w:hAnsi="宋体" w:cs="宋体" w:eastAsia="宋体" w:hint="default"/>
                <w:spacing w:val="-75"/>
                <w:sz w:val="18"/>
                <w:szCs w:val="18"/>
              </w:rPr>
              <w:t> </w:t>
            </w:r>
            <w:r>
              <w:rPr>
                <w:rFonts w:ascii="宋体" w:hAnsi="宋体" w:cs="宋体" w:eastAsia="宋体" w:hint="default"/>
                <w:sz w:val="18"/>
                <w:szCs w:val="18"/>
              </w:rPr>
              <w:t>2,985</w:t>
            </w:r>
            <w:r>
              <w:rPr>
                <w:rFonts w:ascii="宋体" w:hAnsi="宋体" w:cs="宋体" w:eastAsia="宋体" w:hint="default"/>
                <w:spacing w:val="-75"/>
                <w:sz w:val="18"/>
                <w:szCs w:val="18"/>
              </w:rPr>
              <w:t> </w:t>
            </w:r>
            <w:r>
              <w:rPr>
                <w:rFonts w:ascii="宋体" w:hAnsi="宋体" w:cs="宋体" w:eastAsia="宋体" w:hint="default"/>
                <w:sz w:val="18"/>
                <w:szCs w:val="18"/>
              </w:rPr>
              <w:t>万元，受托商铺每天每平方米收益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2.27</w:t>
            </w:r>
            <w:r>
              <w:rPr>
                <w:rFonts w:ascii="宋体" w:hAnsi="宋体" w:cs="宋体" w:eastAsia="宋体" w:hint="default"/>
                <w:spacing w:val="-46"/>
                <w:sz w:val="18"/>
                <w:szCs w:val="18"/>
              </w:rPr>
              <w:t> </w:t>
            </w:r>
            <w:r>
              <w:rPr>
                <w:rFonts w:ascii="宋体" w:hAnsi="宋体" w:cs="宋体" w:eastAsia="宋体" w:hint="default"/>
                <w:sz w:val="18"/>
                <w:szCs w:val="18"/>
              </w:rPr>
              <w:t>元，与茂业物流现有门店的收益基本持平。</w:t>
            </w:r>
          </w:p>
        </w:tc>
      </w:tr>
      <w:tr>
        <w:trPr>
          <w:trHeight w:val="94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托管收益对公司影响</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“金原商厦”位于当地核心商圈，受托经营后可提升公司的市场份额。通过签署期限 </w:t>
            </w:r>
            <w:r>
              <w:rPr>
                <w:rFonts w:ascii="宋体" w:hAnsi="宋体" w:cs="宋体" w:eastAsia="宋体" w:hint="default"/>
                <w:sz w:val="18"/>
                <w:szCs w:val="18"/>
              </w:rPr>
              <w:t>15</w:t>
            </w:r>
            <w:r>
              <w:rPr>
                <w:rFonts w:ascii="宋体" w:hAnsi="宋体" w:cs="宋体" w:eastAsia="宋体" w:hint="default"/>
                <w:spacing w:val="-58"/>
                <w:sz w:val="18"/>
                <w:szCs w:val="18"/>
              </w:rPr>
              <w:t> </w:t>
            </w:r>
            <w:r>
              <w:rPr>
                <w:rFonts w:ascii="宋体" w:hAnsi="宋体" w:cs="宋体" w:eastAsia="宋体" w:hint="default"/>
                <w:sz w:val="18"/>
                <w:szCs w:val="18"/>
              </w:rPr>
              <w:t>年的协议，</w:t>
            </w:r>
          </w:p>
          <w:p>
            <w:pPr>
              <w:pStyle w:val="TableParagraph"/>
              <w:spacing w:line="237" w:lineRule="auto" w:before="1"/>
              <w:ind w:left="103" w:right="13"/>
              <w:jc w:val="both"/>
              <w:rPr>
                <w:rFonts w:ascii="宋体" w:hAnsi="宋体" w:cs="宋体" w:eastAsia="宋体" w:hint="default"/>
                <w:sz w:val="18"/>
                <w:szCs w:val="18"/>
              </w:rPr>
            </w:pPr>
            <w:r>
              <w:rPr>
                <w:rFonts w:ascii="宋体" w:hAnsi="宋体" w:cs="宋体" w:eastAsia="宋体" w:hint="default"/>
                <w:sz w:val="18"/>
                <w:szCs w:val="18"/>
              </w:rPr>
              <w:t>委托方业主持续获得较好的商铺收益，受托方金原商业取得“金原商厦”商铺的使用、经营等权限可 提高收益，有利于金原商业提升营收并尽快扭亏为盈，对提升公司经营成果有利。若依据报告期营业 </w:t>
            </w:r>
            <w:r>
              <w:rPr>
                <w:rFonts w:ascii="宋体" w:hAnsi="宋体" w:cs="宋体" w:eastAsia="宋体" w:hint="default"/>
                <w:spacing w:val="-3"/>
                <w:sz w:val="18"/>
                <w:szCs w:val="18"/>
              </w:rPr>
              <w:t>期间月均收入计，报告期金原商厦闭店改造损失利润</w:t>
            </w:r>
            <w:r>
              <w:rPr>
                <w:rFonts w:ascii="宋体" w:hAnsi="宋体" w:cs="宋体" w:eastAsia="宋体" w:hint="default"/>
                <w:spacing w:val="-41"/>
                <w:sz w:val="18"/>
                <w:szCs w:val="18"/>
              </w:rPr>
              <w:t> </w:t>
            </w:r>
            <w:r>
              <w:rPr>
                <w:rFonts w:ascii="宋体" w:hAnsi="宋体" w:cs="宋体" w:eastAsia="宋体" w:hint="default"/>
                <w:sz w:val="18"/>
                <w:szCs w:val="18"/>
              </w:rPr>
              <w:t>1,757.90</w:t>
            </w:r>
            <w:r>
              <w:rPr>
                <w:rFonts w:ascii="宋体" w:hAnsi="宋体" w:cs="宋体" w:eastAsia="宋体" w:hint="default"/>
                <w:spacing w:val="-41"/>
                <w:sz w:val="18"/>
                <w:szCs w:val="18"/>
              </w:rPr>
              <w:t> </w:t>
            </w:r>
            <w:r>
              <w:rPr>
                <w:rFonts w:ascii="宋体" w:hAnsi="宋体" w:cs="宋体" w:eastAsia="宋体" w:hint="default"/>
                <w:sz w:val="18"/>
                <w:szCs w:val="18"/>
              </w:rPr>
              <w:t>万元对公司利润总额的影响是暂时的。</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1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协议主要内容</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委托方甲方权利义务：</w:t>
            </w:r>
            <w:r>
              <w:rPr>
                <w:rFonts w:ascii="宋体" w:hAnsi="宋体" w:cs="宋体" w:eastAsia="宋体" w:hint="default"/>
                <w:sz w:val="18"/>
                <w:szCs w:val="18"/>
              </w:rPr>
              <w:t>1</w:t>
            </w:r>
            <w:r>
              <w:rPr>
                <w:rFonts w:ascii="宋体" w:hAnsi="宋体" w:cs="宋体" w:eastAsia="宋体" w:hint="default"/>
                <w:sz w:val="18"/>
                <w:szCs w:val="18"/>
              </w:rPr>
              <w:t>、收益权；</w:t>
            </w:r>
            <w:r>
              <w:rPr>
                <w:rFonts w:ascii="宋体" w:hAnsi="宋体" w:cs="宋体" w:eastAsia="宋体" w:hint="default"/>
                <w:sz w:val="18"/>
                <w:szCs w:val="18"/>
              </w:rPr>
              <w:t>2</w:t>
            </w:r>
            <w:r>
              <w:rPr>
                <w:rFonts w:ascii="宋体" w:hAnsi="宋体" w:cs="宋体" w:eastAsia="宋体" w:hint="default"/>
                <w:sz w:val="18"/>
                <w:szCs w:val="18"/>
              </w:rPr>
              <w:t>、自行纳税；</w:t>
            </w:r>
            <w:r>
              <w:rPr>
                <w:rFonts w:ascii="宋体" w:hAnsi="宋体" w:cs="宋体" w:eastAsia="宋体" w:hint="default"/>
                <w:sz w:val="18"/>
                <w:szCs w:val="18"/>
              </w:rPr>
              <w:t>3</w:t>
            </w:r>
            <w:r>
              <w:rPr>
                <w:rFonts w:ascii="宋体" w:hAnsi="宋体" w:cs="宋体" w:eastAsia="宋体" w:hint="default"/>
                <w:sz w:val="18"/>
                <w:szCs w:val="18"/>
              </w:rPr>
              <w:t>、协议有效期内，不得以任何方式干扰或使</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乙方对该房产和本项目的经营管理受到不利影响；</w:t>
            </w:r>
            <w:r>
              <w:rPr>
                <w:rFonts w:ascii="宋体" w:hAnsi="宋体" w:cs="宋体" w:eastAsia="宋体" w:hint="default"/>
                <w:sz w:val="18"/>
                <w:szCs w:val="18"/>
              </w:rPr>
              <w:t>4</w:t>
            </w:r>
            <w:r>
              <w:rPr>
                <w:rFonts w:ascii="宋体" w:hAnsi="宋体" w:cs="宋体" w:eastAsia="宋体" w:hint="default"/>
                <w:sz w:val="18"/>
                <w:szCs w:val="18"/>
              </w:rPr>
              <w:t>、未经乙方同意，不得单方解除或终止本协议； </w:t>
            </w:r>
            <w:r>
              <w:rPr>
                <w:rFonts w:ascii="宋体" w:hAnsi="宋体" w:cs="宋体" w:eastAsia="宋体" w:hint="default"/>
                <w:spacing w:val="-2"/>
                <w:sz w:val="18"/>
                <w:szCs w:val="18"/>
              </w:rPr>
              <w:t>(</w:t>
            </w:r>
            <w:r>
              <w:rPr>
                <w:rFonts w:ascii="宋体" w:hAnsi="宋体" w:cs="宋体" w:eastAsia="宋体" w:hint="default"/>
                <w:spacing w:val="-2"/>
                <w:sz w:val="18"/>
                <w:szCs w:val="18"/>
              </w:rPr>
              <w:t>二</w:t>
            </w:r>
            <w:r>
              <w:rPr>
                <w:rFonts w:ascii="宋体" w:hAnsi="宋体" w:cs="宋体" w:eastAsia="宋体" w:hint="default"/>
                <w:spacing w:val="-2"/>
                <w:sz w:val="18"/>
                <w:szCs w:val="18"/>
              </w:rPr>
              <w:t>)</w:t>
            </w:r>
            <w:r>
              <w:rPr>
                <w:rFonts w:ascii="宋体" w:hAnsi="宋体" w:cs="宋体" w:eastAsia="宋体" w:hint="default"/>
                <w:spacing w:val="-2"/>
                <w:sz w:val="18"/>
                <w:szCs w:val="18"/>
              </w:rPr>
              <w:t>受托方乙方权利义务</w:t>
            </w:r>
            <w:r>
              <w:rPr>
                <w:rFonts w:ascii="宋体" w:hAnsi="宋体" w:cs="宋体" w:eastAsia="宋体" w:hint="default"/>
                <w:b/>
                <w:bCs/>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、有权自行决定对本协议项下该商铺的经营管理，包括但不限于使用权、</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经营权、收益权及商铺收益分配权；</w:t>
            </w:r>
            <w:r>
              <w:rPr>
                <w:rFonts w:ascii="宋体" w:hAnsi="宋体" w:cs="宋体" w:eastAsia="宋体" w:hint="default"/>
                <w:sz w:val="18"/>
                <w:szCs w:val="18"/>
              </w:rPr>
              <w:t>2</w:t>
            </w:r>
            <w:r>
              <w:rPr>
                <w:rFonts w:ascii="宋体" w:hAnsi="宋体" w:cs="宋体" w:eastAsia="宋体" w:hint="default"/>
                <w:sz w:val="18"/>
                <w:szCs w:val="18"/>
              </w:rPr>
              <w:t>、按约定向甲方支付收益；</w:t>
            </w:r>
            <w:r>
              <w:rPr>
                <w:rFonts w:ascii="宋体" w:hAnsi="宋体" w:cs="宋体" w:eastAsia="宋体" w:hint="default"/>
                <w:sz w:val="18"/>
                <w:szCs w:val="18"/>
              </w:rPr>
              <w:t>3</w:t>
            </w:r>
            <w:r>
              <w:rPr>
                <w:rFonts w:ascii="宋体" w:hAnsi="宋体" w:cs="宋体" w:eastAsia="宋体" w:hint="default"/>
                <w:sz w:val="18"/>
                <w:szCs w:val="18"/>
              </w:rPr>
              <w:t>、以自己的名义办理租赁及经营合 同的备案登记；</w:t>
            </w:r>
            <w:r>
              <w:rPr>
                <w:rFonts w:ascii="宋体" w:hAnsi="宋体" w:cs="宋体" w:eastAsia="宋体" w:hint="default"/>
                <w:sz w:val="18"/>
                <w:szCs w:val="18"/>
              </w:rPr>
              <w:t>4</w:t>
            </w:r>
            <w:r>
              <w:rPr>
                <w:rFonts w:ascii="宋体" w:hAnsi="宋体" w:cs="宋体" w:eastAsia="宋体" w:hint="default"/>
                <w:sz w:val="18"/>
                <w:szCs w:val="18"/>
              </w:rPr>
              <w:t>、有权根据经营需要对该商铺进行任何形式的结构改造、外墙、外部公共空间装修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改造及设施功能的调整，在协议有效期满交还甲方时不需要恢复原状。</w:t>
            </w:r>
            <w:r>
              <w:rPr>
                <w:rFonts w:ascii="宋体" w:hAnsi="宋体" w:cs="宋体" w:eastAsia="宋体" w:hint="default"/>
                <w:sz w:val="18"/>
                <w:szCs w:val="18"/>
              </w:rPr>
              <w:t>5</w:t>
            </w:r>
            <w:r>
              <w:rPr>
                <w:rFonts w:ascii="宋体" w:hAnsi="宋体" w:cs="宋体" w:eastAsia="宋体" w:hint="default"/>
                <w:sz w:val="18"/>
                <w:szCs w:val="18"/>
              </w:rPr>
              <w:t>、协议有效期内，全权负责</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房产的日常装修、装饰。</w:t>
            </w:r>
            <w:r>
              <w:rPr>
                <w:rFonts w:ascii="宋体" w:hAnsi="宋体" w:cs="宋体" w:eastAsia="宋体" w:hint="default"/>
                <w:sz w:val="18"/>
                <w:szCs w:val="18"/>
              </w:rPr>
              <w:t>6</w:t>
            </w:r>
            <w:r>
              <w:rPr>
                <w:rFonts w:ascii="宋体" w:hAnsi="宋体" w:cs="宋体" w:eastAsia="宋体" w:hint="default"/>
                <w:sz w:val="18"/>
                <w:szCs w:val="18"/>
              </w:rPr>
              <w:t>、除按约定支付给甲方的收益外，全部收入归乙方所有。 </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违约责任：甲方如做出任何可能导致乙方无法正常经营管理的行为，乙方有权立即单方解除或终 止本协议，并有权要求甲方赔偿因上述不当行为给乙方造成的全部损失（包括直接经济损失和间接预 </w:t>
            </w:r>
            <w:r>
              <w:rPr>
                <w:rFonts w:ascii="宋体" w:hAnsi="宋体" w:cs="宋体" w:eastAsia="宋体" w:hint="default"/>
                <w:spacing w:val="-13"/>
                <w:sz w:val="18"/>
                <w:szCs w:val="18"/>
              </w:rPr>
              <w:t>期利益损失）。</w:t>
            </w:r>
            <w:r>
              <w:rPr>
                <w:rFonts w:ascii="宋体" w:hAnsi="宋体" w:cs="宋体" w:eastAsia="宋体" w:hint="default"/>
                <w:sz w:val="18"/>
                <w:szCs w:val="18"/>
              </w:rPr>
              <w:t> 除约定的协议解除和终止情形外，任何一方不得单方解除或终止本协议。否则，违约方应向守约方支 付违约金，违约金按照本合同约定剩余未履行期间的商铺收益计算，且本协议继续履行。</w:t>
            </w:r>
          </w:p>
        </w:tc>
      </w:tr>
    </w:tbl>
    <w:p>
      <w:pPr>
        <w:spacing w:after="0" w:line="237"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326" w:lineRule="auto" w:before="35"/>
        <w:ind w:left="824" w:right="1175"/>
        <w:jc w:val="left"/>
      </w:pPr>
      <w:r>
        <w:rPr/>
        <w:t>二、租赁事项 </w:t>
      </w:r>
      <w:r>
        <w:rPr>
          <w:spacing w:val="-1"/>
        </w:rPr>
        <w:t>以前期间发生但延续到报告期的其他公司租赁公司资产事项概述。公司间接控股公司淮南茂业与合</w:t>
      </w:r>
    </w:p>
    <w:p>
      <w:pPr>
        <w:pStyle w:val="BodyText"/>
        <w:spacing w:line="236" w:lineRule="exact" w:before="0"/>
        <w:ind w:right="418"/>
        <w:jc w:val="left"/>
      </w:pPr>
      <w:r>
        <w:rPr/>
        <w:t>肥智谷商业地产营销运营管理有限公司签</w:t>
      </w:r>
      <w:r>
        <w:rPr>
          <w:spacing w:val="-10"/>
        </w:rPr>
        <w:t>署</w:t>
      </w:r>
      <w:r>
        <w:rPr/>
        <w:t>《房屋租赁合同</w:t>
      </w:r>
      <w:r>
        <w:rPr>
          <w:spacing w:val="-105"/>
        </w:rPr>
        <w:t>》</w:t>
      </w:r>
      <w:r>
        <w:rPr>
          <w:spacing w:val="-10"/>
        </w:rPr>
        <w:t>，将</w:t>
      </w:r>
      <w:r>
        <w:rPr/>
        <w:t>“</w:t>
      </w:r>
      <w:r>
        <w:rPr>
          <w:spacing w:val="-2"/>
        </w:rPr>
        <w:t>古</w:t>
      </w:r>
      <w:r>
        <w:rPr/>
        <w:t>玩市场项目</w:t>
      </w:r>
      <w:r>
        <w:rPr>
          <w:spacing w:val="-10"/>
        </w:rPr>
        <w:t>”</w:t>
      </w:r>
      <w:r>
        <w:rPr/>
        <w:t>建筑面积</w:t>
      </w:r>
      <w:r>
        <w:rPr>
          <w:spacing w:val="-51"/>
        </w:rPr>
        <w:t> </w:t>
      </w:r>
      <w:r>
        <w:rPr>
          <w:rFonts w:ascii="宋体" w:hAnsi="宋体" w:cs="宋体" w:eastAsia="宋体" w:hint="default"/>
        </w:rPr>
        <w:t>2.33</w:t>
      </w:r>
      <w:r>
        <w:rPr>
          <w:rFonts w:ascii="宋体" w:hAnsi="宋体" w:cs="宋体" w:eastAsia="宋体" w:hint="default"/>
          <w:spacing w:val="-53"/>
        </w:rPr>
        <w:t> </w:t>
      </w:r>
      <w:r>
        <w:rPr/>
        <w:t>万平</w:t>
      </w:r>
    </w:p>
    <w:p>
      <w:pPr>
        <w:pStyle w:val="BodyText"/>
        <w:spacing w:line="240" w:lineRule="auto" w:before="37"/>
        <w:ind w:right="418"/>
        <w:jc w:val="left"/>
        <w:rPr>
          <w:rFonts w:ascii="宋体" w:hAnsi="宋体" w:cs="宋体" w:eastAsia="宋体" w:hint="default"/>
        </w:rPr>
      </w:pPr>
      <w:r>
        <w:rPr/>
        <w:t>方米场地，整体出租给合肥智谷用于“合肥瑶海”家具淮南卖场，租期自</w:t>
      </w:r>
      <w:r>
        <w:rPr>
          <w:spacing w:val="-52"/>
        </w:rPr>
        <w:t> </w:t>
      </w:r>
      <w:r>
        <w:rPr>
          <w:rFonts w:ascii="宋体" w:hAnsi="宋体" w:cs="宋体" w:eastAsia="宋体" w:hint="default"/>
        </w:rPr>
        <w:t>2013</w:t>
      </w:r>
      <w:r>
        <w:rPr>
          <w:rFonts w:ascii="宋体" w:hAnsi="宋体" w:cs="宋体" w:eastAsia="宋体" w:hint="default"/>
          <w:spacing w:val="-51"/>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t>日起至</w:t>
      </w:r>
      <w:r>
        <w:rPr>
          <w:spacing w:val="-52"/>
        </w:rPr>
        <w:t> </w:t>
      </w:r>
      <w:r>
        <w:rPr>
          <w:rFonts w:ascii="宋体" w:hAnsi="宋体" w:cs="宋体" w:eastAsia="宋体" w:hint="default"/>
        </w:rPr>
        <w:t>2023</w:t>
      </w:r>
    </w:p>
    <w:p>
      <w:pPr>
        <w:pStyle w:val="BodyText"/>
        <w:spacing w:line="240" w:lineRule="auto" w:before="37"/>
        <w:ind w:right="418"/>
        <w:jc w:val="left"/>
      </w:pPr>
      <w:r>
        <w:rPr/>
        <w:t>年</w:t>
      </w:r>
      <w:r>
        <w:rPr>
          <w:spacing w:val="-47"/>
        </w:rPr>
        <w:t> </w:t>
      </w:r>
      <w:r>
        <w:rPr>
          <w:rFonts w:ascii="宋体" w:hAnsi="宋体" w:cs="宋体" w:eastAsia="宋体" w:hint="default"/>
        </w:rPr>
        <w:t>11</w:t>
      </w:r>
      <w:r>
        <w:rPr>
          <w:rFonts w:ascii="宋体" w:hAnsi="宋体" w:cs="宋体" w:eastAsia="宋体" w:hint="default"/>
          <w:spacing w:val="-46"/>
        </w:rPr>
        <w:t> </w:t>
      </w:r>
      <w:r>
        <w:rPr/>
        <w:t>月</w:t>
      </w:r>
      <w:r>
        <w:rPr>
          <w:spacing w:val="-47"/>
        </w:rPr>
        <w:t> </w:t>
      </w:r>
      <w:r>
        <w:rPr>
          <w:rFonts w:ascii="宋体" w:hAnsi="宋体" w:cs="宋体" w:eastAsia="宋体" w:hint="default"/>
        </w:rPr>
        <w:t>27</w:t>
      </w:r>
      <w:r>
        <w:rPr>
          <w:rFonts w:ascii="宋体" w:hAnsi="宋体" w:cs="宋体" w:eastAsia="宋体" w:hint="default"/>
          <w:spacing w:val="-47"/>
        </w:rPr>
        <w:t> </w:t>
      </w:r>
      <w:r>
        <w:rPr/>
        <w:t>日止，共</w:t>
      </w:r>
      <w:r>
        <w:rPr>
          <w:spacing w:val="-47"/>
        </w:rPr>
        <w:t> </w:t>
      </w:r>
      <w:r>
        <w:rPr>
          <w:rFonts w:ascii="宋体" w:hAnsi="宋体" w:cs="宋体" w:eastAsia="宋体" w:hint="default"/>
        </w:rPr>
        <w:t>10</w:t>
      </w:r>
      <w:r>
        <w:rPr>
          <w:rFonts w:ascii="宋体" w:hAnsi="宋体" w:cs="宋体" w:eastAsia="宋体" w:hint="default"/>
          <w:spacing w:val="-47"/>
        </w:rPr>
        <w:t> </w:t>
      </w:r>
      <w:r>
        <w:rPr/>
        <w:t>年；期间租金累计</w:t>
      </w:r>
      <w:r>
        <w:rPr>
          <w:spacing w:val="-46"/>
        </w:rPr>
        <w:t> </w:t>
      </w:r>
      <w:r>
        <w:rPr>
          <w:rFonts w:ascii="宋体" w:hAnsi="宋体" w:cs="宋体" w:eastAsia="宋体" w:hint="default"/>
        </w:rPr>
        <w:t>3,353.61</w:t>
      </w:r>
      <w:r>
        <w:rPr>
          <w:rFonts w:ascii="宋体" w:hAnsi="宋体" w:cs="宋体" w:eastAsia="宋体" w:hint="default"/>
          <w:spacing w:val="-45"/>
        </w:rPr>
        <w:t> </w:t>
      </w:r>
      <w:r>
        <w:rPr/>
        <w:t>万元。该合同在执行中，有关详情可查阅</w:t>
      </w:r>
      <w:r>
        <w:rPr>
          <w:spacing w:val="-47"/>
        </w:rPr>
        <w:t> </w:t>
      </w:r>
      <w:r>
        <w:rPr>
          <w:rFonts w:ascii="宋体" w:hAnsi="宋体" w:cs="宋体" w:eastAsia="宋体" w:hint="default"/>
        </w:rPr>
        <w:t>2013</w:t>
      </w:r>
      <w:r>
        <w:rPr>
          <w:rFonts w:ascii="宋体" w:hAnsi="宋体" w:cs="宋体" w:eastAsia="宋体" w:hint="default"/>
          <w:spacing w:val="-47"/>
        </w:rPr>
        <w:t> </w:t>
      </w:r>
      <w:r>
        <w:rPr/>
        <w:t>年</w:t>
      </w:r>
    </w:p>
    <w:p>
      <w:pPr>
        <w:pStyle w:val="BodyText"/>
        <w:spacing w:line="273" w:lineRule="auto" w:before="37"/>
        <w:ind w:left="824" w:right="1173" w:hanging="421"/>
        <w:jc w:val="left"/>
      </w:pPr>
      <w:r>
        <w:rPr>
          <w:rFonts w:ascii="宋体" w:hAnsi="宋体" w:cs="宋体" w:eastAsia="宋体" w:hint="default"/>
        </w:rPr>
        <w:t>10</w:t>
      </w:r>
      <w:r>
        <w:rPr>
          <w:rFonts w:ascii="宋体" w:hAnsi="宋体" w:cs="宋体" w:eastAsia="宋体" w:hint="default"/>
          <w:spacing w:val="-53"/>
        </w:rPr>
        <w:t> </w:t>
      </w:r>
      <w:r>
        <w:rPr/>
        <w:t>月</w:t>
      </w:r>
      <w:r>
        <w:rPr>
          <w:spacing w:val="-52"/>
        </w:rPr>
        <w:t> </w:t>
      </w:r>
      <w:r>
        <w:rPr>
          <w:rFonts w:ascii="宋体" w:hAnsi="宋体" w:cs="宋体" w:eastAsia="宋体" w:hint="default"/>
          <w:spacing w:val="-1"/>
        </w:rPr>
        <w:t>24</w:t>
      </w:r>
      <w:r>
        <w:rPr>
          <w:rFonts w:ascii="宋体" w:hAnsi="宋体" w:cs="宋体" w:eastAsia="宋体" w:hint="default"/>
          <w:spacing w:val="-52"/>
        </w:rPr>
        <w:t> </w:t>
      </w:r>
      <w:r>
        <w:rPr>
          <w:spacing w:val="-7"/>
        </w:rPr>
        <w:t>日刊载于巨潮资讯网上的《公司间接控股公司淮南国润租出资产的公告》。</w:t>
      </w:r>
      <w:r>
        <w:rPr>
          <w:spacing w:val="-87"/>
        </w:rPr>
        <w:t> </w:t>
      </w:r>
      <w:r>
        <w:rPr>
          <w:spacing w:val="-87"/>
        </w:rPr>
      </w:r>
      <w:r>
        <w:rPr/>
        <w:t>报告期不存在为公司带来的损益达到公司报告期利润总额</w:t>
      </w:r>
      <w:r>
        <w:rPr>
          <w:spacing w:val="-41"/>
        </w:rPr>
        <w:t> </w:t>
      </w:r>
      <w:r>
        <w:rPr>
          <w:rFonts w:ascii="宋体" w:hAnsi="宋体" w:cs="宋体" w:eastAsia="宋体" w:hint="default"/>
        </w:rPr>
        <w:t>10%</w:t>
      </w:r>
      <w:r>
        <w:rPr/>
        <w:t>以上的租赁项目，不存在其他应披露</w:t>
      </w:r>
    </w:p>
    <w:p>
      <w:pPr>
        <w:pStyle w:val="BodyText"/>
        <w:spacing w:line="240" w:lineRule="auto"/>
        <w:ind w:right="5945"/>
        <w:jc w:val="left"/>
      </w:pPr>
      <w:r>
        <w:rPr/>
        <w:t>租赁项目。</w:t>
      </w:r>
    </w:p>
    <w:p>
      <w:pPr>
        <w:pStyle w:val="BodyText"/>
        <w:spacing w:line="271" w:lineRule="auto" w:before="130"/>
        <w:ind w:left="824" w:right="1175"/>
        <w:jc w:val="left"/>
      </w:pPr>
      <w:r>
        <w:rPr/>
        <w:t>三、担保事项 </w:t>
      </w:r>
      <w:r>
        <w:rPr>
          <w:spacing w:val="-1"/>
        </w:rPr>
        <w:t>公司没有对外和对子公司提供一般担保或连带责任担保，除控股子公司安徽国润为所属子公司提供</w:t>
      </w:r>
    </w:p>
    <w:p>
      <w:pPr>
        <w:pStyle w:val="BodyText"/>
        <w:spacing w:line="273" w:lineRule="auto" w:before="10"/>
        <w:ind w:right="1174"/>
        <w:jc w:val="left"/>
        <w:rPr>
          <w:rFonts w:ascii="宋体" w:hAnsi="宋体" w:cs="宋体" w:eastAsia="宋体" w:hint="default"/>
        </w:rPr>
      </w:pPr>
      <w:r>
        <w:rPr>
          <w:spacing w:val="-1"/>
        </w:rPr>
        <w:t>连带责任担保外，公司无报告期内履行的及尚未履行完毕的担保合同，无逾期担保，无为股东、实际控</w:t>
      </w:r>
      <w:r>
        <w:rPr>
          <w:spacing w:val="-100"/>
        </w:rPr>
        <w:t> </w:t>
      </w:r>
      <w:r>
        <w:rPr>
          <w:spacing w:val="-100"/>
        </w:rPr>
      </w:r>
      <w:r>
        <w:rPr>
          <w:spacing w:val="-3"/>
        </w:rPr>
        <w:t>制人及其关联方提供的担保，无直接或间接为资产负债率超过 </w:t>
      </w:r>
      <w:r>
        <w:rPr>
          <w:rFonts w:ascii="宋体" w:hAnsi="宋体" w:cs="宋体" w:eastAsia="宋体" w:hint="default"/>
          <w:spacing w:val="-5"/>
        </w:rPr>
        <w:t>70%</w:t>
      </w:r>
      <w:r>
        <w:rPr>
          <w:spacing w:val="-5"/>
        </w:rPr>
        <w:t>的对象提供担保，无为本公司持股</w:t>
      </w:r>
      <w:r>
        <w:rPr>
          <w:spacing w:val="-78"/>
        </w:rPr>
        <w:t> </w:t>
      </w:r>
      <w:r>
        <w:rPr>
          <w:rFonts w:ascii="宋体" w:hAnsi="宋体" w:cs="宋体" w:eastAsia="宋体" w:hint="default"/>
        </w:rPr>
        <w:t>50%</w:t>
      </w:r>
    </w:p>
    <w:p>
      <w:pPr>
        <w:pStyle w:val="BodyText"/>
        <w:spacing w:line="273" w:lineRule="auto"/>
        <w:ind w:right="1182"/>
        <w:jc w:val="left"/>
      </w:pPr>
      <w:r>
        <w:rPr>
          <w:spacing w:val="-10"/>
        </w:rPr>
        <w:t>以下的其他关联方、其他法人、任何非法人单位或个人提供担保。截至报告期末，公司累计担保额度</w:t>
      </w:r>
      <w:r>
        <w:rPr>
          <w:spacing w:val="-30"/>
        </w:rPr>
        <w:t> </w:t>
      </w:r>
      <w:r>
        <w:rPr>
          <w:rFonts w:ascii="宋体" w:hAnsi="宋体" w:cs="宋体" w:eastAsia="宋体" w:hint="default"/>
        </w:rPr>
        <w:t>1,000</w:t>
      </w:r>
      <w:r>
        <w:rPr>
          <w:rFonts w:ascii="宋体" w:hAnsi="宋体" w:cs="宋体" w:eastAsia="宋体" w:hint="default"/>
          <w:spacing w:val="-100"/>
        </w:rPr>
        <w:t> </w:t>
      </w:r>
      <w:r>
        <w:rPr>
          <w:rFonts w:ascii="宋体" w:hAnsi="宋体" w:cs="宋体" w:eastAsia="宋体" w:hint="default"/>
          <w:spacing w:val="-100"/>
        </w:rPr>
      </w:r>
      <w:r>
        <w:rPr/>
        <w:t>万元，实际担保金额</w:t>
      </w:r>
      <w:r>
        <w:rPr>
          <w:spacing w:val="-54"/>
        </w:rPr>
        <w:t> </w:t>
      </w:r>
      <w:r>
        <w:rPr>
          <w:rFonts w:ascii="宋体" w:hAnsi="宋体" w:cs="宋体" w:eastAsia="宋体" w:hint="default"/>
        </w:rPr>
        <w:t>447.33</w:t>
      </w:r>
      <w:r>
        <w:rPr>
          <w:rFonts w:ascii="宋体" w:hAnsi="宋体" w:cs="宋体" w:eastAsia="宋体" w:hint="default"/>
          <w:spacing w:val="-54"/>
        </w:rPr>
        <w:t> </w:t>
      </w:r>
      <w:r>
        <w:rPr/>
        <w:t>万元，占公司最近一期经审计净资产的</w:t>
      </w:r>
      <w:r>
        <w:rPr>
          <w:spacing w:val="-53"/>
        </w:rPr>
        <w:t> </w:t>
      </w:r>
      <w:r>
        <w:rPr>
          <w:rFonts w:ascii="宋体" w:hAnsi="宋体" w:cs="宋体" w:eastAsia="宋体" w:hint="default"/>
        </w:rPr>
        <w:t>0.21%</w:t>
      </w:r>
      <w:r>
        <w:rPr/>
        <w:t>。</w:t>
      </w:r>
    </w:p>
    <w:p>
      <w:pPr>
        <w:pStyle w:val="BodyText"/>
        <w:spacing w:line="273" w:lineRule="auto" w:before="101"/>
        <w:ind w:left="824" w:right="117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报告期内履行的及尚未履行完毕的担保合同 </w:t>
      </w:r>
      <w:r>
        <w:rPr>
          <w:spacing w:val="-1"/>
        </w:rPr>
        <w:t>安徽国润于</w:t>
      </w:r>
      <w:r>
        <w:rPr>
          <w:rFonts w:ascii="宋体" w:hAnsi="宋体" w:cs="宋体" w:eastAsia="宋体" w:hint="default"/>
          <w:spacing w:val="-1"/>
        </w:rPr>
        <w:t>2007</w:t>
      </w:r>
      <w:r>
        <w:rPr>
          <w:spacing w:val="-1"/>
        </w:rPr>
        <w:t>年为其所属控股子公司淮南茂业的商铺销售按揭贷款业务，向债权人交通银行淮南</w:t>
      </w:r>
    </w:p>
    <w:p>
      <w:pPr>
        <w:pStyle w:val="BodyText"/>
        <w:spacing w:line="273" w:lineRule="auto"/>
        <w:ind w:left="826" w:right="2077" w:hanging="422"/>
        <w:jc w:val="left"/>
      </w:pPr>
      <w:r>
        <w:rPr/>
        <w:t>分行提供连带责任保证，担保金额</w:t>
      </w:r>
      <w:r>
        <w:rPr>
          <w:rFonts w:ascii="宋体" w:hAnsi="宋体" w:cs="宋体" w:eastAsia="宋体" w:hint="default"/>
        </w:rPr>
        <w:t>1,000</w:t>
      </w:r>
      <w:r>
        <w:rPr/>
        <w:t>万元，期限为该担保项下各笔按揭贷款的起止时间。 上述担保合同经当年的公司董事会同意，没有证据表明有可能承担连带清偿责任。</w:t>
      </w:r>
    </w:p>
    <w:p>
      <w:pPr>
        <w:pStyle w:val="BodyText"/>
        <w:spacing w:line="240" w:lineRule="auto" w:before="101"/>
        <w:ind w:left="824" w:right="59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担保分项列示：</w:t>
      </w:r>
      <w:r>
        <w:rPr>
          <w:rFonts w:ascii="宋体" w:hAnsi="宋体" w:cs="宋体" w:eastAsia="宋体" w:hint="default"/>
        </w:rPr>
        <w:t>(</w:t>
      </w:r>
      <w:r>
        <w:rPr/>
        <w:t>单位：万元</w:t>
      </w:r>
      <w:r>
        <w:rPr>
          <w:rFonts w:ascii="宋体" w:hAnsi="宋体" w:cs="宋体" w:eastAsia="宋体" w:hint="default"/>
        </w:rPr>
        <w:t>)</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1276"/>
        <w:gridCol w:w="969"/>
        <w:gridCol w:w="165"/>
        <w:gridCol w:w="993"/>
        <w:gridCol w:w="142"/>
        <w:gridCol w:w="143"/>
        <w:gridCol w:w="566"/>
        <w:gridCol w:w="425"/>
        <w:gridCol w:w="143"/>
        <w:gridCol w:w="359"/>
        <w:gridCol w:w="633"/>
        <w:gridCol w:w="709"/>
        <w:gridCol w:w="425"/>
        <w:gridCol w:w="284"/>
        <w:gridCol w:w="420"/>
        <w:gridCol w:w="148"/>
        <w:gridCol w:w="708"/>
      </w:tblGrid>
      <w:tr>
        <w:trPr>
          <w:trHeight w:val="322" w:hRule="exact"/>
        </w:trPr>
        <w:tc>
          <w:tcPr>
            <w:tcW w:w="9925"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5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0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22" w:right="16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24" w:right="89"/>
              <w:jc w:val="left"/>
              <w:rPr>
                <w:rFonts w:ascii="宋体" w:hAnsi="宋体" w:cs="宋体" w:eastAsia="宋体" w:hint="default"/>
                <w:sz w:val="18"/>
                <w:szCs w:val="18"/>
              </w:rPr>
            </w:pPr>
            <w:r>
              <w:rPr>
                <w:rFonts w:ascii="宋体" w:hAnsi="宋体" w:cs="宋体" w:eastAsia="宋体" w:hint="default"/>
                <w:sz w:val="18"/>
                <w:szCs w:val="18"/>
              </w:rPr>
              <w:t>实际发生日期 </w:t>
            </w:r>
            <w:r>
              <w:rPr>
                <w:rFonts w:ascii="宋体" w:hAnsi="宋体" w:cs="宋体" w:eastAsia="宋体" w:hint="default"/>
                <w:sz w:val="18"/>
                <w:szCs w:val="18"/>
              </w:rPr>
              <w:t>(</w:t>
            </w:r>
            <w:r>
              <w:rPr>
                <w:rFonts w:ascii="宋体" w:hAnsi="宋体" w:cs="宋体" w:eastAsia="宋体" w:hint="default"/>
                <w:sz w:val="18"/>
                <w:szCs w:val="18"/>
              </w:rPr>
              <w:t>协议签署日</w:t>
            </w:r>
            <w:r>
              <w:rPr>
                <w:rFonts w:ascii="宋体" w:hAnsi="宋体" w:cs="宋体" w:eastAsia="宋体" w:hint="default"/>
                <w:sz w:val="18"/>
                <w:szCs w:val="18"/>
              </w:rPr>
              <w:t>)</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22" w:right="96"/>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7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22" w:right="13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22" w:right="101"/>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淮南茂业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8"/>
              <w:jc w:val="right"/>
              <w:rPr>
                <w:rFonts w:ascii="宋体" w:hAnsi="宋体" w:cs="宋体" w:eastAsia="宋体" w:hint="default"/>
                <w:sz w:val="18"/>
                <w:szCs w:val="18"/>
              </w:rPr>
            </w:pPr>
            <w:r>
              <w:rPr>
                <w:rFonts w:ascii="宋体"/>
                <w:sz w:val="18"/>
              </w:rPr>
              <w:t>1,000</w:t>
            </w:r>
          </w:p>
        </w:tc>
        <w:tc>
          <w:tcPr>
            <w:tcW w:w="1158"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8" w:right="0"/>
              <w:jc w:val="left"/>
              <w:rPr>
                <w:rFonts w:ascii="宋体" w:hAnsi="宋体" w:cs="宋体" w:eastAsia="宋体" w:hint="default"/>
                <w:sz w:val="18"/>
                <w:szCs w:val="18"/>
              </w:rPr>
            </w:pPr>
            <w:r>
              <w:rPr>
                <w:rFonts w:ascii="宋体"/>
                <w:sz w:val="18"/>
              </w:rPr>
              <w:t>447.33</w:t>
            </w:r>
          </w:p>
        </w:tc>
        <w:tc>
          <w:tcPr>
            <w:tcW w:w="9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2"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7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担保项下各笔按揭贷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款的起止时间</w:t>
            </w:r>
          </w:p>
        </w:tc>
        <w:tc>
          <w:tcPr>
            <w:tcW w:w="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36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宋体" w:hAnsi="宋体" w:cs="宋体" w:eastAsia="宋体" w:hint="default"/>
                <w:sz w:val="18"/>
                <w:szCs w:val="18"/>
              </w:rPr>
              <w:t>(A1)</w:t>
            </w:r>
          </w:p>
        </w:tc>
        <w:tc>
          <w:tcPr>
            <w:tcW w:w="115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43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宋体" w:hAnsi="宋体" w:cs="宋体" w:eastAsia="宋体" w:hint="default"/>
                <w:sz w:val="18"/>
                <w:szCs w:val="18"/>
              </w:rPr>
              <w:t>(A2)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582.75</w:t>
            </w:r>
          </w:p>
        </w:tc>
      </w:tr>
      <w:tr>
        <w:trPr>
          <w:trHeight w:val="322" w:hRule="exact"/>
        </w:trPr>
        <w:tc>
          <w:tcPr>
            <w:tcW w:w="36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宋体" w:hAnsi="宋体" w:cs="宋体" w:eastAsia="宋体" w:hint="default"/>
                <w:sz w:val="18"/>
                <w:szCs w:val="18"/>
              </w:rPr>
              <w:t>(A3)</w:t>
            </w:r>
          </w:p>
        </w:tc>
        <w:tc>
          <w:tcPr>
            <w:tcW w:w="115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78" w:right="0"/>
              <w:jc w:val="left"/>
              <w:rPr>
                <w:rFonts w:ascii="宋体" w:hAnsi="宋体" w:cs="宋体" w:eastAsia="宋体" w:hint="default"/>
                <w:sz w:val="18"/>
                <w:szCs w:val="18"/>
              </w:rPr>
            </w:pPr>
            <w:r>
              <w:rPr>
                <w:rFonts w:ascii="宋体"/>
                <w:sz w:val="18"/>
              </w:rPr>
              <w:t>1,000</w:t>
            </w:r>
          </w:p>
        </w:tc>
        <w:tc>
          <w:tcPr>
            <w:tcW w:w="43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宋体" w:hAnsi="宋体" w:cs="宋体" w:eastAsia="宋体" w:hint="default"/>
                <w:sz w:val="18"/>
                <w:szCs w:val="18"/>
              </w:rPr>
              <w:t>(A4)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447.33</w:t>
            </w:r>
          </w:p>
        </w:tc>
      </w:tr>
      <w:tr>
        <w:trPr>
          <w:trHeight w:val="322" w:hRule="exact"/>
        </w:trPr>
        <w:tc>
          <w:tcPr>
            <w:tcW w:w="9925"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34" w:lineRule="exact"/>
              <w:ind w:left="92"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46" w:right="-17"/>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4" w:lineRule="exact"/>
              <w:ind w:left="79"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担保</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r>
      <w:tr>
        <w:trPr>
          <w:trHeight w:val="322" w:hRule="exact"/>
        </w:trPr>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(B1)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0" w:right="0"/>
              <w:jc w:val="left"/>
              <w:rPr>
                <w:rFonts w:ascii="宋体" w:hAnsi="宋体" w:cs="宋体" w:eastAsia="宋体" w:hint="default"/>
                <w:sz w:val="18"/>
                <w:szCs w:val="18"/>
              </w:rPr>
            </w:pPr>
            <w:r>
              <w:rPr>
                <w:rFonts w:ascii="宋体"/>
                <w:sz w:val="18"/>
              </w:rPr>
              <w:t>0.00</w:t>
            </w:r>
          </w:p>
        </w:tc>
        <w:tc>
          <w:tcPr>
            <w:tcW w:w="3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宋体" w:hAnsi="宋体" w:cs="宋体" w:eastAsia="宋体" w:hint="default"/>
                <w:sz w:val="18"/>
                <w:szCs w:val="18"/>
              </w:rPr>
              <w:t>(B2)</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宋体" w:hAnsi="宋体" w:cs="宋体" w:eastAsia="宋体" w:hint="default"/>
                <w:sz w:val="18"/>
                <w:szCs w:val="18"/>
              </w:rPr>
              <w:t>(B3)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0" w:right="0"/>
              <w:jc w:val="left"/>
              <w:rPr>
                <w:rFonts w:ascii="宋体" w:hAnsi="宋体" w:cs="宋体" w:eastAsia="宋体" w:hint="default"/>
                <w:sz w:val="18"/>
                <w:szCs w:val="18"/>
              </w:rPr>
            </w:pPr>
            <w:r>
              <w:rPr>
                <w:rFonts w:ascii="宋体"/>
                <w:sz w:val="18"/>
              </w:rPr>
              <w:t>0.00</w:t>
            </w:r>
          </w:p>
        </w:tc>
        <w:tc>
          <w:tcPr>
            <w:tcW w:w="3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宋体" w:hAnsi="宋体" w:cs="宋体" w:eastAsia="宋体" w:hint="default"/>
                <w:sz w:val="18"/>
                <w:szCs w:val="18"/>
              </w:rPr>
              <w:t>(B4)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9925"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公司担保总额</w:t>
            </w:r>
            <w:r>
              <w:rPr>
                <w:rFonts w:ascii="宋体" w:hAnsi="宋体" w:cs="宋体" w:eastAsia="宋体" w:hint="default"/>
                <w:sz w:val="18"/>
                <w:szCs w:val="18"/>
              </w:rPr>
              <w:t>(</w:t>
            </w:r>
            <w:r>
              <w:rPr>
                <w:rFonts w:ascii="宋体" w:hAnsi="宋体" w:cs="宋体" w:eastAsia="宋体" w:hint="default"/>
                <w:sz w:val="18"/>
                <w:szCs w:val="18"/>
              </w:rPr>
              <w:t>即前两大项的合计</w:t>
            </w:r>
            <w:r>
              <w:rPr>
                <w:rFonts w:ascii="宋体" w:hAnsi="宋体" w:cs="宋体" w:eastAsia="宋体" w:hint="default"/>
                <w:sz w:val="18"/>
                <w:szCs w:val="18"/>
              </w:rPr>
              <w:t>)1,000</w:t>
            </w:r>
          </w:p>
        </w:tc>
      </w:tr>
      <w:tr>
        <w:trPr>
          <w:trHeight w:val="322" w:hRule="exact"/>
        </w:trPr>
        <w:tc>
          <w:tcPr>
            <w:tcW w:w="3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w:t>
            </w:r>
          </w:p>
        </w:tc>
        <w:tc>
          <w:tcPr>
            <w:tcW w:w="14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35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宋体" w:hAnsi="宋体" w:cs="宋体" w:eastAsia="宋体" w:hint="default"/>
                <w:sz w:val="18"/>
                <w:szCs w:val="18"/>
              </w:rPr>
              <w:t>(A2+B2)</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02" w:right="0"/>
              <w:jc w:val="left"/>
              <w:rPr>
                <w:rFonts w:ascii="宋体" w:hAnsi="宋体" w:cs="宋体" w:eastAsia="宋体" w:hint="default"/>
                <w:sz w:val="18"/>
                <w:szCs w:val="18"/>
              </w:rPr>
            </w:pPr>
            <w:r>
              <w:rPr>
                <w:rFonts w:ascii="宋体"/>
                <w:sz w:val="18"/>
              </w:rPr>
              <w:t>582.75</w:t>
            </w:r>
          </w:p>
        </w:tc>
      </w:tr>
      <w:tr>
        <w:trPr>
          <w:trHeight w:val="406" w:hRule="exact"/>
        </w:trPr>
        <w:tc>
          <w:tcPr>
            <w:tcW w:w="3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宋体" w:hAnsi="宋体" w:cs="宋体" w:eastAsia="宋体" w:hint="default"/>
                <w:sz w:val="18"/>
                <w:szCs w:val="18"/>
              </w:rPr>
              <w:t>(A3+B3)</w:t>
            </w:r>
          </w:p>
        </w:tc>
        <w:tc>
          <w:tcPr>
            <w:tcW w:w="14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w:t>
            </w:r>
          </w:p>
        </w:tc>
        <w:tc>
          <w:tcPr>
            <w:tcW w:w="35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宋体" w:hAnsi="宋体" w:cs="宋体" w:eastAsia="宋体" w:hint="default"/>
                <w:sz w:val="18"/>
                <w:szCs w:val="18"/>
              </w:rPr>
              <w:t>(A4+B4)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2" w:right="0"/>
              <w:jc w:val="left"/>
              <w:rPr>
                <w:rFonts w:ascii="宋体" w:hAnsi="宋体" w:cs="宋体" w:eastAsia="宋体" w:hint="default"/>
                <w:sz w:val="18"/>
                <w:szCs w:val="18"/>
              </w:rPr>
            </w:pPr>
            <w:r>
              <w:rPr>
                <w:rFonts w:ascii="宋体"/>
                <w:sz w:val="18"/>
              </w:rPr>
              <w:t>447.33</w:t>
            </w:r>
          </w:p>
        </w:tc>
      </w:tr>
      <w:tr>
        <w:trPr>
          <w:trHeight w:val="419" w:hRule="exact"/>
        </w:trPr>
        <w:tc>
          <w:tcPr>
            <w:tcW w:w="51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实际担保总额</w:t>
            </w:r>
            <w:r>
              <w:rPr>
                <w:rFonts w:ascii="宋体" w:hAnsi="宋体" w:cs="宋体" w:eastAsia="宋体" w:hint="default"/>
                <w:sz w:val="18"/>
                <w:szCs w:val="18"/>
              </w:rPr>
              <w:t>(</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r>
              <w:rPr>
                <w:rFonts w:ascii="宋体" w:hAnsi="宋体" w:cs="宋体" w:eastAsia="宋体" w:hint="default"/>
                <w:sz w:val="18"/>
                <w:szCs w:val="18"/>
              </w:rPr>
              <w:t>(%)</w:t>
            </w:r>
          </w:p>
        </w:tc>
        <w:tc>
          <w:tcPr>
            <w:tcW w:w="482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z w:val="18"/>
              </w:rPr>
              <w:t>0.21</w:t>
            </w:r>
          </w:p>
        </w:tc>
      </w:tr>
      <w:tr>
        <w:trPr>
          <w:trHeight w:val="322" w:hRule="exact"/>
        </w:trPr>
        <w:tc>
          <w:tcPr>
            <w:tcW w:w="9925"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3" w:hRule="exact"/>
        </w:trPr>
        <w:tc>
          <w:tcPr>
            <w:tcW w:w="609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p>
        </w:tc>
        <w:tc>
          <w:tcPr>
            <w:tcW w:w="3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609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p>
        </w:tc>
        <w:tc>
          <w:tcPr>
            <w:tcW w:w="3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609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p>
        </w:tc>
        <w:tc>
          <w:tcPr>
            <w:tcW w:w="3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3" w:hRule="exact"/>
        </w:trPr>
        <w:tc>
          <w:tcPr>
            <w:tcW w:w="609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p>
        </w:tc>
        <w:tc>
          <w:tcPr>
            <w:tcW w:w="3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t>公司报告期无违规对外担保情况。</w:t>
      </w:r>
    </w:p>
    <w:p>
      <w:pPr>
        <w:spacing w:after="0" w:line="240" w:lineRule="auto"/>
        <w:jc w:val="left"/>
        <w:sectPr>
          <w:footerReference w:type="default" r:id="rId20"/>
          <w:pgSz w:w="11910" w:h="16840"/>
          <w:pgMar w:footer="1219" w:header="883" w:top="1140" w:bottom="1400" w:left="900" w:right="0"/>
          <w:pgNumType w:start="24"/>
        </w:sectPr>
      </w:pPr>
    </w:p>
    <w:p>
      <w:pPr>
        <w:spacing w:line="240" w:lineRule="auto" w:before="9"/>
        <w:rPr>
          <w:rFonts w:ascii="宋体" w:hAnsi="宋体" w:cs="宋体" w:eastAsia="宋体" w:hint="default"/>
          <w:sz w:val="17"/>
          <w:szCs w:val="17"/>
        </w:rPr>
      </w:pPr>
    </w:p>
    <w:p>
      <w:pPr>
        <w:pStyle w:val="BodyText"/>
        <w:spacing w:line="240" w:lineRule="auto" w:before="35"/>
        <w:ind w:left="824" w:right="5945"/>
        <w:jc w:val="left"/>
      </w:pPr>
      <w:r>
        <w:rPr/>
        <w:t>四、其他合同及履行情况</w:t>
      </w:r>
    </w:p>
    <w:p>
      <w:pPr>
        <w:pStyle w:val="BodyText"/>
        <w:spacing w:line="273" w:lineRule="auto" w:before="37"/>
        <w:ind w:right="1187" w:firstLine="420"/>
        <w:jc w:val="both"/>
      </w:pPr>
      <w:r>
        <w:rPr>
          <w:rFonts w:ascii="宋体" w:hAnsi="宋体" w:cs="宋体" w:eastAsia="宋体" w:hint="default"/>
        </w:rPr>
        <w:t>(</w:t>
      </w:r>
      <w:r>
        <w:rPr/>
        <w:t>一</w:t>
      </w:r>
      <w:r>
        <w:rPr>
          <w:rFonts w:ascii="宋体" w:hAnsi="宋体" w:cs="宋体" w:eastAsia="宋体" w:hint="default"/>
        </w:rPr>
        <w:t>)</w:t>
      </w:r>
      <w:r>
        <w:rPr/>
        <w:t>经公司第四届董事会 </w:t>
      </w:r>
      <w:r>
        <w:rPr>
          <w:rFonts w:ascii="宋体" w:hAnsi="宋体" w:cs="宋体" w:eastAsia="宋体" w:hint="default"/>
        </w:rPr>
        <w:t>2008</w:t>
      </w:r>
      <w:r>
        <w:rPr>
          <w:rFonts w:ascii="宋体" w:hAnsi="宋体" w:cs="宋体" w:eastAsia="宋体" w:hint="default"/>
          <w:spacing w:val="-43"/>
        </w:rPr>
        <w:t> </w:t>
      </w:r>
      <w:r>
        <w:rPr/>
        <w:t>年第四次会议决议批准，公司与秦皇岛市昌德房地产开发有限公司 </w:t>
      </w:r>
      <w:r>
        <w:rPr>
          <w:rFonts w:ascii="宋体" w:hAnsi="宋体" w:cs="宋体" w:eastAsia="宋体" w:hint="default"/>
          <w:spacing w:val="-1"/>
        </w:rPr>
        <w:t>(</w:t>
      </w:r>
      <w:r>
        <w:rPr>
          <w:spacing w:val="-1"/>
        </w:rPr>
        <w:t>以下简称昌德公司</w:t>
      </w:r>
      <w:r>
        <w:rPr>
          <w:rFonts w:ascii="宋体" w:hAnsi="宋体" w:cs="宋体" w:eastAsia="宋体" w:hint="default"/>
          <w:spacing w:val="-1"/>
        </w:rPr>
        <w:t>)</w:t>
      </w:r>
      <w:r>
        <w:rPr>
          <w:spacing w:val="-1"/>
        </w:rPr>
        <w:t>签署了《股份转让合同书》，本公司同意将所持参股公司秦皇岛天华大酒店有限公</w:t>
      </w:r>
      <w:r>
        <w:rPr>
          <w:spacing w:val="1"/>
        </w:rPr>
        <w:t> </w:t>
      </w:r>
      <w:r>
        <w:rPr/>
        <w:t>司</w:t>
      </w:r>
      <w:r>
        <w:rPr>
          <w:spacing w:val="-53"/>
        </w:rPr>
        <w:t> </w:t>
      </w:r>
      <w:r>
        <w:rPr>
          <w:rFonts w:ascii="宋体" w:hAnsi="宋体" w:cs="宋体" w:eastAsia="宋体" w:hint="default"/>
        </w:rPr>
        <w:t>18.8%</w:t>
      </w:r>
      <w:r>
        <w:rPr>
          <w:rFonts w:ascii="宋体" w:hAnsi="宋体" w:cs="宋体" w:eastAsia="宋体" w:hint="default"/>
          <w:spacing w:val="1"/>
        </w:rPr>
        <w:t> </w:t>
      </w:r>
      <w:r>
        <w:rPr>
          <w:spacing w:val="-3"/>
        </w:rPr>
        <w:t>的股权出让给昌德公司，交易总金额</w:t>
      </w:r>
      <w:r>
        <w:rPr>
          <w:spacing w:val="-52"/>
        </w:rPr>
        <w:t> </w:t>
      </w:r>
      <w:r>
        <w:rPr>
          <w:rFonts w:ascii="宋体" w:hAnsi="宋体" w:cs="宋体" w:eastAsia="宋体" w:hint="default"/>
        </w:rPr>
        <w:t>9,400</w:t>
      </w:r>
      <w:r>
        <w:rPr>
          <w:rFonts w:ascii="宋体" w:hAnsi="宋体" w:cs="宋体" w:eastAsia="宋体" w:hint="default"/>
          <w:spacing w:val="-52"/>
        </w:rPr>
        <w:t> </w:t>
      </w:r>
      <w:r>
        <w:rPr>
          <w:spacing w:val="-4"/>
        </w:rPr>
        <w:t>万元。除公司已收到的现金</w:t>
      </w:r>
      <w:r>
        <w:rPr>
          <w:spacing w:val="-52"/>
        </w:rPr>
        <w:t> </w:t>
      </w:r>
      <w:r>
        <w:rPr>
          <w:rFonts w:ascii="宋体" w:hAnsi="宋体" w:cs="宋体" w:eastAsia="宋体" w:hint="default"/>
        </w:rPr>
        <w:t>500</w:t>
      </w:r>
      <w:r>
        <w:rPr>
          <w:rFonts w:ascii="宋体" w:hAnsi="宋体" w:cs="宋体" w:eastAsia="宋体" w:hint="default"/>
          <w:spacing w:val="-53"/>
        </w:rPr>
        <w:t> </w:t>
      </w:r>
      <w:r>
        <w:rPr/>
        <w:t>万元加豁免公司酒</w:t>
      </w:r>
    </w:p>
    <w:p>
      <w:pPr>
        <w:pStyle w:val="BodyText"/>
        <w:spacing w:line="240" w:lineRule="auto" w:before="8"/>
        <w:ind w:right="418"/>
        <w:jc w:val="left"/>
        <w:rPr>
          <w:rFonts w:ascii="宋体" w:hAnsi="宋体" w:cs="宋体" w:eastAsia="宋体" w:hint="default"/>
        </w:rPr>
      </w:pPr>
      <w:r>
        <w:rPr/>
        <w:t>店租金 </w:t>
      </w:r>
      <w:r>
        <w:rPr>
          <w:rFonts w:ascii="宋体" w:hAnsi="宋体" w:cs="宋体" w:eastAsia="宋体" w:hint="default"/>
        </w:rPr>
        <w:t>643.33</w:t>
      </w:r>
      <w:r>
        <w:rPr>
          <w:rFonts w:ascii="宋体" w:hAnsi="宋体" w:cs="宋体" w:eastAsia="宋体" w:hint="default"/>
          <w:spacing w:val="60"/>
        </w:rPr>
        <w:t> </w:t>
      </w:r>
      <w:r>
        <w:rPr/>
        <w:t>万元外，合同双方约定，昌德公司将其拥有的秦皇岛现代购物广场</w:t>
      </w:r>
      <w:r>
        <w:rPr>
          <w:rFonts w:ascii="宋体" w:hAnsi="宋体" w:cs="宋体" w:eastAsia="宋体" w:hint="default"/>
        </w:rPr>
        <w:t>(</w:t>
      </w:r>
      <w:r>
        <w:rPr/>
        <w:t>简称现代购物</w:t>
      </w:r>
      <w:r>
        <w:rPr>
          <w:rFonts w:ascii="宋体" w:hAnsi="宋体" w:cs="宋体" w:eastAsia="宋体" w:hint="default"/>
        </w:rPr>
        <w:t>)8.5</w:t>
      </w:r>
    </w:p>
    <w:p>
      <w:pPr>
        <w:pStyle w:val="BodyText"/>
        <w:spacing w:line="240" w:lineRule="auto" w:before="37"/>
        <w:ind w:right="418"/>
        <w:jc w:val="left"/>
        <w:rPr>
          <w:rFonts w:ascii="宋体" w:hAnsi="宋体" w:cs="宋体" w:eastAsia="宋体" w:hint="default"/>
        </w:rPr>
      </w:pPr>
      <w:r>
        <w:rPr>
          <w:spacing w:val="-3"/>
        </w:rPr>
        <w:t>年的房屋经营使用权抵付给本公司，抵付余下的</w:t>
      </w:r>
      <w:r>
        <w:rPr>
          <w:spacing w:val="-49"/>
        </w:rPr>
        <w:t> </w:t>
      </w:r>
      <w:r>
        <w:rPr>
          <w:rFonts w:ascii="宋体" w:hAnsi="宋体" w:cs="宋体" w:eastAsia="宋体" w:hint="default"/>
        </w:rPr>
        <w:t>8,256.67</w:t>
      </w:r>
      <w:r>
        <w:rPr>
          <w:rFonts w:ascii="宋体" w:hAnsi="宋体" w:cs="宋体" w:eastAsia="宋体" w:hint="default"/>
          <w:spacing w:val="-50"/>
        </w:rPr>
        <w:t> </w:t>
      </w:r>
      <w:r>
        <w:rPr>
          <w:spacing w:val="-4"/>
        </w:rPr>
        <w:t>万元股权转让款，抵付期限自</w:t>
      </w:r>
      <w:r>
        <w:rPr>
          <w:spacing w:val="-49"/>
        </w:rPr>
        <w:t> </w:t>
      </w:r>
      <w:r>
        <w:rPr>
          <w:rFonts w:ascii="宋体" w:hAnsi="宋体" w:cs="宋体" w:eastAsia="宋体" w:hint="default"/>
        </w:rPr>
        <w:t>2008</w:t>
      </w:r>
      <w:r>
        <w:rPr>
          <w:rFonts w:ascii="宋体" w:hAnsi="宋体" w:cs="宋体" w:eastAsia="宋体" w:hint="default"/>
          <w:spacing w:val="-50"/>
        </w:rPr>
        <w:t> </w:t>
      </w:r>
      <w:r>
        <w:rPr/>
        <w:t>年</w:t>
      </w:r>
      <w:r>
        <w:rPr>
          <w:spacing w:val="-52"/>
        </w:rPr>
        <w:t> </w:t>
      </w:r>
      <w:r>
        <w:rPr>
          <w:rFonts w:ascii="宋体" w:hAnsi="宋体" w:cs="宋体" w:eastAsia="宋体" w:hint="default"/>
        </w:rPr>
        <w:t>10</w:t>
      </w:r>
      <w:r>
        <w:rPr>
          <w:rFonts w:ascii="宋体" w:hAnsi="宋体" w:cs="宋体" w:eastAsia="宋体" w:hint="default"/>
          <w:spacing w:val="-50"/>
        </w:rPr>
        <w:t> </w:t>
      </w:r>
      <w:r>
        <w:rPr/>
        <w:t>月</w:t>
      </w:r>
      <w:r>
        <w:rPr>
          <w:spacing w:val="-50"/>
        </w:rPr>
        <w:t> </w:t>
      </w:r>
      <w:r>
        <w:rPr>
          <w:rFonts w:ascii="宋体" w:hAnsi="宋体" w:cs="宋体" w:eastAsia="宋体" w:hint="default"/>
        </w:rPr>
        <w:t>1</w:t>
      </w:r>
    </w:p>
    <w:p>
      <w:pPr>
        <w:pStyle w:val="BodyText"/>
        <w:spacing w:line="240" w:lineRule="auto" w:before="37"/>
        <w:ind w:right="5945"/>
        <w:jc w:val="left"/>
      </w:pPr>
      <w:r>
        <w:rPr/>
        <w:t>日起至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日止。有关情况列表如下：</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837"/>
        <w:gridCol w:w="7088"/>
      </w:tblGrid>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出让方：茂业物流股份有限公司</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受让方：秦皇岛市昌德房地产开发有限公司</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出让的股份按最近一年经审计的净资产计算，账面价值为</w:t>
            </w:r>
            <w:r>
              <w:rPr>
                <w:rFonts w:ascii="宋体" w:hAnsi="宋体" w:cs="宋体" w:eastAsia="宋体" w:hint="default"/>
                <w:spacing w:val="-45"/>
                <w:sz w:val="18"/>
                <w:szCs w:val="18"/>
              </w:rPr>
              <w:t> </w:t>
            </w:r>
            <w:r>
              <w:rPr>
                <w:rFonts w:ascii="宋体" w:hAnsi="宋体" w:cs="宋体" w:eastAsia="宋体" w:hint="default"/>
                <w:sz w:val="18"/>
                <w:szCs w:val="18"/>
              </w:rPr>
              <w:t>9,310.41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经评估，现代购物未来</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5"/>
                <w:sz w:val="18"/>
                <w:szCs w:val="18"/>
              </w:rPr>
              <w:t> </w:t>
            </w:r>
            <w:r>
              <w:rPr>
                <w:rFonts w:ascii="宋体" w:hAnsi="宋体" w:cs="宋体" w:eastAsia="宋体" w:hint="default"/>
                <w:sz w:val="18"/>
                <w:szCs w:val="18"/>
              </w:rPr>
              <w:t>年的房屋资产经营使用权收入现值为</w:t>
            </w:r>
            <w:r>
              <w:rPr>
                <w:rFonts w:ascii="宋体" w:hAnsi="宋体" w:cs="宋体" w:eastAsia="宋体" w:hint="default"/>
                <w:spacing w:val="-46"/>
                <w:sz w:val="18"/>
                <w:szCs w:val="18"/>
              </w:rPr>
              <w:t> </w:t>
            </w:r>
            <w:r>
              <w:rPr>
                <w:rFonts w:ascii="宋体" w:hAnsi="宋体" w:cs="宋体" w:eastAsia="宋体" w:hint="default"/>
                <w:sz w:val="18"/>
                <w:szCs w:val="18"/>
              </w:rPr>
              <w:t>8,503.63</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秦皇岛正源资产评估有限责任公司</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因出让资产为负效，以账面价值为依据、不低于最初投入为原则</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9,400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不构成关联关系</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p>
        </w:tc>
        <w:tc>
          <w:tcPr>
            <w:tcW w:w="70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履行情况较好，对公司经营成果与财务状况有利。</w:t>
            </w:r>
          </w:p>
        </w:tc>
      </w:tr>
    </w:tbl>
    <w:p>
      <w:pPr>
        <w:spacing w:line="240" w:lineRule="auto" w:before="0"/>
        <w:rPr>
          <w:rFonts w:ascii="宋体" w:hAnsi="宋体" w:cs="宋体" w:eastAsia="宋体" w:hint="default"/>
          <w:sz w:val="20"/>
          <w:szCs w:val="20"/>
        </w:rPr>
      </w:pPr>
    </w:p>
    <w:p>
      <w:pPr>
        <w:pStyle w:val="BodyText"/>
        <w:spacing w:line="273" w:lineRule="auto" w:before="35"/>
        <w:ind w:right="418" w:firstLine="420"/>
        <w:jc w:val="left"/>
      </w:pPr>
      <w:r>
        <w:rPr>
          <w:rFonts w:ascii="宋体" w:hAnsi="宋体" w:cs="宋体" w:eastAsia="宋体" w:hint="default"/>
        </w:rPr>
        <w:t>(</w:t>
      </w:r>
      <w:r>
        <w:rPr/>
        <w:t>二</w:t>
      </w:r>
      <w:r>
        <w:rPr>
          <w:rFonts w:ascii="宋体" w:hAnsi="宋体" w:cs="宋体" w:eastAsia="宋体" w:hint="default"/>
        </w:rPr>
        <w:t>)</w:t>
      </w:r>
      <w:r>
        <w:rPr/>
        <w:t>经公司第六届董事会 </w:t>
      </w:r>
      <w:r>
        <w:rPr>
          <w:rFonts w:ascii="宋体" w:hAnsi="宋体" w:cs="宋体" w:eastAsia="宋体" w:hint="default"/>
        </w:rPr>
        <w:t>2014</w:t>
      </w:r>
      <w:r>
        <w:rPr>
          <w:rFonts w:ascii="宋体" w:hAnsi="宋体" w:cs="宋体" w:eastAsia="宋体" w:hint="default"/>
          <w:spacing w:val="-42"/>
        </w:rPr>
        <w:t> </w:t>
      </w:r>
      <w:r>
        <w:rPr/>
        <w:t>年第八次会议决议通过，报告期公司与鹰溪谷、博升优势签署《发 </w:t>
      </w:r>
      <w:r>
        <w:rPr>
          <w:spacing w:val="-4"/>
        </w:rPr>
        <w:t>行股份及支付现金购买资产协议》，有关交易情况见本报告本章第二节“重大资产收购情况”相关内容，</w:t>
      </w:r>
      <w:r>
        <w:rPr>
          <w:spacing w:val="-68"/>
        </w:rPr>
        <w:t> </w:t>
      </w:r>
      <w:r>
        <w:rPr>
          <w:spacing w:val="-68"/>
        </w:rPr>
      </w:r>
      <w:r>
        <w:rPr/>
        <w:t>有关上述协议的情况见下表：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694"/>
        <w:gridCol w:w="7231"/>
      </w:tblGrid>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购买方：茂业物流股份有限公司</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出让方：孝昌鹰溪谷投资中心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、北京博升优势科技发展有限公司</w:t>
            </w:r>
          </w:p>
        </w:tc>
      </w:tr>
      <w:tr>
        <w:trPr>
          <w:trHeight w:val="29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评估基准日合同涉及的资产账面价值为</w:t>
            </w:r>
            <w:r>
              <w:rPr>
                <w:rFonts w:ascii="宋体" w:hAnsi="宋体" w:cs="宋体" w:eastAsia="宋体" w:hint="default"/>
                <w:spacing w:val="-46"/>
                <w:sz w:val="18"/>
                <w:szCs w:val="18"/>
              </w:rPr>
              <w:t> </w:t>
            </w:r>
            <w:r>
              <w:rPr>
                <w:rFonts w:ascii="宋体" w:hAnsi="宋体" w:cs="宋体" w:eastAsia="宋体" w:hint="default"/>
                <w:sz w:val="18"/>
                <w:szCs w:val="18"/>
              </w:rPr>
              <w:t>4,746.01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采用收益法的资产评估价值为</w:t>
            </w:r>
            <w:r>
              <w:rPr>
                <w:rFonts w:ascii="宋体" w:hAnsi="宋体" w:cs="宋体" w:eastAsia="宋体" w:hint="default"/>
                <w:spacing w:val="-46"/>
                <w:sz w:val="18"/>
                <w:szCs w:val="18"/>
              </w:rPr>
              <w:t> </w:t>
            </w:r>
            <w:r>
              <w:rPr>
                <w:rFonts w:ascii="宋体" w:hAnsi="宋体" w:cs="宋体" w:eastAsia="宋体" w:hint="default"/>
                <w:sz w:val="18"/>
                <w:szCs w:val="18"/>
              </w:rPr>
              <w:t>87,802.98</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北京天健兴业资产评估有限公司</w:t>
            </w:r>
          </w:p>
        </w:tc>
      </w:tr>
      <w:tr>
        <w:trPr>
          <w:trHeight w:val="29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以收益法的评估价值为依据，协商确定本次交易价格。</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87,800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不构成关联关系</w:t>
            </w: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发行股份及支付现金购买资产事项已实施完毕</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0"/>
        <w:ind w:left="0" w:right="257"/>
        <w:jc w:val="center"/>
      </w:pPr>
      <w:r>
        <w:rPr>
          <w:rFonts w:ascii="宋体" w:hAnsi="宋体" w:cs="宋体" w:eastAsia="宋体" w:hint="default"/>
        </w:rPr>
        <w:t>(</w:t>
      </w:r>
      <w:r>
        <w:rPr>
          <w:spacing w:val="-2"/>
        </w:rPr>
        <w:t>三</w:t>
      </w:r>
      <w:r>
        <w:rPr>
          <w:rFonts w:ascii="宋体" w:hAnsi="宋体" w:cs="宋体" w:eastAsia="宋体" w:hint="default"/>
        </w:rPr>
        <w:t>)</w:t>
      </w:r>
      <w:r>
        <w:rPr/>
        <w:t>经公</w:t>
      </w:r>
      <w:r>
        <w:rPr>
          <w:spacing w:val="-2"/>
        </w:rPr>
        <w:t>司</w:t>
      </w:r>
      <w:r>
        <w:rPr/>
        <w:t>第六届董事会</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72"/>
        </w:rPr>
        <w:t> </w:t>
      </w:r>
      <w:r>
        <w:rPr/>
        <w:t>年</w:t>
      </w:r>
      <w:r>
        <w:rPr>
          <w:spacing w:val="-2"/>
        </w:rPr>
        <w:t>第</w:t>
      </w:r>
      <w:r>
        <w:rPr/>
        <w:t>八次会议决议通过</w:t>
      </w:r>
      <w:r>
        <w:rPr>
          <w:spacing w:val="-105"/>
        </w:rPr>
        <w:t>，</w:t>
      </w:r>
      <w:r>
        <w:rPr/>
        <w:t>报</w:t>
      </w:r>
      <w:r>
        <w:rPr>
          <w:spacing w:val="-2"/>
        </w:rPr>
        <w:t>告</w:t>
      </w:r>
      <w:r>
        <w:rPr/>
        <w:t>期本公司与上海峰幽投资管理中心</w:t>
      </w:r>
      <w:r>
        <w:rPr>
          <w:rFonts w:ascii="宋体" w:hAnsi="宋体" w:cs="宋体" w:eastAsia="宋体" w:hint="default"/>
        </w:rPr>
        <w:t>(</w:t>
      </w:r>
      <w:r>
        <w:rPr/>
        <w:t>普</w:t>
      </w:r>
    </w:p>
    <w:p>
      <w:pPr>
        <w:pStyle w:val="BodyText"/>
        <w:spacing w:line="273" w:lineRule="auto" w:before="37"/>
        <w:ind w:right="1183"/>
        <w:jc w:val="left"/>
      </w:pPr>
      <w:r>
        <w:rPr>
          <w:spacing w:val="-7"/>
        </w:rPr>
        <w:t>通合伙</w:t>
      </w:r>
      <w:r>
        <w:rPr>
          <w:rFonts w:ascii="宋体" w:hAnsi="宋体" w:cs="宋体" w:eastAsia="宋体" w:hint="default"/>
          <w:spacing w:val="-7"/>
        </w:rPr>
        <w:t>)</w:t>
      </w:r>
      <w:r>
        <w:rPr>
          <w:spacing w:val="-7"/>
        </w:rPr>
        <w:t>签署《非公开发行股份认购协议》，协议签订日期为</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8</w:t>
      </w:r>
      <w:r>
        <w:rPr>
          <w:rFonts w:ascii="宋体" w:hAnsi="宋体" w:cs="宋体" w:eastAsia="宋体" w:hint="default"/>
          <w:spacing w:val="-49"/>
        </w:rPr>
        <w:t> </w:t>
      </w:r>
      <w:r>
        <w:rPr/>
        <w:t>月</w:t>
      </w:r>
      <w:r>
        <w:rPr>
          <w:spacing w:val="-51"/>
        </w:rPr>
        <w:t> </w:t>
      </w:r>
      <w:r>
        <w:rPr>
          <w:rFonts w:ascii="宋体" w:hAnsi="宋体" w:cs="宋体" w:eastAsia="宋体" w:hint="default"/>
          <w:spacing w:val="-1"/>
        </w:rPr>
        <w:t>22</w:t>
      </w:r>
      <w:r>
        <w:rPr>
          <w:rFonts w:ascii="宋体" w:hAnsi="宋体" w:cs="宋体" w:eastAsia="宋体" w:hint="default"/>
          <w:spacing w:val="-49"/>
        </w:rPr>
        <w:t> </w:t>
      </w:r>
      <w:r>
        <w:rPr>
          <w:spacing w:val="-4"/>
        </w:rPr>
        <w:t>日，募集资金总额为</w:t>
      </w:r>
      <w:r>
        <w:rPr>
          <w:spacing w:val="-50"/>
        </w:rPr>
        <w:t> </w:t>
      </w:r>
      <w:r>
        <w:rPr>
          <w:rFonts w:ascii="宋体" w:hAnsi="宋体" w:cs="宋体" w:eastAsia="宋体" w:hint="default"/>
        </w:rPr>
        <w:t>13,170 </w:t>
      </w:r>
      <w:r>
        <w:rPr/>
        <w:t>万元，有关交易情况见本报告本章第二节“重大资产收购情况”相关内容。</w:t>
      </w:r>
    </w:p>
    <w:p>
      <w:pPr>
        <w:pStyle w:val="BodyText"/>
        <w:spacing w:line="297" w:lineRule="auto" w:before="39"/>
        <w:ind w:left="824" w:right="7012"/>
        <w:jc w:val="left"/>
      </w:pPr>
      <w:r>
        <w:rPr/>
        <w:t>公司报告期不存在其他重大合同。 公司报告期不存在其他重大交易。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tabs>
          <w:tab w:pos="843" w:val="left" w:leader="none"/>
        </w:tabs>
        <w:spacing w:line="240" w:lineRule="auto" w:before="0"/>
        <w:ind w:left="0" w:right="362"/>
        <w:jc w:val="center"/>
        <w:rPr>
          <w:b w:val="0"/>
          <w:bCs w:val="0"/>
        </w:rPr>
      </w:pPr>
      <w:r>
        <w:rPr>
          <w:w w:val="95"/>
        </w:rPr>
        <w:t>第四节</w:t>
        <w:tab/>
      </w:r>
      <w:r>
        <w:rPr/>
        <w:t>承诺及其他事项</w:t>
      </w:r>
      <w:r>
        <w:rPr>
          <w:b w:val="0"/>
          <w:bCs w:val="0"/>
        </w:rPr>
      </w:r>
    </w:p>
    <w:p>
      <w:pPr>
        <w:spacing w:after="0" w:line="240" w:lineRule="auto"/>
        <w:jc w:val="center"/>
        <w:sectPr>
          <w:pgSz w:w="11910" w:h="16840"/>
          <w:pgMar w:header="883" w:footer="1219" w:top="1140" w:bottom="1400" w:left="90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35"/>
        <w:ind w:right="5945"/>
        <w:jc w:val="left"/>
      </w:pPr>
      <w:r>
        <w:rPr/>
        <w:t>一、承诺及履行情况</w:t>
      </w:r>
    </w:p>
    <w:p>
      <w:pPr>
        <w:pStyle w:val="BodyText"/>
        <w:spacing w:line="240" w:lineRule="auto" w:before="37"/>
        <w:ind w:right="418"/>
        <w:jc w:val="left"/>
      </w:pPr>
      <w:r>
        <w:rPr>
          <w:rFonts w:ascii="宋体" w:hAnsi="宋体" w:cs="宋体" w:eastAsia="宋体" w:hint="default"/>
        </w:rPr>
        <w:t>(</w:t>
      </w:r>
      <w:r>
        <w:rPr/>
        <w:t>一</w:t>
      </w:r>
      <w:r>
        <w:rPr>
          <w:rFonts w:ascii="宋体" w:hAnsi="宋体" w:cs="宋体" w:eastAsia="宋体" w:hint="default"/>
        </w:rPr>
        <w:t>) </w:t>
      </w:r>
      <w:r>
        <w:rPr/>
        <w:t>持股</w:t>
      </w:r>
      <w:r>
        <w:rPr>
          <w:spacing w:val="-55"/>
        </w:rPr>
        <w:t> </w:t>
      </w:r>
      <w:r>
        <w:rPr>
          <w:rFonts w:ascii="宋体" w:hAnsi="宋体" w:cs="宋体" w:eastAsia="宋体" w:hint="default"/>
        </w:rPr>
        <w:t>5%</w:t>
      </w:r>
      <w:r>
        <w:rPr/>
        <w:t>以上股东在报告期内或持续到报告期内的承诺事项</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35"/>
        <w:gridCol w:w="784"/>
        <w:gridCol w:w="4396"/>
        <w:gridCol w:w="850"/>
        <w:gridCol w:w="1134"/>
        <w:gridCol w:w="2126"/>
      </w:tblGrid>
      <w:tr>
        <w:trPr>
          <w:trHeight w:val="509"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3" w:right="160"/>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1" w:right="37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79"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03" w:right="45"/>
              <w:jc w:val="both"/>
              <w:rPr>
                <w:rFonts w:ascii="宋体" w:hAnsi="宋体" w:cs="宋体" w:eastAsia="宋体" w:hint="default"/>
                <w:sz w:val="18"/>
                <w:szCs w:val="18"/>
              </w:rPr>
            </w:pPr>
            <w:r>
              <w:rPr>
                <w:rFonts w:ascii="宋体" w:hAnsi="宋体" w:cs="宋体" w:eastAsia="宋体" w:hint="default"/>
                <w:spacing w:val="28"/>
                <w:sz w:val="18"/>
                <w:szCs w:val="18"/>
              </w:rPr>
              <w:t>权益</w:t>
            </w:r>
            <w:r>
              <w:rPr>
                <w:rFonts w:ascii="宋体" w:hAnsi="宋体" w:cs="宋体" w:eastAsia="宋体" w:hint="default"/>
                <w:spacing w:val="-33"/>
                <w:sz w:val="18"/>
                <w:szCs w:val="18"/>
              </w:rPr>
              <w:t> </w:t>
            </w:r>
            <w:r>
              <w:rPr>
                <w:rFonts w:ascii="宋体" w:hAnsi="宋体" w:cs="宋体" w:eastAsia="宋体" w:hint="default"/>
                <w:spacing w:val="28"/>
                <w:sz w:val="18"/>
                <w:szCs w:val="18"/>
              </w:rPr>
              <w:t>变动</w:t>
            </w:r>
            <w:r>
              <w:rPr>
                <w:rFonts w:ascii="宋体" w:hAnsi="宋体" w:cs="宋体" w:eastAsia="宋体" w:hint="default"/>
                <w:spacing w:val="-33"/>
                <w:sz w:val="18"/>
                <w:szCs w:val="18"/>
              </w:rPr>
              <w:t> </w:t>
            </w:r>
            <w:r>
              <w:rPr>
                <w:rFonts w:ascii="宋体" w:hAnsi="宋体" w:cs="宋体" w:eastAsia="宋体" w:hint="default"/>
                <w:spacing w:val="28"/>
                <w:sz w:val="18"/>
                <w:szCs w:val="18"/>
              </w:rPr>
              <w:t>报告</w:t>
            </w:r>
            <w:r>
              <w:rPr>
                <w:rFonts w:ascii="宋体" w:hAnsi="宋体" w:cs="宋体" w:eastAsia="宋体" w:hint="default"/>
                <w:spacing w:val="-33"/>
                <w:sz w:val="18"/>
                <w:szCs w:val="18"/>
              </w:rPr>
              <w:t> </w:t>
            </w:r>
            <w:r>
              <w:rPr>
                <w:rFonts w:ascii="宋体" w:hAnsi="宋体" w:cs="宋体" w:eastAsia="宋体" w:hint="default"/>
                <w:spacing w:val="28"/>
                <w:sz w:val="18"/>
                <w:szCs w:val="18"/>
              </w:rPr>
              <w:t>书中</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01" w:right="86"/>
              <w:jc w:val="both"/>
              <w:rPr>
                <w:rFonts w:ascii="宋体" w:hAnsi="宋体" w:cs="宋体" w:eastAsia="宋体" w:hint="default"/>
                <w:sz w:val="18"/>
                <w:szCs w:val="18"/>
              </w:rPr>
            </w:pPr>
            <w:r>
              <w:rPr>
                <w:rFonts w:ascii="宋体" w:hAnsi="宋体" w:cs="宋体" w:eastAsia="宋体" w:hint="default"/>
                <w:spacing w:val="14"/>
                <w:sz w:val="18"/>
                <w:szCs w:val="18"/>
              </w:rPr>
              <w:t>公司控 股股东 中兆投 资管理 有限公 </w:t>
            </w:r>
            <w:r>
              <w:rPr>
                <w:rFonts w:ascii="宋体" w:hAnsi="宋体" w:cs="宋体" w:eastAsia="宋体" w:hint="default"/>
                <w:sz w:val="18"/>
                <w:szCs w:val="18"/>
              </w:rPr>
              <w:t>司</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、与公司在业务、资产、人员、机构、财务等方面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做到分开。</w:t>
            </w:r>
          </w:p>
          <w:p>
            <w:pPr>
              <w:pStyle w:val="TableParagraph"/>
              <w:spacing w:line="237" w:lineRule="auto" w:before="1"/>
              <w:ind w:left="103" w:right="101" w:firstLine="36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、在控制公司权益期间，将尽量减少并规范与公</w:t>
            </w:r>
            <w:r>
              <w:rPr>
                <w:rFonts w:ascii="宋体" w:hAnsi="宋体" w:cs="宋体" w:eastAsia="宋体" w:hint="default"/>
                <w:sz w:val="18"/>
                <w:szCs w:val="18"/>
              </w:rPr>
              <w:t> 司的关联交易。若有不可避免的关联交易，将与公司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依法签订协议，履行合法程序，保证不通过关联交易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损害公司及其他股东的合法权益。</w:t>
            </w:r>
          </w:p>
          <w:p>
            <w:pPr>
              <w:pStyle w:val="TableParagraph"/>
              <w:spacing w:line="237" w:lineRule="auto" w:before="1"/>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、将不通过除公司以外的经营主体在秦皇岛地区</w:t>
            </w:r>
            <w:r>
              <w:rPr>
                <w:rFonts w:ascii="宋体" w:hAnsi="宋体" w:cs="宋体" w:eastAsia="宋体" w:hint="default"/>
                <w:sz w:val="18"/>
                <w:szCs w:val="18"/>
              </w:rPr>
              <w:t> 新建或收购与公司目前在秦皇岛地区经营同类的商业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项目，对于新建或存在收购可能性的该类商业项目资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源，将优先推荐给公司，公司具有优先选择权。</w:t>
            </w:r>
          </w:p>
          <w:p>
            <w:pPr>
              <w:pStyle w:val="TableParagraph"/>
              <w:spacing w:line="237" w:lineRule="auto" w:before="1"/>
              <w:ind w:left="103" w:right="102" w:firstLine="360"/>
              <w:jc w:val="righ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、将不通过除公司以外的经营主体在安徽地区新</w:t>
            </w:r>
            <w:r>
              <w:rPr>
                <w:rFonts w:ascii="宋体" w:hAnsi="宋体" w:cs="宋体" w:eastAsia="宋体" w:hint="default"/>
                <w:sz w:val="18"/>
                <w:szCs w:val="18"/>
              </w:rPr>
              <w:t> 建或收购与公司目前在安徽地区经营商品批发市场开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发的地产项目，对于新建或存在收购可能性的上述项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目资源，将优先推荐给公司，公司具有优先选择权。 </w:t>
            </w:r>
            <w:r>
              <w:rPr>
                <w:rFonts w:ascii="宋体" w:hAnsi="宋体" w:cs="宋体" w:eastAsia="宋体" w:hint="default"/>
                <w:spacing w:val="-3"/>
                <w:sz w:val="18"/>
                <w:szCs w:val="18"/>
              </w:rPr>
              <w:t>5</w:t>
            </w:r>
            <w:r>
              <w:rPr>
                <w:rFonts w:ascii="宋体" w:hAnsi="宋体" w:cs="宋体" w:eastAsia="宋体" w:hint="default"/>
                <w:spacing w:val="-3"/>
                <w:sz w:val="18"/>
                <w:szCs w:val="18"/>
              </w:rPr>
              <w:t>、以公平、公开、公正的形式、通过合法程序解</w:t>
            </w:r>
            <w:r>
              <w:rPr>
                <w:rFonts w:ascii="宋体" w:hAnsi="宋体" w:cs="宋体" w:eastAsia="宋体" w:hint="default"/>
                <w:sz w:val="18"/>
                <w:szCs w:val="18"/>
              </w:rPr>
              <w:t> 决存在的同业竞争问题，且不会损害公司及其中小股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东的利益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5"/>
                <w:sz w:val="18"/>
                <w:szCs w:val="18"/>
              </w:rPr>
              <w:t> </w:t>
            </w:r>
            <w:r>
              <w:rPr>
                <w:rFonts w:ascii="宋体" w:hAnsi="宋体" w:cs="宋体" w:eastAsia="宋体" w:hint="default"/>
                <w:spacing w:val="-6"/>
                <w:sz w:val="18"/>
                <w:szCs w:val="18"/>
              </w:rPr>
              <w:t>年</w:t>
            </w:r>
            <w:r>
              <w:rPr>
                <w:rFonts w:ascii="宋体" w:hAnsi="宋体" w:cs="宋体" w:eastAsia="宋体" w:hint="default"/>
                <w:spacing w:val="-6"/>
                <w:sz w:val="18"/>
                <w:szCs w:val="18"/>
              </w:rPr>
              <w:t>9</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1677"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pacing w:val="28"/>
                <w:sz w:val="18"/>
                <w:szCs w:val="18"/>
              </w:rPr>
              <w:t>年资</w:t>
            </w:r>
            <w:r>
              <w:rPr>
                <w:rFonts w:ascii="宋体" w:hAnsi="宋体" w:cs="宋体" w:eastAsia="宋体" w:hint="default"/>
                <w:spacing w:val="-33"/>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1" w:right="311"/>
              <w:jc w:val="left"/>
              <w:rPr>
                <w:rFonts w:ascii="宋体" w:hAnsi="宋体" w:cs="宋体" w:eastAsia="宋体" w:hint="default"/>
                <w:sz w:val="18"/>
                <w:szCs w:val="18"/>
              </w:rPr>
            </w:pPr>
            <w:r>
              <w:rPr>
                <w:rFonts w:ascii="宋体" w:hAnsi="宋体" w:cs="宋体" w:eastAsia="宋体" w:hint="default"/>
                <w:sz w:val="18"/>
                <w:szCs w:val="18"/>
              </w:rPr>
              <w:t>中兆 投资</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03" w:right="101" w:firstLine="36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、股份锁定承诺：中兆投资认购的、公司非公开</w:t>
            </w:r>
            <w:r>
              <w:rPr>
                <w:rFonts w:ascii="宋体" w:hAnsi="宋体" w:cs="宋体" w:eastAsia="宋体" w:hint="default"/>
                <w:sz w:val="18"/>
                <w:szCs w:val="18"/>
              </w:rPr>
              <w:t> 发行股票</w:t>
            </w:r>
            <w:r>
              <w:rPr>
                <w:rFonts w:ascii="宋体" w:hAnsi="宋体" w:cs="宋体" w:eastAsia="宋体" w:hint="default"/>
                <w:spacing w:val="-46"/>
                <w:sz w:val="18"/>
                <w:szCs w:val="18"/>
              </w:rPr>
              <w:t> </w:t>
            </w:r>
            <w:r>
              <w:rPr>
                <w:rFonts w:ascii="宋体" w:hAnsi="宋体" w:cs="宋体" w:eastAsia="宋体" w:hint="default"/>
                <w:sz w:val="18"/>
                <w:szCs w:val="18"/>
              </w:rPr>
              <w:t>106,813,996</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pacing w:val="-5"/>
                <w:sz w:val="18"/>
                <w:szCs w:val="18"/>
              </w:rPr>
              <w:t>个月内不转让，之后按中</w:t>
            </w:r>
            <w:r>
              <w:rPr>
                <w:rFonts w:ascii="宋体" w:hAnsi="宋体" w:cs="宋体" w:eastAsia="宋体" w:hint="default"/>
                <w:sz w:val="18"/>
                <w:szCs w:val="18"/>
              </w:rPr>
              <w:t> 国证监会及深交所的有关规定执行。</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
                <w:sz w:val="18"/>
                <w:szCs w:val="18"/>
              </w:rPr>
              <w:t> </w:t>
            </w:r>
            <w:r>
              <w:rPr>
                <w:rFonts w:ascii="宋体" w:hAnsi="宋体" w:cs="宋体" w:eastAsia="宋体" w:hint="default"/>
                <w:spacing w:val="-21"/>
                <w:sz w:val="18"/>
                <w:szCs w:val="18"/>
              </w:rPr>
              <w:t>2012</w:t>
            </w:r>
            <w:r>
              <w:rPr>
                <w:rFonts w:ascii="宋体" w:hAnsi="宋体" w:cs="宋体" w:eastAsia="宋体" w:hint="default"/>
                <w:sz w:val="18"/>
                <w:szCs w:val="18"/>
              </w:rPr>
            </w:r>
          </w:p>
          <w:p>
            <w:pPr>
              <w:pStyle w:val="TableParagraph"/>
              <w:spacing w:line="237" w:lineRule="auto"/>
              <w:ind w:left="101" w:right="9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11</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13 </w:t>
            </w:r>
            <w:r>
              <w:rPr>
                <w:rFonts w:ascii="宋体" w:hAnsi="宋体" w:cs="宋体" w:eastAsia="宋体" w:hint="default"/>
                <w:spacing w:val="4"/>
                <w:sz w:val="18"/>
                <w:szCs w:val="18"/>
              </w:rPr>
              <w:t>日本次发行 股票在深交 所上市之日 </w:t>
            </w:r>
            <w:r>
              <w:rPr>
                <w:rFonts w:ascii="宋体" w:hAnsi="宋体" w:cs="宋体" w:eastAsia="宋体" w:hint="default"/>
                <w:sz w:val="18"/>
                <w:szCs w:val="18"/>
              </w:rPr>
              <w:t>起 </w:t>
            </w:r>
            <w:r>
              <w:rPr>
                <w:rFonts w:ascii="宋体" w:hAnsi="宋体" w:cs="宋体" w:eastAsia="宋体" w:hint="default"/>
                <w:sz w:val="18"/>
                <w:szCs w:val="18"/>
              </w:rPr>
              <w:t>36</w:t>
            </w:r>
            <w:r>
              <w:rPr>
                <w:rFonts w:ascii="宋体" w:hAnsi="宋体" w:cs="宋体" w:eastAsia="宋体" w:hint="default"/>
                <w:spacing w:val="12"/>
                <w:sz w:val="18"/>
                <w:szCs w:val="18"/>
              </w:rPr>
              <w:t> </w:t>
            </w:r>
            <w:r>
              <w:rPr>
                <w:rFonts w:ascii="宋体" w:hAnsi="宋体" w:cs="宋体" w:eastAsia="宋体" w:hint="default"/>
                <w:spacing w:val="6"/>
                <w:sz w:val="18"/>
                <w:szCs w:val="18"/>
              </w:rPr>
              <w:t>个月 </w:t>
            </w:r>
            <w:r>
              <w:rPr>
                <w:rFonts w:ascii="宋体" w:hAnsi="宋体" w:cs="宋体" w:eastAsia="宋体" w:hint="default"/>
                <w:sz w:val="18"/>
                <w:szCs w:val="18"/>
              </w:rPr>
              <w:t>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3365" w:hRule="exact"/>
        </w:trPr>
        <w:tc>
          <w:tcPr>
            <w:tcW w:w="63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2"/>
              <w:ind w:left="103" w:right="10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、重组资产价值承诺：自</w:t>
            </w:r>
            <w:r>
              <w:rPr>
                <w:rFonts w:ascii="宋体" w:hAnsi="宋体" w:cs="宋体" w:eastAsia="宋体" w:hint="default"/>
                <w:spacing w:val="-35"/>
                <w:sz w:val="18"/>
                <w:szCs w:val="18"/>
              </w:rPr>
              <w:t> </w:t>
            </w:r>
            <w:r>
              <w:rPr>
                <w:rFonts w:ascii="宋体" w:hAnsi="宋体" w:cs="宋体" w:eastAsia="宋体" w:hint="default"/>
                <w:sz w:val="18"/>
                <w:szCs w:val="18"/>
              </w:rPr>
              <w:t>2012</w:t>
            </w:r>
            <w:r>
              <w:rPr>
                <w:rFonts w:ascii="宋体" w:hAnsi="宋体" w:cs="宋体" w:eastAsia="宋体" w:hint="default"/>
                <w:spacing w:val="-35"/>
                <w:sz w:val="18"/>
                <w:szCs w:val="18"/>
              </w:rPr>
              <w:t> </w:t>
            </w:r>
            <w:r>
              <w:rPr>
                <w:rFonts w:ascii="宋体" w:hAnsi="宋体" w:cs="宋体" w:eastAsia="宋体" w:hint="default"/>
                <w:sz w:val="18"/>
                <w:szCs w:val="18"/>
              </w:rPr>
              <w:t>年起连续</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年的 各年期末，经公司聘请具有证券业务资格的资产评估</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机构，分别对各年期末重组资产进行评估，若评估值</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低于重组资产作价价值</w:t>
            </w:r>
            <w:r>
              <w:rPr>
                <w:rFonts w:ascii="宋体" w:hAnsi="宋体" w:cs="宋体" w:eastAsia="宋体" w:hint="default"/>
                <w:spacing w:val="-43"/>
                <w:sz w:val="18"/>
                <w:szCs w:val="18"/>
              </w:rPr>
              <w:t> </w:t>
            </w:r>
            <w:r>
              <w:rPr>
                <w:rFonts w:ascii="宋体" w:hAnsi="宋体" w:cs="宋体" w:eastAsia="宋体" w:hint="default"/>
                <w:sz w:val="18"/>
                <w:szCs w:val="18"/>
              </w:rPr>
              <w:t>58,000</w:t>
            </w:r>
            <w:r>
              <w:rPr>
                <w:rFonts w:ascii="宋体" w:hAnsi="宋体" w:cs="宋体" w:eastAsia="宋体" w:hint="default"/>
                <w:spacing w:val="-43"/>
                <w:sz w:val="18"/>
                <w:szCs w:val="18"/>
              </w:rPr>
              <w:t> </w:t>
            </w:r>
            <w:r>
              <w:rPr>
                <w:rFonts w:ascii="宋体" w:hAnsi="宋体" w:cs="宋体" w:eastAsia="宋体" w:hint="default"/>
                <w:spacing w:val="-6"/>
                <w:sz w:val="18"/>
                <w:szCs w:val="18"/>
              </w:rPr>
              <w:t>万元，中兆投资将根据</w:t>
            </w:r>
            <w:r>
              <w:rPr>
                <w:rFonts w:ascii="宋体" w:hAnsi="宋体" w:cs="宋体" w:eastAsia="宋体" w:hint="default"/>
                <w:sz w:val="18"/>
                <w:szCs w:val="18"/>
              </w:rPr>
              <w:t> 约定的计算公式及原则算出应予补偿的股份数，由公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司以总价人民币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元的价格对中兆投资应予补偿的股 份进行回购并予以注销。</w:t>
            </w:r>
          </w:p>
          <w:p>
            <w:pPr>
              <w:pStyle w:val="TableParagraph"/>
              <w:spacing w:line="237" w:lineRule="auto" w:before="1"/>
              <w:ind w:left="103" w:right="105" w:firstLine="360"/>
              <w:jc w:val="both"/>
              <w:rPr>
                <w:rFonts w:ascii="宋体" w:hAnsi="宋体" w:cs="宋体" w:eastAsia="宋体" w:hint="default"/>
                <w:sz w:val="18"/>
                <w:szCs w:val="18"/>
              </w:rPr>
            </w:pPr>
            <w:r>
              <w:rPr>
                <w:rFonts w:ascii="宋体" w:hAnsi="宋体" w:cs="宋体" w:eastAsia="宋体" w:hint="default"/>
                <w:sz w:val="18"/>
                <w:szCs w:val="18"/>
              </w:rPr>
              <w:t>因下列原因包括但不限于地震、台风、洪水、火 灾、疫情或其他天灾等自然灾害，以及战争、骚乱、</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罢工等社会性事件，且上述自然灾害或社会性事件导</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致秦皇岛茂业发生重大经济损失、经营陷入停顿或市</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场环境严重恶化的，导致评估值低于重组资产作价值</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时，中兆投资将不予补偿股份。</w:t>
            </w:r>
          </w:p>
        </w:tc>
        <w:tc>
          <w:tcPr>
            <w:tcW w:w="850"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381" w:right="0"/>
              <w:jc w:val="left"/>
              <w:rPr>
                <w:rFonts w:ascii="宋体" w:hAnsi="宋体" w:cs="宋体" w:eastAsia="宋体" w:hint="default"/>
                <w:sz w:val="18"/>
                <w:szCs w:val="18"/>
              </w:rPr>
            </w:pPr>
            <w:r>
              <w:rPr>
                <w:rFonts w:ascii="宋体" w:hAnsi="宋体" w:cs="宋体" w:eastAsia="宋体" w:hint="default"/>
                <w:spacing w:val="-16"/>
                <w:sz w:val="18"/>
                <w:szCs w:val="18"/>
              </w:rPr>
              <w:t>2012</w:t>
            </w:r>
            <w:r>
              <w:rPr>
                <w:rFonts w:ascii="宋体" w:hAnsi="宋体" w:cs="宋体" w:eastAsia="宋体" w:hint="default"/>
                <w:spacing w:val="-34"/>
                <w:sz w:val="18"/>
                <w:szCs w:val="18"/>
              </w:rPr>
              <w:t> </w:t>
            </w:r>
            <w:r>
              <w:rPr>
                <w:rFonts w:ascii="宋体" w:hAnsi="宋体" w:cs="宋体" w:eastAsia="宋体" w:hint="default"/>
                <w:spacing w:val="-36"/>
                <w:sz w:val="18"/>
                <w:szCs w:val="18"/>
              </w:rPr>
              <w:t>年、</w:t>
            </w:r>
            <w:r>
              <w:rPr>
                <w:rFonts w:ascii="宋体" w:hAnsi="宋体" w:cs="宋体" w:eastAsia="宋体" w:hint="default"/>
                <w:sz w:val="18"/>
                <w:szCs w:val="18"/>
              </w:rPr>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pacing w:val="27"/>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年共</w:t>
            </w:r>
            <w:r>
              <w:rPr>
                <w:rFonts w:ascii="宋体" w:hAnsi="宋体" w:cs="宋体" w:eastAsia="宋体" w:hint="default"/>
                <w:spacing w:val="-72"/>
                <w:sz w:val="18"/>
                <w:szCs w:val="18"/>
              </w:rPr>
              <w:t> </w:t>
            </w:r>
            <w:r>
              <w:rPr>
                <w:rFonts w:ascii="宋体" w:hAnsi="宋体" w:cs="宋体" w:eastAsia="宋体" w:hint="default"/>
                <w:sz w:val="18"/>
                <w:szCs w:val="18"/>
              </w:rPr>
              <w:t>3</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7" w:lineRule="auto" w:before="1"/>
              <w:ind w:left="101" w:right="66" w:firstLine="360"/>
              <w:jc w:val="both"/>
              <w:rPr>
                <w:rFonts w:ascii="宋体" w:hAnsi="宋体" w:cs="宋体" w:eastAsia="宋体" w:hint="default"/>
                <w:sz w:val="18"/>
                <w:szCs w:val="18"/>
              </w:rPr>
            </w:pPr>
            <w:r>
              <w:rPr>
                <w:rFonts w:ascii="宋体" w:hAnsi="宋体" w:cs="宋体" w:eastAsia="宋体" w:hint="default"/>
                <w:spacing w:val="8"/>
                <w:sz w:val="18"/>
                <w:szCs w:val="18"/>
              </w:rPr>
              <w:t>若出现 </w:t>
            </w:r>
            <w:r>
              <w:rPr>
                <w:rFonts w:ascii="宋体" w:hAnsi="宋体" w:cs="宋体" w:eastAsia="宋体" w:hint="default"/>
                <w:spacing w:val="4"/>
                <w:sz w:val="18"/>
                <w:szCs w:val="18"/>
              </w:rPr>
              <w:t>补偿情况，</w:t>
            </w:r>
            <w:r>
              <w:rPr>
                <w:rFonts w:ascii="宋体" w:hAnsi="宋体" w:cs="宋体" w:eastAsia="宋体" w:hint="default"/>
                <w:spacing w:val="4"/>
                <w:sz w:val="18"/>
                <w:szCs w:val="18"/>
              </w:rPr>
              <w:t> 由公司在相 应年度报告 公告之日起 </w:t>
            </w:r>
            <w:r>
              <w:rPr>
                <w:rFonts w:ascii="宋体" w:hAnsi="宋体" w:cs="宋体" w:eastAsia="宋体" w:hint="default"/>
                <w:sz w:val="18"/>
                <w:szCs w:val="18"/>
              </w:rPr>
              <w:t>45</w:t>
            </w:r>
            <w:r>
              <w:rPr>
                <w:rFonts w:ascii="宋体" w:hAnsi="宋体" w:cs="宋体" w:eastAsia="宋体" w:hint="default"/>
                <w:spacing w:val="36"/>
                <w:sz w:val="18"/>
                <w:szCs w:val="18"/>
              </w:rPr>
              <w:t> </w:t>
            </w:r>
            <w:r>
              <w:rPr>
                <w:rFonts w:ascii="宋体" w:hAnsi="宋体" w:cs="宋体" w:eastAsia="宋体" w:hint="default"/>
                <w:spacing w:val="24"/>
                <w:sz w:val="18"/>
                <w:szCs w:val="18"/>
              </w:rPr>
              <w:t>个工作</w:t>
            </w:r>
            <w:r>
              <w:rPr>
                <w:rFonts w:ascii="宋体" w:hAnsi="宋体" w:cs="宋体" w:eastAsia="宋体" w:hint="default"/>
                <w:spacing w:val="-54"/>
                <w:sz w:val="18"/>
                <w:szCs w:val="18"/>
              </w:rPr>
              <w:t> </w:t>
            </w:r>
            <w:r>
              <w:rPr>
                <w:rFonts w:ascii="宋体" w:hAnsi="宋体" w:cs="宋体" w:eastAsia="宋体" w:hint="default"/>
                <w:spacing w:val="4"/>
                <w:sz w:val="18"/>
                <w:szCs w:val="18"/>
              </w:rPr>
              <w:t>日内完成该</w:t>
            </w:r>
            <w:r>
              <w:rPr>
                <w:rFonts w:ascii="宋体" w:hAnsi="宋体" w:cs="宋体" w:eastAsia="宋体" w:hint="default"/>
                <w:spacing w:val="4"/>
                <w:sz w:val="18"/>
                <w:szCs w:val="18"/>
              </w:rPr>
              <w:t> 年度补偿股 份的回购注 </w:t>
            </w:r>
            <w:r>
              <w:rPr>
                <w:rFonts w:ascii="宋体" w:hAnsi="宋体" w:cs="宋体" w:eastAsia="宋体" w:hint="default"/>
                <w:sz w:val="18"/>
                <w:szCs w:val="18"/>
              </w:rPr>
              <w:t>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0"/>
              <w:ind w:left="461" w:right="0"/>
              <w:jc w:val="left"/>
              <w:rPr>
                <w:rFonts w:ascii="宋体" w:hAnsi="宋体" w:cs="宋体" w:eastAsia="宋体" w:hint="default"/>
                <w:sz w:val="18"/>
                <w:szCs w:val="18"/>
              </w:rPr>
            </w:pPr>
            <w:r>
              <w:rPr>
                <w:rFonts w:ascii="宋体" w:hAnsi="宋体" w:cs="宋体" w:eastAsia="宋体" w:hint="default"/>
                <w:sz w:val="18"/>
                <w:szCs w:val="18"/>
              </w:rPr>
              <w:t>经评估自 </w:t>
            </w:r>
            <w:r>
              <w:rPr>
                <w:rFonts w:ascii="宋体" w:hAnsi="宋体" w:cs="宋体" w:eastAsia="宋体" w:hint="default"/>
                <w:sz w:val="18"/>
                <w:szCs w:val="18"/>
              </w:rPr>
              <w:t>2012</w:t>
            </w:r>
            <w:r>
              <w:rPr>
                <w:rFonts w:ascii="宋体" w:hAnsi="宋体" w:cs="宋体" w:eastAsia="宋体" w:hint="default"/>
                <w:spacing w:val="-70"/>
                <w:sz w:val="18"/>
                <w:szCs w:val="18"/>
              </w:rPr>
              <w:t> </w:t>
            </w:r>
            <w:r>
              <w:rPr>
                <w:rFonts w:ascii="宋体" w:hAnsi="宋体" w:cs="宋体" w:eastAsia="宋体" w:hint="default"/>
                <w:sz w:val="18"/>
                <w:szCs w:val="18"/>
              </w:rPr>
              <w:t>年起</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年连续</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18"/>
                <w:szCs w:val="18"/>
              </w:rPr>
              <w:t>年的各 </w:t>
            </w:r>
            <w:r>
              <w:rPr>
                <w:rFonts w:ascii="宋体" w:hAnsi="宋体" w:cs="宋体" w:eastAsia="宋体" w:hint="default"/>
                <w:spacing w:val="10"/>
                <w:sz w:val="18"/>
                <w:szCs w:val="18"/>
              </w:rPr>
              <w:t>年期末重组资产未出现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补偿情形。该项承诺至本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期末已履行完毕。</w:t>
            </w:r>
          </w:p>
          <w:p>
            <w:pPr>
              <w:pStyle w:val="TableParagraph"/>
              <w:spacing w:line="237" w:lineRule="auto"/>
              <w:ind w:left="101" w:right="102" w:firstLine="360"/>
              <w:jc w:val="both"/>
              <w:rPr>
                <w:rFonts w:ascii="宋体" w:hAnsi="宋体" w:cs="宋体" w:eastAsia="宋体" w:hint="default"/>
                <w:sz w:val="18"/>
                <w:szCs w:val="18"/>
              </w:rPr>
            </w:pPr>
            <w:r>
              <w:rPr>
                <w:rFonts w:ascii="宋体" w:hAnsi="宋体" w:cs="宋体" w:eastAsia="宋体" w:hint="default"/>
                <w:spacing w:val="-7"/>
                <w:sz w:val="18"/>
                <w:szCs w:val="18"/>
              </w:rPr>
              <w:t>经中企华评估，</w:t>
            </w:r>
            <w:r>
              <w:rPr>
                <w:rFonts w:ascii="宋体" w:hAnsi="宋体" w:cs="宋体" w:eastAsia="宋体" w:hint="default"/>
                <w:spacing w:val="-7"/>
                <w:sz w:val="18"/>
                <w:szCs w:val="18"/>
              </w:rPr>
              <w:t>2014</w:t>
            </w:r>
            <w:r>
              <w:rPr>
                <w:rFonts w:ascii="宋体" w:hAnsi="宋体" w:cs="宋体" w:eastAsia="宋体" w:hint="default"/>
                <w:sz w:val="18"/>
                <w:szCs w:val="18"/>
              </w:rPr>
              <w:t> </w:t>
            </w:r>
            <w:r>
              <w:rPr>
                <w:rFonts w:ascii="宋体" w:hAnsi="宋体" w:cs="宋体" w:eastAsia="宋体" w:hint="default"/>
                <w:spacing w:val="10"/>
                <w:sz w:val="18"/>
                <w:szCs w:val="18"/>
              </w:rPr>
              <w:t>年期末重组资产评估价</w:t>
            </w:r>
            <w:r>
              <w:rPr>
                <w:rFonts w:ascii="宋体" w:hAnsi="宋体" w:cs="宋体" w:eastAsia="宋体" w:hint="default"/>
                <w:sz w:val="18"/>
                <w:szCs w:val="18"/>
              </w:rPr>
              <w:t> </w:t>
            </w:r>
            <w:r>
              <w:rPr>
                <w:rFonts w:ascii="宋体" w:hAnsi="宋体" w:cs="宋体" w:eastAsia="宋体" w:hint="default"/>
                <w:spacing w:val="-7"/>
                <w:sz w:val="18"/>
                <w:szCs w:val="18"/>
              </w:rPr>
              <w:t>值较作价价值高，没有出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现应予以补偿情形。有关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评估情况见本年报本章</w:t>
            </w:r>
            <w:r>
              <w:rPr>
                <w:rFonts w:ascii="宋体" w:hAnsi="宋体" w:cs="宋体" w:eastAsia="宋体" w:hint="default"/>
                <w:sz w:val="18"/>
                <w:szCs w:val="18"/>
              </w:rPr>
              <w:t> </w:t>
            </w:r>
            <w:r>
              <w:rPr>
                <w:rFonts w:ascii="宋体" w:hAnsi="宋体" w:cs="宋体" w:eastAsia="宋体" w:hint="default"/>
                <w:spacing w:val="-7"/>
                <w:sz w:val="18"/>
                <w:szCs w:val="18"/>
              </w:rPr>
              <w:t>本节“一、承诺及履行情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况</w:t>
            </w:r>
            <w:r>
              <w:rPr>
                <w:rFonts w:ascii="宋体" w:hAnsi="宋体" w:cs="宋体" w:eastAsia="宋体" w:hint="default"/>
                <w:spacing w:val="9"/>
                <w:sz w:val="18"/>
                <w:szCs w:val="18"/>
              </w:rPr>
              <w:t>(</w:t>
            </w:r>
            <w:r>
              <w:rPr>
                <w:rFonts w:ascii="宋体" w:hAnsi="宋体" w:cs="宋体" w:eastAsia="宋体" w:hint="default"/>
                <w:spacing w:val="9"/>
                <w:sz w:val="18"/>
                <w:szCs w:val="18"/>
              </w:rPr>
              <w:t>二</w:t>
            </w:r>
            <w:r>
              <w:rPr>
                <w:rFonts w:ascii="宋体" w:hAnsi="宋体" w:cs="宋体" w:eastAsia="宋体" w:hint="default"/>
                <w:spacing w:val="9"/>
                <w:sz w:val="18"/>
                <w:szCs w:val="18"/>
              </w:rPr>
              <w:t>)</w:t>
            </w:r>
            <w:r>
              <w:rPr>
                <w:rFonts w:ascii="宋体" w:hAnsi="宋体" w:cs="宋体" w:eastAsia="宋体" w:hint="default"/>
                <w:spacing w:val="9"/>
                <w:sz w:val="18"/>
                <w:szCs w:val="18"/>
              </w:rPr>
              <w:t>有关评估”的内</w:t>
            </w:r>
            <w:r>
              <w:rPr>
                <w:rFonts w:ascii="宋体" w:hAnsi="宋体" w:cs="宋体" w:eastAsia="宋体" w:hint="default"/>
                <w:sz w:val="18"/>
                <w:szCs w:val="18"/>
              </w:rPr>
              <w:t> 容。</w:t>
            </w:r>
          </w:p>
        </w:tc>
      </w:tr>
      <w:tr>
        <w:trPr>
          <w:trHeight w:val="2975" w:hRule="exact"/>
        </w:trPr>
        <w:tc>
          <w:tcPr>
            <w:tcW w:w="63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37" w:lineRule="auto"/>
              <w:ind w:left="103" w:right="101"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、重组资产未来</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年业绩承诺：在公司</w:t>
            </w:r>
            <w:r>
              <w:rPr>
                <w:rFonts w:ascii="宋体" w:hAnsi="宋体" w:cs="宋体" w:eastAsia="宋体" w:hint="default"/>
                <w:spacing w:val="-36"/>
                <w:sz w:val="18"/>
                <w:szCs w:val="18"/>
              </w:rPr>
              <w:t> </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 度审计时，经负责公司年度审计工作的会计师事务所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对秦皇岛茂业</w:t>
            </w:r>
            <w:r>
              <w:rPr>
                <w:rFonts w:ascii="宋体" w:hAnsi="宋体" w:cs="宋体" w:eastAsia="宋体" w:hint="default"/>
                <w:spacing w:val="-35"/>
                <w:sz w:val="18"/>
                <w:szCs w:val="18"/>
              </w:rPr>
              <w:t> </w:t>
            </w:r>
            <w:r>
              <w:rPr>
                <w:rFonts w:ascii="宋体" w:hAnsi="宋体" w:cs="宋体" w:eastAsia="宋体" w:hint="default"/>
                <w:sz w:val="18"/>
                <w:szCs w:val="18"/>
              </w:rPr>
              <w:t>2012</w:t>
            </w:r>
            <w:r>
              <w:rPr>
                <w:rFonts w:ascii="宋体" w:hAnsi="宋体" w:cs="宋体" w:eastAsia="宋体" w:hint="default"/>
                <w:spacing w:val="-35"/>
                <w:sz w:val="18"/>
                <w:szCs w:val="18"/>
              </w:rPr>
              <w:t> </w:t>
            </w:r>
            <w:r>
              <w:rPr>
                <w:rFonts w:ascii="宋体" w:hAnsi="宋体" w:cs="宋体" w:eastAsia="宋体" w:hint="default"/>
                <w:sz w:val="18"/>
                <w:szCs w:val="18"/>
              </w:rPr>
              <w:t>年至</w:t>
            </w:r>
            <w:r>
              <w:rPr>
                <w:rFonts w:ascii="宋体" w:hAnsi="宋体" w:cs="宋体" w:eastAsia="宋体" w:hint="default"/>
                <w:spacing w:val="-35"/>
                <w:sz w:val="18"/>
                <w:szCs w:val="18"/>
              </w:rPr>
              <w:t> </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年业绩出具的专项审核 结果确定，若秦皇岛茂业</w:t>
            </w:r>
            <w:r>
              <w:rPr>
                <w:rFonts w:ascii="宋体" w:hAnsi="宋体" w:cs="宋体" w:eastAsia="宋体" w:hint="default"/>
                <w:spacing w:val="-36"/>
                <w:sz w:val="18"/>
                <w:szCs w:val="18"/>
              </w:rPr>
              <w:t> </w:t>
            </w: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 三年扣除非经常性损益后的实际净利润总额未实现盈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利预测承诺数 </w:t>
            </w:r>
            <w:r>
              <w:rPr>
                <w:rFonts w:ascii="宋体" w:hAnsi="宋体" w:cs="宋体" w:eastAsia="宋体" w:hint="default"/>
                <w:sz w:val="18"/>
                <w:szCs w:val="18"/>
              </w:rPr>
              <w:t>10,750.71</w:t>
            </w:r>
            <w:r>
              <w:rPr>
                <w:rFonts w:ascii="宋体" w:hAnsi="宋体" w:cs="宋体" w:eastAsia="宋体" w:hint="default"/>
                <w:spacing w:val="-52"/>
                <w:sz w:val="18"/>
                <w:szCs w:val="18"/>
              </w:rPr>
              <w:t> </w:t>
            </w:r>
            <w:r>
              <w:rPr>
                <w:rFonts w:ascii="宋体" w:hAnsi="宋体" w:cs="宋体" w:eastAsia="宋体" w:hint="default"/>
                <w:sz w:val="18"/>
                <w:szCs w:val="18"/>
              </w:rPr>
              <w:t>万元，中兆投资将根据约定 的计算方式算出应予补偿的股份数，由公司以总价人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民币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元的价格对中兆投资应予补偿的股份进行回购 并予以注销。</w:t>
            </w:r>
          </w:p>
        </w:tc>
        <w:tc>
          <w:tcPr>
            <w:tcW w:w="8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pacing w:val="-16"/>
                <w:sz w:val="18"/>
                <w:szCs w:val="18"/>
              </w:rPr>
              <w:t>2012</w:t>
            </w:r>
            <w:r>
              <w:rPr>
                <w:rFonts w:ascii="宋体" w:hAnsi="宋体" w:cs="宋体" w:eastAsia="宋体" w:hint="default"/>
                <w:spacing w:val="-69"/>
                <w:sz w:val="18"/>
                <w:szCs w:val="18"/>
              </w:rPr>
              <w:t> </w:t>
            </w:r>
            <w:r>
              <w:rPr>
                <w:rFonts w:ascii="宋体" w:hAnsi="宋体" w:cs="宋体" w:eastAsia="宋体" w:hint="default"/>
                <w:spacing w:val="-21"/>
                <w:sz w:val="18"/>
                <w:szCs w:val="18"/>
              </w:rPr>
              <w:t>年至</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年共</w:t>
            </w:r>
            <w:r>
              <w:rPr>
                <w:rFonts w:ascii="宋体" w:hAnsi="宋体" w:cs="宋体" w:eastAsia="宋体" w:hint="default"/>
                <w:spacing w:val="-72"/>
                <w:sz w:val="18"/>
                <w:szCs w:val="18"/>
              </w:rPr>
              <w:t> </w:t>
            </w:r>
            <w:r>
              <w:rPr>
                <w:rFonts w:ascii="宋体" w:hAnsi="宋体" w:cs="宋体" w:eastAsia="宋体" w:hint="default"/>
                <w:sz w:val="18"/>
                <w:szCs w:val="18"/>
              </w:rPr>
              <w:t>3</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01" w:right="12" w:firstLine="360"/>
              <w:jc w:val="left"/>
              <w:rPr>
                <w:rFonts w:ascii="宋体" w:hAnsi="宋体" w:cs="宋体" w:eastAsia="宋体" w:hint="default"/>
                <w:sz w:val="18"/>
                <w:szCs w:val="18"/>
              </w:rPr>
            </w:pPr>
            <w:r>
              <w:rPr>
                <w:rFonts w:ascii="宋体" w:hAnsi="宋体" w:cs="宋体" w:eastAsia="宋体" w:hint="default"/>
                <w:spacing w:val="-8"/>
                <w:sz w:val="18"/>
                <w:szCs w:val="18"/>
              </w:rPr>
              <w:t>经中兴华审计，秦皇</w:t>
            </w:r>
            <w:r>
              <w:rPr>
                <w:rFonts w:ascii="宋体" w:hAnsi="宋体" w:cs="宋体" w:eastAsia="宋体" w:hint="default"/>
                <w:sz w:val="18"/>
                <w:szCs w:val="18"/>
              </w:rPr>
              <w:t> 岛茂业</w:t>
            </w:r>
            <w:r>
              <w:rPr>
                <w:rFonts w:ascii="宋体" w:hAnsi="宋体" w:cs="宋体" w:eastAsia="宋体" w:hint="default"/>
                <w:spacing w:val="-52"/>
                <w:sz w:val="18"/>
                <w:szCs w:val="18"/>
              </w:rPr>
              <w:t> </w:t>
            </w: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pacing w:val="-16"/>
                <w:sz w:val="18"/>
                <w:szCs w:val="18"/>
              </w:rPr>
              <w:t>年、</w:t>
            </w:r>
            <w:r>
              <w:rPr>
                <w:rFonts w:ascii="宋体" w:hAnsi="宋体" w:cs="宋体" w:eastAsia="宋体" w:hint="default"/>
                <w:spacing w:val="-16"/>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 </w:t>
            </w:r>
            <w:r>
              <w:rPr>
                <w:rFonts w:ascii="宋体" w:hAnsi="宋体" w:cs="宋体" w:eastAsia="宋体" w:hint="default"/>
                <w:sz w:val="18"/>
                <w:szCs w:val="18"/>
              </w:rPr>
              <w:t>2014 </w:t>
            </w:r>
            <w:r>
              <w:rPr>
                <w:rFonts w:ascii="宋体" w:hAnsi="宋体" w:cs="宋体" w:eastAsia="宋体" w:hint="default"/>
                <w:sz w:val="18"/>
                <w:szCs w:val="18"/>
              </w:rPr>
              <w:t>年三年扣除非经常</w:t>
            </w:r>
            <w:r>
              <w:rPr>
                <w:rFonts w:ascii="宋体" w:hAnsi="宋体" w:cs="宋体" w:eastAsia="宋体" w:hint="default"/>
                <w:spacing w:val="-73"/>
                <w:sz w:val="18"/>
                <w:szCs w:val="18"/>
              </w:rPr>
              <w:t> </w:t>
            </w:r>
            <w:r>
              <w:rPr>
                <w:rFonts w:ascii="宋体" w:hAnsi="宋体" w:cs="宋体" w:eastAsia="宋体" w:hint="default"/>
                <w:spacing w:val="10"/>
                <w:sz w:val="18"/>
                <w:szCs w:val="18"/>
              </w:rPr>
              <w:t>性损益后的实际净利润</w:t>
            </w:r>
            <w:r>
              <w:rPr>
                <w:rFonts w:ascii="宋体" w:hAnsi="宋体" w:cs="宋体" w:eastAsia="宋体" w:hint="default"/>
                <w:sz w:val="18"/>
                <w:szCs w:val="18"/>
              </w:rPr>
              <w:t> 累计为</w:t>
            </w:r>
            <w:r>
              <w:rPr>
                <w:rFonts w:ascii="宋体" w:hAnsi="宋体" w:cs="宋体" w:eastAsia="宋体" w:hint="default"/>
                <w:spacing w:val="-46"/>
                <w:sz w:val="18"/>
                <w:szCs w:val="18"/>
              </w:rPr>
              <w:t> </w:t>
            </w:r>
            <w:r>
              <w:rPr>
                <w:rFonts w:ascii="宋体" w:hAnsi="宋体" w:cs="宋体" w:eastAsia="宋体" w:hint="default"/>
                <w:sz w:val="18"/>
                <w:szCs w:val="18"/>
              </w:rPr>
              <w:t>12,105.22</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pacing w:val="18"/>
                <w:sz w:val="18"/>
                <w:szCs w:val="18"/>
              </w:rPr>
              <w:t>高于</w:t>
            </w:r>
            <w:r>
              <w:rPr>
                <w:rFonts w:ascii="宋体" w:hAnsi="宋体" w:cs="宋体" w:eastAsia="宋体" w:hint="default"/>
                <w:spacing w:val="-54"/>
                <w:sz w:val="18"/>
                <w:szCs w:val="18"/>
              </w:rPr>
              <w:t> </w:t>
            </w:r>
            <w:r>
              <w:rPr>
                <w:rFonts w:ascii="宋体" w:hAnsi="宋体" w:cs="宋体" w:eastAsia="宋体" w:hint="default"/>
                <w:sz w:val="18"/>
                <w:szCs w:val="18"/>
              </w:rPr>
              <w:t>盈</w:t>
            </w:r>
            <w:r>
              <w:rPr>
                <w:rFonts w:ascii="宋体" w:hAnsi="宋体" w:cs="宋体" w:eastAsia="宋体" w:hint="default"/>
                <w:spacing w:val="-55"/>
                <w:sz w:val="18"/>
                <w:szCs w:val="18"/>
              </w:rPr>
              <w:t> </w:t>
            </w:r>
            <w:r>
              <w:rPr>
                <w:rFonts w:ascii="宋体" w:hAnsi="宋体" w:cs="宋体" w:eastAsia="宋体" w:hint="default"/>
                <w:sz w:val="18"/>
                <w:szCs w:val="18"/>
              </w:rPr>
              <w:t>利</w:t>
            </w:r>
            <w:r>
              <w:rPr>
                <w:rFonts w:ascii="宋体" w:hAnsi="宋体" w:cs="宋体" w:eastAsia="宋体" w:hint="default"/>
                <w:spacing w:val="-55"/>
                <w:sz w:val="18"/>
                <w:szCs w:val="18"/>
              </w:rPr>
              <w:t> </w:t>
            </w:r>
            <w:r>
              <w:rPr>
                <w:rFonts w:ascii="宋体" w:hAnsi="宋体" w:cs="宋体" w:eastAsia="宋体" w:hint="default"/>
                <w:sz w:val="18"/>
                <w:szCs w:val="18"/>
              </w:rPr>
              <w:t>预</w:t>
            </w:r>
            <w:r>
              <w:rPr>
                <w:rFonts w:ascii="宋体" w:hAnsi="宋体" w:cs="宋体" w:eastAsia="宋体" w:hint="default"/>
                <w:spacing w:val="-53"/>
                <w:sz w:val="18"/>
                <w:szCs w:val="18"/>
              </w:rPr>
              <w:t> </w:t>
            </w:r>
            <w:r>
              <w:rPr>
                <w:rFonts w:ascii="宋体" w:hAnsi="宋体" w:cs="宋体" w:eastAsia="宋体" w:hint="default"/>
                <w:sz w:val="18"/>
                <w:szCs w:val="18"/>
              </w:rPr>
              <w:t>测</w:t>
            </w:r>
            <w:r>
              <w:rPr>
                <w:rFonts w:ascii="宋体" w:hAnsi="宋体" w:cs="宋体" w:eastAsia="宋体" w:hint="default"/>
                <w:spacing w:val="-55"/>
                <w:sz w:val="18"/>
                <w:szCs w:val="18"/>
              </w:rPr>
              <w:t> </w:t>
            </w:r>
            <w:r>
              <w:rPr>
                <w:rFonts w:ascii="宋体" w:hAnsi="宋体" w:cs="宋体" w:eastAsia="宋体" w:hint="default"/>
                <w:sz w:val="18"/>
                <w:szCs w:val="18"/>
              </w:rPr>
              <w:t>承</w:t>
            </w:r>
            <w:r>
              <w:rPr>
                <w:rFonts w:ascii="宋体" w:hAnsi="宋体" w:cs="宋体" w:eastAsia="宋体" w:hint="default"/>
                <w:spacing w:val="-55"/>
                <w:sz w:val="18"/>
                <w:szCs w:val="18"/>
              </w:rPr>
              <w:t> </w:t>
            </w:r>
            <w:r>
              <w:rPr>
                <w:rFonts w:ascii="宋体" w:hAnsi="宋体" w:cs="宋体" w:eastAsia="宋体" w:hint="default"/>
                <w:sz w:val="18"/>
                <w:szCs w:val="18"/>
              </w:rPr>
              <w:t>诺</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z w:val="18"/>
                <w:szCs w:val="18"/>
              </w:rPr>
              <w:t> </w:t>
            </w:r>
            <w:r>
              <w:rPr>
                <w:rFonts w:ascii="宋体" w:hAnsi="宋体" w:cs="宋体" w:eastAsia="宋体" w:hint="default"/>
                <w:sz w:val="18"/>
                <w:szCs w:val="18"/>
              </w:rPr>
              <w:t>10,750.71</w:t>
            </w:r>
            <w:r>
              <w:rPr>
                <w:rFonts w:ascii="宋体" w:hAnsi="宋体" w:cs="宋体" w:eastAsia="宋体" w:hint="default"/>
                <w:spacing w:val="-45"/>
                <w:sz w:val="18"/>
                <w:szCs w:val="18"/>
              </w:rPr>
              <w:t> </w:t>
            </w:r>
            <w:r>
              <w:rPr>
                <w:rFonts w:ascii="宋体" w:hAnsi="宋体" w:cs="宋体" w:eastAsia="宋体" w:hint="default"/>
                <w:spacing w:val="-5"/>
                <w:sz w:val="18"/>
                <w:szCs w:val="18"/>
              </w:rPr>
              <w:t>万元，未出现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补偿情形。该项承诺至本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期末已履行完毕。有关情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况</w:t>
            </w:r>
            <w:r>
              <w:rPr>
                <w:rFonts w:ascii="宋体" w:hAnsi="宋体" w:cs="宋体" w:eastAsia="宋体" w:hint="default"/>
                <w:spacing w:val="-55"/>
                <w:sz w:val="18"/>
                <w:szCs w:val="18"/>
              </w:rPr>
              <w:t> </w:t>
            </w:r>
            <w:r>
              <w:rPr>
                <w:rFonts w:ascii="宋体" w:hAnsi="宋体" w:cs="宋体" w:eastAsia="宋体" w:hint="default"/>
                <w:sz w:val="18"/>
                <w:szCs w:val="18"/>
              </w:rPr>
              <w:t>见</w:t>
            </w:r>
            <w:r>
              <w:rPr>
                <w:rFonts w:ascii="宋体" w:hAnsi="宋体" w:cs="宋体" w:eastAsia="宋体" w:hint="default"/>
                <w:spacing w:val="-55"/>
                <w:sz w:val="18"/>
                <w:szCs w:val="18"/>
              </w:rPr>
              <w:t> </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报</w:t>
            </w:r>
            <w:r>
              <w:rPr>
                <w:rFonts w:ascii="宋体" w:hAnsi="宋体" w:cs="宋体" w:eastAsia="宋体" w:hint="default"/>
                <w:spacing w:val="-53"/>
                <w:sz w:val="18"/>
                <w:szCs w:val="18"/>
              </w:rPr>
              <w:t> </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z w:val="18"/>
                <w:szCs w:val="18"/>
              </w:rPr>
              <w:t>章</w:t>
            </w:r>
            <w:r>
              <w:rPr>
                <w:rFonts w:ascii="宋体" w:hAnsi="宋体" w:cs="宋体" w:eastAsia="宋体" w:hint="default"/>
                <w:spacing w:val="-55"/>
                <w:sz w:val="18"/>
                <w:szCs w:val="18"/>
              </w:rPr>
              <w:t> </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z w:val="18"/>
                <w:szCs w:val="18"/>
              </w:rPr>
              <w:t>节</w:t>
            </w:r>
            <w:r>
              <w:rPr>
                <w:rFonts w:ascii="宋体" w:hAnsi="宋体" w:cs="宋体" w:eastAsia="宋体" w:hint="default"/>
                <w:sz w:val="18"/>
                <w:szCs w:val="18"/>
              </w:rPr>
              <w:t> </w:t>
            </w:r>
            <w:r>
              <w:rPr>
                <w:rFonts w:ascii="宋体" w:hAnsi="宋体" w:cs="宋体" w:eastAsia="宋体" w:hint="default"/>
                <w:spacing w:val="10"/>
                <w:sz w:val="18"/>
                <w:szCs w:val="18"/>
              </w:rPr>
              <w:t>“一、承诺及履行情况</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盈利预测”的内容。</w:t>
            </w:r>
          </w:p>
        </w:tc>
      </w:tr>
    </w:tbl>
    <w:p>
      <w:pPr>
        <w:spacing w:after="0" w:line="237"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35"/>
        <w:gridCol w:w="784"/>
        <w:gridCol w:w="4396"/>
        <w:gridCol w:w="850"/>
        <w:gridCol w:w="1134"/>
        <w:gridCol w:w="2126"/>
      </w:tblGrid>
      <w:tr>
        <w:trPr>
          <w:trHeight w:val="3746"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both"/>
              <w:rPr>
                <w:rFonts w:ascii="宋体" w:hAnsi="宋体" w:cs="宋体" w:eastAsia="宋体" w:hint="default"/>
                <w:sz w:val="18"/>
                <w:szCs w:val="18"/>
              </w:rPr>
            </w:pPr>
            <w:r>
              <w:rPr>
                <w:rFonts w:ascii="宋体"/>
                <w:sz w:val="18"/>
              </w:rPr>
              <w:t>2012</w:t>
            </w:r>
          </w:p>
          <w:p>
            <w:pPr>
              <w:pStyle w:val="TableParagraph"/>
              <w:spacing w:line="319" w:lineRule="auto" w:before="76"/>
              <w:ind w:left="103" w:right="45"/>
              <w:jc w:val="both"/>
              <w:rPr>
                <w:rFonts w:ascii="宋体" w:hAnsi="宋体" w:cs="宋体" w:eastAsia="宋体" w:hint="default"/>
                <w:sz w:val="18"/>
                <w:szCs w:val="18"/>
              </w:rPr>
            </w:pPr>
            <w:r>
              <w:rPr>
                <w:rFonts w:ascii="宋体" w:hAnsi="宋体" w:cs="宋体" w:eastAsia="宋体" w:hint="default"/>
                <w:spacing w:val="28"/>
                <w:sz w:val="18"/>
                <w:szCs w:val="18"/>
              </w:rPr>
              <w:t>年资</w:t>
            </w:r>
            <w:r>
              <w:rPr>
                <w:rFonts w:ascii="宋体" w:hAnsi="宋体" w:cs="宋体" w:eastAsia="宋体" w:hint="default"/>
                <w:spacing w:val="-33"/>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86"/>
              <w:jc w:val="both"/>
              <w:rPr>
                <w:rFonts w:ascii="宋体" w:hAnsi="宋体" w:cs="宋体" w:eastAsia="宋体" w:hint="default"/>
                <w:sz w:val="18"/>
                <w:szCs w:val="18"/>
              </w:rPr>
            </w:pPr>
            <w:r>
              <w:rPr>
                <w:rFonts w:ascii="宋体" w:hAnsi="宋体" w:cs="宋体" w:eastAsia="宋体" w:hint="default"/>
                <w:spacing w:val="14"/>
                <w:sz w:val="18"/>
                <w:szCs w:val="18"/>
              </w:rPr>
              <w:t>中兆投 资及公 司实际 控制人 黄茂如 </w:t>
            </w:r>
            <w:r>
              <w:rPr>
                <w:rFonts w:ascii="宋体" w:hAnsi="宋体" w:cs="宋体" w:eastAsia="宋体" w:hint="default"/>
                <w:sz w:val="18"/>
                <w:szCs w:val="18"/>
              </w:rPr>
              <w:t>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、避免同业竞争承诺：在公司经营区域内，不再</w:t>
            </w:r>
          </w:p>
          <w:p>
            <w:pPr>
              <w:pStyle w:val="TableParagraph"/>
              <w:spacing w:line="237" w:lineRule="auto" w:before="1"/>
              <w:ind w:left="103" w:right="105"/>
              <w:jc w:val="both"/>
              <w:rPr>
                <w:rFonts w:ascii="宋体" w:hAnsi="宋体" w:cs="宋体" w:eastAsia="宋体" w:hint="default"/>
                <w:sz w:val="18"/>
                <w:szCs w:val="18"/>
              </w:rPr>
            </w:pPr>
            <w:r>
              <w:rPr>
                <w:rFonts w:ascii="宋体" w:hAnsi="宋体" w:cs="宋体" w:eastAsia="宋体" w:hint="default"/>
                <w:sz w:val="18"/>
                <w:szCs w:val="18"/>
              </w:rPr>
              <w:t>新建或收购与其相同或类似的资产和业务，若未来公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司经营区域内存在与其经营业务相同或类似的商业机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会，中兆投资</w:t>
            </w:r>
            <w:r>
              <w:rPr>
                <w:rFonts w:ascii="宋体" w:hAnsi="宋体" w:cs="宋体" w:eastAsia="宋体" w:hint="default"/>
                <w:sz w:val="18"/>
                <w:szCs w:val="18"/>
              </w:rPr>
              <w:t>(</w:t>
            </w:r>
            <w:r>
              <w:rPr>
                <w:rFonts w:ascii="宋体" w:hAnsi="宋体" w:cs="宋体" w:eastAsia="宋体" w:hint="default"/>
                <w:sz w:val="18"/>
                <w:szCs w:val="18"/>
              </w:rPr>
              <w:t>控制人本人</w:t>
            </w:r>
            <w:r>
              <w:rPr>
                <w:rFonts w:ascii="宋体" w:hAnsi="宋体" w:cs="宋体" w:eastAsia="宋体" w:hint="default"/>
                <w:sz w:val="18"/>
                <w:szCs w:val="18"/>
              </w:rPr>
              <w:t>)</w:t>
            </w:r>
            <w:r>
              <w:rPr>
                <w:rFonts w:ascii="宋体" w:hAnsi="宋体" w:cs="宋体" w:eastAsia="宋体" w:hint="default"/>
                <w:sz w:val="18"/>
                <w:szCs w:val="18"/>
              </w:rPr>
              <w:t>将优先推荐给本公司，本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公司具有优先选择权。</w:t>
            </w:r>
          </w:p>
          <w:p>
            <w:pPr>
              <w:pStyle w:val="TableParagraph"/>
              <w:spacing w:line="237" w:lineRule="auto" w:before="1"/>
              <w:ind w:left="103" w:right="51" w:firstLine="360"/>
              <w:jc w:val="both"/>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、规范关联交易承诺：</w:t>
            </w:r>
            <w:r>
              <w:rPr>
                <w:rFonts w:ascii="宋体" w:hAnsi="宋体" w:cs="宋体" w:eastAsia="宋体" w:hint="default"/>
                <w:spacing w:val="-4"/>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不利用自身对公司的 大股东地位及控制性影响谋求本公司及其子公司在业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务合作等方面优于市场第三方的权利、优先达成交易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的权利；</w:t>
            </w:r>
            <w:r>
              <w:rPr>
                <w:rFonts w:ascii="宋体" w:hAnsi="宋体" w:cs="宋体" w:eastAsia="宋体" w:hint="default"/>
                <w:spacing w:val="3"/>
                <w:sz w:val="18"/>
                <w:szCs w:val="18"/>
              </w:rPr>
              <w:t>(2)</w:t>
            </w:r>
            <w:r>
              <w:rPr>
                <w:rFonts w:ascii="宋体" w:hAnsi="宋体" w:cs="宋体" w:eastAsia="宋体" w:hint="default"/>
                <w:spacing w:val="10"/>
                <w:sz w:val="18"/>
                <w:szCs w:val="18"/>
              </w:rPr>
              <w:t> </w:t>
            </w:r>
            <w:r>
              <w:rPr>
                <w:rFonts w:ascii="宋体" w:hAnsi="宋体" w:cs="宋体" w:eastAsia="宋体" w:hint="default"/>
                <w:spacing w:val="5"/>
                <w:sz w:val="18"/>
                <w:szCs w:val="18"/>
              </w:rPr>
              <w:t>不以低于</w:t>
            </w:r>
            <w:r>
              <w:rPr>
                <w:rFonts w:ascii="宋体" w:hAnsi="宋体" w:cs="宋体" w:eastAsia="宋体" w:hint="default"/>
                <w:spacing w:val="5"/>
                <w:sz w:val="18"/>
                <w:szCs w:val="18"/>
              </w:rPr>
              <w:t>[</w:t>
            </w:r>
            <w:r>
              <w:rPr>
                <w:rFonts w:ascii="宋体" w:hAnsi="宋体" w:cs="宋体" w:eastAsia="宋体" w:hint="default"/>
                <w:spacing w:val="5"/>
                <w:sz w:val="18"/>
                <w:szCs w:val="18"/>
              </w:rPr>
              <w:t>如本公司为买方则“不以高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z w:val="18"/>
                <w:szCs w:val="18"/>
              </w:rPr>
              <w:t>]</w:t>
            </w:r>
            <w:r>
              <w:rPr>
                <w:rFonts w:ascii="宋体" w:hAnsi="宋体" w:cs="宋体" w:eastAsia="宋体" w:hint="default"/>
                <w:sz w:val="18"/>
                <w:szCs w:val="18"/>
              </w:rPr>
              <w:t>市场价格的条件与本公司及其子公司进行交易， 亦不利用该类交易从事任何损害上市公司及其子公司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利益的行为；</w:t>
            </w:r>
            <w:r>
              <w:rPr>
                <w:rFonts w:ascii="宋体" w:hAnsi="宋体" w:cs="宋体" w:eastAsia="宋体" w:hint="default"/>
                <w:sz w:val="18"/>
                <w:szCs w:val="18"/>
              </w:rPr>
              <w:t>(3) </w:t>
            </w:r>
            <w:r>
              <w:rPr>
                <w:rFonts w:ascii="宋体" w:hAnsi="宋体" w:cs="宋体" w:eastAsia="宋体" w:hint="default"/>
                <w:sz w:val="18"/>
                <w:szCs w:val="18"/>
              </w:rPr>
              <w:t>对于无法避免或有合理理由存在的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关联交易，将依法合规签订协议，履行批准程序和信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息披露义务，依照与无关联关系的独立第三方进行相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同或相似交易时的价格确定关联交易价格，保证关联</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交易价格具有公允性。</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2578" w:hRule="exact"/>
        </w:trPr>
        <w:tc>
          <w:tcPr>
            <w:tcW w:w="635" w:type="dxa"/>
            <w:vMerge/>
            <w:tcBorders>
              <w:left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1" w:right="86"/>
              <w:jc w:val="both"/>
              <w:rPr>
                <w:rFonts w:ascii="宋体" w:hAnsi="宋体" w:cs="宋体" w:eastAsia="宋体" w:hint="default"/>
                <w:sz w:val="18"/>
                <w:szCs w:val="18"/>
              </w:rPr>
            </w:pPr>
            <w:r>
              <w:rPr>
                <w:rFonts w:ascii="宋体" w:hAnsi="宋体" w:cs="宋体" w:eastAsia="宋体" w:hint="default"/>
                <w:spacing w:val="14"/>
                <w:sz w:val="18"/>
                <w:szCs w:val="18"/>
              </w:rPr>
              <w:t>公司实 际控制 人黄茂 </w:t>
            </w:r>
            <w:r>
              <w:rPr>
                <w:rFonts w:ascii="宋体" w:hAnsi="宋体" w:cs="宋体" w:eastAsia="宋体" w:hint="default"/>
                <w:sz w:val="18"/>
                <w:szCs w:val="18"/>
              </w:rPr>
              <w:t>如先生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、进一步解决同业竞争的承诺：</w:t>
            </w:r>
            <w:r>
              <w:rPr>
                <w:rFonts w:ascii="宋体" w:hAnsi="宋体" w:cs="宋体" w:eastAsia="宋体" w:hint="default"/>
                <w:sz w:val="18"/>
                <w:szCs w:val="18"/>
              </w:rPr>
              <w:t>(1)</w:t>
            </w:r>
            <w:r>
              <w:rPr>
                <w:rFonts w:ascii="宋体" w:hAnsi="宋体" w:cs="宋体" w:eastAsia="宋体" w:hint="default"/>
                <w:sz w:val="18"/>
                <w:szCs w:val="18"/>
              </w:rPr>
              <w:t>在重组完成</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后 </w:t>
            </w:r>
            <w:r>
              <w:rPr>
                <w:rFonts w:ascii="宋体" w:hAnsi="宋体" w:cs="宋体" w:eastAsia="宋体" w:hint="default"/>
                <w:sz w:val="18"/>
                <w:szCs w:val="18"/>
              </w:rPr>
              <w:t>3 </w:t>
            </w:r>
            <w:r>
              <w:rPr>
                <w:rFonts w:ascii="宋体" w:hAnsi="宋体" w:cs="宋体" w:eastAsia="宋体" w:hint="default"/>
                <w:sz w:val="18"/>
                <w:szCs w:val="18"/>
              </w:rPr>
              <w:t>年内，在监管政策允许范围内，启动茂业国际</w:t>
            </w:r>
            <w:r>
              <w:rPr>
                <w:rFonts w:ascii="宋体" w:hAnsi="宋体" w:cs="宋体" w:eastAsia="宋体" w:hint="default"/>
                <w:spacing w:val="-51"/>
                <w:sz w:val="18"/>
                <w:szCs w:val="18"/>
              </w:rPr>
              <w:t> </w:t>
            </w:r>
            <w:r>
              <w:rPr>
                <w:rFonts w:ascii="宋体" w:hAnsi="宋体" w:cs="宋体" w:eastAsia="宋体" w:hint="default"/>
                <w:sz w:val="18"/>
                <w:szCs w:val="18"/>
              </w:rPr>
              <w:t>A </w:t>
            </w:r>
            <w:r>
              <w:rPr>
                <w:rFonts w:ascii="宋体" w:hAnsi="宋体" w:cs="宋体" w:eastAsia="宋体" w:hint="default"/>
                <w:spacing w:val="-3"/>
                <w:sz w:val="18"/>
                <w:szCs w:val="18"/>
              </w:rPr>
              <w:t>股上市公司业务整合工作；</w:t>
            </w:r>
            <w:r>
              <w:rPr>
                <w:rFonts w:ascii="宋体" w:hAnsi="宋体" w:cs="宋体" w:eastAsia="宋体" w:hint="default"/>
                <w:spacing w:val="-3"/>
                <w:sz w:val="18"/>
                <w:szCs w:val="18"/>
              </w:rPr>
              <w:t>(2)</w:t>
            </w:r>
            <w:r>
              <w:rPr>
                <w:rFonts w:ascii="宋体" w:hAnsi="宋体" w:cs="宋体" w:eastAsia="宋体" w:hint="default"/>
                <w:spacing w:val="-3"/>
                <w:sz w:val="18"/>
                <w:szCs w:val="18"/>
              </w:rPr>
              <w:t>在重组完成后，茂业国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际将根据境内外上市公司需要及业务发展情况，在符</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合国内外证券监管法规并充分保护中小股东利益前提</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下，研究上市公司业务整合方案，具体方式包括吸收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合并、资产重组、</w:t>
            </w:r>
            <w:r>
              <w:rPr>
                <w:rFonts w:ascii="宋体" w:hAnsi="宋体" w:cs="宋体" w:eastAsia="宋体" w:hint="default"/>
                <w:sz w:val="18"/>
                <w:szCs w:val="18"/>
              </w:rPr>
              <w:t>A+H</w:t>
            </w:r>
            <w:r>
              <w:rPr>
                <w:rFonts w:ascii="宋体" w:hAnsi="宋体" w:cs="宋体" w:eastAsia="宋体" w:hint="default"/>
                <w:spacing w:val="-52"/>
                <w:sz w:val="18"/>
                <w:szCs w:val="18"/>
              </w:rPr>
              <w:t> </w:t>
            </w:r>
            <w:r>
              <w:rPr>
                <w:rFonts w:ascii="宋体" w:hAnsi="宋体" w:cs="宋体" w:eastAsia="宋体" w:hint="default"/>
                <w:sz w:val="18"/>
                <w:szCs w:val="18"/>
              </w:rPr>
              <w:t>股上市等合法方式。</w:t>
            </w:r>
            <w:r>
              <w:rPr>
                <w:rFonts w:ascii="宋体" w:hAnsi="宋体" w:cs="宋体" w:eastAsia="宋体" w:hint="default"/>
                <w:sz w:val="18"/>
                <w:szCs w:val="18"/>
              </w:rPr>
              <w:t>(3)</w:t>
            </w:r>
            <w:r>
              <w:rPr>
                <w:rFonts w:ascii="宋体" w:hAnsi="宋体" w:cs="宋体" w:eastAsia="宋体" w:hint="default"/>
                <w:sz w:val="18"/>
                <w:szCs w:val="18"/>
              </w:rPr>
              <w:t>业务整 合的最终目标是提高上市公司经营与运作的规范性，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解决同业竞争和潜在同业竞争情形，推动上市公司规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范、健康、快速发展，保护包括中小股东在内的全体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股东的利益。</w:t>
            </w:r>
          </w:p>
        </w:tc>
        <w:tc>
          <w:tcPr>
            <w:tcW w:w="850"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1" w:right="62" w:firstLine="279"/>
              <w:jc w:val="both"/>
              <w:rPr>
                <w:rFonts w:ascii="宋体" w:hAnsi="宋体" w:cs="宋体" w:eastAsia="宋体" w:hint="default"/>
                <w:sz w:val="18"/>
                <w:szCs w:val="18"/>
              </w:rPr>
            </w:pPr>
            <w:r>
              <w:rPr>
                <w:rFonts w:ascii="宋体" w:hAnsi="宋体" w:cs="宋体" w:eastAsia="宋体" w:hint="default"/>
                <w:spacing w:val="-13"/>
                <w:sz w:val="18"/>
                <w:szCs w:val="18"/>
              </w:rPr>
              <w:t>自</w:t>
            </w:r>
            <w:r>
              <w:rPr>
                <w:rFonts w:ascii="宋体" w:hAnsi="宋体" w:cs="宋体" w:eastAsia="宋体" w:hint="default"/>
                <w:spacing w:val="-13"/>
                <w:sz w:val="18"/>
                <w:szCs w:val="18"/>
              </w:rPr>
              <w:t>2012</w:t>
            </w:r>
            <w:r>
              <w:rPr>
                <w:rFonts w:ascii="宋体" w:hAnsi="宋体" w:cs="宋体" w:eastAsia="宋体" w:hint="default"/>
                <w:spacing w:val="-70"/>
                <w:sz w:val="18"/>
                <w:szCs w:val="18"/>
              </w:rPr>
              <w:t>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13</w:t>
            </w:r>
            <w:r>
              <w:rPr>
                <w:rFonts w:ascii="宋体" w:hAnsi="宋体" w:cs="宋体" w:eastAsia="宋体" w:hint="default"/>
                <w:spacing w:val="-24"/>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本次重组发</w:t>
            </w:r>
            <w:r>
              <w:rPr>
                <w:rFonts w:ascii="宋体" w:hAnsi="宋体" w:cs="宋体" w:eastAsia="宋体" w:hint="default"/>
                <w:spacing w:val="4"/>
                <w:sz w:val="18"/>
                <w:szCs w:val="18"/>
              </w:rPr>
              <w:t> 行股票在深 交所上市之 </w:t>
            </w:r>
            <w:r>
              <w:rPr>
                <w:rFonts w:ascii="宋体" w:hAnsi="宋体" w:cs="宋体" w:eastAsia="宋体" w:hint="default"/>
                <w:spacing w:val="18"/>
                <w:sz w:val="18"/>
                <w:szCs w:val="18"/>
              </w:rPr>
              <w:t>日起 </w:t>
            </w: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年 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1" w:right="102" w:firstLine="360"/>
              <w:jc w:val="both"/>
              <w:rPr>
                <w:rFonts w:ascii="宋体" w:hAnsi="宋体" w:cs="宋体" w:eastAsia="宋体" w:hint="default"/>
                <w:sz w:val="18"/>
                <w:szCs w:val="18"/>
              </w:rPr>
            </w:pPr>
            <w:r>
              <w:rPr>
                <w:rFonts w:ascii="宋体" w:hAnsi="宋体" w:cs="宋体" w:eastAsia="宋体" w:hint="default"/>
                <w:spacing w:val="-8"/>
                <w:sz w:val="18"/>
                <w:szCs w:val="18"/>
              </w:rPr>
              <w:t>在承诺期限内。研究</w:t>
            </w:r>
            <w:r>
              <w:rPr>
                <w:rFonts w:ascii="宋体" w:hAnsi="宋体" w:cs="宋体" w:eastAsia="宋体" w:hint="default"/>
                <w:sz w:val="18"/>
                <w:szCs w:val="18"/>
              </w:rPr>
              <w:t> </w:t>
            </w:r>
            <w:r>
              <w:rPr>
                <w:rFonts w:ascii="宋体" w:hAnsi="宋体" w:cs="宋体" w:eastAsia="宋体" w:hint="default"/>
                <w:spacing w:val="-7"/>
                <w:sz w:val="18"/>
                <w:szCs w:val="18"/>
              </w:rPr>
              <w:t>政策及法规，以解决同业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竞争和潜在同业竞争、推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动上市公司健康快速发</w:t>
            </w:r>
            <w:r>
              <w:rPr>
                <w:rFonts w:ascii="宋体" w:hAnsi="宋体" w:cs="宋体" w:eastAsia="宋体" w:hint="default"/>
                <w:sz w:val="18"/>
                <w:szCs w:val="18"/>
              </w:rPr>
              <w:t> </w:t>
            </w:r>
            <w:r>
              <w:rPr>
                <w:rFonts w:ascii="宋体" w:hAnsi="宋体" w:cs="宋体" w:eastAsia="宋体" w:hint="default"/>
                <w:spacing w:val="-7"/>
                <w:sz w:val="18"/>
                <w:szCs w:val="18"/>
              </w:rPr>
              <w:t>展、保护包括中小股东在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内的全体股东利益为最</w:t>
            </w:r>
            <w:r>
              <w:rPr>
                <w:rFonts w:ascii="宋体" w:hAnsi="宋体" w:cs="宋体" w:eastAsia="宋体" w:hint="default"/>
                <w:sz w:val="18"/>
                <w:szCs w:val="18"/>
              </w:rPr>
              <w:t> </w:t>
            </w:r>
            <w:r>
              <w:rPr>
                <w:rFonts w:ascii="宋体" w:hAnsi="宋体" w:cs="宋体" w:eastAsia="宋体" w:hint="default"/>
                <w:spacing w:val="-7"/>
                <w:sz w:val="18"/>
                <w:szCs w:val="18"/>
              </w:rPr>
              <w:t>终目标，进一步规范上市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公司经营与运作。</w:t>
            </w:r>
          </w:p>
        </w:tc>
      </w:tr>
      <w:tr>
        <w:trPr>
          <w:trHeight w:val="1878" w:hRule="exact"/>
        </w:trPr>
        <w:tc>
          <w:tcPr>
            <w:tcW w:w="635" w:type="dxa"/>
            <w:vMerge/>
            <w:tcBorders>
              <w:left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14"/>
                <w:sz w:val="18"/>
                <w:szCs w:val="18"/>
              </w:rPr>
              <w:t>深圳茂</w:t>
            </w:r>
            <w:r>
              <w:rPr>
                <w:rFonts w:ascii="宋体" w:hAnsi="宋体" w:cs="宋体" w:eastAsia="宋体" w:hint="default"/>
                <w:sz w:val="18"/>
                <w:szCs w:val="18"/>
              </w:rPr>
            </w:r>
          </w:p>
          <w:p>
            <w:pPr>
              <w:pStyle w:val="TableParagraph"/>
              <w:spacing w:line="237" w:lineRule="auto" w:before="1"/>
              <w:ind w:left="101" w:right="86"/>
              <w:jc w:val="both"/>
              <w:rPr>
                <w:rFonts w:ascii="宋体" w:hAnsi="宋体" w:cs="宋体" w:eastAsia="宋体" w:hint="default"/>
                <w:sz w:val="18"/>
                <w:szCs w:val="18"/>
              </w:rPr>
            </w:pPr>
            <w:r>
              <w:rPr>
                <w:rFonts w:ascii="宋体" w:hAnsi="宋体" w:cs="宋体" w:eastAsia="宋体" w:hint="default"/>
                <w:spacing w:val="14"/>
                <w:sz w:val="18"/>
                <w:szCs w:val="18"/>
              </w:rPr>
              <w:t>业商厦 有限公 司及公 司实际 控制人 黄茂如 </w:t>
            </w:r>
            <w:r>
              <w:rPr>
                <w:rFonts w:ascii="宋体" w:hAnsi="宋体" w:cs="宋体" w:eastAsia="宋体" w:hint="default"/>
                <w:sz w:val="18"/>
                <w:szCs w:val="18"/>
              </w:rPr>
              <w:t>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01" w:firstLine="360"/>
              <w:jc w:val="both"/>
              <w:rPr>
                <w:rFonts w:ascii="宋体" w:hAnsi="宋体" w:cs="宋体" w:eastAsia="宋体" w:hint="default"/>
                <w:sz w:val="18"/>
                <w:szCs w:val="18"/>
              </w:rPr>
            </w:pPr>
            <w:r>
              <w:rPr>
                <w:rFonts w:ascii="宋体" w:hAnsi="宋体" w:cs="宋体" w:eastAsia="宋体" w:hint="default"/>
                <w:spacing w:val="-3"/>
                <w:sz w:val="18"/>
                <w:szCs w:val="18"/>
              </w:rPr>
              <w:t>7</w:t>
            </w:r>
            <w:r>
              <w:rPr>
                <w:rFonts w:ascii="宋体" w:hAnsi="宋体" w:cs="宋体" w:eastAsia="宋体" w:hint="default"/>
                <w:spacing w:val="-3"/>
                <w:sz w:val="18"/>
                <w:szCs w:val="18"/>
              </w:rPr>
              <w:t>、保证商标使用稳定性的承诺：秦皇岛茂业目前</w:t>
            </w:r>
            <w:r>
              <w:rPr>
                <w:rFonts w:ascii="宋体" w:hAnsi="宋体" w:cs="宋体" w:eastAsia="宋体" w:hint="default"/>
                <w:sz w:val="18"/>
                <w:szCs w:val="18"/>
              </w:rPr>
              <w:t> 正在使用“茂业百货”商标，在深圳茂业商厦有限公</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9"/>
                <w:sz w:val="18"/>
                <w:szCs w:val="18"/>
              </w:rPr>
              <w:t>司及公司实际控制人直接或间接控制秦皇岛茂业期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间，将无偿授权秦皇岛茂业使用该商标。使用期满，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续订商标使用许可合同并报国家工商行政管理总局商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标局备案。</w:t>
            </w:r>
          </w:p>
        </w:tc>
        <w:tc>
          <w:tcPr>
            <w:tcW w:w="8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72"/>
              <w:jc w:val="righ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5613" w:hRule="exact"/>
        </w:trPr>
        <w:tc>
          <w:tcPr>
            <w:tcW w:w="635" w:type="dxa"/>
            <w:vMerge/>
            <w:tcBorders>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pacing w:val="14"/>
                <w:sz w:val="18"/>
                <w:szCs w:val="18"/>
              </w:rPr>
              <w:t>中兆投 资及公 司实际 控制人 黄茂如 </w:t>
            </w:r>
            <w:r>
              <w:rPr>
                <w:rFonts w:ascii="宋体" w:hAnsi="宋体" w:cs="宋体" w:eastAsia="宋体" w:hint="default"/>
                <w:sz w:val="18"/>
                <w:szCs w:val="18"/>
              </w:rPr>
              <w:t>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、保证本公司独立性的承诺：</w:t>
            </w:r>
          </w:p>
          <w:p>
            <w:pPr>
              <w:pStyle w:val="TableParagraph"/>
              <w:spacing w:line="240" w:lineRule="auto"/>
              <w:ind w:left="463" w:right="101"/>
              <w:jc w:val="left"/>
              <w:rPr>
                <w:rFonts w:ascii="宋体" w:hAnsi="宋体" w:cs="宋体" w:eastAsia="宋体" w:hint="default"/>
                <w:sz w:val="18"/>
                <w:szCs w:val="18"/>
              </w:rPr>
            </w:pPr>
            <w:r>
              <w:rPr>
                <w:rFonts w:ascii="宋体" w:hAnsi="宋体" w:cs="宋体" w:eastAsia="宋体" w:hint="default"/>
                <w:sz w:val="18"/>
                <w:szCs w:val="18"/>
              </w:rPr>
              <w:t>保证本公司人员独立 </w:t>
            </w:r>
            <w:r>
              <w:rPr>
                <w:rFonts w:ascii="宋体" w:hAnsi="宋体" w:cs="宋体" w:eastAsia="宋体" w:hint="default"/>
                <w:sz w:val="18"/>
                <w:szCs w:val="18"/>
              </w:rPr>
              <w:t>(1)</w:t>
            </w:r>
            <w:r>
              <w:rPr>
                <w:rFonts w:ascii="宋体" w:hAnsi="宋体" w:cs="宋体" w:eastAsia="宋体" w:hint="default"/>
                <w:sz w:val="18"/>
                <w:szCs w:val="18"/>
              </w:rPr>
              <w:t>保证本公司生产经营与行政管理</w:t>
            </w:r>
            <w:r>
              <w:rPr>
                <w:rFonts w:ascii="宋体" w:hAnsi="宋体" w:cs="宋体" w:eastAsia="宋体" w:hint="default"/>
                <w:sz w:val="18"/>
                <w:szCs w:val="18"/>
              </w:rPr>
              <w:t>(</w:t>
            </w:r>
            <w:r>
              <w:rPr>
                <w:rFonts w:ascii="宋体" w:hAnsi="宋体" w:cs="宋体" w:eastAsia="宋体" w:hint="default"/>
                <w:sz w:val="18"/>
                <w:szCs w:val="18"/>
              </w:rPr>
              <w:t>包括劳动、</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pacing w:val="-3"/>
                <w:sz w:val="18"/>
                <w:szCs w:val="18"/>
              </w:rPr>
              <w:t>人事及工资管理等</w:t>
            </w:r>
            <w:r>
              <w:rPr>
                <w:rFonts w:ascii="宋体" w:hAnsi="宋体" w:cs="宋体" w:eastAsia="宋体" w:hint="default"/>
                <w:spacing w:val="-3"/>
                <w:sz w:val="18"/>
                <w:szCs w:val="18"/>
              </w:rPr>
              <w:t>)</w:t>
            </w:r>
            <w:r>
              <w:rPr>
                <w:rFonts w:ascii="宋体" w:hAnsi="宋体" w:cs="宋体" w:eastAsia="宋体" w:hint="default"/>
                <w:spacing w:val="-3"/>
                <w:sz w:val="18"/>
                <w:szCs w:val="18"/>
              </w:rPr>
              <w:t>完全独立于中兆投资、黄茂如先生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及其控制的其他公司、企业。</w:t>
            </w:r>
          </w:p>
          <w:p>
            <w:pPr>
              <w:pStyle w:val="TableParagraph"/>
              <w:spacing w:line="232" w:lineRule="exact" w:before="2"/>
              <w:ind w:left="103" w:right="1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保证本公司总经理、副总经理、财务负责人、 营销负责人、董事会秘书等高级管理人员专职在公司</w:t>
            </w:r>
          </w:p>
          <w:p>
            <w:pPr>
              <w:pStyle w:val="TableParagraph"/>
              <w:spacing w:line="232" w:lineRule="exact" w:before="2"/>
              <w:ind w:left="103" w:right="11"/>
              <w:jc w:val="left"/>
              <w:rPr>
                <w:rFonts w:ascii="宋体" w:hAnsi="宋体" w:cs="宋体" w:eastAsia="宋体" w:hint="default"/>
                <w:sz w:val="18"/>
                <w:szCs w:val="18"/>
              </w:rPr>
            </w:pPr>
            <w:r>
              <w:rPr>
                <w:rFonts w:ascii="宋体" w:hAnsi="宋体" w:cs="宋体" w:eastAsia="宋体" w:hint="default"/>
                <w:spacing w:val="-3"/>
                <w:sz w:val="18"/>
                <w:szCs w:val="18"/>
              </w:rPr>
              <w:t>工作、并在公司领取薪酬，不在中兆投资及中兆投资、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黄茂如先生控制的其他公司、企业兼职担任高级管理</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人员。</w:t>
            </w:r>
          </w:p>
          <w:p>
            <w:pPr>
              <w:pStyle w:val="TableParagraph"/>
              <w:spacing w:line="237" w:lineRule="auto"/>
              <w:ind w:left="103" w:right="12" w:firstLine="36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保证中兆投资、黄茂如先生推荐出任本公司董</w:t>
            </w:r>
            <w:r>
              <w:rPr>
                <w:rFonts w:ascii="宋体" w:hAnsi="宋体" w:cs="宋体" w:eastAsia="宋体" w:hint="default"/>
                <w:sz w:val="18"/>
                <w:szCs w:val="18"/>
              </w:rPr>
              <w:t> </w:t>
            </w:r>
            <w:r>
              <w:rPr>
                <w:rFonts w:ascii="宋体" w:hAnsi="宋体" w:cs="宋体" w:eastAsia="宋体" w:hint="default"/>
                <w:spacing w:val="-3"/>
                <w:sz w:val="18"/>
                <w:szCs w:val="18"/>
              </w:rPr>
              <w:t>事、监事和高级管理人员的人选均通过合法程序进行，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中兆投资、黄茂如先生不干预本公司董事会和股东大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会做出的人事任免决定。</w:t>
            </w:r>
          </w:p>
          <w:p>
            <w:pPr>
              <w:pStyle w:val="TableParagraph"/>
              <w:spacing w:line="234" w:lineRule="exact" w:before="20"/>
              <w:ind w:left="463" w:right="105"/>
              <w:jc w:val="left"/>
              <w:rPr>
                <w:rFonts w:ascii="宋体" w:hAnsi="宋体" w:cs="宋体" w:eastAsia="宋体" w:hint="default"/>
                <w:sz w:val="18"/>
                <w:szCs w:val="18"/>
              </w:rPr>
            </w:pPr>
            <w:r>
              <w:rPr>
                <w:rFonts w:ascii="宋体" w:hAnsi="宋体" w:cs="宋体" w:eastAsia="宋体" w:hint="default"/>
                <w:sz w:val="18"/>
                <w:szCs w:val="18"/>
              </w:rPr>
              <w:t>保证本公司财务独立 </w:t>
            </w:r>
            <w:r>
              <w:rPr>
                <w:rFonts w:ascii="宋体" w:hAnsi="宋体" w:cs="宋体" w:eastAsia="宋体" w:hint="default"/>
                <w:spacing w:val="5"/>
                <w:sz w:val="18"/>
                <w:szCs w:val="18"/>
              </w:rPr>
              <w:t>(1)</w:t>
            </w:r>
            <w:r>
              <w:rPr>
                <w:rFonts w:ascii="宋体" w:hAnsi="宋体" w:cs="宋体" w:eastAsia="宋体" w:hint="default"/>
                <w:spacing w:val="5"/>
                <w:sz w:val="18"/>
                <w:szCs w:val="18"/>
              </w:rPr>
              <w:t>保证本公司设置独立的财务会计部门和拥有</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独立的财务核算体系和财务管理制度。</w:t>
            </w:r>
          </w:p>
          <w:p>
            <w:pPr>
              <w:pStyle w:val="TableParagraph"/>
              <w:spacing w:line="237" w:lineRule="auto" w:before="1"/>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保证本公司在财务决策方面保持独立，中兆投</w:t>
            </w:r>
            <w:r>
              <w:rPr>
                <w:rFonts w:ascii="宋体" w:hAnsi="宋体" w:cs="宋体" w:eastAsia="宋体" w:hint="default"/>
                <w:sz w:val="18"/>
                <w:szCs w:val="18"/>
              </w:rPr>
              <w:t> 资、黄茂如先生及其控制的其他公司、企业不干涉本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公司的资金使用。</w:t>
            </w:r>
          </w:p>
          <w:p>
            <w:pPr>
              <w:pStyle w:val="TableParagraph"/>
              <w:spacing w:line="237" w:lineRule="auto" w:before="1"/>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保证本公司保持自己独立的银行账户，不与中</w:t>
            </w:r>
            <w:r>
              <w:rPr>
                <w:rFonts w:ascii="宋体" w:hAnsi="宋体" w:cs="宋体" w:eastAsia="宋体" w:hint="default"/>
                <w:sz w:val="18"/>
                <w:szCs w:val="18"/>
              </w:rPr>
              <w:t> 兆投资、黄茂如先生及其控制的其他公司、企业共用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一个银行账户。</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保证本公司机构独立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572"/>
              <w:jc w:val="right"/>
              <w:rPr>
                <w:rFonts w:ascii="宋体" w:hAnsi="宋体" w:cs="宋体" w:eastAsia="宋体" w:hint="default"/>
                <w:sz w:val="18"/>
                <w:szCs w:val="18"/>
              </w:rPr>
            </w:pPr>
            <w:r>
              <w:rPr>
                <w:rFonts w:ascii="宋体" w:hAnsi="宋体" w:cs="宋体" w:eastAsia="宋体" w:hint="default"/>
                <w:sz w:val="18"/>
                <w:szCs w:val="18"/>
              </w:rPr>
              <w:t>遵守了承诺。</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35"/>
        <w:gridCol w:w="784"/>
        <w:gridCol w:w="4396"/>
        <w:gridCol w:w="850"/>
        <w:gridCol w:w="1134"/>
        <w:gridCol w:w="2126"/>
      </w:tblGrid>
      <w:tr>
        <w:trPr>
          <w:trHeight w:val="765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pacing w:val="28"/>
                <w:sz w:val="18"/>
                <w:szCs w:val="18"/>
              </w:rPr>
              <w:t>年资</w:t>
            </w:r>
            <w:r>
              <w:rPr>
                <w:rFonts w:ascii="宋体" w:hAnsi="宋体" w:cs="宋体" w:eastAsia="宋体" w:hint="default"/>
                <w:spacing w:val="-33"/>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pacing w:val="14"/>
                <w:sz w:val="18"/>
                <w:szCs w:val="18"/>
              </w:rPr>
              <w:t>中兆投 资及公 司实际 控制人 黄茂如 </w:t>
            </w:r>
            <w:r>
              <w:rPr>
                <w:rFonts w:ascii="宋体" w:hAnsi="宋体" w:cs="宋体" w:eastAsia="宋体" w:hint="default"/>
                <w:sz w:val="18"/>
                <w:szCs w:val="18"/>
              </w:rPr>
              <w:t>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9"/>
              <w:ind w:left="103" w:right="105" w:firstLine="360"/>
              <w:jc w:val="both"/>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保证本公司及其子公司依法建立和完善法人</w:t>
            </w:r>
            <w:r>
              <w:rPr>
                <w:rFonts w:ascii="宋体" w:hAnsi="宋体" w:cs="宋体" w:eastAsia="宋体" w:hint="default"/>
                <w:sz w:val="18"/>
                <w:szCs w:val="18"/>
              </w:rPr>
              <w:t> 治理结构，并与中兆投资、黄茂如先生控制的其他公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司、企业机构完全分开；保证本公司及其子公司与中</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兆投资、黄茂如先生控制的其他公司、企业之间在办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公机构和生产经营场所等方面完全分开。</w:t>
            </w:r>
          </w:p>
          <w:p>
            <w:pPr>
              <w:pStyle w:val="TableParagraph"/>
              <w:spacing w:line="237" w:lineRule="auto" w:before="1"/>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保证本公司及其子公司独立自主运作，中兆投</w:t>
            </w:r>
            <w:r>
              <w:rPr>
                <w:rFonts w:ascii="宋体" w:hAnsi="宋体" w:cs="宋体" w:eastAsia="宋体" w:hint="default"/>
                <w:sz w:val="18"/>
                <w:szCs w:val="18"/>
              </w:rPr>
              <w:t> 资、黄茂如先生不会超越本公司董事会、股东大会直</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接或间接干预本公司的决策和经营。</w:t>
            </w:r>
          </w:p>
          <w:p>
            <w:pPr>
              <w:pStyle w:val="TableParagraph"/>
              <w:spacing w:line="232" w:lineRule="exact" w:before="23"/>
              <w:ind w:left="463" w:right="102"/>
              <w:jc w:val="left"/>
              <w:rPr>
                <w:rFonts w:ascii="宋体" w:hAnsi="宋体" w:cs="宋体" w:eastAsia="宋体" w:hint="default"/>
                <w:sz w:val="18"/>
                <w:szCs w:val="18"/>
              </w:rPr>
            </w:pPr>
            <w:r>
              <w:rPr>
                <w:rFonts w:ascii="宋体" w:hAnsi="宋体" w:cs="宋体" w:eastAsia="宋体" w:hint="default"/>
                <w:sz w:val="18"/>
                <w:szCs w:val="18"/>
              </w:rPr>
              <w:t>保证本公司资产独立、完整 </w:t>
            </w:r>
            <w:r>
              <w:rPr>
                <w:rFonts w:ascii="宋体" w:hAnsi="宋体" w:cs="宋体" w:eastAsia="宋体" w:hint="default"/>
                <w:spacing w:val="-3"/>
                <w:sz w:val="18"/>
                <w:szCs w:val="18"/>
              </w:rPr>
              <w:t>(1)</w:t>
            </w:r>
            <w:r>
              <w:rPr>
                <w:rFonts w:ascii="宋体" w:hAnsi="宋体" w:cs="宋体" w:eastAsia="宋体" w:hint="default"/>
                <w:spacing w:val="-3"/>
                <w:sz w:val="18"/>
                <w:szCs w:val="18"/>
              </w:rPr>
              <w:t>保证本公司及其子公司资产的独立完整；保证</w:t>
            </w:r>
          </w:p>
          <w:p>
            <w:pPr>
              <w:pStyle w:val="TableParagraph"/>
              <w:spacing w:line="232" w:lineRule="exact" w:before="2"/>
              <w:ind w:left="463" w:right="101" w:hanging="360"/>
              <w:jc w:val="left"/>
              <w:rPr>
                <w:rFonts w:ascii="宋体" w:hAnsi="宋体" w:cs="宋体" w:eastAsia="宋体" w:hint="default"/>
                <w:sz w:val="18"/>
                <w:szCs w:val="18"/>
              </w:rPr>
            </w:pPr>
            <w:r>
              <w:rPr>
                <w:rFonts w:ascii="宋体" w:hAnsi="宋体" w:cs="宋体" w:eastAsia="宋体" w:hint="default"/>
                <w:sz w:val="18"/>
                <w:szCs w:val="18"/>
              </w:rPr>
              <w:t>本次置入本公司的资产权属清晰、不存在瑕疵。 </w:t>
            </w:r>
            <w:r>
              <w:rPr>
                <w:rFonts w:ascii="宋体" w:hAnsi="宋体" w:cs="宋体" w:eastAsia="宋体" w:hint="default"/>
                <w:spacing w:val="-3"/>
                <w:sz w:val="18"/>
                <w:szCs w:val="18"/>
              </w:rPr>
              <w:t>(2)</w:t>
            </w:r>
            <w:r>
              <w:rPr>
                <w:rFonts w:ascii="宋体" w:hAnsi="宋体" w:cs="宋体" w:eastAsia="宋体" w:hint="default"/>
                <w:spacing w:val="-3"/>
                <w:sz w:val="18"/>
                <w:szCs w:val="18"/>
              </w:rPr>
              <w:t>保证中兆投资、黄茂如先生及中兆投资、黄茂</w:t>
            </w:r>
          </w:p>
          <w:p>
            <w:pPr>
              <w:pStyle w:val="TableParagraph"/>
              <w:spacing w:line="232" w:lineRule="exact" w:before="2"/>
              <w:ind w:left="103" w:right="12"/>
              <w:jc w:val="both"/>
              <w:rPr>
                <w:rFonts w:ascii="宋体" w:hAnsi="宋体" w:cs="宋体" w:eastAsia="宋体" w:hint="default"/>
                <w:sz w:val="18"/>
                <w:szCs w:val="18"/>
              </w:rPr>
            </w:pPr>
            <w:r>
              <w:rPr>
                <w:rFonts w:ascii="宋体" w:hAnsi="宋体" w:cs="宋体" w:eastAsia="宋体" w:hint="default"/>
                <w:spacing w:val="-3"/>
                <w:sz w:val="18"/>
                <w:szCs w:val="18"/>
              </w:rPr>
              <w:t>如先生控制的其他公司、企业不违规占用本公司资产、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资金及其他资源。</w:t>
            </w:r>
          </w:p>
          <w:p>
            <w:pPr>
              <w:pStyle w:val="TableParagraph"/>
              <w:spacing w:line="232" w:lineRule="exact" w:before="2"/>
              <w:ind w:left="463" w:right="102"/>
              <w:jc w:val="left"/>
              <w:rPr>
                <w:rFonts w:ascii="宋体" w:hAnsi="宋体" w:cs="宋体" w:eastAsia="宋体" w:hint="default"/>
                <w:sz w:val="18"/>
                <w:szCs w:val="18"/>
              </w:rPr>
            </w:pPr>
            <w:r>
              <w:rPr>
                <w:rFonts w:ascii="宋体" w:hAnsi="宋体" w:cs="宋体" w:eastAsia="宋体" w:hint="default"/>
                <w:sz w:val="18"/>
                <w:szCs w:val="18"/>
              </w:rPr>
              <w:t>保证本公司业务独立 </w:t>
            </w:r>
            <w:r>
              <w:rPr>
                <w:rFonts w:ascii="宋体" w:hAnsi="宋体" w:cs="宋体" w:eastAsia="宋体" w:hint="default"/>
                <w:spacing w:val="-3"/>
                <w:sz w:val="18"/>
                <w:szCs w:val="18"/>
              </w:rPr>
              <w:t>(1)</w:t>
            </w:r>
            <w:r>
              <w:rPr>
                <w:rFonts w:ascii="宋体" w:hAnsi="宋体" w:cs="宋体" w:eastAsia="宋体" w:hint="default"/>
                <w:spacing w:val="-3"/>
                <w:sz w:val="18"/>
                <w:szCs w:val="18"/>
              </w:rPr>
              <w:t>保证本公司拥有独立的生产和销售体系；在本</w:t>
            </w:r>
          </w:p>
          <w:p>
            <w:pPr>
              <w:pStyle w:val="TableParagraph"/>
              <w:spacing w:line="232" w:lineRule="exact" w:before="2"/>
              <w:ind w:left="103" w:right="106"/>
              <w:jc w:val="both"/>
              <w:rPr>
                <w:rFonts w:ascii="宋体" w:hAnsi="宋体" w:cs="宋体" w:eastAsia="宋体" w:hint="default"/>
                <w:sz w:val="18"/>
                <w:szCs w:val="18"/>
              </w:rPr>
            </w:pPr>
            <w:r>
              <w:rPr>
                <w:rFonts w:ascii="宋体" w:hAnsi="宋体" w:cs="宋体" w:eastAsia="宋体" w:hint="default"/>
                <w:sz w:val="18"/>
                <w:szCs w:val="18"/>
              </w:rPr>
              <w:t>次交易完成后拥有独立开展经营活动的资产、人员、</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资质以及具有独立面向市场自主经营的能力，在产、</w:t>
            </w:r>
          </w:p>
          <w:p>
            <w:pPr>
              <w:pStyle w:val="TableParagraph"/>
              <w:spacing w:line="232" w:lineRule="exact" w:before="2"/>
              <w:ind w:left="103" w:right="106"/>
              <w:jc w:val="both"/>
              <w:rPr>
                <w:rFonts w:ascii="宋体" w:hAnsi="宋体" w:cs="宋体" w:eastAsia="宋体" w:hint="default"/>
                <w:sz w:val="18"/>
                <w:szCs w:val="18"/>
              </w:rPr>
            </w:pPr>
            <w:r>
              <w:rPr>
                <w:rFonts w:ascii="宋体" w:hAnsi="宋体" w:cs="宋体" w:eastAsia="宋体" w:hint="default"/>
                <w:sz w:val="18"/>
                <w:szCs w:val="18"/>
              </w:rPr>
              <w:t>供、销等环节不依赖于中兆投资、黄茂如先生及其控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制的其他公司、企业。</w:t>
            </w:r>
          </w:p>
          <w:p>
            <w:pPr>
              <w:pStyle w:val="TableParagraph"/>
              <w:spacing w:line="232" w:lineRule="exact" w:before="2"/>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保证严格控制关联交易事项，尽可能减少本公</w:t>
            </w:r>
            <w:r>
              <w:rPr>
                <w:rFonts w:ascii="宋体" w:hAnsi="宋体" w:cs="宋体" w:eastAsia="宋体" w:hint="default"/>
                <w:sz w:val="18"/>
                <w:szCs w:val="18"/>
              </w:rPr>
              <w:t> 司及其子公司与中兆投资、黄茂如先生及其控制的其</w:t>
            </w:r>
          </w:p>
          <w:p>
            <w:pPr>
              <w:pStyle w:val="TableParagraph"/>
              <w:spacing w:line="232" w:lineRule="exact" w:before="2"/>
              <w:ind w:left="103" w:right="106"/>
              <w:jc w:val="both"/>
              <w:rPr>
                <w:rFonts w:ascii="宋体" w:hAnsi="宋体" w:cs="宋体" w:eastAsia="宋体" w:hint="default"/>
                <w:sz w:val="18"/>
                <w:szCs w:val="18"/>
              </w:rPr>
            </w:pPr>
            <w:r>
              <w:rPr>
                <w:rFonts w:ascii="宋体" w:hAnsi="宋体" w:cs="宋体" w:eastAsia="宋体" w:hint="default"/>
                <w:sz w:val="18"/>
                <w:szCs w:val="18"/>
              </w:rPr>
              <w:t>他公司、企业之间的持续性关联交易。杜绝非法占用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本公司资金、资产的行为，并不要求本公司及其子公</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司向中兆投资、黄茂如先生及其控制的其他公司、企</w:t>
            </w:r>
          </w:p>
          <w:p>
            <w:pPr>
              <w:pStyle w:val="TableParagraph"/>
              <w:spacing w:line="237" w:lineRule="auto" w:before="1"/>
              <w:ind w:left="103" w:right="106"/>
              <w:jc w:val="both"/>
              <w:rPr>
                <w:rFonts w:ascii="宋体" w:hAnsi="宋体" w:cs="宋体" w:eastAsia="宋体" w:hint="default"/>
                <w:sz w:val="18"/>
                <w:szCs w:val="18"/>
              </w:rPr>
            </w:pPr>
            <w:r>
              <w:rPr>
                <w:rFonts w:ascii="宋体" w:hAnsi="宋体" w:cs="宋体" w:eastAsia="宋体" w:hint="default"/>
                <w:sz w:val="18"/>
                <w:szCs w:val="18"/>
              </w:rPr>
              <w:t>业提供任何形式的担保。对于无法避免的关联交易将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本着“公平、公正、公开”的原则，与对非关联企业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的交易价格保持一致，并及时进行信息披露。</w:t>
            </w:r>
          </w:p>
          <w:p>
            <w:pPr>
              <w:pStyle w:val="TableParagraph"/>
              <w:spacing w:line="237" w:lineRule="auto"/>
              <w:ind w:left="103" w:right="102" w:firstLine="36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保证不通过单独或一致行动的途径，以依法行</w:t>
            </w:r>
            <w:r>
              <w:rPr>
                <w:rFonts w:ascii="宋体" w:hAnsi="宋体" w:cs="宋体" w:eastAsia="宋体" w:hint="default"/>
                <w:sz w:val="18"/>
                <w:szCs w:val="18"/>
              </w:rPr>
              <w:t> 使股东权利以外的任何方式，干预本公司重大决策事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项，影响上市公司资产、人员、财务、机构、业务的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独立性。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6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1644"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14"/>
                <w:sz w:val="18"/>
                <w:szCs w:val="18"/>
              </w:rPr>
              <w:t> </w:t>
            </w:r>
            <w:r>
              <w:rPr>
                <w:rFonts w:ascii="宋体" w:hAnsi="宋体" w:cs="宋体" w:eastAsia="宋体" w:hint="default"/>
                <w:sz w:val="18"/>
                <w:szCs w:val="18"/>
              </w:rPr>
              <w:t>升</w:t>
            </w:r>
            <w:r>
              <w:rPr>
                <w:rFonts w:ascii="宋体" w:hAnsi="宋体" w:cs="宋体" w:eastAsia="宋体" w:hint="default"/>
                <w:spacing w:val="27"/>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4"/>
                <w:sz w:val="18"/>
                <w:szCs w:val="18"/>
              </w:rPr>
              <w:t>势、峰</w:t>
            </w:r>
            <w:r>
              <w:rPr>
                <w:rFonts w:ascii="宋体" w:hAnsi="宋体" w:cs="宋体" w:eastAsia="宋体" w:hint="default"/>
                <w:spacing w:val="14"/>
                <w:sz w:val="18"/>
                <w:szCs w:val="18"/>
              </w:rPr>
              <w:t> </w:t>
            </w:r>
            <w:r>
              <w:rPr>
                <w:rFonts w:ascii="宋体" w:hAnsi="宋体" w:cs="宋体" w:eastAsia="宋体" w:hint="default"/>
                <w:sz w:val="18"/>
                <w:szCs w:val="18"/>
              </w:rPr>
              <w:t>幽投资</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101" w:firstLine="36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、股份锁定承诺：鹰溪谷、博升优势、峰幽投资</w:t>
            </w:r>
            <w:r>
              <w:rPr>
                <w:rFonts w:ascii="宋体" w:hAnsi="宋体" w:cs="宋体" w:eastAsia="宋体" w:hint="default"/>
                <w:sz w:val="18"/>
                <w:szCs w:val="18"/>
              </w:rPr>
              <w:t> 认购的公司非公开发行股份分别为 </w:t>
            </w:r>
            <w:r>
              <w:rPr>
                <w:rFonts w:ascii="宋体" w:hAnsi="宋体" w:cs="宋体" w:eastAsia="宋体" w:hint="default"/>
                <w:sz w:val="18"/>
                <w:szCs w:val="18"/>
              </w:rPr>
              <w:t>148,360,844</w:t>
            </w:r>
            <w:r>
              <w:rPr>
                <w:rFonts w:ascii="宋体" w:hAnsi="宋体" w:cs="宋体" w:eastAsia="宋体" w:hint="default"/>
                <w:spacing w:val="-51"/>
                <w:sz w:val="18"/>
                <w:szCs w:val="18"/>
              </w:rPr>
              <w:t> </w:t>
            </w:r>
            <w:r>
              <w:rPr>
                <w:rFonts w:ascii="宋体" w:hAnsi="宋体" w:cs="宋体" w:eastAsia="宋体" w:hint="default"/>
                <w:sz w:val="18"/>
                <w:szCs w:val="18"/>
              </w:rPr>
              <w:t>股、</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1,498,595 </w:t>
            </w:r>
            <w:r>
              <w:rPr>
                <w:rFonts w:ascii="宋体" w:hAnsi="宋体" w:cs="宋体" w:eastAsia="宋体" w:hint="default"/>
                <w:sz w:val="18"/>
                <w:szCs w:val="18"/>
              </w:rPr>
              <w:t>股、</w:t>
            </w:r>
            <w:r>
              <w:rPr>
                <w:rFonts w:ascii="宋体" w:hAnsi="宋体" w:cs="宋体" w:eastAsia="宋体" w:hint="default"/>
                <w:sz w:val="18"/>
                <w:szCs w:val="18"/>
              </w:rPr>
              <w:t>26,445,783</w:t>
            </w:r>
            <w:r>
              <w:rPr>
                <w:rFonts w:ascii="宋体" w:hAnsi="宋体" w:cs="宋体" w:eastAsia="宋体" w:hint="default"/>
                <w:spacing w:val="-52"/>
                <w:sz w:val="18"/>
                <w:szCs w:val="18"/>
              </w:rPr>
              <w:t> </w:t>
            </w:r>
            <w:r>
              <w:rPr>
                <w:rFonts w:ascii="宋体" w:hAnsi="宋体" w:cs="宋体" w:eastAsia="宋体" w:hint="default"/>
                <w:sz w:val="18"/>
                <w:szCs w:val="18"/>
              </w:rPr>
              <w:t>股，锁定期为自认购股份</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0"/>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pacing w:val="-4"/>
                <w:sz w:val="18"/>
                <w:szCs w:val="18"/>
              </w:rPr>
              <w:t>个月，锁定期届满后按证监会及深交所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的有关规定执行。</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6"/>
                <w:sz w:val="18"/>
                <w:szCs w:val="18"/>
              </w:rPr>
              <w:t> </w:t>
            </w:r>
            <w:r>
              <w:rPr>
                <w:rFonts w:ascii="宋体" w:hAnsi="宋体" w:cs="宋体" w:eastAsia="宋体" w:hint="default"/>
                <w:spacing w:val="-11"/>
                <w:sz w:val="18"/>
                <w:szCs w:val="18"/>
              </w:rPr>
              <w:t>2014</w:t>
            </w:r>
            <w:r>
              <w:rPr>
                <w:rFonts w:ascii="宋体" w:hAnsi="宋体" w:cs="宋体" w:eastAsia="宋体" w:hint="default"/>
                <w:spacing w:val="-11"/>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p>
          <w:p>
            <w:pPr>
              <w:pStyle w:val="TableParagraph"/>
              <w:spacing w:line="237" w:lineRule="auto"/>
              <w:ind w:left="101" w:right="96"/>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19</w:t>
            </w:r>
            <w:r>
              <w:rPr>
                <w:rFonts w:ascii="宋体" w:hAnsi="宋体" w:cs="宋体" w:eastAsia="宋体" w:hint="default"/>
                <w:spacing w:val="12"/>
                <w:sz w:val="18"/>
                <w:szCs w:val="18"/>
              </w:rPr>
              <w:t> </w:t>
            </w:r>
            <w:r>
              <w:rPr>
                <w:rFonts w:ascii="宋体" w:hAnsi="宋体" w:cs="宋体" w:eastAsia="宋体" w:hint="default"/>
                <w:spacing w:val="6"/>
                <w:sz w:val="18"/>
                <w:szCs w:val="18"/>
              </w:rPr>
              <w:t>日本 </w:t>
            </w:r>
            <w:r>
              <w:rPr>
                <w:rFonts w:ascii="宋体" w:hAnsi="宋体" w:cs="宋体" w:eastAsia="宋体" w:hint="default"/>
                <w:spacing w:val="4"/>
                <w:sz w:val="18"/>
                <w:szCs w:val="18"/>
              </w:rPr>
              <w:t>次非公开发</w:t>
            </w:r>
            <w:r>
              <w:rPr>
                <w:rFonts w:ascii="宋体" w:hAnsi="宋体" w:cs="宋体" w:eastAsia="宋体" w:hint="default"/>
                <w:spacing w:val="4"/>
                <w:sz w:val="18"/>
                <w:szCs w:val="18"/>
              </w:rPr>
              <w:t> 行股份在深 交所上市之 </w:t>
            </w:r>
            <w:r>
              <w:rPr>
                <w:rFonts w:ascii="宋体" w:hAnsi="宋体" w:cs="宋体" w:eastAsia="宋体" w:hint="default"/>
                <w:spacing w:val="3"/>
                <w:sz w:val="18"/>
                <w:szCs w:val="18"/>
              </w:rPr>
              <w:t>日起 </w:t>
            </w:r>
            <w:r>
              <w:rPr>
                <w:rFonts w:ascii="宋体" w:hAnsi="宋体" w:cs="宋体" w:eastAsia="宋体" w:hint="default"/>
                <w:sz w:val="18"/>
                <w:szCs w:val="18"/>
              </w:rPr>
              <w:t>36</w:t>
            </w:r>
            <w:r>
              <w:rPr>
                <w:rFonts w:ascii="宋体" w:hAnsi="宋体" w:cs="宋体" w:eastAsia="宋体" w:hint="default"/>
                <w:spacing w:val="9"/>
                <w:sz w:val="18"/>
                <w:szCs w:val="18"/>
              </w:rPr>
              <w:t> </w:t>
            </w:r>
            <w:r>
              <w:rPr>
                <w:rFonts w:ascii="宋体" w:hAnsi="宋体" w:cs="宋体" w:eastAsia="宋体" w:hint="default"/>
                <w:sz w:val="18"/>
                <w:szCs w:val="18"/>
              </w:rPr>
              <w:t>个 月内。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2329" w:hRule="exact"/>
        </w:trPr>
        <w:tc>
          <w:tcPr>
            <w:tcW w:w="635" w:type="dxa"/>
            <w:vMerge/>
            <w:tcBorders>
              <w:left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61"/>
              <w:ind w:left="101" w:right="101"/>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9"/>
                <w:sz w:val="18"/>
                <w:szCs w:val="18"/>
              </w:rPr>
              <w:t>谷、博</w:t>
            </w:r>
            <w:r>
              <w:rPr>
                <w:rFonts w:ascii="宋体" w:hAnsi="宋体" w:cs="宋体" w:eastAsia="宋体" w:hint="default"/>
                <w:sz w:val="18"/>
                <w:szCs w:val="18"/>
              </w:rPr>
              <w:t> 升优势</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8"/>
              <w:ind w:left="103" w:right="1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、业绩及补偿承诺：创世漫道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年度、</w:t>
            </w:r>
            <w:r>
              <w:rPr>
                <w:rFonts w:ascii="宋体" w:hAnsi="宋体" w:cs="宋体" w:eastAsia="宋体" w:hint="default"/>
                <w:sz w:val="18"/>
                <w:szCs w:val="18"/>
              </w:rPr>
              <w:t>2015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年度对应的经审计的扣除非经常性损益后 的净利润分别不低于</w:t>
            </w:r>
            <w:r>
              <w:rPr>
                <w:rFonts w:ascii="宋体" w:hAnsi="宋体" w:cs="宋体" w:eastAsia="宋体" w:hint="default"/>
                <w:spacing w:val="-48"/>
                <w:sz w:val="18"/>
                <w:szCs w:val="18"/>
              </w:rPr>
              <w:t> </w:t>
            </w:r>
            <w:r>
              <w:rPr>
                <w:rFonts w:ascii="宋体" w:hAnsi="宋体" w:cs="宋体" w:eastAsia="宋体" w:hint="default"/>
                <w:sz w:val="18"/>
                <w:szCs w:val="18"/>
              </w:rPr>
              <w:t>6,059.55</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7,338.22</w:t>
            </w:r>
            <w:r>
              <w:rPr>
                <w:rFonts w:ascii="宋体" w:hAnsi="宋体" w:cs="宋体" w:eastAsia="宋体" w:hint="default"/>
                <w:spacing w:val="-48"/>
                <w:sz w:val="18"/>
                <w:szCs w:val="18"/>
              </w:rPr>
              <w:t> </w:t>
            </w:r>
            <w:r>
              <w:rPr>
                <w:rFonts w:ascii="宋体" w:hAnsi="宋体" w:cs="宋体" w:eastAsia="宋体" w:hint="default"/>
                <w:sz w:val="18"/>
                <w:szCs w:val="18"/>
              </w:rPr>
              <w:t>万元、 </w:t>
            </w:r>
            <w:r>
              <w:rPr>
                <w:rFonts w:ascii="宋体" w:hAnsi="宋体" w:cs="宋体" w:eastAsia="宋体" w:hint="default"/>
                <w:sz w:val="18"/>
                <w:szCs w:val="18"/>
              </w:rPr>
              <w:t>9,009.28</w:t>
            </w:r>
            <w:r>
              <w:rPr>
                <w:rFonts w:ascii="宋体" w:hAnsi="宋体" w:cs="宋体" w:eastAsia="宋体" w:hint="default"/>
                <w:spacing w:val="-48"/>
                <w:sz w:val="18"/>
                <w:szCs w:val="18"/>
              </w:rPr>
              <w:t> </w:t>
            </w:r>
            <w:r>
              <w:rPr>
                <w:rFonts w:ascii="宋体" w:hAnsi="宋体" w:cs="宋体" w:eastAsia="宋体" w:hint="default"/>
                <w:sz w:val="18"/>
                <w:szCs w:val="18"/>
              </w:rPr>
              <w:t>万元，若创世漫道在业绩承诺期间截至该年 </w:t>
            </w:r>
            <w:r>
              <w:rPr>
                <w:rFonts w:ascii="宋体" w:hAnsi="宋体" w:cs="宋体" w:eastAsia="宋体" w:hint="default"/>
                <w:spacing w:val="9"/>
                <w:sz w:val="18"/>
                <w:szCs w:val="18"/>
              </w:rPr>
              <w:t>度期末的净利润数额低于同期累计的承诺净利润数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额，鹰溪谷、博升优势应按照约定以股份和现金结合</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的方式对本公司进行补偿。</w:t>
            </w:r>
          </w:p>
        </w:tc>
        <w:tc>
          <w:tcPr>
            <w:tcW w:w="8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59"/>
              <w:ind w:left="101" w:right="0"/>
              <w:jc w:val="left"/>
              <w:rPr>
                <w:rFonts w:ascii="宋体" w:hAnsi="宋体" w:cs="宋体" w:eastAsia="宋体" w:hint="default"/>
                <w:sz w:val="18"/>
                <w:szCs w:val="18"/>
              </w:rPr>
            </w:pPr>
            <w:r>
              <w:rPr>
                <w:rFonts w:ascii="宋体" w:hAnsi="宋体" w:cs="宋体" w:eastAsia="宋体" w:hint="default"/>
                <w:spacing w:val="-16"/>
                <w:sz w:val="18"/>
                <w:szCs w:val="18"/>
              </w:rPr>
              <w:t>2014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宋体" w:hAnsi="宋体" w:cs="宋体" w:eastAsia="宋体" w:hint="default"/>
                <w:sz w:val="18"/>
                <w:szCs w:val="18"/>
              </w:rPr>
              <w:t>至</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年共</w:t>
            </w:r>
            <w:r>
              <w:rPr>
                <w:rFonts w:ascii="宋体" w:hAnsi="宋体" w:cs="宋体" w:eastAsia="宋体" w:hint="default"/>
                <w:spacing w:val="-72"/>
                <w:sz w:val="18"/>
                <w:szCs w:val="18"/>
              </w:rPr>
              <w:t> </w:t>
            </w:r>
            <w:r>
              <w:rPr>
                <w:rFonts w:ascii="宋体" w:hAnsi="宋体" w:cs="宋体" w:eastAsia="宋体" w:hint="default"/>
                <w:sz w:val="18"/>
                <w:szCs w:val="18"/>
              </w:rPr>
              <w:t>3</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1" w:right="92" w:firstLine="360"/>
              <w:jc w:val="both"/>
              <w:rPr>
                <w:rFonts w:ascii="宋体" w:hAnsi="宋体" w:cs="宋体" w:eastAsia="宋体" w:hint="default"/>
                <w:sz w:val="18"/>
                <w:szCs w:val="18"/>
              </w:rPr>
            </w:pPr>
            <w:r>
              <w:rPr>
                <w:rFonts w:ascii="宋体" w:hAnsi="宋体" w:cs="宋体" w:eastAsia="宋体" w:hint="default"/>
                <w:spacing w:val="-8"/>
                <w:sz w:val="18"/>
                <w:szCs w:val="18"/>
              </w:rPr>
              <w:t>经华普天健审计，创</w:t>
            </w:r>
            <w:r>
              <w:rPr>
                <w:rFonts w:ascii="宋体" w:hAnsi="宋体" w:cs="宋体" w:eastAsia="宋体" w:hint="default"/>
                <w:sz w:val="18"/>
                <w:szCs w:val="18"/>
              </w:rPr>
              <w:t> 世漫道 </w:t>
            </w:r>
            <w:r>
              <w:rPr>
                <w:rFonts w:ascii="宋体" w:hAnsi="宋体" w:cs="宋体" w:eastAsia="宋体" w:hint="default"/>
                <w:sz w:val="18"/>
                <w:szCs w:val="18"/>
              </w:rPr>
              <w:t>2014</w:t>
            </w:r>
            <w:r>
              <w:rPr>
                <w:rFonts w:ascii="宋体" w:hAnsi="宋体" w:cs="宋体" w:eastAsia="宋体" w:hint="default"/>
                <w:spacing w:val="-70"/>
                <w:sz w:val="18"/>
                <w:szCs w:val="18"/>
              </w:rPr>
              <w:t> </w:t>
            </w:r>
            <w:r>
              <w:rPr>
                <w:rFonts w:ascii="宋体" w:hAnsi="宋体" w:cs="宋体" w:eastAsia="宋体" w:hint="default"/>
                <w:sz w:val="18"/>
                <w:szCs w:val="18"/>
              </w:rPr>
              <w:t>年扣除非经 </w:t>
            </w:r>
            <w:r>
              <w:rPr>
                <w:rFonts w:ascii="宋体" w:hAnsi="宋体" w:cs="宋体" w:eastAsia="宋体" w:hint="default"/>
                <w:spacing w:val="10"/>
                <w:sz w:val="18"/>
                <w:szCs w:val="18"/>
              </w:rPr>
              <w:t>常性损益后的实际净利</w:t>
            </w:r>
            <w:r>
              <w:rPr>
                <w:rFonts w:ascii="宋体" w:hAnsi="宋体" w:cs="宋体" w:eastAsia="宋体" w:hint="default"/>
                <w:sz w:val="18"/>
                <w:szCs w:val="18"/>
              </w:rPr>
              <w:t> 润为 </w:t>
            </w:r>
            <w:r>
              <w:rPr>
                <w:rFonts w:ascii="宋体" w:hAnsi="宋体" w:cs="宋体" w:eastAsia="宋体" w:hint="default"/>
                <w:sz w:val="18"/>
                <w:szCs w:val="18"/>
              </w:rPr>
              <w:t>6,209.25</w:t>
            </w:r>
            <w:r>
              <w:rPr>
                <w:rFonts w:ascii="宋体" w:hAnsi="宋体" w:cs="宋体" w:eastAsia="宋体" w:hint="default"/>
                <w:spacing w:val="-70"/>
                <w:sz w:val="18"/>
                <w:szCs w:val="18"/>
              </w:rPr>
              <w:t> </w:t>
            </w:r>
            <w:r>
              <w:rPr>
                <w:rFonts w:ascii="宋体" w:hAnsi="宋体" w:cs="宋体" w:eastAsia="宋体" w:hint="default"/>
                <w:sz w:val="18"/>
                <w:szCs w:val="18"/>
              </w:rPr>
              <w:t>万元，高 </w:t>
            </w:r>
            <w:r>
              <w:rPr>
                <w:rFonts w:ascii="宋体" w:hAnsi="宋体" w:cs="宋体" w:eastAsia="宋体" w:hint="default"/>
                <w:spacing w:val="-7"/>
                <w:sz w:val="18"/>
                <w:szCs w:val="18"/>
              </w:rPr>
              <w:t>于盈利预测承诺数，未出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现补偿情形。有关情况见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本年报本章本节“一、承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诺及履行情况</w:t>
            </w:r>
            <w:r>
              <w:rPr>
                <w:rFonts w:ascii="宋体" w:hAnsi="宋体" w:cs="宋体" w:eastAsia="宋体" w:hint="default"/>
                <w:spacing w:val="10"/>
                <w:sz w:val="18"/>
                <w:szCs w:val="18"/>
              </w:rPr>
              <w:t>(</w:t>
            </w:r>
            <w:r>
              <w:rPr>
                <w:rFonts w:ascii="宋体" w:hAnsi="宋体" w:cs="宋体" w:eastAsia="宋体" w:hint="default"/>
                <w:spacing w:val="10"/>
                <w:sz w:val="18"/>
                <w:szCs w:val="18"/>
              </w:rPr>
              <w:t>三</w:t>
            </w:r>
            <w:r>
              <w:rPr>
                <w:rFonts w:ascii="宋体" w:hAnsi="宋体" w:cs="宋体" w:eastAsia="宋体" w:hint="default"/>
                <w:spacing w:val="10"/>
                <w:sz w:val="18"/>
                <w:szCs w:val="18"/>
              </w:rPr>
              <w:t>)</w:t>
            </w:r>
            <w:r>
              <w:rPr>
                <w:rFonts w:ascii="宋体" w:hAnsi="宋体" w:cs="宋体" w:eastAsia="宋体" w:hint="default"/>
                <w:spacing w:val="10"/>
                <w:sz w:val="18"/>
                <w:szCs w:val="18"/>
              </w:rPr>
              <w:t>盈利 </w:t>
            </w:r>
            <w:r>
              <w:rPr>
                <w:rFonts w:ascii="宋体" w:hAnsi="宋体" w:cs="宋体" w:eastAsia="宋体" w:hint="default"/>
                <w:sz w:val="18"/>
                <w:szCs w:val="18"/>
              </w:rPr>
              <w:t>预测”的内容。</w:t>
            </w:r>
          </w:p>
        </w:tc>
      </w:tr>
      <w:tr>
        <w:trPr>
          <w:trHeight w:val="2088" w:hRule="exact"/>
        </w:trPr>
        <w:tc>
          <w:tcPr>
            <w:tcW w:w="635" w:type="dxa"/>
            <w:vMerge/>
            <w:tcBorders>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7" w:lineRule="auto"/>
              <w:ind w:left="101" w:right="101"/>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9"/>
                <w:sz w:val="18"/>
                <w:szCs w:val="18"/>
              </w:rPr>
              <w:t>谷、博</w:t>
            </w:r>
            <w:r>
              <w:rPr>
                <w:rFonts w:ascii="宋体" w:hAnsi="宋体" w:cs="宋体" w:eastAsia="宋体" w:hint="default"/>
                <w:sz w:val="18"/>
                <w:szCs w:val="18"/>
              </w:rPr>
              <w:t> 升优势</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103" w:right="101"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29"/>
                <w:sz w:val="18"/>
                <w:szCs w:val="18"/>
              </w:rPr>
              <w:t> </w:t>
            </w:r>
            <w:r>
              <w:rPr>
                <w:rFonts w:ascii="宋体" w:hAnsi="宋体" w:cs="宋体" w:eastAsia="宋体" w:hint="default"/>
                <w:sz w:val="18"/>
                <w:szCs w:val="18"/>
              </w:rPr>
              <w:t>年重组资产价值承诺：在上述业绩承诺 期间届满时，经公司聘请具有证券业务资格的资产评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估机构对</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3"/>
                <w:sz w:val="18"/>
                <w:szCs w:val="18"/>
              </w:rPr>
              <w:t>年期末的创世漫道资产进行评估，如创</w:t>
            </w:r>
            <w:r>
              <w:rPr>
                <w:rFonts w:ascii="宋体" w:hAnsi="宋体" w:cs="宋体" w:eastAsia="宋体" w:hint="default"/>
                <w:sz w:val="18"/>
                <w:szCs w:val="18"/>
              </w:rPr>
              <w:t> </w:t>
            </w:r>
            <w:r>
              <w:rPr>
                <w:rFonts w:ascii="宋体" w:hAnsi="宋体" w:cs="宋体" w:eastAsia="宋体" w:hint="default"/>
                <w:spacing w:val="5"/>
                <w:sz w:val="18"/>
                <w:szCs w:val="18"/>
              </w:rPr>
              <w:t>世漫道期末资产减值额</w:t>
            </w:r>
            <w:r>
              <w:rPr>
                <w:rFonts w:ascii="宋体" w:hAnsi="宋体" w:cs="宋体" w:eastAsia="宋体" w:hint="default"/>
                <w:spacing w:val="5"/>
                <w:sz w:val="18"/>
                <w:szCs w:val="18"/>
              </w:rPr>
              <w:t>&gt;</w:t>
            </w:r>
            <w:r>
              <w:rPr>
                <w:rFonts w:ascii="宋体" w:hAnsi="宋体" w:cs="宋体" w:eastAsia="宋体" w:hint="default"/>
                <w:spacing w:val="5"/>
                <w:sz w:val="18"/>
                <w:szCs w:val="18"/>
              </w:rPr>
              <w:t>业绩承诺期间内已补偿股份</w:t>
            </w:r>
            <w:r>
              <w:rPr>
                <w:rFonts w:ascii="宋体" w:hAnsi="宋体" w:cs="宋体" w:eastAsia="宋体" w:hint="default"/>
                <w:sz w:val="18"/>
                <w:szCs w:val="18"/>
              </w:rPr>
              <w:t> 总数×本次发行价格＋已补偿现金总额，鹰溪谷、博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升优势应当按照约定对公司就创世漫道减值部分另行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以股份和现金进行补偿。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16"/>
                <w:sz w:val="18"/>
                <w:szCs w:val="18"/>
              </w:rPr>
              <w:t>2016</w:t>
            </w:r>
            <w:r>
              <w:rPr>
                <w:rFonts w:ascii="宋体" w:hAnsi="宋体" w:cs="宋体" w:eastAsia="宋体" w:hint="default"/>
                <w:spacing w:val="-71"/>
                <w:sz w:val="18"/>
                <w:szCs w:val="18"/>
              </w:rPr>
              <w:t> </w:t>
            </w:r>
            <w:r>
              <w:rPr>
                <w:rFonts w:ascii="宋体" w:hAnsi="宋体" w:cs="宋体" w:eastAsia="宋体" w:hint="default"/>
                <w:spacing w:val="-31"/>
                <w:sz w:val="18"/>
                <w:szCs w:val="18"/>
              </w:rPr>
              <w:t>年期末。</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101" w:right="103" w:firstLine="360"/>
              <w:jc w:val="left"/>
              <w:rPr>
                <w:rFonts w:ascii="宋体" w:hAnsi="宋体" w:cs="宋体" w:eastAsia="宋体" w:hint="default"/>
                <w:sz w:val="18"/>
                <w:szCs w:val="18"/>
              </w:rPr>
            </w:pPr>
            <w:r>
              <w:rPr>
                <w:rFonts w:ascii="宋体" w:hAnsi="宋体" w:cs="宋体" w:eastAsia="宋体" w:hint="default"/>
                <w:spacing w:val="13"/>
                <w:sz w:val="18"/>
                <w:szCs w:val="18"/>
              </w:rPr>
              <w:t>未到履行承诺的期</w:t>
            </w:r>
            <w:r>
              <w:rPr>
                <w:rFonts w:ascii="宋体" w:hAnsi="宋体" w:cs="宋体" w:eastAsia="宋体" w:hint="default"/>
                <w:sz w:val="18"/>
                <w:szCs w:val="18"/>
              </w:rPr>
              <w:t> 限，即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年期末。</w:t>
            </w:r>
          </w:p>
        </w:tc>
      </w:tr>
    </w:tbl>
    <w:p>
      <w:pPr>
        <w:spacing w:after="0" w:line="316"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35"/>
        <w:gridCol w:w="784"/>
        <w:gridCol w:w="4396"/>
        <w:gridCol w:w="850"/>
        <w:gridCol w:w="1134"/>
        <w:gridCol w:w="2126"/>
      </w:tblGrid>
      <w:tr>
        <w:trPr>
          <w:trHeight w:val="8181"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14"/>
                <w:sz w:val="18"/>
                <w:szCs w:val="18"/>
              </w:rPr>
              <w:t> </w:t>
            </w:r>
            <w:r>
              <w:rPr>
                <w:rFonts w:ascii="宋体" w:hAnsi="宋体" w:cs="宋体" w:eastAsia="宋体" w:hint="default"/>
                <w:sz w:val="18"/>
                <w:szCs w:val="18"/>
              </w:rPr>
              <w:t>升</w:t>
            </w:r>
            <w:r>
              <w:rPr>
                <w:rFonts w:ascii="宋体" w:hAnsi="宋体" w:cs="宋体" w:eastAsia="宋体" w:hint="default"/>
                <w:spacing w:val="27"/>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4"/>
                <w:sz w:val="18"/>
                <w:szCs w:val="18"/>
              </w:rPr>
              <w:t>势、峰</w:t>
            </w:r>
            <w:r>
              <w:rPr>
                <w:rFonts w:ascii="宋体" w:hAnsi="宋体" w:cs="宋体" w:eastAsia="宋体" w:hint="default"/>
                <w:spacing w:val="14"/>
                <w:sz w:val="18"/>
                <w:szCs w:val="18"/>
              </w:rPr>
              <w:t> </w:t>
            </w:r>
            <w:r>
              <w:rPr>
                <w:rFonts w:ascii="宋体" w:hAnsi="宋体" w:cs="宋体" w:eastAsia="宋体" w:hint="default"/>
                <w:sz w:val="18"/>
                <w:szCs w:val="18"/>
              </w:rPr>
              <w:t>幽投资</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、保持独立性的承诺：保持公司和创世漫道的人</w:t>
            </w:r>
          </w:p>
          <w:p>
            <w:pPr>
              <w:pStyle w:val="TableParagraph"/>
              <w:spacing w:line="232" w:lineRule="exact" w:before="24"/>
              <w:ind w:left="463" w:right="12" w:hanging="360"/>
              <w:jc w:val="left"/>
              <w:rPr>
                <w:rFonts w:ascii="宋体" w:hAnsi="宋体" w:cs="宋体" w:eastAsia="宋体" w:hint="default"/>
                <w:sz w:val="18"/>
                <w:szCs w:val="18"/>
              </w:rPr>
            </w:pPr>
            <w:r>
              <w:rPr>
                <w:rFonts w:ascii="宋体" w:hAnsi="宋体" w:cs="宋体" w:eastAsia="宋体" w:hint="default"/>
                <w:sz w:val="18"/>
                <w:szCs w:val="18"/>
              </w:rPr>
              <w:t>员、机构、资产、业务、财务的独立性。 </w:t>
            </w:r>
            <w:r>
              <w:rPr>
                <w:rFonts w:ascii="宋体" w:hAnsi="宋体" w:cs="宋体" w:eastAsia="宋体" w:hint="default"/>
                <w:spacing w:val="-7"/>
                <w:sz w:val="18"/>
                <w:szCs w:val="18"/>
              </w:rPr>
              <w:t>5</w:t>
            </w:r>
            <w:r>
              <w:rPr>
                <w:rFonts w:ascii="宋体" w:hAnsi="宋体" w:cs="宋体" w:eastAsia="宋体" w:hint="default"/>
                <w:spacing w:val="-7"/>
                <w:sz w:val="18"/>
                <w:szCs w:val="18"/>
              </w:rPr>
              <w:t>、避免同业竞争承诺：在作为本公司的股东期间，</w:t>
            </w:r>
          </w:p>
          <w:p>
            <w:pPr>
              <w:pStyle w:val="TableParagraph"/>
              <w:spacing w:line="232" w:lineRule="exact" w:before="2"/>
              <w:ind w:left="103" w:right="106"/>
              <w:jc w:val="both"/>
              <w:rPr>
                <w:rFonts w:ascii="宋体" w:hAnsi="宋体" w:cs="宋体" w:eastAsia="宋体" w:hint="default"/>
                <w:sz w:val="18"/>
                <w:szCs w:val="18"/>
              </w:rPr>
            </w:pPr>
            <w:r>
              <w:rPr>
                <w:rFonts w:ascii="宋体" w:hAnsi="宋体" w:cs="宋体" w:eastAsia="宋体" w:hint="default"/>
                <w:sz w:val="18"/>
                <w:szCs w:val="18"/>
              </w:rPr>
              <w:t>承诺人及承诺人控制的其他公司、企业或者其他经济 组织等关联方将避免从事任何与本公司和创世漫道及</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其控制的其他公司、企业或者其他经济组织相同或相</w:t>
            </w:r>
          </w:p>
          <w:p>
            <w:pPr>
              <w:pStyle w:val="TableParagraph"/>
              <w:spacing w:line="237" w:lineRule="auto" w:before="1"/>
              <w:ind w:left="103" w:right="106"/>
              <w:jc w:val="both"/>
              <w:rPr>
                <w:rFonts w:ascii="宋体" w:hAnsi="宋体" w:cs="宋体" w:eastAsia="宋体" w:hint="default"/>
                <w:sz w:val="18"/>
                <w:szCs w:val="18"/>
              </w:rPr>
            </w:pPr>
            <w:r>
              <w:rPr>
                <w:rFonts w:ascii="宋体" w:hAnsi="宋体" w:cs="宋体" w:eastAsia="宋体" w:hint="default"/>
                <w:sz w:val="18"/>
                <w:szCs w:val="18"/>
              </w:rPr>
              <w:t>似且构成或可能构成竞争关系的业务，亦不从事任何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可能损害本公司和创世漫道及其控制的其他公司、企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业或者其他经济组织利益的活动。如承诺人及承诺人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控制的其他公司、企业或者其他经济组织遇到本公司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和创世漫道及其控制的其他公司、企业或者其他经济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组织主营业务范围内的业务机会，承诺人及承诺人控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制的其他公司、企业或者其他经济组织将该等合作机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会让予本公司和创世漫道及其控制的其他公司、企业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或者其他经济组织。承诺人若违反上述承诺，将承担</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因此而给本公司、创世漫道及其控制的其他公司、企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业或者其他经济组织造成的一切损失。</w:t>
            </w:r>
          </w:p>
          <w:p>
            <w:pPr>
              <w:pStyle w:val="TableParagraph"/>
              <w:spacing w:line="237" w:lineRule="auto"/>
              <w:ind w:left="103" w:right="12" w:firstLine="360"/>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、减少和规范关联交易承诺：承诺人在作为本公</w:t>
            </w:r>
            <w:r>
              <w:rPr>
                <w:rFonts w:ascii="宋体" w:hAnsi="宋体" w:cs="宋体" w:eastAsia="宋体" w:hint="default"/>
                <w:sz w:val="18"/>
                <w:szCs w:val="18"/>
              </w:rPr>
              <w:t> 司的股东期间，承诺人及承诺人控制的其他公司、企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业或者其他经济组织将尽量减少并规范与本公司、创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世漫道及其控制的其他公司、企业或者其他经济组织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之间的关联交易。承诺人对于无法避免或有合理原因</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而发生的与本公司或创世漫道之间的关联交易，承诺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人及承诺人控制的其他公司、企业或者其他经济组织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将遵循市场原则以公允、合理的市场价格进行，根据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有关法律、法规及规范性文件的规定履行关联交易决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策程序，依法履行信息披露义务和办理有关报批程序，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不利用股东优势地位损害本公司及其他股东的合法权</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益。承诺人不会利用拥有的本公司股东权利操纵、指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使公司或者公司董事、监事、高级管理人员，使得公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司以不公平的条件，提供或者接受资金、商品、服务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或者其他资产，或从事任何损害公司利益的行为。承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诺人若违反上述承诺，将承担因此而给本公司、创世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漫道及其控制的其他公司、企业或者其他经济组织造</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成的一切损失。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r>
        <w:trPr>
          <w:trHeight w:val="538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pacing w:val="14"/>
                <w:sz w:val="18"/>
                <w:szCs w:val="18"/>
              </w:rPr>
              <w:t>中兆投 资、实 际控制 人黄茂 </w:t>
            </w:r>
            <w:r>
              <w:rPr>
                <w:rFonts w:ascii="宋体" w:hAnsi="宋体" w:cs="宋体" w:eastAsia="宋体" w:hint="default"/>
                <w:sz w:val="18"/>
                <w:szCs w:val="18"/>
              </w:rPr>
              <w:t>如先生</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pacing w:val="-3"/>
                <w:sz w:val="18"/>
                <w:szCs w:val="18"/>
              </w:rPr>
              <w:t>7</w:t>
            </w:r>
            <w:r>
              <w:rPr>
                <w:rFonts w:ascii="宋体" w:hAnsi="宋体" w:cs="宋体" w:eastAsia="宋体" w:hint="default"/>
                <w:spacing w:val="-3"/>
                <w:sz w:val="18"/>
                <w:szCs w:val="18"/>
              </w:rPr>
              <w:t>、避免同业竞争承诺：承诺人在作为本公司的股</w:t>
            </w:r>
          </w:p>
          <w:p>
            <w:pPr>
              <w:pStyle w:val="TableParagraph"/>
              <w:spacing w:line="237" w:lineRule="auto" w:before="1"/>
              <w:ind w:left="103" w:right="106"/>
              <w:jc w:val="both"/>
              <w:rPr>
                <w:rFonts w:ascii="宋体" w:hAnsi="宋体" w:cs="宋体" w:eastAsia="宋体" w:hint="default"/>
                <w:sz w:val="18"/>
                <w:szCs w:val="18"/>
              </w:rPr>
            </w:pPr>
            <w:r>
              <w:rPr>
                <w:rFonts w:ascii="宋体" w:hAnsi="宋体" w:cs="宋体" w:eastAsia="宋体" w:hint="default"/>
                <w:spacing w:val="4"/>
                <w:sz w:val="18"/>
                <w:szCs w:val="18"/>
              </w:rPr>
              <w:t>东</w:t>
            </w:r>
            <w:r>
              <w:rPr>
                <w:rFonts w:ascii="宋体" w:hAnsi="宋体" w:cs="宋体" w:eastAsia="宋体" w:hint="default"/>
                <w:spacing w:val="4"/>
                <w:sz w:val="18"/>
                <w:szCs w:val="18"/>
              </w:rPr>
              <w:t>/</w:t>
            </w:r>
            <w:r>
              <w:rPr>
                <w:rFonts w:ascii="宋体" w:hAnsi="宋体" w:cs="宋体" w:eastAsia="宋体" w:hint="default"/>
                <w:spacing w:val="4"/>
                <w:sz w:val="18"/>
                <w:szCs w:val="18"/>
              </w:rPr>
              <w:t>实际控制人期间，承诺人及承诺人控制的其他公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司、企业或者其他经济组织等关联方将避免从事任何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与本公司和创世漫道及其控制的其他公司、企业或者</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其他经济组织相同或相似且构成或可能构成竞争关系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的业务，亦不从事任何可能损害本公司和创世漫道及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其控制的其他公司、企业或者其他经济组织利益的活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动。如承诺人及承诺人控制的其他公司、企业或者其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他经济组织遇到本公司和创世漫道及其控制的其他公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司、企业或者其他经济组织主营业务范围内的业务机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会，承诺人及承诺人控制的其他公司、企业或者其他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经济组织将该等合作机会让予本公司或创世漫道及其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控制的其他公司、企业或者其他经济组织。承诺人若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违反上述承诺，将承担因此而给本公司和创世漫道及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其控制的其他公司、企业或者其他经济组织造成的一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切损失。</w:t>
            </w:r>
          </w:p>
          <w:p>
            <w:pPr>
              <w:pStyle w:val="TableParagraph"/>
              <w:spacing w:line="237" w:lineRule="auto" w:before="1"/>
              <w:ind w:left="103" w:right="11" w:firstLine="360"/>
              <w:jc w:val="left"/>
              <w:rPr>
                <w:rFonts w:ascii="宋体" w:hAnsi="宋体" w:cs="宋体" w:eastAsia="宋体" w:hint="default"/>
                <w:sz w:val="18"/>
                <w:szCs w:val="18"/>
              </w:rPr>
            </w:pPr>
            <w:r>
              <w:rPr>
                <w:rFonts w:ascii="宋体" w:hAnsi="宋体" w:cs="宋体" w:eastAsia="宋体" w:hint="default"/>
                <w:spacing w:val="-3"/>
                <w:sz w:val="18"/>
                <w:szCs w:val="18"/>
              </w:rPr>
              <w:t>8</w:t>
            </w:r>
            <w:r>
              <w:rPr>
                <w:rFonts w:ascii="宋体" w:hAnsi="宋体" w:cs="宋体" w:eastAsia="宋体" w:hint="default"/>
                <w:spacing w:val="-3"/>
                <w:sz w:val="18"/>
                <w:szCs w:val="18"/>
              </w:rPr>
              <w:t>、减少和规范关联交易承诺：承诺中兆投资、黄</w:t>
            </w:r>
            <w:r>
              <w:rPr>
                <w:rFonts w:ascii="宋体" w:hAnsi="宋体" w:cs="宋体" w:eastAsia="宋体" w:hint="default"/>
                <w:sz w:val="18"/>
                <w:szCs w:val="18"/>
              </w:rPr>
              <w:t> 茂如与其控股公司或拥有实际控制权或重大影响的其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他公司不会利用拥有的本公司股东权利或者实际控制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能力操纵、指使公司或者公司董事、监事、高级管理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人员，使得公司以不公平的条件，提供或者接受资金、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商品、服务或者其他资产，或从事任何损害公司利益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的行为。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遵守了承诺。</w:t>
            </w:r>
          </w:p>
        </w:tc>
      </w:tr>
    </w:tbl>
    <w:p>
      <w:pPr>
        <w:spacing w:after="0" w:line="240"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35"/>
        <w:gridCol w:w="784"/>
        <w:gridCol w:w="4396"/>
        <w:gridCol w:w="850"/>
        <w:gridCol w:w="1134"/>
        <w:gridCol w:w="2126"/>
      </w:tblGrid>
      <w:tr>
        <w:trPr>
          <w:trHeight w:val="1241"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4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28"/>
                <w:sz w:val="18"/>
                <w:szCs w:val="18"/>
              </w:rPr>
              <w:t>产重</w:t>
            </w:r>
            <w:r>
              <w:rPr>
                <w:rFonts w:ascii="宋体" w:hAnsi="宋体" w:cs="宋体" w:eastAsia="宋体" w:hint="default"/>
                <w:spacing w:val="-33"/>
                <w:sz w:val="18"/>
                <w:szCs w:val="18"/>
              </w:rPr>
              <w:t> </w:t>
            </w:r>
            <w:r>
              <w:rPr>
                <w:rFonts w:ascii="宋体" w:hAnsi="宋体" w:cs="宋体" w:eastAsia="宋体" w:hint="default"/>
                <w:spacing w:val="28"/>
                <w:sz w:val="18"/>
                <w:szCs w:val="18"/>
              </w:rPr>
              <w:t>组时</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101" w:right="86"/>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14"/>
                <w:sz w:val="18"/>
                <w:szCs w:val="18"/>
              </w:rPr>
              <w:t> </w:t>
            </w:r>
            <w:r>
              <w:rPr>
                <w:rFonts w:ascii="宋体" w:hAnsi="宋体" w:cs="宋体" w:eastAsia="宋体" w:hint="default"/>
                <w:sz w:val="18"/>
                <w:szCs w:val="18"/>
              </w:rPr>
              <w:t>升</w:t>
            </w:r>
            <w:r>
              <w:rPr>
                <w:rFonts w:ascii="宋体" w:hAnsi="宋体" w:cs="宋体" w:eastAsia="宋体" w:hint="default"/>
                <w:spacing w:val="27"/>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4"/>
                <w:sz w:val="18"/>
                <w:szCs w:val="18"/>
              </w:rPr>
              <w:t>势、峰</w:t>
            </w:r>
            <w:r>
              <w:rPr>
                <w:rFonts w:ascii="宋体" w:hAnsi="宋体" w:cs="宋体" w:eastAsia="宋体" w:hint="default"/>
                <w:spacing w:val="14"/>
                <w:sz w:val="18"/>
                <w:szCs w:val="18"/>
              </w:rPr>
              <w:t> </w:t>
            </w:r>
            <w:r>
              <w:rPr>
                <w:rFonts w:ascii="宋体" w:hAnsi="宋体" w:cs="宋体" w:eastAsia="宋体" w:hint="default"/>
                <w:sz w:val="18"/>
                <w:szCs w:val="18"/>
              </w:rPr>
              <w:t>幽投资</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103" w:right="11" w:firstLine="360"/>
              <w:jc w:val="left"/>
              <w:rPr>
                <w:rFonts w:ascii="宋体" w:hAnsi="宋体" w:cs="宋体" w:eastAsia="宋体" w:hint="default"/>
                <w:sz w:val="18"/>
                <w:szCs w:val="18"/>
              </w:rPr>
            </w:pPr>
            <w:r>
              <w:rPr>
                <w:rFonts w:ascii="宋体" w:hAnsi="宋体" w:cs="宋体" w:eastAsia="宋体" w:hint="default"/>
                <w:spacing w:val="-3"/>
                <w:sz w:val="18"/>
                <w:szCs w:val="18"/>
              </w:rPr>
              <w:t>9</w:t>
            </w:r>
            <w:r>
              <w:rPr>
                <w:rFonts w:ascii="宋体" w:hAnsi="宋体" w:cs="宋体" w:eastAsia="宋体" w:hint="default"/>
                <w:spacing w:val="-3"/>
                <w:sz w:val="18"/>
                <w:szCs w:val="18"/>
              </w:rPr>
              <w:t>、承诺方为本次发行股份及支付现金购买资产并</w:t>
            </w:r>
            <w:r>
              <w:rPr>
                <w:rFonts w:ascii="宋体" w:hAnsi="宋体" w:cs="宋体" w:eastAsia="宋体" w:hint="default"/>
                <w:sz w:val="18"/>
                <w:szCs w:val="18"/>
              </w:rPr>
              <w:t> 配套募集资金事宜所提供的有关信息真实、准确和完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整，不存在任何虚假记载、误导性陈述或者重大遗漏，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本企业同意对本企业所提供信息的真实性、准确性和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完整性承担法律责任。</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878" w:hRule="exact"/>
        </w:trPr>
        <w:tc>
          <w:tcPr>
            <w:tcW w:w="635" w:type="dxa"/>
            <w:vMerge/>
            <w:tcBorders>
              <w:left w:val="single" w:sz="4" w:space="0" w:color="000000"/>
              <w:right w:val="single" w:sz="4" w:space="0" w:color="000000"/>
            </w:tcBorders>
          </w:tcPr>
          <w:p>
            <w:pP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7" w:lineRule="auto"/>
              <w:ind w:left="101" w:right="86"/>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27"/>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14"/>
                <w:sz w:val="18"/>
                <w:szCs w:val="18"/>
              </w:rPr>
              <w:t> </w:t>
            </w:r>
            <w:r>
              <w:rPr>
                <w:rFonts w:ascii="宋体" w:hAnsi="宋体" w:cs="宋体" w:eastAsia="宋体" w:hint="default"/>
                <w:sz w:val="18"/>
                <w:szCs w:val="18"/>
              </w:rPr>
              <w:t>升优势</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、承诺方持有的创世漫道的股权为实际合法拥</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有，不存在权属纠纷或潜在权属纠纷，不存在信托、</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委托持股或者类似安排，不存在禁止转让、限制转让</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的承诺或安排，亦不存在质押、冻结、查封、财产保</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全或其他权利限制。创世漫道在最近三年的生产经营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中不存在重大违法违规行为，创世漫道不存在有关法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律、法规、规范性文件和公司章程规定的应终止的情</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形。</w:t>
            </w:r>
          </w:p>
        </w:tc>
        <w:tc>
          <w:tcPr>
            <w:tcW w:w="850"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1" w:right="96"/>
              <w:jc w:val="both"/>
              <w:rPr>
                <w:rFonts w:ascii="宋体" w:hAnsi="宋体" w:cs="宋体" w:eastAsia="宋体" w:hint="default"/>
                <w:sz w:val="18"/>
                <w:szCs w:val="18"/>
              </w:rPr>
            </w:pPr>
            <w:r>
              <w:rPr>
                <w:rFonts w:ascii="宋体" w:hAnsi="宋体" w:cs="宋体" w:eastAsia="宋体" w:hint="default"/>
                <w:spacing w:val="4"/>
                <w:sz w:val="18"/>
                <w:szCs w:val="18"/>
              </w:rPr>
              <w:t>创世漫道所 有权完成工 商变更登记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411" w:hRule="exact"/>
        </w:trPr>
        <w:tc>
          <w:tcPr>
            <w:tcW w:w="63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、如果创世漫道因为本次交易前即已存在的事</w:t>
            </w:r>
          </w:p>
          <w:p>
            <w:pPr>
              <w:pStyle w:val="TableParagraph"/>
              <w:spacing w:line="237" w:lineRule="auto" w:before="1"/>
              <w:ind w:left="103" w:right="11"/>
              <w:jc w:val="left"/>
              <w:rPr>
                <w:rFonts w:ascii="宋体" w:hAnsi="宋体" w:cs="宋体" w:eastAsia="宋体" w:hint="default"/>
                <w:sz w:val="18"/>
                <w:szCs w:val="18"/>
              </w:rPr>
            </w:pPr>
            <w:r>
              <w:rPr>
                <w:rFonts w:ascii="宋体" w:hAnsi="宋体" w:cs="宋体" w:eastAsia="宋体" w:hint="default"/>
                <w:spacing w:val="-3"/>
                <w:sz w:val="18"/>
                <w:szCs w:val="18"/>
              </w:rPr>
              <w:t>实导致在工商、税务、员工工资、社保、住房公积金、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经营资质或行业主管方面受到相关主管单位追缴费用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或处罚的，本企业将向创世漫道全额补偿创世漫道所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有欠缴费用并承担本公司及创世漫道因此遭受的一切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损失。</w:t>
            </w:r>
          </w:p>
        </w:tc>
        <w:tc>
          <w:tcPr>
            <w:tcW w:w="8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461"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1187"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公司控股股东中兆投资在</w:t>
      </w:r>
      <w:r>
        <w:rPr>
          <w:spacing w:val="-43"/>
        </w:rPr>
        <w:t> </w:t>
      </w:r>
      <w:r>
        <w:rPr>
          <w:rFonts w:ascii="宋体" w:hAnsi="宋体" w:cs="宋体" w:eastAsia="宋体" w:hint="default"/>
        </w:rPr>
        <w:t>2012</w:t>
      </w:r>
      <w:r>
        <w:rPr>
          <w:rFonts w:ascii="宋体" w:hAnsi="宋体" w:cs="宋体" w:eastAsia="宋体" w:hint="default"/>
          <w:spacing w:val="-42"/>
        </w:rPr>
        <w:t> </w:t>
      </w:r>
      <w:r>
        <w:rPr/>
        <w:t>年重组时作出资产价值承诺：自</w:t>
      </w:r>
      <w:r>
        <w:rPr>
          <w:spacing w:val="-43"/>
        </w:rPr>
        <w:t> </w:t>
      </w:r>
      <w:r>
        <w:rPr>
          <w:rFonts w:ascii="宋体" w:hAnsi="宋体" w:cs="宋体" w:eastAsia="宋体" w:hint="default"/>
        </w:rPr>
        <w:t>2012</w:t>
      </w:r>
      <w:r>
        <w:rPr>
          <w:rFonts w:ascii="宋体" w:hAnsi="宋体" w:cs="宋体" w:eastAsia="宋体" w:hint="default"/>
          <w:spacing w:val="-42"/>
        </w:rPr>
        <w:t> </w:t>
      </w:r>
      <w:r>
        <w:rPr/>
        <w:t>年起连续</w:t>
      </w:r>
      <w:r>
        <w:rPr>
          <w:spacing w:val="-44"/>
        </w:rPr>
        <w:t> </w:t>
      </w:r>
      <w:r>
        <w:rPr>
          <w:rFonts w:ascii="宋体" w:hAnsi="宋体" w:cs="宋体" w:eastAsia="宋体" w:hint="default"/>
        </w:rPr>
        <w:t>3</w:t>
      </w:r>
      <w:r>
        <w:rPr>
          <w:rFonts w:ascii="宋体" w:hAnsi="宋体" w:cs="宋体" w:eastAsia="宋体" w:hint="default"/>
          <w:spacing w:val="-42"/>
        </w:rPr>
        <w:t> </w:t>
      </w:r>
      <w:r>
        <w:rPr/>
        <w:t>年的各年期 </w:t>
      </w:r>
      <w:r>
        <w:rPr>
          <w:spacing w:val="-1"/>
        </w:rPr>
        <w:t>末，经公司聘请具有证券业务资格的资产评估机构，分别对各年期末重组资产进行评估，若评估值低于</w:t>
      </w:r>
      <w:r>
        <w:rPr>
          <w:spacing w:val="-102"/>
        </w:rPr>
        <w:t> </w:t>
      </w:r>
      <w:r>
        <w:rPr>
          <w:spacing w:val="-102"/>
        </w:rPr>
      </w:r>
      <w:r>
        <w:rPr/>
        <w:t>重组资产作价价值 </w:t>
      </w:r>
      <w:r>
        <w:rPr>
          <w:rFonts w:ascii="宋体" w:hAnsi="宋体" w:cs="宋体" w:eastAsia="宋体" w:hint="default"/>
        </w:rPr>
        <w:t>58,000</w:t>
      </w:r>
      <w:r>
        <w:rPr>
          <w:rFonts w:ascii="宋体" w:hAnsi="宋体" w:cs="宋体" w:eastAsia="宋体" w:hint="default"/>
          <w:spacing w:val="-42"/>
        </w:rPr>
        <w:t> </w:t>
      </w:r>
      <w:r>
        <w:rPr/>
        <w:t>万元，中兆投资将根据约定的计算公式及原则算出应予补偿的股份数，由公</w:t>
      </w:r>
    </w:p>
    <w:p>
      <w:pPr>
        <w:pStyle w:val="BodyText"/>
        <w:spacing w:line="273" w:lineRule="auto"/>
        <w:ind w:right="1183"/>
        <w:jc w:val="left"/>
      </w:pPr>
      <w:r>
        <w:rPr/>
        <w:t>司以总价人民币</w:t>
      </w:r>
      <w:r>
        <w:rPr>
          <w:spacing w:val="-49"/>
        </w:rPr>
        <w:t> </w:t>
      </w:r>
      <w:r>
        <w:rPr>
          <w:rFonts w:ascii="宋体" w:hAnsi="宋体" w:cs="宋体" w:eastAsia="宋体" w:hint="default"/>
        </w:rPr>
        <w:t>1</w:t>
      </w:r>
      <w:r>
        <w:rPr>
          <w:rFonts w:ascii="宋体" w:hAnsi="宋体" w:cs="宋体" w:eastAsia="宋体" w:hint="default"/>
          <w:spacing w:val="-49"/>
        </w:rPr>
        <w:t> </w:t>
      </w:r>
      <w:r>
        <w:rPr>
          <w:spacing w:val="-4"/>
        </w:rPr>
        <w:t>元的价格对中兆投资应予补偿的股份进行回购并予以注销。该承诺见</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spacing w:val="-1"/>
        </w:rPr>
        <w:t>10 </w:t>
      </w:r>
      <w:r>
        <w:rPr/>
        <w:t>日刊载于巨潮资讯网的《关于重大资产重组相关方出具的承诺的公告》</w:t>
      </w:r>
      <w:r>
        <w:rPr>
          <w:rFonts w:ascii="宋体" w:hAnsi="宋体" w:cs="宋体" w:eastAsia="宋体" w:hint="default"/>
        </w:rPr>
        <w:t>(</w:t>
      </w:r>
      <w:r>
        <w:rPr/>
        <w:t>公告编号：</w:t>
      </w:r>
      <w:r>
        <w:rPr>
          <w:rFonts w:ascii="宋体" w:hAnsi="宋体" w:cs="宋体" w:eastAsia="宋体" w:hint="default"/>
        </w:rPr>
        <w:t>2012</w:t>
      </w:r>
      <w:r>
        <w:rPr/>
        <w:t>—</w:t>
      </w:r>
      <w:r>
        <w:rPr>
          <w:rFonts w:ascii="宋体" w:hAnsi="宋体" w:cs="宋体" w:eastAsia="宋体" w:hint="default"/>
        </w:rPr>
        <w:t>47)</w:t>
      </w:r>
      <w:r>
        <w:rPr/>
        <w:t>。</w:t>
      </w:r>
    </w:p>
    <w:p>
      <w:pPr>
        <w:pStyle w:val="BodyText"/>
        <w:spacing w:line="273" w:lineRule="auto"/>
        <w:ind w:right="1188" w:firstLine="420"/>
        <w:jc w:val="both"/>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spacing w:val="-5"/>
        </w:rPr>
        <w:t>月，公司聘请具有证券业务资格的中企华对</w:t>
      </w:r>
      <w:r>
        <w:rPr>
          <w:spacing w:val="-53"/>
        </w:rPr>
        <w:t> </w:t>
      </w:r>
      <w:r>
        <w:rPr>
          <w:rFonts w:ascii="宋体" w:hAnsi="宋体" w:cs="宋体" w:eastAsia="宋体" w:hint="default"/>
          <w:spacing w:val="-1"/>
        </w:rPr>
        <w:t>2014</w:t>
      </w:r>
      <w:r>
        <w:rPr>
          <w:rFonts w:ascii="宋体" w:hAnsi="宋体" w:cs="宋体" w:eastAsia="宋体" w:hint="default"/>
          <w:spacing w:val="-52"/>
        </w:rPr>
        <w:t> </w:t>
      </w:r>
      <w:r>
        <w:rPr>
          <w:spacing w:val="-1"/>
        </w:rPr>
        <w:t>年期末的</w:t>
      </w:r>
      <w:r>
        <w:rPr>
          <w:spacing w:val="-53"/>
        </w:rPr>
        <w:t> </w:t>
      </w:r>
      <w:r>
        <w:rPr>
          <w:rFonts w:ascii="宋体" w:hAnsi="宋体" w:cs="宋体" w:eastAsia="宋体" w:hint="default"/>
        </w:rPr>
        <w:t>2012</w:t>
      </w:r>
      <w:r>
        <w:rPr>
          <w:rFonts w:ascii="宋体" w:hAnsi="宋体" w:cs="宋体" w:eastAsia="宋体" w:hint="default"/>
          <w:spacing w:val="-53"/>
        </w:rPr>
        <w:t> </w:t>
      </w:r>
      <w:r>
        <w:rPr/>
        <w:t>年重组资产秦皇岛茂业资 </w:t>
      </w:r>
      <w:r>
        <w:rPr>
          <w:spacing w:val="3"/>
        </w:rPr>
        <w:t>产价值进行评估，聘请具有证券业务资格的中兴华对秦皇岛茂业进行单独审计并进行减值测试专项审</w:t>
      </w:r>
      <w:r>
        <w:rPr>
          <w:spacing w:val="-86"/>
        </w:rPr>
        <w:t> </w:t>
      </w:r>
      <w:r>
        <w:rPr>
          <w:spacing w:val="-86"/>
        </w:rPr>
      </w:r>
      <w:r>
        <w:rPr/>
        <w:t>核。</w:t>
      </w:r>
    </w:p>
    <w:p>
      <w:pPr>
        <w:pStyle w:val="BodyText"/>
        <w:spacing w:line="273" w:lineRule="auto"/>
        <w:ind w:right="1149" w:firstLine="420"/>
        <w:jc w:val="both"/>
      </w:pPr>
      <w:r>
        <w:rPr/>
        <w:t>据中企华出具的评报字</w:t>
      </w:r>
      <w:r>
        <w:rPr>
          <w:rFonts w:ascii="宋体" w:hAnsi="宋体" w:cs="宋体" w:eastAsia="宋体" w:hint="default"/>
        </w:rPr>
        <w:t>[2015]</w:t>
      </w:r>
      <w:r>
        <w:rPr/>
        <w:t>第 </w:t>
      </w:r>
      <w:r>
        <w:rPr>
          <w:rFonts w:ascii="宋体" w:hAnsi="宋体" w:cs="宋体" w:eastAsia="宋体" w:hint="default"/>
        </w:rPr>
        <w:t>3090</w:t>
      </w:r>
      <w:r>
        <w:rPr>
          <w:rFonts w:ascii="宋体" w:hAnsi="宋体" w:cs="宋体" w:eastAsia="宋体" w:hint="default"/>
          <w:spacing w:val="-41"/>
        </w:rPr>
        <w:t> </w:t>
      </w:r>
      <w:r>
        <w:rPr/>
        <w:t>号——《茂业物流股份有限公司拟了解秦皇岛茂业控股有限 公司股东全部权益价值项目评估报告》及说明，本次评估按照交易定价时依据的评估方法资产基础法， 对</w:t>
      </w:r>
      <w:r>
        <w:rPr>
          <w:spacing w:val="-52"/>
        </w:rPr>
        <w:t> </w:t>
      </w:r>
      <w:r>
        <w:rPr>
          <w:rFonts w:ascii="宋体" w:hAnsi="宋体" w:cs="宋体" w:eastAsia="宋体" w:hint="default"/>
        </w:rPr>
        <w:t>2012</w:t>
      </w:r>
      <w:r>
        <w:rPr>
          <w:rFonts w:ascii="宋体" w:hAnsi="宋体" w:cs="宋体" w:eastAsia="宋体" w:hint="default"/>
          <w:spacing w:val="-51"/>
        </w:rPr>
        <w:t> </w:t>
      </w:r>
      <w:r>
        <w:rPr/>
        <w:t>年重组资产秦皇岛茂业</w:t>
      </w:r>
      <w:r>
        <w:rPr>
          <w:spacing w:val="-52"/>
        </w:rPr>
        <w:t> </w:t>
      </w:r>
      <w:r>
        <w:rPr>
          <w:rFonts w:ascii="宋体" w:hAnsi="宋体" w:cs="宋体" w:eastAsia="宋体" w:hint="default"/>
        </w:rPr>
        <w:t>2014</w:t>
      </w:r>
      <w:r>
        <w:rPr>
          <w:rFonts w:ascii="宋体" w:hAnsi="宋体" w:cs="宋体" w:eastAsia="宋体" w:hint="default"/>
          <w:spacing w:val="-53"/>
        </w:rPr>
        <w:t> </w:t>
      </w:r>
      <w:r>
        <w:rPr/>
        <w:t>年末</w:t>
      </w:r>
      <w:r>
        <w:rPr>
          <w:spacing w:val="-52"/>
        </w:rPr>
        <w:t> </w:t>
      </w:r>
      <w:r>
        <w:rPr>
          <w:rFonts w:ascii="宋体" w:hAnsi="宋体" w:cs="宋体" w:eastAsia="宋体" w:hint="default"/>
        </w:rPr>
        <w:t>100%</w:t>
      </w:r>
      <w:r>
        <w:rPr/>
        <w:t>股权价值进行评估，评估基准日为</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 评估结论如下：</w:t>
      </w:r>
    </w:p>
    <w:p>
      <w:pPr>
        <w:spacing w:line="240" w:lineRule="auto" w:before="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560"/>
        <w:gridCol w:w="2126"/>
        <w:gridCol w:w="2128"/>
        <w:gridCol w:w="2126"/>
        <w:gridCol w:w="1985"/>
      </w:tblGrid>
      <w:tr>
        <w:trPr>
          <w:trHeight w:val="294"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1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8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w:t>
            </w:r>
          </w:p>
        </w:tc>
      </w:tr>
      <w:tr>
        <w:trPr>
          <w:trHeight w:val="293" w:hRule="exact"/>
        </w:trPr>
        <w:tc>
          <w:tcPr>
            <w:tcW w:w="1560"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45,330.81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81,507.82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z w:val="21"/>
              </w:rPr>
              <w:t>36,177.01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79.81</w:t>
            </w:r>
          </w:p>
        </w:tc>
      </w:tr>
      <w:tr>
        <w:trPr>
          <w:trHeight w:val="29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1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8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w:t>
            </w:r>
          </w:p>
        </w:tc>
      </w:tr>
      <w:tr>
        <w:trPr>
          <w:trHeight w:val="293" w:hRule="exact"/>
        </w:trPr>
        <w:tc>
          <w:tcPr>
            <w:tcW w:w="1560"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7,452.62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7,452.62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无增减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r>
      <w:tr>
        <w:trPr>
          <w:trHeight w:val="29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1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8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w:t>
            </w:r>
          </w:p>
        </w:tc>
      </w:tr>
      <w:tr>
        <w:trPr>
          <w:trHeight w:val="294" w:hRule="exact"/>
        </w:trPr>
        <w:tc>
          <w:tcPr>
            <w:tcW w:w="1560"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37,878.19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74,055.20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36,177.01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95.51</w:t>
            </w:r>
          </w:p>
        </w:tc>
      </w:tr>
    </w:tbl>
    <w:p>
      <w:pPr>
        <w:spacing w:line="240" w:lineRule="auto" w:before="9"/>
        <w:rPr>
          <w:rFonts w:ascii="宋体" w:hAnsi="宋体" w:cs="宋体" w:eastAsia="宋体" w:hint="default"/>
          <w:sz w:val="24"/>
          <w:szCs w:val="24"/>
        </w:rPr>
      </w:pPr>
    </w:p>
    <w:p>
      <w:pPr>
        <w:pStyle w:val="BodyText"/>
        <w:spacing w:line="240" w:lineRule="auto" w:before="35"/>
        <w:ind w:left="824" w:right="418"/>
        <w:jc w:val="left"/>
      </w:pPr>
      <w:r>
        <w:rPr/>
        <w:t>经中企华评估的秦皇岛茂业</w:t>
      </w:r>
      <w:r>
        <w:rPr>
          <w:spacing w:val="-39"/>
        </w:rPr>
        <w:t> </w:t>
      </w:r>
      <w:r>
        <w:rPr>
          <w:rFonts w:ascii="宋体" w:hAnsi="宋体" w:cs="宋体" w:eastAsia="宋体" w:hint="default"/>
        </w:rPr>
        <w:t>2014</w:t>
      </w:r>
      <w:r>
        <w:rPr>
          <w:rFonts w:ascii="宋体" w:hAnsi="宋体" w:cs="宋体" w:eastAsia="宋体" w:hint="default"/>
          <w:spacing w:val="-38"/>
        </w:rPr>
        <w:t> </w:t>
      </w:r>
      <w:r>
        <w:rPr/>
        <w:t>年期末的全部权益价值</w:t>
      </w:r>
      <w:r>
        <w:rPr>
          <w:rFonts w:ascii="宋体" w:hAnsi="宋体" w:cs="宋体" w:eastAsia="宋体" w:hint="default"/>
        </w:rPr>
        <w:t>(</w:t>
      </w:r>
      <w:r>
        <w:rPr/>
        <w:t>净资产</w:t>
      </w:r>
      <w:r>
        <w:rPr>
          <w:rFonts w:ascii="宋体" w:hAnsi="宋体" w:cs="宋体" w:eastAsia="宋体" w:hint="default"/>
        </w:rPr>
        <w:t>)</w:t>
      </w:r>
      <w:r>
        <w:rPr/>
        <w:t>为</w:t>
      </w:r>
      <w:r>
        <w:rPr>
          <w:spacing w:val="-39"/>
        </w:rPr>
        <w:t> </w:t>
      </w:r>
      <w:r>
        <w:rPr>
          <w:rFonts w:ascii="宋体" w:hAnsi="宋体" w:cs="宋体" w:eastAsia="宋体" w:hint="default"/>
        </w:rPr>
        <w:t>74,055.20</w:t>
      </w:r>
      <w:r>
        <w:rPr>
          <w:rFonts w:ascii="宋体" w:hAnsi="宋体" w:cs="宋体" w:eastAsia="宋体" w:hint="default"/>
          <w:spacing w:val="-37"/>
        </w:rPr>
        <w:t> </w:t>
      </w:r>
      <w:r>
        <w:rPr/>
        <w:t>万元，比交易标的</w:t>
      </w:r>
    </w:p>
    <w:p>
      <w:pPr>
        <w:pStyle w:val="BodyText"/>
        <w:spacing w:line="240" w:lineRule="auto" w:before="37"/>
        <w:ind w:right="418"/>
        <w:jc w:val="left"/>
      </w:pPr>
      <w:r>
        <w:rPr/>
        <w:t>资产的作价价值</w:t>
      </w:r>
      <w:r>
        <w:rPr>
          <w:spacing w:val="-38"/>
        </w:rPr>
        <w:t> </w:t>
      </w:r>
      <w:r>
        <w:rPr>
          <w:rFonts w:ascii="宋体" w:hAnsi="宋体" w:cs="宋体" w:eastAsia="宋体" w:hint="default"/>
        </w:rPr>
        <w:t>58,000</w:t>
      </w:r>
      <w:r>
        <w:rPr>
          <w:rFonts w:ascii="宋体" w:hAnsi="宋体" w:cs="宋体" w:eastAsia="宋体" w:hint="default"/>
          <w:spacing w:val="-38"/>
        </w:rPr>
        <w:t> </w:t>
      </w:r>
      <w:r>
        <w:rPr/>
        <w:t>万元高</w:t>
      </w:r>
      <w:r>
        <w:rPr>
          <w:spacing w:val="-38"/>
        </w:rPr>
        <w:t> </w:t>
      </w:r>
      <w:r>
        <w:rPr>
          <w:rFonts w:ascii="宋体" w:hAnsi="宋体" w:cs="宋体" w:eastAsia="宋体" w:hint="default"/>
        </w:rPr>
        <w:t>16,055.20</w:t>
      </w:r>
      <w:r>
        <w:rPr>
          <w:rFonts w:ascii="宋体" w:hAnsi="宋体" w:cs="宋体" w:eastAsia="宋体" w:hint="default"/>
          <w:spacing w:val="-36"/>
        </w:rPr>
        <w:t> </w:t>
      </w:r>
      <w:r>
        <w:rPr/>
        <w:t>万元，比交易定价时中介机构中企华以资产基础法的评估价</w:t>
      </w:r>
    </w:p>
    <w:p>
      <w:pPr>
        <w:pStyle w:val="BodyText"/>
        <w:spacing w:line="240" w:lineRule="auto" w:before="37"/>
        <w:ind w:right="418"/>
        <w:jc w:val="left"/>
      </w:pPr>
      <w:r>
        <w:rPr/>
        <w:t>值</w:t>
      </w:r>
      <w:r>
        <w:rPr>
          <w:spacing w:val="-54"/>
        </w:rPr>
        <w:t> </w:t>
      </w:r>
      <w:r>
        <w:rPr>
          <w:rFonts w:ascii="宋体" w:hAnsi="宋体" w:cs="宋体" w:eastAsia="宋体" w:hint="default"/>
        </w:rPr>
        <w:t>60,295.75</w:t>
      </w:r>
      <w:r>
        <w:rPr>
          <w:rFonts w:ascii="宋体" w:hAnsi="宋体" w:cs="宋体" w:eastAsia="宋体" w:hint="default"/>
          <w:spacing w:val="-53"/>
        </w:rPr>
        <w:t> </w:t>
      </w:r>
      <w:r>
        <w:rPr/>
        <w:t>万元高</w:t>
      </w:r>
      <w:r>
        <w:rPr>
          <w:spacing w:val="-55"/>
        </w:rPr>
        <w:t> </w:t>
      </w:r>
      <w:r>
        <w:rPr>
          <w:rFonts w:ascii="宋体" w:hAnsi="宋体" w:cs="宋体" w:eastAsia="宋体" w:hint="default"/>
        </w:rPr>
        <w:t>13,759.45</w:t>
      </w:r>
      <w:r>
        <w:rPr>
          <w:rFonts w:ascii="宋体" w:hAnsi="宋体" w:cs="宋体" w:eastAsia="宋体" w:hint="default"/>
          <w:spacing w:val="-53"/>
        </w:rPr>
        <w:t> </w:t>
      </w:r>
      <w:r>
        <w:rPr/>
        <w:t>万元，没有触发约定的应履行承诺条款，中兆投资不予以股份补偿。</w:t>
      </w:r>
    </w:p>
    <w:p>
      <w:pPr>
        <w:pStyle w:val="BodyText"/>
        <w:spacing w:line="273" w:lineRule="auto" w:before="37"/>
        <w:ind w:right="1186" w:firstLine="420"/>
        <w:jc w:val="both"/>
      </w:pP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日秦皇岛茂业</w:t>
      </w:r>
      <w:r>
        <w:rPr>
          <w:spacing w:val="-52"/>
        </w:rPr>
        <w:t> </w:t>
      </w:r>
      <w:r>
        <w:rPr>
          <w:rFonts w:ascii="宋体" w:hAnsi="宋体" w:cs="宋体" w:eastAsia="宋体" w:hint="default"/>
        </w:rPr>
        <w:t>100%</w:t>
      </w:r>
      <w:r>
        <w:rPr/>
        <w:t>股东权益价值估值为</w:t>
      </w:r>
      <w:r>
        <w:rPr>
          <w:spacing w:val="-52"/>
        </w:rPr>
        <w:t> </w:t>
      </w:r>
      <w:r>
        <w:rPr>
          <w:rFonts w:ascii="宋体" w:hAnsi="宋体" w:cs="宋体" w:eastAsia="宋体" w:hint="default"/>
        </w:rPr>
        <w:t>60,295.75</w:t>
      </w:r>
      <w:r>
        <w:rPr>
          <w:rFonts w:ascii="宋体" w:hAnsi="宋体" w:cs="宋体" w:eastAsia="宋体" w:hint="default"/>
          <w:spacing w:val="-52"/>
        </w:rPr>
        <w:t> </w:t>
      </w:r>
      <w:r>
        <w:rPr/>
        <w:t>万元，</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日秦皇 岛茂业</w:t>
      </w:r>
      <w:r>
        <w:rPr>
          <w:spacing w:val="-49"/>
        </w:rPr>
        <w:t> </w:t>
      </w:r>
      <w:r>
        <w:rPr>
          <w:rFonts w:ascii="宋体" w:hAnsi="宋体" w:cs="宋体" w:eastAsia="宋体" w:hint="default"/>
        </w:rPr>
        <w:t>100%</w:t>
      </w:r>
      <w:r>
        <w:rPr/>
        <w:t>股东权益价值估值为</w:t>
      </w:r>
      <w:r>
        <w:rPr>
          <w:spacing w:val="-50"/>
        </w:rPr>
        <w:t> </w:t>
      </w:r>
      <w:r>
        <w:rPr>
          <w:rFonts w:ascii="宋体" w:hAnsi="宋体" w:cs="宋体" w:eastAsia="宋体" w:hint="default"/>
        </w:rPr>
        <w:t>74,055.20</w:t>
      </w:r>
      <w:r>
        <w:rPr>
          <w:rFonts w:ascii="宋体" w:hAnsi="宋体" w:cs="宋体" w:eastAsia="宋体" w:hint="default"/>
          <w:spacing w:val="-49"/>
        </w:rPr>
        <w:t> </w:t>
      </w:r>
      <w:r>
        <w:rPr>
          <w:spacing w:val="-4"/>
        </w:rPr>
        <w:t>万元，经过比对估值和相关减值测试过程，公司编制的《秦</w:t>
      </w:r>
      <w:r>
        <w:rPr/>
        <w:t> 皇岛茂业控股有限公司</w:t>
      </w:r>
      <w:r>
        <w:rPr>
          <w:spacing w:val="-39"/>
        </w:rPr>
        <w:t> </w:t>
      </w:r>
      <w:r>
        <w:rPr>
          <w:rFonts w:ascii="宋体" w:hAnsi="宋体" w:cs="宋体" w:eastAsia="宋体" w:hint="default"/>
          <w:spacing w:val="-3"/>
        </w:rPr>
        <w:t>100%</w:t>
      </w:r>
      <w:r>
        <w:rPr>
          <w:spacing w:val="-3"/>
        </w:rPr>
        <w:t>股东权益价值减值测试报告》作出“没有发生减值”的结论。中兴华出具的</w:t>
      </w:r>
      <w:r>
        <w:rPr>
          <w:spacing w:val="-102"/>
        </w:rPr>
        <w:t> </w:t>
      </w:r>
      <w:r>
        <w:rPr>
          <w:spacing w:val="-102"/>
        </w:rPr>
      </w:r>
      <w:r>
        <w:rPr/>
        <w:t>中兴华专字</w:t>
      </w:r>
      <w:r>
        <w:rPr>
          <w:rFonts w:ascii="宋体" w:hAnsi="宋体" w:cs="宋体" w:eastAsia="宋体" w:hint="default"/>
        </w:rPr>
        <w:t>(2015)</w:t>
      </w:r>
      <w:r>
        <w:rPr/>
        <w:t>第</w:t>
      </w:r>
      <w:r>
        <w:rPr>
          <w:spacing w:val="-51"/>
        </w:rPr>
        <w:t> </w:t>
      </w:r>
      <w:r>
        <w:rPr>
          <w:rFonts w:ascii="宋体" w:hAnsi="宋体" w:cs="宋体" w:eastAsia="宋体" w:hint="default"/>
        </w:rPr>
        <w:t>BJ01-005</w:t>
      </w:r>
      <w:r>
        <w:rPr>
          <w:rFonts w:ascii="宋体" w:hAnsi="宋体" w:cs="宋体" w:eastAsia="宋体" w:hint="default"/>
          <w:spacing w:val="-50"/>
        </w:rPr>
        <w:t> </w:t>
      </w:r>
      <w:r>
        <w:rPr/>
        <w:t>号《关于对秦皇岛茂业控股有限公司</w:t>
      </w:r>
      <w:r>
        <w:rPr>
          <w:spacing w:val="-51"/>
        </w:rPr>
        <w:t> </w:t>
      </w:r>
      <w:r>
        <w:rPr>
          <w:rFonts w:ascii="宋体" w:hAnsi="宋体" w:cs="宋体" w:eastAsia="宋体" w:hint="default"/>
        </w:rPr>
        <w:t>100%</w:t>
      </w:r>
      <w:r>
        <w:rPr/>
        <w:t>股东权益价值减值测试报告的 </w:t>
      </w:r>
      <w:r>
        <w:rPr>
          <w:spacing w:val="-3"/>
        </w:rPr>
        <w:t>审核报告》认为，公司“编制减值测试报告，在所有重大方面公允的反映了秦皇岛茂业</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1"/>
        </w:rPr>
        <w:t> </w:t>
      </w:r>
      <w:r>
        <w:rPr/>
        <w:t>日</w:t>
      </w:r>
      <w:r>
        <w:rPr>
          <w:spacing w:val="-52"/>
        </w:rPr>
        <w:t> </w:t>
      </w:r>
      <w:r>
        <w:rPr>
          <w:rFonts w:ascii="宋体" w:hAnsi="宋体" w:cs="宋体" w:eastAsia="宋体" w:hint="default"/>
          <w:spacing w:val="-6"/>
        </w:rPr>
        <w:t>100%</w:t>
      </w:r>
      <w:r>
        <w:rPr>
          <w:spacing w:val="-6"/>
        </w:rPr>
        <w:t>股东权益价值减值测试结论。”</w:t>
      </w:r>
    </w:p>
    <w:p>
      <w:pPr>
        <w:pStyle w:val="BodyText"/>
        <w:spacing w:line="240" w:lineRule="auto"/>
        <w:ind w:left="824" w:right="418"/>
        <w:jc w:val="left"/>
      </w:pPr>
      <w:r>
        <w:rPr/>
        <w:t>秦皇岛茂业</w:t>
      </w:r>
      <w:r>
        <w:rPr>
          <w:spacing w:val="-68"/>
        </w:rPr>
        <w:t> </w:t>
      </w:r>
      <w:r>
        <w:rPr>
          <w:rFonts w:ascii="宋体" w:hAnsi="宋体" w:cs="宋体" w:eastAsia="宋体" w:hint="default"/>
        </w:rPr>
        <w:t>2012</w:t>
      </w:r>
      <w:r>
        <w:rPr>
          <w:rFonts w:ascii="宋体" w:hAnsi="宋体" w:cs="宋体" w:eastAsia="宋体" w:hint="default"/>
          <w:spacing w:val="-68"/>
        </w:rPr>
        <w:t> </w:t>
      </w:r>
      <w:r>
        <w:rPr>
          <w:spacing w:val="-8"/>
        </w:rPr>
        <w:t>年、</w:t>
      </w:r>
      <w:r>
        <w:rPr>
          <w:rFonts w:ascii="宋体" w:hAnsi="宋体" w:cs="宋体" w:eastAsia="宋体" w:hint="default"/>
          <w:spacing w:val="-8"/>
        </w:rPr>
        <w:t>2013</w:t>
      </w:r>
      <w:r>
        <w:rPr>
          <w:rFonts w:ascii="宋体" w:hAnsi="宋体" w:cs="宋体" w:eastAsia="宋体" w:hint="default"/>
          <w:spacing w:val="-69"/>
        </w:rPr>
        <w:t> </w:t>
      </w:r>
      <w:r>
        <w:rPr/>
        <w:t>年的评估值均高于交易标的资产的作价价值、减值测试均未减值</w:t>
      </w:r>
      <w:r>
        <w:rPr>
          <w:rFonts w:ascii="宋体" w:hAnsi="宋体" w:cs="宋体" w:eastAsia="宋体" w:hint="default"/>
        </w:rPr>
        <w:t>[</w:t>
      </w:r>
      <w:r>
        <w:rPr/>
        <w:t>有关内</w:t>
      </w:r>
    </w:p>
    <w:p>
      <w:pPr>
        <w:spacing w:after="0" w:line="240" w:lineRule="auto"/>
        <w:jc w:val="left"/>
        <w:sectPr>
          <w:footerReference w:type="default" r:id="rId21"/>
          <w:pgSz w:w="11910" w:h="16840"/>
          <w:pgMar w:footer="1219" w:header="883"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right="418"/>
        <w:jc w:val="left"/>
      </w:pPr>
      <w:r>
        <w:rPr/>
        <w:t>容可登陆巨潮资讯网查阅</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26</w:t>
      </w:r>
      <w:r>
        <w:rPr>
          <w:rFonts w:ascii="宋体" w:hAnsi="宋体" w:cs="宋体" w:eastAsia="宋体" w:hint="default"/>
          <w:spacing w:val="-52"/>
        </w:rPr>
        <w:t> </w:t>
      </w:r>
      <w:r>
        <w:rPr>
          <w:spacing w:val="-7"/>
        </w:rPr>
        <w:t>日的《公司第五届董事会</w:t>
      </w:r>
      <w:r>
        <w:rPr>
          <w:spacing w:val="-53"/>
        </w:rPr>
        <w:t> </w:t>
      </w:r>
      <w:r>
        <w:rPr>
          <w:rFonts w:ascii="宋体" w:hAnsi="宋体" w:cs="宋体" w:eastAsia="宋体" w:hint="default"/>
        </w:rPr>
        <w:t>2013</w:t>
      </w:r>
      <w:r>
        <w:rPr>
          <w:rFonts w:ascii="宋体" w:hAnsi="宋体" w:cs="宋体" w:eastAsia="宋体" w:hint="default"/>
          <w:spacing w:val="-54"/>
        </w:rPr>
        <w:t> </w:t>
      </w:r>
      <w:r>
        <w:rPr>
          <w:spacing w:val="-5"/>
        </w:rPr>
        <w:t>年第一次会议决议公告》</w:t>
      </w:r>
      <w:r>
        <w:rPr>
          <w:rFonts w:ascii="宋体" w:hAnsi="宋体" w:cs="宋体" w:eastAsia="宋体" w:hint="default"/>
          <w:spacing w:val="-5"/>
        </w:rPr>
        <w:t>(</w:t>
      </w:r>
      <w:r>
        <w:rPr>
          <w:spacing w:val="-5"/>
        </w:rPr>
        <w:t>编号：</w:t>
      </w:r>
    </w:p>
    <w:p>
      <w:pPr>
        <w:pStyle w:val="BodyText"/>
        <w:spacing w:line="240" w:lineRule="auto" w:before="37"/>
        <w:ind w:right="418"/>
        <w:jc w:val="left"/>
      </w:pPr>
      <w:r>
        <w:rPr>
          <w:rFonts w:ascii="宋体" w:hAnsi="宋体" w:cs="宋体" w:eastAsia="宋体" w:hint="default"/>
          <w:spacing w:val="-4"/>
        </w:rPr>
        <w:t>2013</w:t>
      </w:r>
      <w:r>
        <w:rPr>
          <w:spacing w:val="-4"/>
        </w:rPr>
        <w:t>—</w:t>
      </w:r>
      <w:r>
        <w:rPr>
          <w:rFonts w:ascii="宋体" w:hAnsi="宋体" w:cs="宋体" w:eastAsia="宋体" w:hint="default"/>
          <w:spacing w:val="-4"/>
        </w:rPr>
        <w:t>03)</w:t>
      </w:r>
      <w:r>
        <w:rPr>
          <w:spacing w:val="-4"/>
        </w:rPr>
        <w:t>、</w:t>
      </w:r>
      <w:r>
        <w:rPr>
          <w:rFonts w:ascii="宋体" w:hAnsi="宋体" w:cs="宋体" w:eastAsia="宋体" w:hint="default"/>
          <w:spacing w:val="-4"/>
        </w:rPr>
        <w:t>2014</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49"/>
        </w:rPr>
        <w:t> </w:t>
      </w:r>
      <w:r>
        <w:rPr/>
        <w:t>月</w:t>
      </w:r>
      <w:r>
        <w:rPr>
          <w:spacing w:val="-51"/>
        </w:rPr>
        <w:t> </w:t>
      </w:r>
      <w:r>
        <w:rPr>
          <w:rFonts w:ascii="宋体" w:hAnsi="宋体" w:cs="宋体" w:eastAsia="宋体" w:hint="default"/>
        </w:rPr>
        <w:t>26</w:t>
      </w:r>
      <w:r>
        <w:rPr>
          <w:rFonts w:ascii="宋体" w:hAnsi="宋体" w:cs="宋体" w:eastAsia="宋体" w:hint="default"/>
          <w:spacing w:val="-49"/>
        </w:rPr>
        <w:t> </w:t>
      </w:r>
      <w:r>
        <w:rPr>
          <w:spacing w:val="-5"/>
        </w:rPr>
        <w:t>日的《公司第六届董事会</w:t>
      </w:r>
      <w:r>
        <w:rPr>
          <w:spacing w:val="-49"/>
        </w:rPr>
        <w:t> </w:t>
      </w:r>
      <w:r>
        <w:rPr>
          <w:rFonts w:ascii="宋体" w:hAnsi="宋体" w:cs="宋体" w:eastAsia="宋体" w:hint="default"/>
        </w:rPr>
        <w:t>2014</w:t>
      </w:r>
      <w:r>
        <w:rPr>
          <w:rFonts w:ascii="宋体" w:hAnsi="宋体" w:cs="宋体" w:eastAsia="宋体" w:hint="default"/>
          <w:spacing w:val="-50"/>
        </w:rPr>
        <w:t> </w:t>
      </w:r>
      <w:r>
        <w:rPr>
          <w:spacing w:val="-5"/>
        </w:rPr>
        <w:t>年第二次会议决议公告》</w:t>
      </w:r>
      <w:r>
        <w:rPr>
          <w:rFonts w:ascii="宋体" w:hAnsi="宋体" w:cs="宋体" w:eastAsia="宋体" w:hint="default"/>
          <w:spacing w:val="-5"/>
        </w:rPr>
        <w:t>(</w:t>
      </w:r>
      <w:r>
        <w:rPr>
          <w:spacing w:val="-5"/>
        </w:rPr>
        <w:t>编号：</w:t>
      </w:r>
      <w:r>
        <w:rPr>
          <w:rFonts w:ascii="宋体" w:hAnsi="宋体" w:cs="宋体" w:eastAsia="宋体" w:hint="default"/>
          <w:spacing w:val="-5"/>
        </w:rPr>
        <w:t>2014</w:t>
      </w:r>
      <w:r>
        <w:rPr>
          <w:spacing w:val="-5"/>
        </w:rPr>
        <w:t>—</w:t>
      </w:r>
      <w:r>
        <w:rPr>
          <w:rFonts w:ascii="宋体" w:hAnsi="宋体" w:cs="宋体" w:eastAsia="宋体" w:hint="default"/>
          <w:spacing w:val="-5"/>
        </w:rPr>
        <w:t>06)]</w:t>
      </w:r>
      <w:r>
        <w:rPr>
          <w:spacing w:val="-5"/>
        </w:rPr>
        <w:t>，</w:t>
      </w:r>
    </w:p>
    <w:p>
      <w:pPr>
        <w:pStyle w:val="BodyText"/>
        <w:spacing w:line="240" w:lineRule="auto" w:before="37"/>
        <w:ind w:right="418"/>
        <w:jc w:val="left"/>
      </w:pPr>
      <w:r>
        <w:rPr/>
        <w:t>自</w:t>
      </w:r>
      <w:r>
        <w:rPr>
          <w:spacing w:val="-54"/>
        </w:rPr>
        <w:t> </w:t>
      </w:r>
      <w:r>
        <w:rPr>
          <w:rFonts w:ascii="宋体" w:hAnsi="宋体" w:cs="宋体" w:eastAsia="宋体" w:hint="default"/>
        </w:rPr>
        <w:t>2012</w:t>
      </w:r>
      <w:r>
        <w:rPr>
          <w:rFonts w:ascii="宋体" w:hAnsi="宋体" w:cs="宋体" w:eastAsia="宋体" w:hint="default"/>
          <w:spacing w:val="-53"/>
        </w:rPr>
        <w:t> </w:t>
      </w:r>
      <w:r>
        <w:rPr/>
        <w:t>年起至</w:t>
      </w:r>
      <w:r>
        <w:rPr>
          <w:spacing w:val="-54"/>
        </w:rPr>
        <w:t> </w:t>
      </w:r>
      <w:r>
        <w:rPr>
          <w:rFonts w:ascii="宋体" w:hAnsi="宋体" w:cs="宋体" w:eastAsia="宋体" w:hint="default"/>
        </w:rPr>
        <w:t>2014</w:t>
      </w:r>
      <w:r>
        <w:rPr>
          <w:rFonts w:ascii="宋体" w:hAnsi="宋体" w:cs="宋体" w:eastAsia="宋体" w:hint="default"/>
          <w:spacing w:val="-54"/>
        </w:rPr>
        <w:t> </w:t>
      </w:r>
      <w:r>
        <w:rPr/>
        <w:t>年的各年期末重组资产均未出现补偿情形。该项承诺至本期末已履行完毕。</w:t>
      </w:r>
    </w:p>
    <w:p>
      <w:pPr>
        <w:spacing w:line="240" w:lineRule="auto" w:before="10"/>
        <w:rPr>
          <w:rFonts w:ascii="宋体" w:hAnsi="宋体" w:cs="宋体" w:eastAsia="宋体" w:hint="default"/>
          <w:sz w:val="14"/>
          <w:szCs w:val="14"/>
        </w:rPr>
      </w:pPr>
    </w:p>
    <w:p>
      <w:pPr>
        <w:pStyle w:val="BodyText"/>
        <w:spacing w:line="240" w:lineRule="auto" w:before="0"/>
        <w:ind w:left="824" w:right="594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公司资产或项目盈利预测情况</w:t>
      </w:r>
    </w:p>
    <w:p>
      <w:pPr>
        <w:pStyle w:val="BodyText"/>
        <w:spacing w:line="240" w:lineRule="auto" w:before="37"/>
        <w:ind w:left="0" w:right="587"/>
        <w:jc w:val="center"/>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7"/>
        </w:rPr>
        <w:t> </w:t>
      </w:r>
      <w:r>
        <w:rPr/>
        <w:t>年重组收购的标的资产秦皇岛茂业盈利预测实现情况</w:t>
      </w:r>
      <w:r>
        <w:rPr>
          <w:rFonts w:ascii="宋体" w:hAnsi="宋体" w:cs="宋体" w:eastAsia="宋体" w:hint="default"/>
        </w:rPr>
        <w:t>(</w:t>
      </w:r>
      <w:r>
        <w:rPr/>
        <w:t>实际业绩数扣除了非经常性损益</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70"/>
        <w:gridCol w:w="1487"/>
        <w:gridCol w:w="1065"/>
        <w:gridCol w:w="2694"/>
        <w:gridCol w:w="2410"/>
      </w:tblGrid>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盈利预测资产名称</w:t>
            </w:r>
          </w:p>
        </w:tc>
        <w:tc>
          <w:tcPr>
            <w:tcW w:w="76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1"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r>
              <w:rPr>
                <w:rFonts w:ascii="宋体" w:hAnsi="宋体" w:cs="宋体" w:eastAsia="宋体" w:hint="default"/>
                <w:sz w:val="18"/>
                <w:szCs w:val="18"/>
              </w:rPr>
              <w:t>(</w:t>
            </w:r>
            <w:r>
              <w:rPr>
                <w:rFonts w:ascii="宋体" w:hAnsi="宋体" w:cs="宋体" w:eastAsia="宋体" w:hint="default"/>
                <w:sz w:val="18"/>
                <w:szCs w:val="18"/>
              </w:rPr>
              <w:t>报告期更名之前原名为秦皇岛茂业商厦经营管理有限公司</w:t>
            </w:r>
            <w:r>
              <w:rPr>
                <w:rFonts w:ascii="宋体" w:hAnsi="宋体" w:cs="宋体" w:eastAsia="宋体" w:hint="default"/>
                <w:sz w:val="18"/>
                <w:szCs w:val="18"/>
              </w:rPr>
              <w:t>)</w:t>
            </w:r>
          </w:p>
        </w:tc>
      </w:tr>
      <w:tr>
        <w:trPr>
          <w:trHeight w:val="34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76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76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3,047.84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3,170.19</w:t>
            </w:r>
          </w:p>
        </w:tc>
      </w:tr>
      <w:tr>
        <w:trPr>
          <w:trHeight w:val="34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3,565.73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4,053.94</w:t>
            </w: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4,137.14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4,881.09</w:t>
            </w: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三年预测业绩合计</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28" w:right="0"/>
              <w:jc w:val="left"/>
              <w:rPr>
                <w:rFonts w:ascii="宋体" w:hAnsi="宋体" w:cs="宋体" w:eastAsia="宋体" w:hint="default"/>
                <w:sz w:val="18"/>
                <w:szCs w:val="18"/>
              </w:rPr>
            </w:pPr>
            <w:r>
              <w:rPr>
                <w:rFonts w:ascii="宋体"/>
                <w:sz w:val="18"/>
              </w:rPr>
              <w:t>10,750.71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hAnsi="宋体" w:cs="宋体" w:eastAsia="宋体" w:hint="default"/>
                <w:sz w:val="18"/>
                <w:szCs w:val="18"/>
              </w:rPr>
              <w:t>三年实际业绩合计</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12,105.22</w:t>
            </w:r>
          </w:p>
        </w:tc>
      </w:tr>
      <w:tr>
        <w:trPr>
          <w:trHeight w:val="34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76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6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50"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476" w:hRule="exact"/>
        </w:trPr>
        <w:tc>
          <w:tcPr>
            <w:tcW w:w="2270"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茂业物流：关于重大资产重组相关方出具的承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诺的公告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2012-47)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2012-11-10</w:t>
            </w:r>
          </w:p>
        </w:tc>
      </w:tr>
    </w:tbl>
    <w:p>
      <w:pPr>
        <w:spacing w:line="240" w:lineRule="auto" w:before="0"/>
        <w:rPr>
          <w:rFonts w:ascii="宋体" w:hAnsi="宋体" w:cs="宋体" w:eastAsia="宋体" w:hint="default"/>
          <w:sz w:val="20"/>
          <w:szCs w:val="20"/>
        </w:rPr>
      </w:pPr>
    </w:p>
    <w:p>
      <w:pPr>
        <w:pStyle w:val="BodyText"/>
        <w:spacing w:line="273" w:lineRule="auto" w:before="35"/>
        <w:ind w:right="1188" w:firstLine="420"/>
        <w:jc w:val="right"/>
      </w:pPr>
      <w:r>
        <w:rPr>
          <w:spacing w:val="-1"/>
        </w:rPr>
        <w:t>控股股东中兆投资承诺</w:t>
      </w:r>
      <w:r>
        <w:rPr>
          <w:rFonts w:ascii="宋体" w:hAnsi="宋体" w:cs="宋体" w:eastAsia="宋体" w:hint="default"/>
          <w:spacing w:val="-1"/>
        </w:rPr>
        <w:t>(</w:t>
      </w:r>
      <w:r>
        <w:rPr>
          <w:spacing w:val="-1"/>
        </w:rPr>
        <w:t>详见本报告本章第四节“一、承诺及履行情况”的相关内容</w:t>
      </w:r>
      <w:r>
        <w:rPr>
          <w:rFonts w:ascii="宋体" w:hAnsi="宋体" w:cs="宋体" w:eastAsia="宋体" w:hint="default"/>
          <w:spacing w:val="-1"/>
        </w:rPr>
        <w:t>)</w:t>
      </w:r>
      <w:r>
        <w:rPr>
          <w:spacing w:val="-1"/>
        </w:rPr>
        <w:t>：秦皇岛茂业</w:t>
      </w:r>
      <w:r>
        <w:rPr/>
        <w:t> </w:t>
      </w:r>
      <w:r>
        <w:rPr>
          <w:rFonts w:ascii="宋体" w:hAnsi="宋体" w:cs="宋体" w:eastAsia="宋体" w:hint="default"/>
        </w:rPr>
        <w:t>2012</w:t>
      </w:r>
      <w:r>
        <w:rPr>
          <w:rFonts w:ascii="宋体" w:hAnsi="宋体" w:cs="宋体" w:eastAsia="宋体" w:hint="default"/>
          <w:spacing w:val="-52"/>
        </w:rPr>
        <w:t> </w:t>
      </w:r>
      <w:r>
        <w:rPr/>
        <w:t>年、</w:t>
      </w:r>
      <w:r>
        <w:rPr>
          <w:rFonts w:ascii="宋体" w:hAnsi="宋体" w:cs="宋体" w:eastAsia="宋体" w:hint="default"/>
        </w:rPr>
        <w:t>2013</w:t>
      </w:r>
      <w:r>
        <w:rPr>
          <w:rFonts w:ascii="宋体" w:hAnsi="宋体" w:cs="宋体" w:eastAsia="宋体" w:hint="default"/>
          <w:spacing w:val="-54"/>
        </w:rPr>
        <w:t> </w:t>
      </w:r>
      <w:r>
        <w:rPr/>
        <w:t>年、</w:t>
      </w:r>
      <w:r>
        <w:rPr>
          <w:rFonts w:ascii="宋体" w:hAnsi="宋体" w:cs="宋体" w:eastAsia="宋体" w:hint="default"/>
        </w:rPr>
        <w:t>2014</w:t>
      </w:r>
      <w:r>
        <w:rPr>
          <w:rFonts w:ascii="宋体" w:hAnsi="宋体" w:cs="宋体" w:eastAsia="宋体" w:hint="default"/>
          <w:spacing w:val="-55"/>
        </w:rPr>
        <w:t> </w:t>
      </w:r>
      <w:r>
        <w:rPr/>
        <w:t>年三年扣除非经常性损益后的实际净利润为盈利预测数之和</w:t>
      </w:r>
      <w:r>
        <w:rPr>
          <w:spacing w:val="-53"/>
        </w:rPr>
        <w:t> </w:t>
      </w:r>
      <w:r>
        <w:rPr>
          <w:rFonts w:ascii="宋体" w:hAnsi="宋体" w:cs="宋体" w:eastAsia="宋体" w:hint="default"/>
        </w:rPr>
        <w:t>10,750.71</w:t>
      </w:r>
      <w:r>
        <w:rPr>
          <w:rFonts w:ascii="宋体" w:hAnsi="宋体" w:cs="宋体" w:eastAsia="宋体" w:hint="default"/>
          <w:spacing w:val="-53"/>
        </w:rPr>
        <w:t> </w:t>
      </w:r>
      <w:r>
        <w:rPr/>
        <w:t>万元。 </w:t>
      </w:r>
      <w:r>
        <w:rPr>
          <w:spacing w:val="-1"/>
        </w:rPr>
        <w:t>根据公司聘请的具有证券业务资格的年审会计师事务所中兴华出具的《关于对秦皇岛茂业控股有限</w:t>
      </w:r>
    </w:p>
    <w:p>
      <w:pPr>
        <w:pStyle w:val="BodyText"/>
        <w:spacing w:line="273" w:lineRule="auto" w:before="8"/>
        <w:ind w:right="1187"/>
        <w:jc w:val="both"/>
        <w:rPr>
          <w:rFonts w:ascii="宋体" w:hAnsi="宋体" w:cs="宋体" w:eastAsia="宋体" w:hint="default"/>
        </w:rPr>
      </w:pPr>
      <w:r>
        <w:rPr/>
        <w:t>公司</w:t>
      </w:r>
      <w:r>
        <w:rPr>
          <w:spacing w:val="-57"/>
        </w:rPr>
        <w:t> </w:t>
      </w:r>
      <w:r>
        <w:rPr>
          <w:rFonts w:ascii="宋体" w:hAnsi="宋体" w:cs="宋体" w:eastAsia="宋体" w:hint="default"/>
        </w:rPr>
        <w:t>2012</w:t>
      </w:r>
      <w:r>
        <w:rPr>
          <w:rFonts w:ascii="宋体" w:hAnsi="宋体" w:cs="宋体" w:eastAsia="宋体" w:hint="default"/>
          <w:spacing w:val="-58"/>
        </w:rPr>
        <w:t> </w:t>
      </w:r>
      <w:r>
        <w:rPr/>
        <w:t>年至</w:t>
      </w:r>
      <w:r>
        <w:rPr>
          <w:spacing w:val="-58"/>
        </w:rPr>
        <w:t> </w:t>
      </w:r>
      <w:r>
        <w:rPr>
          <w:rFonts w:ascii="宋体" w:hAnsi="宋体" w:cs="宋体" w:eastAsia="宋体" w:hint="default"/>
        </w:rPr>
        <w:t>2014</w:t>
      </w:r>
      <w:r>
        <w:rPr>
          <w:rFonts w:ascii="宋体" w:hAnsi="宋体" w:cs="宋体" w:eastAsia="宋体" w:hint="default"/>
          <w:spacing w:val="-58"/>
        </w:rPr>
        <w:t> </w:t>
      </w:r>
      <w:r>
        <w:rPr/>
        <w:t>年业绩承诺完成情况的审核说明》及中兴华审字</w:t>
      </w:r>
      <w:r>
        <w:rPr>
          <w:rFonts w:ascii="宋体" w:hAnsi="宋体" w:cs="宋体" w:eastAsia="宋体" w:hint="default"/>
        </w:rPr>
        <w:t>(2013)</w:t>
      </w:r>
      <w:r>
        <w:rPr/>
        <w:t>第</w:t>
      </w:r>
      <w:r>
        <w:rPr>
          <w:spacing w:val="-58"/>
        </w:rPr>
        <w:t> </w:t>
      </w:r>
      <w:r>
        <w:rPr>
          <w:rFonts w:ascii="宋体" w:hAnsi="宋体" w:cs="宋体" w:eastAsia="宋体" w:hint="default"/>
        </w:rPr>
        <w:t>1203004</w:t>
      </w:r>
      <w:r>
        <w:rPr>
          <w:rFonts w:ascii="宋体" w:hAnsi="宋体" w:cs="宋体" w:eastAsia="宋体" w:hint="default"/>
          <w:spacing w:val="-57"/>
        </w:rPr>
        <w:t> </w:t>
      </w:r>
      <w:r>
        <w:rPr>
          <w:spacing w:val="-3"/>
        </w:rPr>
        <w:t>号《秦皇岛茂业</w:t>
      </w:r>
      <w:r>
        <w:rPr/>
        <w:t> 商厦经营管理有限公司</w:t>
      </w:r>
      <w:r>
        <w:rPr>
          <w:spacing w:val="-32"/>
        </w:rPr>
        <w:t> </w:t>
      </w:r>
      <w:r>
        <w:rPr>
          <w:rFonts w:ascii="宋体" w:hAnsi="宋体" w:cs="宋体" w:eastAsia="宋体" w:hint="default"/>
        </w:rPr>
        <w:t>2012</w:t>
      </w:r>
      <w:r>
        <w:rPr>
          <w:rFonts w:ascii="宋体" w:hAnsi="宋体" w:cs="宋体" w:eastAsia="宋体" w:hint="default"/>
          <w:spacing w:val="-31"/>
        </w:rPr>
        <w:t> </w:t>
      </w:r>
      <w:r>
        <w:rPr>
          <w:spacing w:val="-5"/>
        </w:rPr>
        <w:t>年度财务报表审计报告书》、中兴华审字</w:t>
      </w:r>
      <w:r>
        <w:rPr>
          <w:rFonts w:ascii="宋体" w:hAnsi="宋体" w:cs="宋体" w:eastAsia="宋体" w:hint="default"/>
          <w:spacing w:val="-5"/>
        </w:rPr>
        <w:t>(2014)</w:t>
      </w:r>
      <w:r>
        <w:rPr>
          <w:spacing w:val="-5"/>
        </w:rPr>
        <w:t>第</w:t>
      </w:r>
      <w:r>
        <w:rPr>
          <w:spacing w:val="-32"/>
        </w:rPr>
        <w:t> </w:t>
      </w:r>
      <w:r>
        <w:rPr>
          <w:rFonts w:ascii="宋体" w:hAnsi="宋体" w:cs="宋体" w:eastAsia="宋体" w:hint="default"/>
          <w:spacing w:val="-1"/>
        </w:rPr>
        <w:t>BJ03-053</w:t>
      </w:r>
      <w:r>
        <w:rPr>
          <w:rFonts w:ascii="宋体" w:hAnsi="宋体" w:cs="宋体" w:eastAsia="宋体" w:hint="default"/>
          <w:spacing w:val="-30"/>
        </w:rPr>
        <w:t> </w:t>
      </w:r>
      <w:r>
        <w:rPr/>
        <w:t>号《秦皇岛茂 业商厦经营管理有限公司</w:t>
      </w:r>
      <w:r>
        <w:rPr>
          <w:spacing w:val="-31"/>
        </w:rPr>
        <w:t> </w:t>
      </w:r>
      <w:r>
        <w:rPr>
          <w:rFonts w:ascii="宋体" w:hAnsi="宋体" w:cs="宋体" w:eastAsia="宋体" w:hint="default"/>
        </w:rPr>
        <w:t>2013</w:t>
      </w:r>
      <w:r>
        <w:rPr>
          <w:rFonts w:ascii="宋体" w:hAnsi="宋体" w:cs="宋体" w:eastAsia="宋体" w:hint="default"/>
          <w:spacing w:val="-30"/>
        </w:rPr>
        <w:t> </w:t>
      </w:r>
      <w:r>
        <w:rPr>
          <w:spacing w:val="-5"/>
        </w:rPr>
        <w:t>年度财务报表审计报告书》、中兴华审字</w:t>
      </w:r>
      <w:r>
        <w:rPr>
          <w:rFonts w:ascii="宋体" w:hAnsi="宋体" w:cs="宋体" w:eastAsia="宋体" w:hint="default"/>
          <w:spacing w:val="-5"/>
        </w:rPr>
        <w:t>(2015)</w:t>
      </w:r>
      <w:r>
        <w:rPr>
          <w:spacing w:val="-5"/>
        </w:rPr>
        <w:t>第</w:t>
      </w:r>
      <w:r>
        <w:rPr>
          <w:spacing w:val="-31"/>
        </w:rPr>
        <w:t> </w:t>
      </w:r>
      <w:r>
        <w:rPr>
          <w:rFonts w:ascii="宋体" w:hAnsi="宋体" w:cs="宋体" w:eastAsia="宋体" w:hint="default"/>
          <w:spacing w:val="-1"/>
        </w:rPr>
        <w:t>BJ01-004</w:t>
      </w:r>
      <w:r>
        <w:rPr>
          <w:rFonts w:ascii="宋体" w:hAnsi="宋体" w:cs="宋体" w:eastAsia="宋体" w:hint="default"/>
          <w:spacing w:val="-29"/>
        </w:rPr>
        <w:t> </w:t>
      </w:r>
      <w:r>
        <w:rPr>
          <w:spacing w:val="-1"/>
        </w:rPr>
        <w:t>号《秦皇岛</w:t>
      </w:r>
      <w:r>
        <w:rPr/>
        <w:t> 茂业控股有限公司</w:t>
      </w:r>
      <w:r>
        <w:rPr>
          <w:spacing w:val="-44"/>
        </w:rPr>
        <w:t> </w:t>
      </w:r>
      <w:r>
        <w:rPr>
          <w:rFonts w:ascii="宋体" w:hAnsi="宋体" w:cs="宋体" w:eastAsia="宋体" w:hint="default"/>
        </w:rPr>
        <w:t>2014</w:t>
      </w:r>
      <w:r>
        <w:rPr>
          <w:rFonts w:ascii="宋体" w:hAnsi="宋体" w:cs="宋体" w:eastAsia="宋体" w:hint="default"/>
          <w:spacing w:val="-44"/>
        </w:rPr>
        <w:t> </w:t>
      </w:r>
      <w:r>
        <w:rPr>
          <w:spacing w:val="-7"/>
        </w:rPr>
        <w:t>年度财务报表审计报告书》，</w:t>
      </w:r>
      <w:r>
        <w:rPr>
          <w:rFonts w:ascii="宋体" w:hAnsi="宋体" w:cs="宋体" w:eastAsia="宋体" w:hint="default"/>
          <w:spacing w:val="-7"/>
        </w:rPr>
        <w:t>2012</w:t>
      </w:r>
      <w:r>
        <w:rPr>
          <w:rFonts w:ascii="宋体" w:hAnsi="宋体" w:cs="宋体" w:eastAsia="宋体" w:hint="default"/>
          <w:spacing w:val="-44"/>
        </w:rPr>
        <w:t> </w:t>
      </w:r>
      <w:r>
        <w:rPr>
          <w:spacing w:val="-1"/>
        </w:rPr>
        <w:t>年、</w:t>
      </w:r>
      <w:r>
        <w:rPr>
          <w:rFonts w:ascii="宋体" w:hAnsi="宋体" w:cs="宋体" w:eastAsia="宋体" w:hint="default"/>
          <w:spacing w:val="-1"/>
        </w:rPr>
        <w:t>2013</w:t>
      </w:r>
      <w:r>
        <w:rPr>
          <w:rFonts w:ascii="宋体" w:hAnsi="宋体" w:cs="宋体" w:eastAsia="宋体" w:hint="default"/>
          <w:spacing w:val="-43"/>
        </w:rPr>
        <w:t> </w:t>
      </w:r>
      <w:r>
        <w:rPr>
          <w:spacing w:val="-1"/>
        </w:rPr>
        <w:t>年、</w:t>
      </w:r>
      <w:r>
        <w:rPr>
          <w:rFonts w:ascii="宋体" w:hAnsi="宋体" w:cs="宋体" w:eastAsia="宋体" w:hint="default"/>
          <w:spacing w:val="-1"/>
        </w:rPr>
        <w:t>2014</w:t>
      </w:r>
      <w:r>
        <w:rPr>
          <w:rFonts w:ascii="宋体" w:hAnsi="宋体" w:cs="宋体" w:eastAsia="宋体" w:hint="default"/>
          <w:spacing w:val="-44"/>
        </w:rPr>
        <w:t> </w:t>
      </w:r>
      <w:r>
        <w:rPr>
          <w:spacing w:val="-1"/>
        </w:rPr>
        <w:t>年秦皇岛茂业扣除非经常</w:t>
      </w:r>
      <w:r>
        <w:rPr/>
        <w:t> 性损益后的实际净利润分别为</w:t>
      </w:r>
      <w:r>
        <w:rPr>
          <w:spacing w:val="-42"/>
        </w:rPr>
        <w:t> </w:t>
      </w:r>
      <w:r>
        <w:rPr>
          <w:rFonts w:ascii="宋体" w:hAnsi="宋体" w:cs="宋体" w:eastAsia="宋体" w:hint="default"/>
        </w:rPr>
        <w:t>3,170.19</w:t>
      </w:r>
      <w:r>
        <w:rPr>
          <w:rFonts w:ascii="宋体" w:hAnsi="宋体" w:cs="宋体" w:eastAsia="宋体" w:hint="default"/>
          <w:spacing w:val="-42"/>
        </w:rPr>
        <w:t> </w:t>
      </w:r>
      <w:r>
        <w:rPr/>
        <w:t>万元、</w:t>
      </w:r>
      <w:r>
        <w:rPr>
          <w:rFonts w:ascii="宋体" w:hAnsi="宋体" w:cs="宋体" w:eastAsia="宋体" w:hint="default"/>
        </w:rPr>
        <w:t>4,053.94</w:t>
      </w:r>
      <w:r>
        <w:rPr>
          <w:rFonts w:ascii="宋体" w:hAnsi="宋体" w:cs="宋体" w:eastAsia="宋体" w:hint="default"/>
          <w:spacing w:val="-42"/>
        </w:rPr>
        <w:t> </w:t>
      </w:r>
      <w:r>
        <w:rPr/>
        <w:t>万元、</w:t>
      </w:r>
      <w:r>
        <w:rPr>
          <w:rFonts w:ascii="宋体" w:hAnsi="宋体" w:cs="宋体" w:eastAsia="宋体" w:hint="default"/>
        </w:rPr>
        <w:t>4,881.09</w:t>
      </w:r>
      <w:r>
        <w:rPr>
          <w:rFonts w:ascii="宋体" w:hAnsi="宋体" w:cs="宋体" w:eastAsia="宋体" w:hint="default"/>
          <w:spacing w:val="-43"/>
        </w:rPr>
        <w:t> </w:t>
      </w:r>
      <w:r>
        <w:rPr/>
        <w:t>万元，</w:t>
      </w:r>
      <w:r>
        <w:rPr>
          <w:rFonts w:ascii="宋体" w:hAnsi="宋体" w:cs="宋体" w:eastAsia="宋体" w:hint="default"/>
        </w:rPr>
        <w:t>3</w:t>
      </w:r>
      <w:r>
        <w:rPr>
          <w:rFonts w:ascii="宋体" w:hAnsi="宋体" w:cs="宋体" w:eastAsia="宋体" w:hint="default"/>
          <w:spacing w:val="-42"/>
        </w:rPr>
        <w:t> </w:t>
      </w:r>
      <w:r>
        <w:rPr/>
        <w:t>年累计为</w:t>
      </w:r>
      <w:r>
        <w:rPr>
          <w:spacing w:val="-43"/>
        </w:rPr>
        <w:t> </w:t>
      </w:r>
      <w:r>
        <w:rPr>
          <w:rFonts w:ascii="宋体" w:hAnsi="宋体" w:cs="宋体" w:eastAsia="宋体" w:hint="default"/>
        </w:rPr>
        <w:t>12,105.22 </w:t>
      </w:r>
      <w:r>
        <w:rPr/>
        <w:t>万元高于盈利预测数之和</w:t>
      </w:r>
      <w:r>
        <w:rPr>
          <w:spacing w:val="-72"/>
        </w:rPr>
        <w:t> </w:t>
      </w:r>
      <w:r>
        <w:rPr>
          <w:rFonts w:ascii="宋体" w:hAnsi="宋体" w:cs="宋体" w:eastAsia="宋体" w:hint="default"/>
        </w:rPr>
        <w:t>10,750.71</w:t>
      </w:r>
      <w:r>
        <w:rPr>
          <w:rFonts w:ascii="宋体" w:hAnsi="宋体" w:cs="宋体" w:eastAsia="宋体" w:hint="default"/>
          <w:spacing w:val="-71"/>
        </w:rPr>
        <w:t> </w:t>
      </w:r>
      <w:r>
        <w:rPr/>
        <w:t>万元，没有触发约定的应履行承诺条款，承诺履行完毕中兆投资不 予以股份补偿。</w:t>
      </w:r>
      <w:r>
        <w:rPr>
          <w:rFonts w:ascii="宋体" w:hAnsi="宋体" w:cs="宋体" w:eastAsia="宋体" w:hint="default"/>
        </w:rPr>
        <w:t>(</w:t>
      </w:r>
      <w:r>
        <w:rPr/>
        <w:t>注：报告期秦皇岛茂业商厦经营管理有限公司更名为秦皇岛茂业控股有限公司</w:t>
      </w:r>
      <w:r>
        <w:rPr>
          <w:rFonts w:ascii="宋体" w:hAnsi="宋体" w:cs="宋体" w:eastAsia="宋体" w:hint="default"/>
        </w:rPr>
        <w:t>)</w:t>
      </w:r>
    </w:p>
    <w:p>
      <w:pPr>
        <w:pStyle w:val="BodyText"/>
        <w:spacing w:line="240" w:lineRule="auto" w:before="70"/>
        <w:ind w:left="0" w:right="1202"/>
        <w:jc w:val="righ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6"/>
        </w:rPr>
        <w:t> </w:t>
      </w:r>
      <w:r>
        <w:rPr/>
        <w:t>年重组收购的标的资产创世漫道盈利预测实现情况</w:t>
      </w:r>
      <w:r>
        <w:rPr>
          <w:rFonts w:ascii="宋体" w:hAnsi="宋体" w:cs="宋体" w:eastAsia="宋体" w:hint="default"/>
        </w:rPr>
        <w:t>(</w:t>
      </w:r>
      <w:r>
        <w:rPr/>
        <w:t>实际业绩数为扣除非经常性损益后的</w:t>
      </w:r>
      <w:r>
        <w:rPr>
          <w:rFonts w:ascii="宋体" w:hAnsi="宋体" w:cs="宋体" w:eastAsia="宋体" w:hint="default"/>
        </w:rPr>
        <w:t>)</w:t>
      </w:r>
    </w:p>
    <w:p>
      <w:pPr>
        <w:spacing w:line="240" w:lineRule="auto" w:before="5"/>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270"/>
        <w:gridCol w:w="1559"/>
        <w:gridCol w:w="993"/>
        <w:gridCol w:w="2978"/>
        <w:gridCol w:w="566"/>
        <w:gridCol w:w="1560"/>
      </w:tblGrid>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盈利预测资产名称</w:t>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北京创世漫道科技有限公司</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6,059.55</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92" w:right="0"/>
              <w:jc w:val="left"/>
              <w:rPr>
                <w:rFonts w:ascii="宋体" w:hAnsi="宋体" w:cs="宋体" w:eastAsia="宋体" w:hint="default"/>
                <w:sz w:val="18"/>
                <w:szCs w:val="18"/>
              </w:rPr>
            </w:pPr>
            <w:r>
              <w:rPr>
                <w:rFonts w:ascii="宋体"/>
                <w:sz w:val="18"/>
              </w:rPr>
              <w:t>6,209.25</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7,338.22</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9,009.28</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6,059.55</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年度期末实际业绩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92" w:right="0"/>
              <w:jc w:val="left"/>
              <w:rPr>
                <w:rFonts w:ascii="宋体" w:hAnsi="宋体" w:cs="宋体" w:eastAsia="宋体" w:hint="default"/>
                <w:sz w:val="18"/>
                <w:szCs w:val="18"/>
              </w:rPr>
            </w:pPr>
            <w:r>
              <w:rPr>
                <w:rFonts w:ascii="宋体"/>
                <w:sz w:val="18"/>
              </w:rPr>
              <w:t>6,209.25</w:t>
            </w:r>
          </w:p>
        </w:tc>
      </w:tr>
      <w:tr>
        <w:trPr>
          <w:trHeight w:val="29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13"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477" w:hRule="exact"/>
        </w:trPr>
        <w:tc>
          <w:tcPr>
            <w:tcW w:w="2270" w:type="dxa"/>
            <w:vMerge/>
            <w:tcBorders>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茂业物流：发行股份及支付现金购买资产并向特定对象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募集配套资金报告书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r>
              <w:rPr>
                <w:rFonts w:ascii="宋体" w:hAnsi="宋体" w:cs="宋体" w:eastAsia="宋体" w:hint="default"/>
                <w:sz w:val="18"/>
                <w:szCs w:val="18"/>
              </w:rPr>
              <w:t>摘要</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2014-55)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6" w:right="0"/>
              <w:jc w:val="left"/>
              <w:rPr>
                <w:rFonts w:ascii="宋体" w:hAnsi="宋体" w:cs="宋体" w:eastAsia="宋体" w:hint="default"/>
                <w:sz w:val="21"/>
                <w:szCs w:val="21"/>
              </w:rPr>
            </w:pPr>
            <w:r>
              <w:rPr>
                <w:rFonts w:ascii="宋体"/>
                <w:sz w:val="21"/>
              </w:rPr>
              <w:t>2014-08-23</w:t>
            </w:r>
          </w:p>
        </w:tc>
      </w:tr>
      <w:tr>
        <w:trPr>
          <w:trHeight w:val="478" w:hRule="exact"/>
        </w:trPr>
        <w:tc>
          <w:tcPr>
            <w:tcW w:w="227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pacing w:val="-90"/>
                <w:sz w:val="18"/>
                <w:szCs w:val="18"/>
              </w:rPr>
              <w:t>：</w:t>
            </w:r>
            <w:r>
              <w:rPr>
                <w:rFonts w:ascii="宋体" w:hAnsi="宋体" w:cs="宋体" w:eastAsia="宋体" w:hint="default"/>
                <w:sz w:val="18"/>
                <w:szCs w:val="18"/>
              </w:rPr>
              <w:t>关于重大资产重组相关方承诺事项的公告</w:t>
            </w:r>
            <w:r>
              <w:rPr>
                <w:rFonts w:ascii="宋体" w:hAnsi="宋体" w:cs="宋体" w:eastAsia="宋体" w:hint="default"/>
                <w:sz w:val="18"/>
                <w:szCs w:val="18"/>
              </w:rPr>
              <w:t>(</w:t>
            </w:r>
            <w:r>
              <w:rPr>
                <w:rFonts w:ascii="宋体" w:hAnsi="宋体" w:cs="宋体" w:eastAsia="宋体" w:hint="default"/>
                <w:sz w:val="18"/>
                <w:szCs w:val="18"/>
              </w:rPr>
              <w:t>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46"/>
                <w:sz w:val="18"/>
                <w:szCs w:val="18"/>
              </w:rPr>
              <w:t> </w:t>
            </w:r>
            <w:r>
              <w:rPr>
                <w:rFonts w:ascii="宋体" w:hAnsi="宋体" w:cs="宋体" w:eastAsia="宋体" w:hint="default"/>
                <w:sz w:val="18"/>
                <w:szCs w:val="18"/>
              </w:rPr>
              <w:t>2014-74)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6" w:right="0"/>
              <w:jc w:val="left"/>
              <w:rPr>
                <w:rFonts w:ascii="宋体" w:hAnsi="宋体" w:cs="宋体" w:eastAsia="宋体" w:hint="default"/>
                <w:sz w:val="21"/>
                <w:szCs w:val="21"/>
              </w:rPr>
            </w:pPr>
            <w:r>
              <w:rPr>
                <w:rFonts w:ascii="宋体"/>
                <w:sz w:val="21"/>
              </w:rPr>
              <w:t>2014-12-18</w:t>
            </w:r>
          </w:p>
        </w:tc>
      </w:tr>
    </w:tbl>
    <w:p>
      <w:pPr>
        <w:spacing w:after="0" w:line="240" w:lineRule="auto"/>
        <w:jc w:val="left"/>
        <w:rPr>
          <w:rFonts w:ascii="宋体" w:hAnsi="宋体" w:cs="宋体" w:eastAsia="宋体" w:hint="default"/>
          <w:sz w:val="21"/>
          <w:szCs w:val="21"/>
        </w:rPr>
        <w:sectPr>
          <w:footerReference w:type="default" r:id="rId22"/>
          <w:pgSz w:w="11910" w:h="16840"/>
          <w:pgMar w:footer="1219" w:header="883" w:top="1140" w:bottom="1400" w:left="900" w:right="0"/>
          <w:pgNumType w:start="31"/>
        </w:sectPr>
      </w:pPr>
    </w:p>
    <w:p>
      <w:pPr>
        <w:spacing w:line="240" w:lineRule="auto" w:before="9"/>
        <w:rPr>
          <w:rFonts w:ascii="宋体" w:hAnsi="宋体" w:cs="宋体" w:eastAsia="宋体" w:hint="default"/>
          <w:sz w:val="17"/>
          <w:szCs w:val="17"/>
        </w:rPr>
      </w:pPr>
    </w:p>
    <w:p>
      <w:pPr>
        <w:pStyle w:val="BodyText"/>
        <w:spacing w:line="273" w:lineRule="auto" w:before="35"/>
        <w:ind w:right="1188" w:firstLine="420"/>
        <w:jc w:val="both"/>
      </w:pPr>
      <w:r>
        <w:rPr>
          <w:rFonts w:ascii="宋体" w:hAnsi="宋体" w:cs="宋体" w:eastAsia="宋体" w:hint="default"/>
        </w:rPr>
        <w:t>2014</w:t>
      </w:r>
      <w:r>
        <w:rPr>
          <w:rFonts w:ascii="宋体" w:hAnsi="宋体" w:cs="宋体" w:eastAsia="宋体" w:hint="default"/>
          <w:spacing w:val="-41"/>
        </w:rPr>
        <w:t> </w:t>
      </w:r>
      <w:r>
        <w:rPr/>
        <w:t>年重组交易对手方鹰溪谷、博升优势承诺</w:t>
      </w:r>
      <w:r>
        <w:rPr>
          <w:rFonts w:ascii="宋体" w:hAnsi="宋体" w:cs="宋体" w:eastAsia="宋体" w:hint="default"/>
        </w:rPr>
        <w:t>(</w:t>
      </w:r>
      <w:r>
        <w:rPr/>
        <w:t>详见本报告本章第四节“一、承诺及履行情况”的 相关内容</w:t>
      </w:r>
      <w:r>
        <w:rPr>
          <w:rFonts w:ascii="宋体" w:hAnsi="宋体" w:cs="宋体" w:eastAsia="宋体" w:hint="default"/>
        </w:rPr>
        <w:t>)</w:t>
      </w:r>
      <w:r>
        <w:rPr/>
        <w:t>：创世漫道</w:t>
      </w:r>
      <w:r>
        <w:rPr>
          <w:spacing w:val="-38"/>
        </w:rPr>
        <w:t> </w:t>
      </w:r>
      <w:r>
        <w:rPr>
          <w:rFonts w:ascii="宋体" w:hAnsi="宋体" w:cs="宋体" w:eastAsia="宋体" w:hint="default"/>
        </w:rPr>
        <w:t>2014</w:t>
      </w:r>
      <w:r>
        <w:rPr>
          <w:rFonts w:ascii="宋体" w:hAnsi="宋体" w:cs="宋体" w:eastAsia="宋体" w:hint="default"/>
          <w:spacing w:val="-38"/>
        </w:rPr>
        <w:t> </w:t>
      </w:r>
      <w:r>
        <w:rPr/>
        <w:t>年度、</w:t>
      </w:r>
      <w:r>
        <w:rPr>
          <w:rFonts w:ascii="宋体" w:hAnsi="宋体" w:cs="宋体" w:eastAsia="宋体" w:hint="default"/>
        </w:rPr>
        <w:t>2015</w:t>
      </w:r>
      <w:r>
        <w:rPr>
          <w:rFonts w:ascii="宋体" w:hAnsi="宋体" w:cs="宋体" w:eastAsia="宋体" w:hint="default"/>
          <w:spacing w:val="-38"/>
        </w:rPr>
        <w:t> </w:t>
      </w:r>
      <w:r>
        <w:rPr/>
        <w:t>年度、</w:t>
      </w:r>
      <w:r>
        <w:rPr>
          <w:rFonts w:ascii="宋体" w:hAnsi="宋体" w:cs="宋体" w:eastAsia="宋体" w:hint="default"/>
        </w:rPr>
        <w:t>2016</w:t>
      </w:r>
      <w:r>
        <w:rPr>
          <w:rFonts w:ascii="宋体" w:hAnsi="宋体" w:cs="宋体" w:eastAsia="宋体" w:hint="default"/>
          <w:spacing w:val="-37"/>
        </w:rPr>
        <w:t> </w:t>
      </w:r>
      <w:r>
        <w:rPr/>
        <w:t>年度对应的经审计的扣除非经常性损益后的净利润 分别不低于</w:t>
      </w:r>
      <w:r>
        <w:rPr>
          <w:spacing w:val="-53"/>
        </w:rPr>
        <w:t> </w:t>
      </w:r>
      <w:r>
        <w:rPr>
          <w:rFonts w:ascii="宋体" w:hAnsi="宋体" w:cs="宋体" w:eastAsia="宋体" w:hint="default"/>
        </w:rPr>
        <w:t>6,059.55</w:t>
      </w:r>
      <w:r>
        <w:rPr>
          <w:rFonts w:ascii="宋体" w:hAnsi="宋体" w:cs="宋体" w:eastAsia="宋体" w:hint="default"/>
          <w:spacing w:val="-54"/>
        </w:rPr>
        <w:t> </w:t>
      </w:r>
      <w:r>
        <w:rPr/>
        <w:t>万元、</w:t>
      </w:r>
      <w:r>
        <w:rPr>
          <w:rFonts w:ascii="宋体" w:hAnsi="宋体" w:cs="宋体" w:eastAsia="宋体" w:hint="default"/>
        </w:rPr>
        <w:t>7,338.22</w:t>
      </w:r>
      <w:r>
        <w:rPr>
          <w:rFonts w:ascii="宋体" w:hAnsi="宋体" w:cs="宋体" w:eastAsia="宋体" w:hint="default"/>
          <w:spacing w:val="-54"/>
        </w:rPr>
        <w:t> </w:t>
      </w:r>
      <w:r>
        <w:rPr/>
        <w:t>万元、</w:t>
      </w:r>
      <w:r>
        <w:rPr>
          <w:rFonts w:ascii="宋体" w:hAnsi="宋体" w:cs="宋体" w:eastAsia="宋体" w:hint="default"/>
        </w:rPr>
        <w:t>9,009.28</w:t>
      </w:r>
      <w:r>
        <w:rPr>
          <w:rFonts w:ascii="宋体" w:hAnsi="宋体" w:cs="宋体" w:eastAsia="宋体" w:hint="default"/>
          <w:spacing w:val="-54"/>
        </w:rPr>
        <w:t> </w:t>
      </w:r>
      <w:r>
        <w:rPr/>
        <w:t>万元。</w:t>
      </w:r>
    </w:p>
    <w:p>
      <w:pPr>
        <w:pStyle w:val="BodyText"/>
        <w:spacing w:line="273" w:lineRule="auto"/>
        <w:ind w:right="1182" w:firstLine="420"/>
        <w:jc w:val="both"/>
      </w:pPr>
      <w:r>
        <w:rPr>
          <w:spacing w:val="3"/>
        </w:rPr>
        <w:t>根据公司聘请的具有证券业务资格的会计师事务所华普天健出具的</w:t>
      </w:r>
      <w:r>
        <w:rPr>
          <w:rFonts w:ascii="宋体" w:hAnsi="宋体" w:cs="宋体" w:eastAsia="宋体" w:hint="default"/>
          <w:spacing w:val="3"/>
        </w:rPr>
        <w:t>(</w:t>
      </w:r>
      <w:r>
        <w:rPr>
          <w:spacing w:val="3"/>
        </w:rPr>
        <w:t>茂业物流股份有限公司</w:t>
      </w:r>
      <w:r>
        <w:rPr>
          <w:rFonts w:ascii="宋体" w:hAnsi="宋体" w:cs="宋体" w:eastAsia="宋体" w:hint="default"/>
          <w:spacing w:val="3"/>
        </w:rPr>
        <w:t>)</w:t>
      </w:r>
      <w:r>
        <w:rPr>
          <w:spacing w:val="3"/>
        </w:rPr>
        <w:t>会专</w:t>
      </w:r>
      <w:r>
        <w:rPr>
          <w:spacing w:val="4"/>
        </w:rPr>
        <w:t> </w:t>
      </w:r>
      <w:r>
        <w:rPr/>
        <w:t>字</w:t>
      </w:r>
      <w:r>
        <w:rPr>
          <w:rFonts w:ascii="宋体" w:hAnsi="宋体" w:cs="宋体" w:eastAsia="宋体" w:hint="default"/>
        </w:rPr>
        <w:t>[2015]0355</w:t>
      </w:r>
      <w:r>
        <w:rPr>
          <w:rFonts w:ascii="宋体" w:hAnsi="宋体" w:cs="宋体" w:eastAsia="宋体" w:hint="default"/>
          <w:spacing w:val="-39"/>
        </w:rPr>
        <w:t> </w:t>
      </w:r>
      <w:r>
        <w:rPr>
          <w:spacing w:val="-5"/>
        </w:rPr>
        <w:t>号《重大资产重组之标的资产业绩承诺实现情况说明专向审核报告》，</w:t>
      </w:r>
      <w:r>
        <w:rPr>
          <w:rFonts w:ascii="宋体" w:hAnsi="宋体" w:cs="宋体" w:eastAsia="宋体" w:hint="default"/>
          <w:spacing w:val="-5"/>
        </w:rPr>
        <w:t>2014</w:t>
      </w:r>
      <w:r>
        <w:rPr>
          <w:rFonts w:ascii="宋体" w:hAnsi="宋体" w:cs="宋体" w:eastAsia="宋体" w:hint="default"/>
          <w:spacing w:val="-37"/>
        </w:rPr>
        <w:t> </w:t>
      </w:r>
      <w:r>
        <w:rPr>
          <w:spacing w:val="-1"/>
        </w:rPr>
        <w:t>年创世漫道扣</w:t>
      </w:r>
      <w:r>
        <w:rPr>
          <w:spacing w:val="-101"/>
        </w:rPr>
        <w:t> </w:t>
      </w:r>
      <w:r>
        <w:rPr>
          <w:spacing w:val="-101"/>
        </w:rPr>
      </w:r>
      <w:r>
        <w:rPr/>
        <w:t>除非经常性损益后的实际净利润为</w:t>
      </w:r>
      <w:r>
        <w:rPr>
          <w:spacing w:val="-51"/>
        </w:rPr>
        <w:t> </w:t>
      </w:r>
      <w:r>
        <w:rPr>
          <w:rFonts w:ascii="宋体" w:hAnsi="宋体" w:cs="宋体" w:eastAsia="宋体" w:hint="default"/>
        </w:rPr>
        <w:t>6,209.25</w:t>
      </w:r>
      <w:r>
        <w:rPr>
          <w:rFonts w:ascii="宋体" w:hAnsi="宋体" w:cs="宋体" w:eastAsia="宋体" w:hint="default"/>
          <w:spacing w:val="-51"/>
        </w:rPr>
        <w:t> </w:t>
      </w:r>
      <w:r>
        <w:rPr/>
        <w:t>万元高于盈利预测数</w:t>
      </w:r>
      <w:r>
        <w:rPr>
          <w:spacing w:val="-52"/>
        </w:rPr>
        <w:t> </w:t>
      </w:r>
      <w:r>
        <w:rPr>
          <w:rFonts w:ascii="宋体" w:hAnsi="宋体" w:cs="宋体" w:eastAsia="宋体" w:hint="default"/>
        </w:rPr>
        <w:t>6,059.55</w:t>
      </w:r>
      <w:r>
        <w:rPr>
          <w:rFonts w:ascii="宋体" w:hAnsi="宋体" w:cs="宋体" w:eastAsia="宋体" w:hint="default"/>
          <w:spacing w:val="-51"/>
        </w:rPr>
        <w:t> </w:t>
      </w:r>
      <w:r>
        <w:rPr>
          <w:spacing w:val="-4"/>
        </w:rPr>
        <w:t>万元，没有触发约定的应履</w:t>
      </w:r>
      <w:r>
        <w:rPr/>
        <w:t> 行承诺条款，鹰溪谷、博升优势不予以股份、现金补偿。</w:t>
      </w:r>
    </w:p>
    <w:p>
      <w:pPr>
        <w:pStyle w:val="BodyText"/>
        <w:spacing w:line="326" w:lineRule="auto" w:before="163"/>
        <w:ind w:left="824" w:right="5962"/>
        <w:jc w:val="left"/>
      </w:pPr>
      <w:r>
        <w:rPr/>
        <w:pict>
          <v:shape style="position:absolute;margin-left:50.759998pt;margin-top:43.213676pt;width:497pt;height:88.7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6805"/>
                  </w:tblGrid>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会计师事务所报酬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报告期内支付公司年度审计费</w:t>
                        </w:r>
                        <w:r>
                          <w:rPr>
                            <w:rFonts w:ascii="宋体" w:hAnsi="宋体" w:cs="宋体" w:eastAsia="宋体" w:hint="default"/>
                            <w:spacing w:val="-46"/>
                            <w:sz w:val="18"/>
                            <w:szCs w:val="18"/>
                          </w:rPr>
                          <w:t> </w:t>
                        </w:r>
                        <w:r>
                          <w:rPr>
                            <w:rFonts w:ascii="宋体" w:hAnsi="宋体" w:cs="宋体" w:eastAsia="宋体" w:hint="default"/>
                            <w:sz w:val="18"/>
                            <w:szCs w:val="18"/>
                          </w:rPr>
                          <w:t>76</w:t>
                        </w:r>
                        <w:r>
                          <w:rPr>
                            <w:rFonts w:ascii="宋体" w:hAnsi="宋体" w:cs="宋体" w:eastAsia="宋体" w:hint="default"/>
                            <w:spacing w:val="-46"/>
                            <w:sz w:val="18"/>
                            <w:szCs w:val="18"/>
                          </w:rPr>
                          <w:t> </w:t>
                        </w:r>
                        <w:r>
                          <w:rPr>
                            <w:rFonts w:ascii="宋体" w:hAnsi="宋体" w:cs="宋体" w:eastAsia="宋体" w:hint="default"/>
                            <w:sz w:val="18"/>
                            <w:szCs w:val="18"/>
                          </w:rPr>
                          <w:t>万元、重组审计费用</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会计师事务所审计服务的连续年限</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聘任的会计师事务所已为公司提供了连续十二个完整会计年度财务报告的审计服务</w:t>
                        </w:r>
                      </w:p>
                    </w:tc>
                  </w:tr>
                  <w:tr>
                    <w:trPr>
                      <w:trHeight w:val="47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会计师事务所注册会计师姓名</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王青、聂捷慧</w:t>
                        </w:r>
                        <w:r>
                          <w:rPr>
                            <w:rFonts w:ascii="宋体" w:hAnsi="宋体" w:cs="宋体" w:eastAsia="宋体" w:hint="default"/>
                            <w:spacing w:val="-3"/>
                            <w:sz w:val="18"/>
                            <w:szCs w:val="18"/>
                          </w:rPr>
                          <w:t>(</w:t>
                        </w:r>
                        <w:r>
                          <w:rPr>
                            <w:rFonts w:ascii="宋体" w:hAnsi="宋体" w:cs="宋体" w:eastAsia="宋体" w:hint="default"/>
                            <w:spacing w:val="-3"/>
                            <w:sz w:val="18"/>
                            <w:szCs w:val="18"/>
                          </w:rPr>
                          <w:t>女</w:t>
                        </w:r>
                        <w:r>
                          <w:rPr>
                            <w:rFonts w:ascii="宋体" w:hAnsi="宋体" w:cs="宋体" w:eastAsia="宋体" w:hint="default"/>
                            <w:spacing w:val="-3"/>
                            <w:sz w:val="18"/>
                            <w:szCs w:val="18"/>
                          </w:rPr>
                          <w:t>)</w:t>
                        </w:r>
                        <w:r>
                          <w:rPr>
                            <w:rFonts w:ascii="宋体" w:hAnsi="宋体" w:cs="宋体" w:eastAsia="宋体" w:hint="default"/>
                            <w:spacing w:val="-3"/>
                            <w:sz w:val="18"/>
                            <w:szCs w:val="18"/>
                          </w:rPr>
                          <w:t>，王青为第一年提供审计服务，聂捷慧为间隔</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z w:val="18"/>
                            <w:szCs w:val="18"/>
                          </w:rPr>
                          <w:t>年后连续第三年提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供审计服务。</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报告期公司没有改聘或在审计期间改聘会计师事务所</w:t>
                        </w:r>
                      </w:p>
                    </w:tc>
                  </w:tr>
                </w:tbl>
                <w:p>
                  <w:pPr/>
                </w:p>
              </w:txbxContent>
            </v:textbox>
            <w10:wrap type="none"/>
          </v:shape>
        </w:pict>
      </w:r>
      <w:r>
        <w:rPr/>
        <w:t>二、公司聘任会计师事务所、保荐机构情况。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公司聘任会计师事务所情况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auto" w:before="35"/>
        <w:ind w:right="1187" w:firstLine="42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0"/>
        </w:rPr>
        <w:t> </w:t>
      </w:r>
      <w:r>
        <w:rPr/>
        <w:t>报告期公司聘请年审会计师事务所中兴华为内部控制审计会计师事务所，支付内控审计费用 </w:t>
      </w:r>
      <w:r>
        <w:rPr>
          <w:rFonts w:ascii="宋体" w:hAnsi="宋体" w:cs="宋体" w:eastAsia="宋体" w:hint="default"/>
        </w:rPr>
        <w:t>30</w:t>
      </w:r>
      <w:r>
        <w:rPr>
          <w:rFonts w:ascii="宋体" w:hAnsi="宋体" w:cs="宋体" w:eastAsia="宋体" w:hint="default"/>
          <w:spacing w:val="-54"/>
        </w:rPr>
        <w:t> </w:t>
      </w:r>
      <w:r>
        <w:rPr/>
        <w:t>万元。中兴华出具的公司内控审计报告与本报告同日刊载于巨潮资讯网。</w:t>
      </w:r>
    </w:p>
    <w:p>
      <w:pPr>
        <w:pStyle w:val="BodyText"/>
        <w:spacing w:line="271" w:lineRule="auto" w:before="70"/>
        <w:ind w:right="1184" w:firstLine="42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3"/>
        </w:rPr>
        <w:t> </w:t>
      </w:r>
      <w:r>
        <w:rPr/>
        <w:t>本年度，公司因重大资产重组事项，聘请西南证券为发行股份及支付现金购买资产的财务顾 问，公司向西南证券支付承销佣金</w:t>
      </w:r>
      <w:r>
        <w:rPr>
          <w:spacing w:val="-53"/>
        </w:rPr>
        <w:t> </w:t>
      </w:r>
      <w:r>
        <w:rPr>
          <w:rFonts w:ascii="宋体" w:hAnsi="宋体" w:cs="宋体" w:eastAsia="宋体" w:hint="default"/>
        </w:rPr>
        <w:t>1,197.55</w:t>
      </w:r>
      <w:r>
        <w:rPr>
          <w:rFonts w:ascii="宋体" w:hAnsi="宋体" w:cs="宋体" w:eastAsia="宋体" w:hint="default"/>
          <w:spacing w:val="-53"/>
        </w:rPr>
        <w:t> </w:t>
      </w:r>
      <w:r>
        <w:rPr/>
        <w:t>万元。</w:t>
      </w:r>
    </w:p>
    <w:p>
      <w:pPr>
        <w:pStyle w:val="BodyText"/>
        <w:spacing w:line="273" w:lineRule="auto" w:before="166"/>
        <w:ind w:left="824" w:right="5962"/>
        <w:jc w:val="left"/>
      </w:pPr>
      <w:r>
        <w:rPr/>
        <w:t>三、其他 公司报告期不存在需要说明的其他重大事项。</w:t>
      </w:r>
    </w:p>
    <w:p>
      <w:pPr>
        <w:pStyle w:val="BodyText"/>
        <w:spacing w:line="273" w:lineRule="auto" w:before="163"/>
        <w:ind w:left="824" w:right="418"/>
        <w:jc w:val="left"/>
      </w:pPr>
      <w:r>
        <w:rPr/>
        <w:t>四、公司子公司重要事项 为了经营好开发建设完工的自有酒店，公司间接控股公司滁州茂业与温德姆酒店亚太有限公司</w:t>
      </w:r>
      <w:r>
        <w:rPr>
          <w:rFonts w:ascii="宋体" w:hAnsi="宋体" w:cs="宋体" w:eastAsia="宋体" w:hint="default"/>
        </w:rPr>
        <w:t>(</w:t>
      </w:r>
      <w:r>
        <w:rPr/>
        <w:t>简</w:t>
      </w:r>
    </w:p>
    <w:p>
      <w:pPr>
        <w:pStyle w:val="BodyText"/>
        <w:spacing w:line="273" w:lineRule="auto"/>
        <w:ind w:right="1097"/>
        <w:jc w:val="both"/>
      </w:pPr>
      <w:r>
        <w:rPr>
          <w:spacing w:val="-2"/>
        </w:rPr>
        <w:t>称温德姆</w:t>
      </w:r>
      <w:r>
        <w:rPr>
          <w:rFonts w:ascii="宋体" w:hAnsi="宋体" w:cs="宋体" w:eastAsia="宋体" w:hint="default"/>
          <w:spacing w:val="-2"/>
        </w:rPr>
        <w:t>)</w:t>
      </w:r>
      <w:r>
        <w:rPr>
          <w:spacing w:val="-2"/>
        </w:rPr>
        <w:t>协商一致，于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2"/>
        </w:rPr>
        <w:t> </w:t>
      </w:r>
      <w:r>
        <w:rPr>
          <w:rFonts w:ascii="宋体" w:hAnsi="宋体" w:cs="宋体" w:eastAsia="宋体" w:hint="default"/>
        </w:rPr>
        <w:t>11</w:t>
      </w:r>
      <w:r>
        <w:rPr>
          <w:rFonts w:ascii="宋体" w:hAnsi="宋体" w:cs="宋体" w:eastAsia="宋体" w:hint="default"/>
          <w:spacing w:val="-50"/>
        </w:rPr>
        <w:t> </w:t>
      </w:r>
      <w:r>
        <w:rPr>
          <w:spacing w:val="-9"/>
        </w:rPr>
        <w:t>日签署《有关华美达广场的许可和使用费合同》、《有关华美达</w:t>
      </w:r>
      <w:r>
        <w:rPr>
          <w:spacing w:val="-101"/>
        </w:rPr>
        <w:t> </w:t>
      </w:r>
      <w:r>
        <w:rPr>
          <w:spacing w:val="-101"/>
        </w:rPr>
      </w:r>
      <w:r>
        <w:rPr/>
        <w:t>广场的商标许可使用合同》和《有关华美达广场的国际服务合同》等文件，温德姆同意滁州茂业自行开</w:t>
      </w:r>
      <w:r>
        <w:rPr/>
        <w:t> </w:t>
      </w:r>
      <w:r>
        <w:rPr>
          <w:spacing w:val="-4"/>
        </w:rPr>
        <w:t>发经营的酒店冠名“华美达广场酒店”，酒店商标许可和使用期限自酒店开业日始至满</w:t>
      </w:r>
      <w:r>
        <w:rPr>
          <w:spacing w:val="-47"/>
        </w:rPr>
        <w:t> </w:t>
      </w:r>
      <w:r>
        <w:rPr>
          <w:rFonts w:ascii="宋体" w:hAnsi="宋体" w:cs="宋体" w:eastAsia="宋体" w:hint="default"/>
          <w:spacing w:val="-1"/>
        </w:rPr>
        <w:t>15</w:t>
      </w:r>
      <w:r>
        <w:rPr>
          <w:rFonts w:ascii="宋体" w:hAnsi="宋体" w:cs="宋体" w:eastAsia="宋体" w:hint="default"/>
          <w:spacing w:val="-47"/>
        </w:rPr>
        <w:t> </w:t>
      </w:r>
      <w:r>
        <w:rPr>
          <w:spacing w:val="-3"/>
        </w:rPr>
        <w:t>个年度止。期</w:t>
      </w:r>
      <w:r>
        <w:rPr>
          <w:spacing w:val="-95"/>
        </w:rPr>
        <w:t> </w:t>
      </w:r>
      <w:r>
        <w:rPr>
          <w:spacing w:val="-95"/>
        </w:rPr>
      </w:r>
      <w:r>
        <w:rPr/>
        <w:t>间特许费用前三个年度按酒店总客房收入的 </w:t>
      </w:r>
      <w:r>
        <w:rPr>
          <w:rFonts w:ascii="宋体" w:hAnsi="宋体" w:cs="宋体" w:eastAsia="宋体" w:hint="default"/>
        </w:rPr>
        <w:t>2.5%</w:t>
      </w:r>
      <w:r>
        <w:rPr/>
        <w:t>、后十二个年度按酒店总客房收入的</w:t>
      </w:r>
      <w:r>
        <w:rPr>
          <w:spacing w:val="-41"/>
        </w:rPr>
        <w:t> </w:t>
      </w:r>
      <w:r>
        <w:rPr>
          <w:rFonts w:ascii="宋体" w:hAnsi="宋体" w:cs="宋体" w:eastAsia="宋体" w:hint="default"/>
        </w:rPr>
        <w:t>3%</w:t>
      </w:r>
      <w:r>
        <w:rPr/>
        <w:t>计算，预计支 付总额约</w:t>
      </w:r>
      <w:r>
        <w:rPr>
          <w:spacing w:val="-53"/>
        </w:rPr>
        <w:t> </w:t>
      </w:r>
      <w:r>
        <w:rPr>
          <w:rFonts w:ascii="宋体" w:hAnsi="宋体" w:cs="宋体" w:eastAsia="宋体" w:hint="default"/>
        </w:rPr>
        <w:t>1,453.03</w:t>
      </w:r>
      <w:r>
        <w:rPr>
          <w:rFonts w:ascii="宋体" w:hAnsi="宋体" w:cs="宋体" w:eastAsia="宋体" w:hint="default"/>
          <w:spacing w:val="-54"/>
        </w:rPr>
        <w:t> </w:t>
      </w:r>
      <w:r>
        <w:rPr/>
        <w:t>万元；期间服务评估费按酒店客房总收入的</w:t>
      </w:r>
      <w:r>
        <w:rPr>
          <w:spacing w:val="-53"/>
        </w:rPr>
        <w:t> </w:t>
      </w:r>
      <w:r>
        <w:rPr>
          <w:rFonts w:ascii="宋体" w:hAnsi="宋体" w:cs="宋体" w:eastAsia="宋体" w:hint="default"/>
        </w:rPr>
        <w:t>2%</w:t>
      </w:r>
      <w:r>
        <w:rPr/>
        <w:t>计算，预计支付总额约</w:t>
      </w:r>
      <w:r>
        <w:rPr>
          <w:spacing w:val="-53"/>
        </w:rPr>
        <w:t> </w:t>
      </w:r>
      <w:r>
        <w:rPr>
          <w:rFonts w:ascii="宋体" w:hAnsi="宋体" w:cs="宋体" w:eastAsia="宋体" w:hint="default"/>
        </w:rPr>
        <w:t>984.49</w:t>
      </w:r>
      <w:r>
        <w:rPr>
          <w:rFonts w:ascii="宋体" w:hAnsi="宋体" w:cs="宋体" w:eastAsia="宋体" w:hint="default"/>
          <w:spacing w:val="-55"/>
        </w:rPr>
        <w:t> </w:t>
      </w:r>
      <w:r>
        <w:rPr/>
        <w:t>万元；</w:t>
      </w:r>
    </w:p>
    <w:p>
      <w:pPr>
        <w:pStyle w:val="BodyText"/>
        <w:spacing w:line="240" w:lineRule="auto"/>
        <w:ind w:right="0"/>
        <w:jc w:val="both"/>
      </w:pPr>
      <w:r>
        <w:rPr/>
        <w:t>期间特许费、服务评估费合计约 </w:t>
      </w:r>
      <w:r>
        <w:rPr>
          <w:rFonts w:ascii="宋体" w:hAnsi="宋体" w:cs="宋体" w:eastAsia="宋体" w:hint="default"/>
        </w:rPr>
        <w:t>2,437.52</w:t>
      </w:r>
      <w:r>
        <w:rPr>
          <w:rFonts w:ascii="宋体" w:hAnsi="宋体" w:cs="宋体" w:eastAsia="宋体" w:hint="default"/>
          <w:spacing w:val="-41"/>
        </w:rPr>
        <w:t> </w:t>
      </w:r>
      <w:r>
        <w:rPr/>
        <w:t>万元。上述费用由滁州茂业按月以现金方式支付给温德姆。</w:t>
      </w:r>
    </w:p>
    <w:p>
      <w:pPr>
        <w:pStyle w:val="BodyText"/>
        <w:spacing w:line="273" w:lineRule="auto" w:before="37"/>
        <w:ind w:right="1187"/>
        <w:jc w:val="both"/>
      </w:pPr>
      <w:r>
        <w:rPr/>
        <w:t>有关内容可查阅</w:t>
      </w:r>
      <w:r>
        <w:rPr>
          <w:spacing w:val="-41"/>
        </w:rPr>
        <w:t> </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w:t>
      </w:r>
      <w:r>
        <w:rPr>
          <w:spacing w:val="-43"/>
        </w:rPr>
        <w:t> </w:t>
      </w:r>
      <w:r>
        <w:rPr>
          <w:rFonts w:ascii="宋体" w:hAnsi="宋体" w:cs="宋体" w:eastAsia="宋体" w:hint="default"/>
        </w:rPr>
        <w:t>30</w:t>
      </w:r>
      <w:r>
        <w:rPr>
          <w:rFonts w:ascii="宋体" w:hAnsi="宋体" w:cs="宋体" w:eastAsia="宋体" w:hint="default"/>
          <w:spacing w:val="-42"/>
        </w:rPr>
        <w:t> </w:t>
      </w:r>
      <w:r>
        <w:rPr/>
        <w:t>日，刊载于巨潮资讯网的《公司关于间接控股公司滁州茂业签订酒店 商标使用许可合同的公告》</w:t>
      </w:r>
      <w:r>
        <w:rPr>
          <w:rFonts w:ascii="宋体" w:hAnsi="宋体" w:cs="宋体" w:eastAsia="宋体" w:hint="default"/>
        </w:rPr>
        <w:t>(</w:t>
      </w:r>
      <w:r>
        <w:rPr/>
        <w:t>公告编号：</w:t>
      </w:r>
      <w:r>
        <w:rPr>
          <w:rFonts w:ascii="宋体" w:hAnsi="宋体" w:cs="宋体" w:eastAsia="宋体" w:hint="default"/>
        </w:rPr>
        <w:t>2014</w:t>
      </w:r>
      <w:r>
        <w:rPr/>
        <w:t>—</w:t>
      </w:r>
      <w:r>
        <w:rPr>
          <w:rFonts w:ascii="宋体" w:hAnsi="宋体" w:cs="宋体" w:eastAsia="宋体" w:hint="default"/>
        </w:rPr>
        <w:t>79)</w:t>
      </w:r>
      <w:r>
        <w:rPr/>
        <w:t>。</w:t>
      </w:r>
    </w:p>
    <w:p>
      <w:pPr>
        <w:pStyle w:val="BodyText"/>
        <w:tabs>
          <w:tab w:pos="3764" w:val="left" w:leader="none"/>
          <w:tab w:pos="4710" w:val="left" w:leader="none"/>
        </w:tabs>
        <w:spacing w:line="240" w:lineRule="auto" w:before="163"/>
        <w:ind w:left="824" w:right="418"/>
        <w:jc w:val="left"/>
      </w:pPr>
      <w:r>
        <w:rPr/>
        <w:t>五、公司发行公司债券的情况</w:t>
        <w:tab/>
      </w:r>
      <w:r>
        <w:rPr>
          <w:rFonts w:ascii="Arial" w:hAnsi="Arial" w:cs="Arial" w:eastAsia="Arial" w:hint="default"/>
        </w:rPr>
        <w:t>□  </w:t>
      </w:r>
      <w:r>
        <w:rPr>
          <w:rFonts w:ascii="Arial" w:hAnsi="Arial" w:cs="Arial" w:eastAsia="Arial" w:hint="default"/>
          <w:spacing w:val="12"/>
        </w:rPr>
        <w:t> </w:t>
      </w:r>
      <w:r>
        <w:rPr/>
        <w:t>适用</w:t>
        <w:tab/>
        <w:t>√</w:t>
      </w:r>
      <w:r>
        <w:rPr>
          <w:spacing w:val="-3"/>
        </w:rPr>
        <w:t> </w:t>
      </w:r>
      <w:r>
        <w:rPr/>
        <w:t>不适用。</w:t>
      </w:r>
    </w:p>
    <w:p>
      <w:pPr>
        <w:spacing w:line="240" w:lineRule="auto" w:before="9"/>
        <w:rPr>
          <w:rFonts w:ascii="宋体" w:hAnsi="宋体" w:cs="宋体" w:eastAsia="宋体" w:hint="default"/>
          <w:sz w:val="30"/>
          <w:szCs w:val="30"/>
        </w:rPr>
      </w:pPr>
    </w:p>
    <w:p>
      <w:pPr>
        <w:pStyle w:val="Heading1"/>
        <w:spacing w:line="240" w:lineRule="auto"/>
        <w:ind w:right="785"/>
        <w:jc w:val="center"/>
        <w:rPr>
          <w:b w:val="0"/>
          <w:bCs w:val="0"/>
        </w:rPr>
      </w:pPr>
      <w:r>
        <w:rPr/>
        <w:t>第六章</w:t>
      </w:r>
      <w:r>
        <w:rPr>
          <w:spacing w:val="-10"/>
        </w:rPr>
        <w:t> </w:t>
      </w:r>
      <w:r>
        <w:rPr/>
        <w:t>股份变动及股东情况</w:t>
      </w:r>
      <w:r>
        <w:rPr>
          <w:b w:val="0"/>
          <w:bCs w:val="0"/>
        </w:rPr>
      </w:r>
    </w:p>
    <w:p>
      <w:pPr>
        <w:spacing w:line="240" w:lineRule="auto" w:before="5"/>
        <w:rPr>
          <w:rFonts w:ascii="宋体" w:hAnsi="宋体" w:cs="宋体" w:eastAsia="宋体" w:hint="default"/>
          <w:b/>
          <w:bCs/>
          <w:sz w:val="34"/>
          <w:szCs w:val="34"/>
        </w:rPr>
      </w:pPr>
    </w:p>
    <w:p>
      <w:pPr>
        <w:pStyle w:val="BodyText"/>
        <w:spacing w:line="240" w:lineRule="auto" w:before="0"/>
        <w:ind w:left="824" w:right="418"/>
        <w:jc w:val="left"/>
      </w:pPr>
      <w:r>
        <w:rPr/>
        <w:t>因 </w:t>
      </w:r>
      <w:r>
        <w:rPr>
          <w:rFonts w:ascii="宋体" w:hAnsi="宋体" w:cs="宋体" w:eastAsia="宋体" w:hint="default"/>
        </w:rPr>
        <w:t>2014</w:t>
      </w:r>
      <w:r>
        <w:rPr>
          <w:rFonts w:ascii="宋体" w:hAnsi="宋体" w:cs="宋体" w:eastAsia="宋体" w:hint="default"/>
          <w:spacing w:val="-41"/>
        </w:rPr>
        <w:t> </w:t>
      </w:r>
      <w:r>
        <w:rPr/>
        <w:t>年重组即：发行股份及支付现金购买资产并向特定对象募集配套资金，报告期内公司总股</w:t>
      </w:r>
    </w:p>
    <w:p>
      <w:pPr>
        <w:pStyle w:val="BodyText"/>
        <w:spacing w:line="240" w:lineRule="auto" w:before="37"/>
        <w:ind w:right="0"/>
        <w:jc w:val="both"/>
      </w:pPr>
      <w:r>
        <w:rPr/>
        <w:t>本发生变动，股本总数由期初的</w:t>
      </w:r>
      <w:r>
        <w:rPr>
          <w:spacing w:val="-63"/>
        </w:rPr>
        <w:t> </w:t>
      </w:r>
      <w:r>
        <w:rPr>
          <w:rFonts w:ascii="宋体" w:hAnsi="宋体" w:cs="宋体" w:eastAsia="宋体" w:hint="default"/>
        </w:rPr>
        <w:t>445,521,564</w:t>
      </w:r>
      <w:r>
        <w:rPr>
          <w:rFonts w:ascii="宋体" w:hAnsi="宋体" w:cs="宋体" w:eastAsia="宋体" w:hint="default"/>
          <w:spacing w:val="-63"/>
        </w:rPr>
        <w:t> </w:t>
      </w:r>
      <w:r>
        <w:rPr/>
        <w:t>股变为期末的</w:t>
      </w:r>
      <w:r>
        <w:rPr>
          <w:spacing w:val="-64"/>
        </w:rPr>
        <w:t> </w:t>
      </w:r>
      <w:r>
        <w:rPr>
          <w:rFonts w:ascii="宋体" w:hAnsi="宋体" w:cs="宋体" w:eastAsia="宋体" w:hint="default"/>
        </w:rPr>
        <w:t>621,826,786</w:t>
      </w:r>
      <w:r>
        <w:rPr>
          <w:rFonts w:ascii="宋体" w:hAnsi="宋体" w:cs="宋体" w:eastAsia="宋体" w:hint="default"/>
          <w:spacing w:val="-64"/>
        </w:rPr>
        <w:t> </w:t>
      </w:r>
      <w:r>
        <w:rPr/>
        <w:t>股；因报告期增加的上述股份</w:t>
      </w:r>
    </w:p>
    <w:p>
      <w:pPr>
        <w:pStyle w:val="BodyText"/>
        <w:spacing w:line="240" w:lineRule="auto" w:before="37"/>
        <w:ind w:right="0"/>
        <w:jc w:val="both"/>
      </w:pPr>
      <w:r>
        <w:rPr/>
        <w:t>自</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日上市之日起</w:t>
      </w:r>
      <w:r>
        <w:rPr>
          <w:spacing w:val="-54"/>
        </w:rPr>
        <w:t> </w:t>
      </w:r>
      <w:r>
        <w:rPr>
          <w:rFonts w:ascii="宋体" w:hAnsi="宋体" w:cs="宋体" w:eastAsia="宋体" w:hint="default"/>
        </w:rPr>
        <w:t>36</w:t>
      </w:r>
      <w:r>
        <w:rPr>
          <w:rFonts w:ascii="宋体" w:hAnsi="宋体" w:cs="宋体" w:eastAsia="宋体" w:hint="default"/>
          <w:spacing w:val="-54"/>
        </w:rPr>
        <w:t> </w:t>
      </w:r>
      <w:r>
        <w:rPr/>
        <w:t>个月内不转让，列入有限售条件股份，引起公司股份结构变动。</w:t>
      </w:r>
    </w:p>
    <w:p>
      <w:pPr>
        <w:pStyle w:val="BodyText"/>
        <w:spacing w:line="240" w:lineRule="auto" w:before="37"/>
        <w:ind w:left="824" w:right="418"/>
        <w:jc w:val="left"/>
      </w:pPr>
      <w:r>
        <w:rPr/>
        <w:t>因</w:t>
      </w:r>
      <w:r>
        <w:rPr>
          <w:spacing w:val="-54"/>
        </w:rPr>
        <w:t> </w:t>
      </w:r>
      <w:r>
        <w:rPr>
          <w:rFonts w:ascii="宋体" w:hAnsi="宋体" w:cs="宋体" w:eastAsia="宋体" w:hint="default"/>
        </w:rPr>
        <w:t>2014</w:t>
      </w:r>
      <w:r>
        <w:rPr>
          <w:rFonts w:ascii="宋体" w:hAnsi="宋体" w:cs="宋体" w:eastAsia="宋体" w:hint="default"/>
          <w:spacing w:val="-54"/>
        </w:rPr>
        <w:t> </w:t>
      </w:r>
      <w:r>
        <w:rPr/>
        <w:t>年重组，报告期内公司持股</w:t>
      </w:r>
      <w:r>
        <w:rPr>
          <w:spacing w:val="-53"/>
        </w:rPr>
        <w:t> </w:t>
      </w:r>
      <w:r>
        <w:rPr>
          <w:rFonts w:ascii="宋体" w:hAnsi="宋体" w:cs="宋体" w:eastAsia="宋体" w:hint="default"/>
        </w:rPr>
        <w:t>5%</w:t>
      </w:r>
      <w:r>
        <w:rPr/>
        <w:t>以上的股东由上年的</w:t>
      </w:r>
      <w:r>
        <w:rPr>
          <w:spacing w:val="-54"/>
        </w:rPr>
        <w:t> </w:t>
      </w:r>
      <w:r>
        <w:rPr>
          <w:rFonts w:ascii="宋体" w:hAnsi="宋体" w:cs="宋体" w:eastAsia="宋体" w:hint="default"/>
        </w:rPr>
        <w:t>1</w:t>
      </w:r>
      <w:r>
        <w:rPr>
          <w:rFonts w:ascii="宋体" w:hAnsi="宋体" w:cs="宋体" w:eastAsia="宋体" w:hint="default"/>
          <w:spacing w:val="-54"/>
        </w:rPr>
        <w:t> </w:t>
      </w:r>
      <w:r>
        <w:rPr/>
        <w:t>户增加为本年的</w:t>
      </w:r>
      <w:r>
        <w:rPr>
          <w:spacing w:val="-54"/>
        </w:rPr>
        <w:t> </w:t>
      </w:r>
      <w:r>
        <w:rPr>
          <w:rFonts w:ascii="宋体" w:hAnsi="宋体" w:cs="宋体" w:eastAsia="宋体" w:hint="default"/>
        </w:rPr>
        <w:t>2</w:t>
      </w:r>
      <w:r>
        <w:rPr>
          <w:rFonts w:ascii="宋体" w:hAnsi="宋体" w:cs="宋体" w:eastAsia="宋体" w:hint="default"/>
          <w:spacing w:val="-53"/>
        </w:rPr>
        <w:t> </w:t>
      </w:r>
      <w:r>
        <w:rPr/>
        <w:t>户。</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Heading3"/>
        <w:tabs>
          <w:tab w:pos="4900" w:val="left" w:leader="none"/>
        </w:tabs>
        <w:spacing w:line="240" w:lineRule="auto"/>
        <w:ind w:left="4056" w:right="418"/>
        <w:jc w:val="left"/>
        <w:rPr>
          <w:b w:val="0"/>
          <w:bCs w:val="0"/>
        </w:rPr>
      </w:pPr>
      <w:r>
        <w:rPr>
          <w:w w:val="95"/>
        </w:rPr>
        <w:t>第一节</w:t>
        <w:tab/>
      </w:r>
      <w:r>
        <w:rPr/>
        <w:t>股份变动情况</w:t>
      </w:r>
      <w:r>
        <w:rPr>
          <w:b w:val="0"/>
          <w:bCs w:val="0"/>
        </w:rPr>
      </w:r>
    </w:p>
    <w:p>
      <w:pPr>
        <w:spacing w:line="240" w:lineRule="auto" w:before="9"/>
        <w:rPr>
          <w:rFonts w:ascii="宋体" w:hAnsi="宋体" w:cs="宋体" w:eastAsia="宋体" w:hint="default"/>
          <w:b/>
          <w:bCs/>
          <w:sz w:val="26"/>
          <w:szCs w:val="26"/>
        </w:rPr>
      </w:pPr>
    </w:p>
    <w:p>
      <w:pPr>
        <w:spacing w:before="0"/>
        <w:ind w:left="854" w:right="5945" w:firstLine="0"/>
        <w:jc w:val="left"/>
        <w:rPr>
          <w:rFonts w:ascii="宋体" w:hAnsi="宋体" w:cs="宋体" w:eastAsia="宋体" w:hint="default"/>
          <w:sz w:val="21"/>
          <w:szCs w:val="21"/>
        </w:rPr>
      </w:pPr>
      <w:r>
        <w:rPr>
          <w:rFonts w:ascii="宋体" w:hAnsi="宋体" w:cs="宋体" w:eastAsia="宋体" w:hint="default"/>
          <w:b/>
          <w:bCs/>
          <w:sz w:val="21"/>
          <w:szCs w:val="21"/>
        </w:rPr>
        <w:t>一、股份变动情况</w:t>
      </w:r>
      <w:r>
        <w:rPr>
          <w:rFonts w:ascii="宋体" w:hAnsi="宋体" w:cs="宋体" w:eastAsia="宋体" w:hint="default"/>
          <w:sz w:val="21"/>
          <w:szCs w:val="21"/>
        </w:rPr>
      </w:r>
    </w:p>
    <w:p>
      <w:pPr>
        <w:pStyle w:val="BodyText"/>
        <w:spacing w:line="240" w:lineRule="auto" w:before="37"/>
        <w:ind w:right="5945"/>
        <w:jc w:val="left"/>
        <w:rPr>
          <w:rFonts w:ascii="宋体" w:hAnsi="宋体" w:cs="宋体" w:eastAsia="宋体" w:hint="default"/>
        </w:rPr>
      </w:pPr>
      <w:r>
        <w:rPr>
          <w:rFonts w:ascii="宋体" w:hAnsi="宋体" w:cs="宋体" w:eastAsia="宋体" w:hint="default"/>
        </w:rPr>
        <w:t>1</w:t>
      </w:r>
      <w:r>
        <w:rPr/>
        <w:t>、公司</w:t>
      </w:r>
      <w:r>
        <w:rPr>
          <w:spacing w:val="-54"/>
        </w:rPr>
        <w:t> </w:t>
      </w:r>
      <w:r>
        <w:rPr>
          <w:rFonts w:ascii="宋体" w:hAnsi="宋体" w:cs="宋体" w:eastAsia="宋体" w:hint="default"/>
        </w:rPr>
        <w:t>2014</w:t>
      </w:r>
      <w:r>
        <w:rPr>
          <w:rFonts w:ascii="宋体" w:hAnsi="宋体" w:cs="宋体" w:eastAsia="宋体" w:hint="default"/>
          <w:spacing w:val="-55"/>
        </w:rPr>
        <w:t> </w:t>
      </w:r>
      <w:r>
        <w:rPr/>
        <w:t>年股本变动情况表</w:t>
      </w:r>
      <w:r>
        <w:rPr>
          <w:rFonts w:ascii="宋体" w:hAnsi="宋体" w:cs="宋体" w:eastAsia="宋体" w:hint="default"/>
        </w:rPr>
        <w:t>(</w:t>
      </w:r>
      <w:r>
        <w:rPr/>
        <w:t>数量单位：股</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95"/>
        <w:gridCol w:w="1176"/>
        <w:gridCol w:w="798"/>
        <w:gridCol w:w="1147"/>
        <w:gridCol w:w="560"/>
        <w:gridCol w:w="662"/>
        <w:gridCol w:w="566"/>
        <w:gridCol w:w="1179"/>
        <w:gridCol w:w="1162"/>
        <w:gridCol w:w="779"/>
      </w:tblGrid>
      <w:tr>
        <w:trPr>
          <w:trHeight w:val="434" w:hRule="exact"/>
        </w:trPr>
        <w:tc>
          <w:tcPr>
            <w:tcW w:w="1895" w:type="dxa"/>
            <w:vMerge w:val="restart"/>
            <w:tcBorders>
              <w:top w:val="single" w:sz="4" w:space="0" w:color="000000"/>
              <w:left w:val="single" w:sz="4" w:space="0" w:color="000000"/>
              <w:right w:val="single" w:sz="4" w:space="0" w:color="000000"/>
            </w:tcBorders>
          </w:tcPr>
          <w:p>
            <w:pP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50" w:right="0"/>
              <w:jc w:val="left"/>
              <w:rPr>
                <w:rFonts w:ascii="宋体" w:hAnsi="宋体" w:cs="宋体" w:eastAsia="宋体" w:hint="default"/>
                <w:sz w:val="18"/>
                <w:szCs w:val="18"/>
              </w:rPr>
            </w:pPr>
            <w:r>
              <w:rPr>
                <w:rFonts w:ascii="宋体" w:hAnsi="宋体" w:cs="宋体" w:eastAsia="宋体" w:hint="default"/>
                <w:sz w:val="18"/>
                <w:szCs w:val="18"/>
              </w:rPr>
              <w:t>本报告期变动前</w:t>
            </w:r>
          </w:p>
        </w:tc>
        <w:tc>
          <w:tcPr>
            <w:tcW w:w="41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0"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3" w:right="0"/>
              <w:jc w:val="left"/>
              <w:rPr>
                <w:rFonts w:ascii="宋体" w:hAnsi="宋体" w:cs="宋体" w:eastAsia="宋体" w:hint="default"/>
                <w:sz w:val="18"/>
                <w:szCs w:val="18"/>
              </w:rPr>
            </w:pPr>
            <w:r>
              <w:rPr>
                <w:rFonts w:ascii="宋体" w:hAnsi="宋体" w:cs="宋体" w:eastAsia="宋体" w:hint="default"/>
                <w:sz w:val="18"/>
                <w:szCs w:val="18"/>
              </w:rPr>
              <w:t>本报告期变动后</w:t>
            </w:r>
          </w:p>
        </w:tc>
      </w:tr>
      <w:tr>
        <w:trPr>
          <w:trHeight w:val="425" w:hRule="exact"/>
        </w:trPr>
        <w:tc>
          <w:tcPr>
            <w:tcW w:w="1895"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6"/>
                <w:szCs w:val="16"/>
              </w:rPr>
            </w:pPr>
            <w:r>
              <w:rPr>
                <w:rFonts w:ascii="宋体" w:hAnsi="宋体" w:cs="宋体" w:eastAsia="宋体" w:hint="default"/>
                <w:sz w:val="16"/>
                <w:szCs w:val="16"/>
              </w:rPr>
              <w:t>数量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2" w:right="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sz w:val="16"/>
                <w:szCs w:val="16"/>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8" w:right="0"/>
              <w:jc w:val="left"/>
              <w:rPr>
                <w:rFonts w:ascii="宋体" w:hAnsi="宋体" w:cs="宋体" w:eastAsia="宋体" w:hint="default"/>
                <w:sz w:val="16"/>
                <w:szCs w:val="16"/>
              </w:rPr>
            </w:pPr>
            <w:r>
              <w:rPr>
                <w:rFonts w:ascii="宋体" w:hAnsi="宋体" w:cs="宋体" w:eastAsia="宋体" w:hint="default"/>
                <w:sz w:val="16"/>
                <w:szCs w:val="16"/>
              </w:rPr>
              <w:t>发行新股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宋体" w:hAnsi="宋体" w:cs="宋体" w:eastAsia="宋体" w:hint="default"/>
                <w:sz w:val="16"/>
                <w:szCs w:val="16"/>
              </w:rPr>
            </w:pPr>
            <w:r>
              <w:rPr>
                <w:rFonts w:ascii="宋体" w:hAnsi="宋体" w:cs="宋体" w:eastAsia="宋体" w:hint="default"/>
                <w:sz w:val="16"/>
                <w:szCs w:val="16"/>
              </w:rPr>
              <w:t>送股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5" w:right="0" w:hanging="70"/>
              <w:jc w:val="left"/>
              <w:rPr>
                <w:rFonts w:ascii="宋体" w:hAnsi="宋体" w:cs="宋体" w:eastAsia="宋体" w:hint="default"/>
                <w:sz w:val="16"/>
                <w:szCs w:val="16"/>
              </w:rPr>
            </w:pPr>
            <w:r>
              <w:rPr>
                <w:rFonts w:ascii="宋体" w:hAnsi="宋体" w:cs="宋体" w:eastAsia="宋体" w:hint="default"/>
                <w:spacing w:val="-21"/>
                <w:sz w:val="16"/>
                <w:szCs w:val="16"/>
              </w:rPr>
              <w:t>公积金</w:t>
            </w:r>
            <w:r>
              <w:rPr>
                <w:rFonts w:ascii="宋体" w:hAnsi="宋体" w:cs="宋体" w:eastAsia="宋体" w:hint="default"/>
                <w:sz w:val="16"/>
                <w:szCs w:val="16"/>
              </w:rPr>
            </w:r>
          </w:p>
          <w:p>
            <w:pPr>
              <w:pStyle w:val="TableParagraph"/>
              <w:spacing w:line="208" w:lineRule="exact"/>
              <w:ind w:left="185" w:right="0"/>
              <w:jc w:val="left"/>
              <w:rPr>
                <w:rFonts w:ascii="宋体" w:hAnsi="宋体" w:cs="宋体" w:eastAsia="宋体" w:hint="default"/>
                <w:sz w:val="16"/>
                <w:szCs w:val="16"/>
              </w:rPr>
            </w:pPr>
            <w:r>
              <w:rPr>
                <w:rFonts w:ascii="宋体" w:hAnsi="宋体" w:cs="宋体" w:eastAsia="宋体" w:hint="default"/>
                <w:spacing w:val="-21"/>
                <w:sz w:val="16"/>
                <w:szCs w:val="16"/>
              </w:rPr>
              <w:t>转股</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6"/>
                <w:szCs w:val="16"/>
              </w:rPr>
            </w:pPr>
            <w:r>
              <w:rPr>
                <w:rFonts w:ascii="宋体" w:hAnsi="宋体" w:cs="宋体" w:eastAsia="宋体" w:hint="default"/>
                <w:sz w:val="16"/>
                <w:szCs w:val="16"/>
              </w:rPr>
              <w:t>数量</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sz w:val="16"/>
                <w:szCs w:val="16"/>
              </w:rPr>
              <w:t>(%)</w:t>
            </w:r>
          </w:p>
        </w:tc>
      </w:tr>
      <w:tr>
        <w:trPr>
          <w:trHeight w:val="446"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1"/>
              <w:jc w:val="right"/>
              <w:rPr>
                <w:rFonts w:ascii="Calibri" w:hAnsi="Calibri" w:cs="Calibri" w:eastAsia="Calibri" w:hint="default"/>
                <w:sz w:val="16"/>
                <w:szCs w:val="16"/>
              </w:rPr>
            </w:pPr>
            <w:r>
              <w:rPr>
                <w:rFonts w:ascii="Calibri"/>
                <w:b/>
                <w:spacing w:val="-1"/>
                <w:sz w:val="16"/>
              </w:rPr>
              <w:t>106,994,651</w:t>
            </w:r>
            <w:r>
              <w:rPr>
                <w:rFonts w:ascii="Calibri"/>
                <w:spacing w:val="-1"/>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0"/>
              <w:jc w:val="right"/>
              <w:rPr>
                <w:rFonts w:ascii="Calibri" w:hAnsi="Calibri" w:cs="Calibri" w:eastAsia="Calibri" w:hint="default"/>
                <w:sz w:val="16"/>
                <w:szCs w:val="16"/>
              </w:rPr>
            </w:pPr>
            <w:r>
              <w:rPr>
                <w:rFonts w:ascii="Calibri"/>
                <w:b/>
                <w:spacing w:val="-1"/>
                <w:sz w:val="16"/>
              </w:rPr>
              <w:t>24.016</w:t>
            </w:r>
            <w:r>
              <w:rPr>
                <w:rFonts w:ascii="Calibri"/>
                <w:spacing w:val="-1"/>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0"/>
              <w:jc w:val="right"/>
              <w:rPr>
                <w:rFonts w:ascii="Calibri" w:hAnsi="Calibri" w:cs="Calibri" w:eastAsia="Calibri" w:hint="default"/>
                <w:sz w:val="16"/>
                <w:szCs w:val="16"/>
              </w:rPr>
            </w:pPr>
            <w:r>
              <w:rPr>
                <w:rFonts w:ascii="Calibri"/>
                <w:b/>
                <w:spacing w:val="-1"/>
                <w:sz w:val="16"/>
              </w:rPr>
              <w:t>176,305,222</w:t>
            </w:r>
            <w:r>
              <w:rPr>
                <w:rFonts w:ascii="Calibri"/>
                <w:spacing w:val="-1"/>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0"/>
              <w:jc w:val="right"/>
              <w:rPr>
                <w:rFonts w:ascii="Calibri" w:hAnsi="Calibri" w:cs="Calibri" w:eastAsia="Calibri" w:hint="default"/>
                <w:sz w:val="16"/>
                <w:szCs w:val="16"/>
              </w:rPr>
            </w:pPr>
            <w:r>
              <w:rPr>
                <w:rFonts w:ascii="Calibri"/>
                <w:b/>
                <w:spacing w:val="-1"/>
                <w:sz w:val="16"/>
              </w:rPr>
              <w:t>176,305,222</w:t>
            </w:r>
            <w:r>
              <w:rPr>
                <w:rFonts w:ascii="Calibri"/>
                <w:spacing w:val="-1"/>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0"/>
              <w:jc w:val="right"/>
              <w:rPr>
                <w:rFonts w:ascii="Calibri" w:hAnsi="Calibri" w:cs="Calibri" w:eastAsia="Calibri" w:hint="default"/>
                <w:sz w:val="16"/>
                <w:szCs w:val="16"/>
              </w:rPr>
            </w:pPr>
            <w:r>
              <w:rPr>
                <w:rFonts w:ascii="Calibri"/>
                <w:b/>
                <w:spacing w:val="-1"/>
                <w:sz w:val="16"/>
              </w:rPr>
              <w:t>283,299,873</w:t>
            </w:r>
            <w:r>
              <w:rPr>
                <w:rFonts w:ascii="Calibri"/>
                <w:spacing w:val="-1"/>
                <w:sz w:val="16"/>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spacing w:val="-1"/>
                <w:sz w:val="16"/>
              </w:rPr>
              <w:t>45.559</w:t>
            </w:r>
            <w:r>
              <w:rPr>
                <w:rFonts w:ascii="Calibri"/>
                <w:spacing w:val="-1"/>
                <w:sz w:val="16"/>
              </w:rPr>
            </w: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spacing w:val="-1"/>
                <w:sz w:val="16"/>
              </w:rPr>
              <w:t>106,994,651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spacing w:val="-1"/>
                <w:sz w:val="16"/>
              </w:rPr>
              <w:t>24.016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spacing w:val="-1"/>
                <w:w w:val="95"/>
                <w:sz w:val="16"/>
              </w:rPr>
              <w:t>176,305,222</w:t>
            </w:r>
            <w:r>
              <w:rPr>
                <w:rFonts w:ascii="Calibri"/>
                <w:spacing w:val="-1"/>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spacing w:val="-1"/>
                <w:w w:val="95"/>
                <w:sz w:val="16"/>
              </w:rPr>
              <w:t>176,305,222</w:t>
            </w:r>
            <w:r>
              <w:rPr>
                <w:rFonts w:ascii="Calibri"/>
                <w:spacing w:val="-1"/>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spacing w:val="-1"/>
                <w:sz w:val="16"/>
              </w:rPr>
              <w:t>283,299,873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spacing w:val="-1"/>
                <w:sz w:val="16"/>
              </w:rPr>
              <w:t>45.559</w:t>
            </w:r>
          </w:p>
        </w:tc>
      </w:tr>
      <w:tr>
        <w:trPr>
          <w:trHeight w:val="307"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7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106,987,364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24.014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176,305,222</w:t>
            </w:r>
            <w:r>
              <w:rPr>
                <w:rFonts w:ascii="Calibri"/>
                <w:spacing w:val="-1"/>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176,305,222</w:t>
            </w:r>
            <w:r>
              <w:rPr>
                <w:rFonts w:ascii="Calibri"/>
                <w:spacing w:val="-1"/>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283,292,586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45.558</w:t>
            </w:r>
          </w:p>
        </w:tc>
      </w:tr>
      <w:tr>
        <w:trPr>
          <w:trHeight w:val="322"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7,287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7,287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0.001</w:t>
            </w: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7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1"/>
              <w:jc w:val="right"/>
              <w:rPr>
                <w:rFonts w:ascii="Calibri" w:hAnsi="Calibri" w:cs="Calibri" w:eastAsia="Calibri" w:hint="default"/>
                <w:sz w:val="16"/>
                <w:szCs w:val="16"/>
              </w:rPr>
            </w:pPr>
            <w:r>
              <w:rPr>
                <w:rFonts w:ascii="Calibri"/>
                <w:b/>
                <w:spacing w:val="-1"/>
                <w:sz w:val="16"/>
              </w:rPr>
              <w:t>338,526,913</w:t>
            </w:r>
            <w:r>
              <w:rPr>
                <w:rFonts w:ascii="Calibri"/>
                <w:spacing w:val="-1"/>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spacing w:val="-1"/>
                <w:sz w:val="16"/>
              </w:rPr>
              <w:t>75.984</w:t>
            </w:r>
            <w:r>
              <w:rPr>
                <w:rFonts w:ascii="Calibri"/>
                <w:spacing w:val="-1"/>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338,526,913</w:t>
            </w:r>
            <w:r>
              <w:rPr>
                <w:rFonts w:ascii="Calibri"/>
                <w:spacing w:val="-1"/>
                <w:sz w:val="16"/>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8"/>
              <w:jc w:val="right"/>
              <w:rPr>
                <w:rFonts w:ascii="Calibri" w:hAnsi="Calibri" w:cs="Calibri" w:eastAsia="Calibri" w:hint="default"/>
                <w:sz w:val="16"/>
                <w:szCs w:val="16"/>
              </w:rPr>
            </w:pPr>
            <w:r>
              <w:rPr>
                <w:rFonts w:ascii="Calibri"/>
                <w:b/>
                <w:spacing w:val="-1"/>
                <w:sz w:val="16"/>
              </w:rPr>
              <w:t>54.441</w:t>
            </w:r>
            <w:r>
              <w:rPr>
                <w:rFonts w:ascii="Calibri"/>
                <w:spacing w:val="-1"/>
                <w:sz w:val="16"/>
              </w:rPr>
            </w:r>
          </w:p>
        </w:tc>
      </w:tr>
      <w:tr>
        <w:trPr>
          <w:trHeight w:val="322"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338,526,913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75.984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338,526,913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54.441</w:t>
            </w: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股份总数</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spacing w:val="-1"/>
                <w:sz w:val="16"/>
              </w:rPr>
              <w:t>445,521,564</w:t>
            </w:r>
            <w:r>
              <w:rPr>
                <w:rFonts w:ascii="Calibri"/>
                <w:spacing w:val="-1"/>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spacing w:val="-1"/>
                <w:sz w:val="16"/>
              </w:rPr>
              <w:t>100.00</w:t>
            </w:r>
            <w:r>
              <w:rPr>
                <w:rFonts w:ascii="Calibri"/>
                <w:spacing w:val="-1"/>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spacing w:val="-1"/>
                <w:sz w:val="16"/>
              </w:rPr>
              <w:t>176,305,222</w:t>
            </w:r>
            <w:r>
              <w:rPr>
                <w:rFonts w:ascii="Calibri"/>
                <w:spacing w:val="-1"/>
                <w:sz w:val="16"/>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spacing w:val="-1"/>
                <w:sz w:val="16"/>
              </w:rPr>
              <w:t>176,305,222</w:t>
            </w:r>
            <w:r>
              <w:rPr>
                <w:rFonts w:ascii="Calibri"/>
                <w:spacing w:val="-1"/>
                <w:sz w:val="16"/>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w w:val="95"/>
                <w:sz w:val="16"/>
              </w:rPr>
              <w:t>621,826,786</w:t>
            </w:r>
            <w:r>
              <w:rPr>
                <w:rFonts w:ascii="Calibri"/>
                <w:spacing w:val="-1"/>
                <w:sz w:val="16"/>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100.00</w:t>
            </w:r>
            <w:r>
              <w:rPr>
                <w:rFonts w:ascii="Calibri"/>
                <w:spacing w:val="-1"/>
                <w:sz w:val="16"/>
              </w:rPr>
            </w:r>
          </w:p>
        </w:tc>
      </w:tr>
    </w:tbl>
    <w:p>
      <w:pPr>
        <w:pStyle w:val="BodyText"/>
        <w:spacing w:line="273" w:lineRule="auto" w:before="47"/>
        <w:ind w:right="1187" w:firstLine="420"/>
        <w:jc w:val="both"/>
      </w:pPr>
      <w:r>
        <w:rPr/>
        <w:t>上表显示公司股份报告期增加</w:t>
      </w:r>
      <w:r>
        <w:rPr>
          <w:spacing w:val="-38"/>
        </w:rPr>
        <w:t> </w:t>
      </w:r>
      <w:r>
        <w:rPr>
          <w:rFonts w:ascii="宋体" w:hAnsi="宋体" w:cs="宋体" w:eastAsia="宋体" w:hint="default"/>
        </w:rPr>
        <w:t>176,305,222</w:t>
      </w:r>
      <w:r>
        <w:rPr>
          <w:rFonts w:ascii="宋体" w:hAnsi="宋体" w:cs="宋体" w:eastAsia="宋体" w:hint="default"/>
          <w:spacing w:val="-37"/>
        </w:rPr>
        <w:t> </w:t>
      </w:r>
      <w:r>
        <w:rPr/>
        <w:t>股，股份变动原因是公司</w:t>
      </w:r>
      <w:r>
        <w:rPr>
          <w:spacing w:val="-38"/>
        </w:rPr>
        <w:t> </w:t>
      </w:r>
      <w:r>
        <w:rPr>
          <w:rFonts w:ascii="宋体" w:hAnsi="宋体" w:cs="宋体" w:eastAsia="宋体" w:hint="default"/>
        </w:rPr>
        <w:t>2014</w:t>
      </w:r>
      <w:r>
        <w:rPr>
          <w:rFonts w:ascii="宋体" w:hAnsi="宋体" w:cs="宋体" w:eastAsia="宋体" w:hint="default"/>
          <w:spacing w:val="-37"/>
        </w:rPr>
        <w:t> </w:t>
      </w:r>
      <w:r>
        <w:rPr/>
        <w:t>年重组且该事项获得证 </w:t>
      </w:r>
      <w:r>
        <w:rPr>
          <w:spacing w:val="-1"/>
        </w:rPr>
        <w:t>监会《关于核准茂业物流股份有限公司向孝昌鹰溪谷投资中心（有限合伙）等发行股份购买资产并募集</w:t>
      </w:r>
      <w:r>
        <w:rPr>
          <w:spacing w:val="-102"/>
        </w:rPr>
        <w:t> </w:t>
      </w:r>
      <w:r>
        <w:rPr>
          <w:spacing w:val="-102"/>
        </w:rPr>
      </w:r>
      <w:r>
        <w:rPr>
          <w:spacing w:val="-9"/>
        </w:rPr>
        <w:t>配套资金的批复》（证监许可</w:t>
      </w:r>
      <w:r>
        <w:rPr>
          <w:spacing w:val="8"/>
        </w:rPr>
        <w:t> </w:t>
      </w:r>
      <w:r>
        <w:rPr>
          <w:rFonts w:ascii="宋体" w:hAnsi="宋体" w:cs="宋体" w:eastAsia="宋体" w:hint="default"/>
          <w:spacing w:val="-1"/>
        </w:rPr>
        <w:t>[2014]1225</w:t>
      </w:r>
      <w:r>
        <w:rPr>
          <w:rFonts w:ascii="宋体" w:hAnsi="宋体" w:cs="宋体" w:eastAsia="宋体" w:hint="default"/>
          <w:spacing w:val="-36"/>
        </w:rPr>
        <w:t> </w:t>
      </w:r>
      <w:r>
        <w:rPr>
          <w:spacing w:val="-1"/>
        </w:rPr>
        <w:t>号文件）的核准。上述股份于上市日</w:t>
      </w:r>
      <w:r>
        <w:rPr>
          <w:rFonts w:ascii="宋体" w:hAnsi="宋体" w:cs="宋体" w:eastAsia="宋体" w:hint="default"/>
          <w:spacing w:val="-1"/>
        </w:rPr>
        <w:t>(2014</w:t>
      </w:r>
      <w:r>
        <w:rPr>
          <w:rFonts w:ascii="宋体" w:hAnsi="宋体" w:cs="宋体" w:eastAsia="宋体" w:hint="default"/>
          <w:spacing w:val="-38"/>
        </w:rPr>
        <w:t> </w:t>
      </w:r>
      <w:r>
        <w:rPr/>
        <w:t>年</w:t>
      </w:r>
      <w:r>
        <w:rPr>
          <w:spacing w:val="-38"/>
        </w:rPr>
        <w:t> </w:t>
      </w:r>
      <w:r>
        <w:rPr>
          <w:rFonts w:ascii="宋体" w:hAnsi="宋体" w:cs="宋体" w:eastAsia="宋体" w:hint="default"/>
        </w:rPr>
        <w:t>12</w:t>
      </w:r>
      <w:r>
        <w:rPr>
          <w:rFonts w:ascii="宋体" w:hAnsi="宋体" w:cs="宋体" w:eastAsia="宋体" w:hint="default"/>
          <w:spacing w:val="-37"/>
        </w:rPr>
        <w:t> </w:t>
      </w:r>
      <w:r>
        <w:rPr/>
        <w:t>月</w:t>
      </w:r>
      <w:r>
        <w:rPr>
          <w:spacing w:val="-39"/>
        </w:rPr>
        <w:t> </w:t>
      </w:r>
      <w:r>
        <w:rPr>
          <w:rFonts w:ascii="宋体" w:hAnsi="宋体" w:cs="宋体" w:eastAsia="宋体" w:hint="default"/>
        </w:rPr>
        <w:t>19</w:t>
      </w:r>
      <w:r>
        <w:rPr>
          <w:rFonts w:ascii="宋体" w:hAnsi="宋体" w:cs="宋体" w:eastAsia="宋体" w:hint="default"/>
          <w:spacing w:val="-38"/>
        </w:rPr>
        <w:t> </w:t>
      </w:r>
      <w:r>
        <w:rPr/>
        <w:t>日</w:t>
      </w:r>
      <w:r>
        <w:rPr>
          <w:rFonts w:ascii="宋体" w:hAnsi="宋体" w:cs="宋体" w:eastAsia="宋体" w:hint="default"/>
        </w:rPr>
        <w:t>)</w:t>
      </w:r>
      <w:r>
        <w:rPr/>
        <w:t>的 前一交易日日终登记到账，并正式列入本公司的股东名册。</w:t>
      </w:r>
    </w:p>
    <w:p>
      <w:pPr>
        <w:pStyle w:val="BodyText"/>
        <w:spacing w:line="273" w:lineRule="auto"/>
        <w:ind w:right="1188" w:firstLine="420"/>
        <w:jc w:val="both"/>
      </w:pPr>
      <w:r>
        <w:rPr>
          <w:spacing w:val="-1"/>
        </w:rPr>
        <w:t>股份变动对最近一年和最近一期基本每股收益和稀释每股收益、归属于公司普通股股东的每股净资</w:t>
      </w:r>
      <w:r>
        <w:rPr/>
        <w:t> 产等财务指标的影响</w:t>
      </w:r>
    </w:p>
    <w:p>
      <w:pPr>
        <w:pStyle w:val="BodyText"/>
        <w:tabs>
          <w:tab w:pos="1770" w:val="left" w:leader="none"/>
        </w:tabs>
        <w:spacing w:line="273" w:lineRule="auto"/>
        <w:ind w:left="824" w:right="8185"/>
        <w:jc w:val="left"/>
      </w:pPr>
      <w:r>
        <w:rPr/>
        <w:t>□ 适用</w:t>
        <w:tab/>
        <w:t>√</w:t>
      </w:r>
      <w:r>
        <w:rPr>
          <w:spacing w:val="-1"/>
        </w:rPr>
        <w:t> </w:t>
      </w:r>
      <w:r>
        <w:rPr/>
        <w:t>不适用</w:t>
      </w:r>
      <w:r>
        <w:rPr/>
        <w:t> </w:t>
      </w:r>
      <w:r>
        <w:rPr>
          <w:rFonts w:ascii="宋体" w:hAnsi="宋体" w:cs="宋体" w:eastAsia="宋体" w:hint="default"/>
        </w:rPr>
        <w:t>2</w:t>
      </w:r>
      <w:r>
        <w:rPr/>
        <w:t>、限售股份变动情况</w:t>
      </w:r>
    </w:p>
    <w:p>
      <w:pPr>
        <w:pStyle w:val="BodyText"/>
        <w:spacing w:line="240" w:lineRule="auto"/>
        <w:ind w:left="824" w:right="418"/>
        <w:jc w:val="left"/>
        <w:rPr>
          <w:rFonts w:ascii="宋体" w:hAnsi="宋体" w:cs="宋体" w:eastAsia="宋体" w:hint="default"/>
        </w:rPr>
      </w:pPr>
      <w:r>
        <w:rPr/>
        <w:t>因</w:t>
      </w:r>
      <w:r>
        <w:rPr>
          <w:spacing w:val="-55"/>
        </w:rPr>
        <w:t> </w:t>
      </w:r>
      <w:r>
        <w:rPr>
          <w:rFonts w:ascii="宋体" w:hAnsi="宋体" w:cs="宋体" w:eastAsia="宋体" w:hint="default"/>
        </w:rPr>
        <w:t>2014</w:t>
      </w:r>
      <w:r>
        <w:rPr>
          <w:rFonts w:ascii="宋体" w:hAnsi="宋体" w:cs="宋体" w:eastAsia="宋体" w:hint="default"/>
          <w:spacing w:val="-55"/>
        </w:rPr>
        <w:t> </w:t>
      </w:r>
      <w:r>
        <w:rPr/>
        <w:t>年重组下列股东获得公司非公开发行股份，有关限售情况见下表</w:t>
      </w:r>
      <w:r>
        <w:rPr>
          <w:rFonts w:ascii="宋体" w:hAnsi="宋体" w:cs="宋体" w:eastAsia="宋体" w:hint="default"/>
        </w:rPr>
        <w:t>(</w:t>
      </w:r>
      <w:r>
        <w:rPr/>
        <w:t>单位：股</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7"/>
        <w:gridCol w:w="709"/>
        <w:gridCol w:w="850"/>
        <w:gridCol w:w="1276"/>
        <w:gridCol w:w="1277"/>
        <w:gridCol w:w="1275"/>
        <w:gridCol w:w="1702"/>
      </w:tblGrid>
      <w:tr>
        <w:trPr>
          <w:trHeight w:val="476"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33"/>
              <w:jc w:val="left"/>
              <w:rPr>
                <w:rFonts w:ascii="宋体" w:hAnsi="宋体" w:cs="宋体" w:eastAsia="宋体" w:hint="default"/>
                <w:sz w:val="18"/>
                <w:szCs w:val="18"/>
              </w:rPr>
            </w:pPr>
            <w:r>
              <w:rPr>
                <w:rFonts w:ascii="宋体" w:hAnsi="宋体" w:cs="宋体" w:eastAsia="宋体" w:hint="default"/>
                <w:spacing w:val="37"/>
                <w:sz w:val="18"/>
                <w:szCs w:val="18"/>
              </w:rPr>
              <w:t>期初限</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3"/>
              <w:jc w:val="left"/>
              <w:rPr>
                <w:rFonts w:ascii="宋体" w:hAnsi="宋体" w:cs="宋体" w:eastAsia="宋体" w:hint="default"/>
                <w:sz w:val="18"/>
                <w:szCs w:val="18"/>
              </w:rPr>
            </w:pPr>
            <w:r>
              <w:rPr>
                <w:rFonts w:ascii="宋体" w:hAnsi="宋体" w:cs="宋体" w:eastAsia="宋体" w:hint="default"/>
                <w:spacing w:val="18"/>
                <w:sz w:val="18"/>
                <w:szCs w:val="18"/>
              </w:rPr>
              <w:t>本期解除</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期</w:t>
            </w:r>
            <w:r>
              <w:rPr>
                <w:rFonts w:ascii="宋体" w:hAnsi="宋体" w:cs="宋体" w:eastAsia="宋体" w:hint="default"/>
                <w:spacing w:val="-63"/>
                <w:sz w:val="18"/>
                <w:szCs w:val="18"/>
              </w:rPr>
              <w:t> </w:t>
            </w:r>
            <w:r>
              <w:rPr>
                <w:rFonts w:ascii="宋体" w:hAnsi="宋体" w:cs="宋体" w:eastAsia="宋体" w:hint="default"/>
                <w:sz w:val="18"/>
                <w:szCs w:val="18"/>
              </w:rPr>
              <w:t>增</w:t>
            </w:r>
            <w:r>
              <w:rPr>
                <w:rFonts w:ascii="宋体" w:hAnsi="宋体" w:cs="宋体" w:eastAsia="宋体" w:hint="default"/>
                <w:spacing w:val="-63"/>
                <w:sz w:val="18"/>
                <w:szCs w:val="18"/>
              </w:rPr>
              <w:t> </w:t>
            </w:r>
            <w:r>
              <w:rPr>
                <w:rFonts w:ascii="宋体" w:hAnsi="宋体" w:cs="宋体" w:eastAsia="宋体" w:hint="default"/>
                <w:sz w:val="18"/>
                <w:szCs w:val="18"/>
              </w:rPr>
              <w:t>加</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3"/>
                <w:sz w:val="18"/>
                <w:szCs w:val="18"/>
              </w:rPr>
              <w:t> </w:t>
            </w:r>
            <w:r>
              <w:rPr>
                <w:rFonts w:ascii="宋体" w:hAnsi="宋体" w:cs="宋体" w:eastAsia="宋体" w:hint="default"/>
                <w:sz w:val="18"/>
                <w:szCs w:val="18"/>
              </w:rPr>
              <w:t>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148,360,844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148,360,844</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股东承诺</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16"/>
                <w:sz w:val="18"/>
                <w:szCs w:val="18"/>
              </w:rPr>
              <w:t> </w:t>
            </w:r>
            <w:r>
              <w:rPr>
                <w:rFonts w:ascii="宋体" w:hAnsi="宋体" w:cs="宋体" w:eastAsia="宋体" w:hint="default"/>
                <w:spacing w:val="10"/>
                <w:sz w:val="18"/>
                <w:szCs w:val="18"/>
              </w:rPr>
              <w:t>日上市之日起锁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上海峰幽投资管理中心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
              <w:jc w:val="right"/>
              <w:rPr>
                <w:rFonts w:ascii="宋体" w:hAnsi="宋体" w:cs="宋体" w:eastAsia="宋体" w:hint="default"/>
                <w:sz w:val="18"/>
                <w:szCs w:val="18"/>
              </w:rPr>
            </w:pPr>
            <w:r>
              <w:rPr>
                <w:rFonts w:ascii="宋体"/>
                <w:sz w:val="18"/>
              </w:rPr>
              <w:t>26,445,783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26,445,783</w:t>
            </w:r>
          </w:p>
        </w:tc>
        <w:tc>
          <w:tcPr>
            <w:tcW w:w="1275"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1,498,595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1,498,595</w:t>
            </w:r>
          </w:p>
        </w:tc>
        <w:tc>
          <w:tcPr>
            <w:tcW w:w="127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176,305,222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3"/>
        <w:spacing w:line="240" w:lineRule="auto"/>
        <w:ind w:right="5945"/>
        <w:jc w:val="left"/>
        <w:rPr>
          <w:b w:val="0"/>
          <w:bCs w:val="0"/>
        </w:rPr>
      </w:pPr>
      <w:r>
        <w:rPr/>
        <w:t>二、证券发行与上市情况</w:t>
      </w:r>
      <w:r>
        <w:rPr>
          <w:b w:val="0"/>
          <w:bCs w:val="0"/>
        </w:rPr>
      </w:r>
    </w:p>
    <w:p>
      <w:pPr>
        <w:pStyle w:val="BodyText"/>
        <w:spacing w:line="240" w:lineRule="auto" w:before="37"/>
        <w:ind w:left="824" w:right="5945"/>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报告期末近三年历次证券发行情况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78"/>
        <w:gridCol w:w="630"/>
        <w:gridCol w:w="1070"/>
        <w:gridCol w:w="1418"/>
        <w:gridCol w:w="1843"/>
        <w:gridCol w:w="2907"/>
        <w:gridCol w:w="779"/>
      </w:tblGrid>
      <w:tr>
        <w:trPr>
          <w:trHeight w:val="47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宋体" w:hAnsi="宋体" w:cs="宋体" w:eastAsia="宋体" w:hint="default"/>
                <w:sz w:val="18"/>
                <w:szCs w:val="18"/>
              </w:rPr>
              <w:t>及</w:t>
            </w:r>
            <w:r>
              <w:rPr>
                <w:rFonts w:ascii="宋体" w:hAnsi="宋体" w:cs="宋体" w:eastAsia="宋体" w:hint="default"/>
                <w:spacing w:val="-51"/>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生证券名称</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发行数量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止日期</w:t>
            </w:r>
          </w:p>
        </w:tc>
      </w:tr>
      <w:tr>
        <w:trPr>
          <w:trHeight w:val="325"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5.43</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106,813,996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18"/>
                <w:szCs w:val="18"/>
              </w:rPr>
            </w:pPr>
            <w:r>
              <w:rPr>
                <w:rFonts w:ascii="宋体"/>
                <w:sz w:val="18"/>
              </w:rPr>
              <w:t>---</w:t>
            </w:r>
          </w:p>
        </w:tc>
      </w:tr>
      <w:tr>
        <w:trPr>
          <w:trHeight w:val="325"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4.98</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176,305,222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278"/>
        <w:gridCol w:w="8647"/>
      </w:tblGrid>
      <w:tr>
        <w:trPr>
          <w:trHeight w:val="944"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宋体" w:hAnsi="宋体" w:cs="宋体" w:eastAsia="宋体" w:hint="default"/>
                <w:sz w:val="18"/>
                <w:szCs w:val="18"/>
              </w:rPr>
              <w:t>三</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历</w:t>
            </w:r>
            <w:r>
              <w:rPr>
                <w:rFonts w:ascii="宋体" w:hAnsi="宋体" w:cs="宋体" w:eastAsia="宋体" w:hint="default"/>
                <w:spacing w:val="-50"/>
                <w:sz w:val="18"/>
                <w:szCs w:val="18"/>
              </w:rPr>
              <w:t> </w:t>
            </w:r>
            <w:r>
              <w:rPr>
                <w:rFonts w:ascii="宋体" w:hAnsi="宋体" w:cs="宋体" w:eastAsia="宋体" w:hint="default"/>
                <w:sz w:val="18"/>
                <w:szCs w:val="18"/>
              </w:rPr>
              <w:t>次</w:t>
            </w:r>
            <w:r>
              <w:rPr>
                <w:rFonts w:ascii="宋体" w:hAnsi="宋体" w:cs="宋体" w:eastAsia="宋体" w:hint="default"/>
                <w:sz w:val="18"/>
                <w:szCs w:val="18"/>
              </w:rPr>
              <w:t> 证</w:t>
            </w:r>
            <w:r>
              <w:rPr>
                <w:rFonts w:ascii="宋体" w:hAnsi="宋体" w:cs="宋体" w:eastAsia="宋体" w:hint="default"/>
                <w:spacing w:val="-50"/>
                <w:sz w:val="18"/>
                <w:szCs w:val="18"/>
              </w:rPr>
              <w:t> </w:t>
            </w:r>
            <w:r>
              <w:rPr>
                <w:rFonts w:ascii="宋体" w:hAnsi="宋体" w:cs="宋体" w:eastAsia="宋体" w:hint="default"/>
                <w:sz w:val="18"/>
                <w:szCs w:val="18"/>
              </w:rPr>
              <w:t>券</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51"/>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情</w:t>
            </w:r>
            <w:r>
              <w:rPr>
                <w:rFonts w:ascii="宋体" w:hAnsi="宋体" w:cs="宋体" w:eastAsia="宋体" w:hint="default"/>
                <w:sz w:val="18"/>
                <w:szCs w:val="18"/>
              </w:rPr>
              <w:t> 况的说明</w:t>
            </w:r>
          </w:p>
        </w:tc>
        <w:tc>
          <w:tcPr>
            <w:tcW w:w="86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、为履行详式权益变动报告书中所作出的承诺，解决同业竞争，公司于</w:t>
            </w:r>
            <w:r>
              <w:rPr>
                <w:rFonts w:ascii="宋体" w:hAnsi="宋体" w:cs="宋体" w:eastAsia="宋体" w:hint="default"/>
                <w:spacing w:val="-61"/>
                <w:sz w:val="18"/>
                <w:szCs w:val="18"/>
              </w:rPr>
              <w:t> </w:t>
            </w:r>
            <w:r>
              <w:rPr>
                <w:rFonts w:ascii="宋体" w:hAnsi="宋体" w:cs="宋体" w:eastAsia="宋体" w:hint="default"/>
                <w:sz w:val="18"/>
                <w:szCs w:val="18"/>
              </w:rPr>
              <w:t>2012</w:t>
            </w:r>
            <w:r>
              <w:rPr>
                <w:rFonts w:ascii="宋体" w:hAnsi="宋体" w:cs="宋体" w:eastAsia="宋体" w:hint="default"/>
                <w:spacing w:val="-61"/>
                <w:sz w:val="18"/>
                <w:szCs w:val="18"/>
              </w:rPr>
              <w:t> </w:t>
            </w:r>
            <w:r>
              <w:rPr>
                <w:rFonts w:ascii="宋体" w:hAnsi="宋体" w:cs="宋体" w:eastAsia="宋体" w:hint="default"/>
                <w:sz w:val="18"/>
                <w:szCs w:val="18"/>
              </w:rPr>
              <w:t>年启动并实施完毕发行股份购</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1"/>
                <w:sz w:val="18"/>
                <w:szCs w:val="18"/>
              </w:rPr>
              <w:t>买资产暨关联交易的重大资产重组，经证监会《关于核准秦皇岛渤海物流控股股份有限公司向中兆投资管理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有限公司发行股份购买资产的批复》</w:t>
            </w:r>
            <w:r>
              <w:rPr>
                <w:rFonts w:ascii="宋体" w:hAnsi="宋体" w:cs="宋体" w:eastAsia="宋体" w:hint="default"/>
                <w:spacing w:val="-3"/>
                <w:sz w:val="18"/>
                <w:szCs w:val="18"/>
              </w:rPr>
              <w:t>(</w:t>
            </w:r>
            <w:r>
              <w:rPr>
                <w:rFonts w:ascii="宋体" w:hAnsi="宋体" w:cs="宋体" w:eastAsia="宋体" w:hint="default"/>
                <w:spacing w:val="-3"/>
                <w:sz w:val="18"/>
                <w:szCs w:val="18"/>
              </w:rPr>
              <w:t>证监许可</w:t>
            </w:r>
            <w:r>
              <w:rPr>
                <w:rFonts w:ascii="宋体" w:hAnsi="宋体" w:cs="宋体" w:eastAsia="宋体" w:hint="default"/>
                <w:spacing w:val="-3"/>
                <w:sz w:val="18"/>
                <w:szCs w:val="18"/>
              </w:rPr>
              <w:t>[2012]1352</w:t>
            </w:r>
            <w:r>
              <w:rPr>
                <w:rFonts w:ascii="宋体" w:hAnsi="宋体" w:cs="宋体" w:eastAsia="宋体" w:hint="default"/>
                <w:spacing w:val="-54"/>
                <w:sz w:val="18"/>
                <w:szCs w:val="18"/>
              </w:rPr>
              <w:t> </w:t>
            </w:r>
            <w:r>
              <w:rPr>
                <w:rFonts w:ascii="宋体" w:hAnsi="宋体" w:cs="宋体" w:eastAsia="宋体" w:hint="default"/>
                <w:spacing w:val="-6"/>
                <w:sz w:val="18"/>
                <w:szCs w:val="18"/>
              </w:rPr>
              <w:t>号文件</w:t>
            </w:r>
            <w:r>
              <w:rPr>
                <w:rFonts w:ascii="宋体" w:hAnsi="宋体" w:cs="宋体" w:eastAsia="宋体" w:hint="default"/>
                <w:spacing w:val="-6"/>
                <w:sz w:val="18"/>
                <w:szCs w:val="18"/>
              </w:rPr>
              <w:t>)</w:t>
            </w:r>
            <w:r>
              <w:rPr>
                <w:rFonts w:ascii="宋体" w:hAnsi="宋体" w:cs="宋体" w:eastAsia="宋体" w:hint="default"/>
                <w:spacing w:val="-6"/>
                <w:sz w:val="18"/>
                <w:szCs w:val="18"/>
              </w:rPr>
              <w:t>核准，本公司向中兆投资发行</w:t>
            </w:r>
            <w:r>
              <w:rPr>
                <w:rFonts w:ascii="宋体" w:hAnsi="宋体" w:cs="宋体" w:eastAsia="宋体" w:hint="default"/>
                <w:spacing w:val="-54"/>
                <w:sz w:val="18"/>
                <w:szCs w:val="18"/>
              </w:rPr>
              <w:t> </w:t>
            </w:r>
            <w:r>
              <w:rPr>
                <w:rFonts w:ascii="宋体" w:hAnsi="宋体" w:cs="宋体" w:eastAsia="宋体" w:hint="default"/>
                <w:sz w:val="18"/>
                <w:szCs w:val="18"/>
              </w:rPr>
              <w:t>106,813,996</w:t>
            </w:r>
            <w:r>
              <w:rPr>
                <w:rFonts w:ascii="宋体" w:hAnsi="宋体" w:cs="宋体" w:eastAsia="宋体" w:hint="default"/>
                <w:spacing w:val="-88"/>
                <w:sz w:val="18"/>
                <w:szCs w:val="18"/>
              </w:rPr>
              <w:t> </w:t>
            </w:r>
            <w:r>
              <w:rPr>
                <w:rFonts w:ascii="宋体" w:hAnsi="宋体" w:cs="宋体" w:eastAsia="宋体" w:hint="default"/>
                <w:sz w:val="18"/>
                <w:szCs w:val="18"/>
              </w:rPr>
              <w:t>股份购买相关资产；</w:t>
            </w:r>
            <w:r>
              <w:rPr>
                <w:rFonts w:ascii="宋体" w:hAnsi="宋体" w:cs="宋体" w:eastAsia="宋体" w:hint="default"/>
                <w:sz w:val="18"/>
                <w:szCs w:val="18"/>
              </w:rPr>
              <w:t>2</w:t>
            </w:r>
            <w:r>
              <w:rPr>
                <w:rFonts w:ascii="宋体" w:hAnsi="宋体" w:cs="宋体" w:eastAsia="宋体" w:hint="default"/>
                <w:sz w:val="18"/>
                <w:szCs w:val="18"/>
              </w:rPr>
              <w:t>、报告期公司证券发行情况见本报告第五章第二节“重大资产收购情况”的内容。</w:t>
            </w:r>
          </w:p>
        </w:tc>
      </w:tr>
    </w:tbl>
    <w:p>
      <w:pPr>
        <w:spacing w:line="240" w:lineRule="auto" w:before="6"/>
        <w:rPr>
          <w:rFonts w:ascii="宋体" w:hAnsi="宋体" w:cs="宋体" w:eastAsia="宋体" w:hint="default"/>
          <w:sz w:val="29"/>
          <w:szCs w:val="29"/>
        </w:rPr>
      </w:pPr>
    </w:p>
    <w:p>
      <w:pPr>
        <w:pStyle w:val="BodyText"/>
        <w:spacing w:line="273" w:lineRule="auto" w:before="35"/>
        <w:ind w:right="1175" w:firstLine="420"/>
        <w:jc w:val="left"/>
      </w:pPr>
      <w:r>
        <w:rPr>
          <w:spacing w:val="-1"/>
        </w:rPr>
        <w:t>除上表列示的非公开发行外，公司没有包括普通股股票、可转换公司债券、分离交易的可转换公司</w:t>
      </w:r>
      <w:r>
        <w:rPr/>
        <w:t> 债券、公司债券及其他衍生证券的发行事项。</w:t>
      </w:r>
    </w:p>
    <w:p>
      <w:pPr>
        <w:pStyle w:val="BodyText"/>
        <w:spacing w:line="240" w:lineRule="auto"/>
        <w:ind w:left="930" w:right="41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公司股份总数及股东结构的变动、公司资产和负债结构的变动情况说明</w:t>
      </w:r>
    </w:p>
    <w:p>
      <w:pPr>
        <w:pStyle w:val="BodyText"/>
        <w:spacing w:line="240" w:lineRule="auto" w:before="37"/>
        <w:ind w:left="824" w:right="418"/>
        <w:jc w:val="left"/>
      </w:pPr>
      <w:r>
        <w:rPr/>
        <w:t>因 </w:t>
      </w:r>
      <w:r>
        <w:rPr>
          <w:rFonts w:ascii="宋体" w:hAnsi="宋体" w:cs="宋体" w:eastAsia="宋体" w:hint="default"/>
        </w:rPr>
        <w:t>2014</w:t>
      </w:r>
      <w:r>
        <w:rPr>
          <w:rFonts w:ascii="宋体" w:hAnsi="宋体" w:cs="宋体" w:eastAsia="宋体" w:hint="default"/>
          <w:spacing w:val="-43"/>
        </w:rPr>
        <w:t> </w:t>
      </w:r>
      <w:r>
        <w:rPr/>
        <w:t>年重组</w:t>
      </w:r>
      <w:r>
        <w:rPr>
          <w:rFonts w:ascii="宋体" w:hAnsi="宋体" w:cs="宋体" w:eastAsia="宋体" w:hint="default"/>
        </w:rPr>
        <w:t>(</w:t>
      </w:r>
      <w:r>
        <w:rPr/>
        <w:t>相关内容见本报告第五章第二节“重大资产收购情况”</w:t>
      </w:r>
      <w:r>
        <w:rPr>
          <w:rFonts w:ascii="宋体" w:hAnsi="宋体" w:cs="宋体" w:eastAsia="宋体" w:hint="default"/>
        </w:rPr>
        <w:t>)</w:t>
      </w:r>
      <w:r>
        <w:rPr/>
        <w:t>，公司向鹰溪谷、博升优</w:t>
      </w:r>
    </w:p>
    <w:p>
      <w:pPr>
        <w:pStyle w:val="BodyText"/>
        <w:spacing w:line="240" w:lineRule="auto" w:before="37"/>
        <w:ind w:right="418"/>
        <w:jc w:val="left"/>
      </w:pPr>
      <w:r>
        <w:rPr/>
        <w:t>势、峰幽投资非公开发行股份</w:t>
      </w:r>
      <w:r>
        <w:rPr>
          <w:spacing w:val="-74"/>
        </w:rPr>
        <w:t> </w:t>
      </w:r>
      <w:r>
        <w:rPr>
          <w:rFonts w:ascii="宋体" w:hAnsi="宋体" w:cs="宋体" w:eastAsia="宋体" w:hint="default"/>
        </w:rPr>
        <w:t>176,305,222</w:t>
      </w:r>
      <w:r>
        <w:rPr>
          <w:rFonts w:ascii="宋体" w:hAnsi="宋体" w:cs="宋体" w:eastAsia="宋体" w:hint="default"/>
          <w:spacing w:val="-74"/>
        </w:rPr>
        <w:t> </w:t>
      </w:r>
      <w:r>
        <w:rPr/>
        <w:t>股引起公司股份总数及股东结构的变动、公司资产和负债结</w:t>
      </w:r>
    </w:p>
    <w:p>
      <w:pPr>
        <w:pStyle w:val="BodyText"/>
        <w:spacing w:line="240" w:lineRule="auto" w:before="37"/>
        <w:ind w:right="418"/>
        <w:jc w:val="left"/>
      </w:pPr>
      <w:r>
        <w:rPr>
          <w:spacing w:val="-4"/>
        </w:rPr>
        <w:t>构的变动。公司股份总数由期初的</w:t>
      </w:r>
      <w:r>
        <w:rPr>
          <w:spacing w:val="-51"/>
        </w:rPr>
        <w:t> </w:t>
      </w:r>
      <w:r>
        <w:rPr>
          <w:rFonts w:ascii="宋体" w:hAnsi="宋体" w:cs="宋体" w:eastAsia="宋体" w:hint="default"/>
        </w:rPr>
        <w:t>445,521,564</w:t>
      </w:r>
      <w:r>
        <w:rPr>
          <w:rFonts w:ascii="宋体" w:hAnsi="宋体" w:cs="宋体" w:eastAsia="宋体" w:hint="default"/>
          <w:spacing w:val="-50"/>
        </w:rPr>
        <w:t> </w:t>
      </w:r>
      <w:r>
        <w:rPr/>
        <w:t>股变为期末的</w:t>
      </w:r>
      <w:r>
        <w:rPr>
          <w:spacing w:val="-51"/>
        </w:rPr>
        <w:t> </w:t>
      </w:r>
      <w:r>
        <w:rPr>
          <w:rFonts w:ascii="宋体" w:hAnsi="宋体" w:cs="宋体" w:eastAsia="宋体" w:hint="default"/>
        </w:rPr>
        <w:t>621,826,786</w:t>
      </w:r>
      <w:r>
        <w:rPr>
          <w:rFonts w:ascii="宋体" w:hAnsi="宋体" w:cs="宋体" w:eastAsia="宋体" w:hint="default"/>
          <w:spacing w:val="-51"/>
        </w:rPr>
        <w:t> </w:t>
      </w:r>
      <w:r>
        <w:rPr>
          <w:spacing w:val="-12"/>
        </w:rPr>
        <w:t>股，持股</w:t>
      </w:r>
      <w:r>
        <w:rPr>
          <w:spacing w:val="-51"/>
        </w:rPr>
        <w:t> </w:t>
      </w:r>
      <w:r>
        <w:rPr>
          <w:rFonts w:ascii="宋体" w:hAnsi="宋体" w:cs="宋体" w:eastAsia="宋体" w:hint="default"/>
        </w:rPr>
        <w:t>5%</w:t>
      </w:r>
      <w:r>
        <w:rPr/>
        <w:t>以上的股东由上</w:t>
      </w:r>
    </w:p>
    <w:p>
      <w:pPr>
        <w:pStyle w:val="BodyText"/>
        <w:spacing w:line="240" w:lineRule="auto" w:before="37"/>
        <w:ind w:right="418"/>
        <w:jc w:val="left"/>
        <w:rPr>
          <w:rFonts w:ascii="宋体" w:hAnsi="宋体" w:cs="宋体" w:eastAsia="宋体" w:hint="default"/>
        </w:rPr>
      </w:pPr>
      <w:r>
        <w:rPr/>
        <w:t>年的</w:t>
      </w:r>
      <w:r>
        <w:rPr>
          <w:spacing w:val="-74"/>
        </w:rPr>
        <w:t> </w:t>
      </w:r>
      <w:r>
        <w:rPr>
          <w:rFonts w:ascii="宋体" w:hAnsi="宋体" w:cs="宋体" w:eastAsia="宋体" w:hint="default"/>
        </w:rPr>
        <w:t>1</w:t>
      </w:r>
      <w:r>
        <w:rPr>
          <w:rFonts w:ascii="宋体" w:hAnsi="宋体" w:cs="宋体" w:eastAsia="宋体" w:hint="default"/>
          <w:spacing w:val="-74"/>
        </w:rPr>
        <w:t> </w:t>
      </w:r>
      <w:r>
        <w:rPr/>
        <w:t>户增</w:t>
      </w:r>
      <w:r>
        <w:rPr>
          <w:spacing w:val="-2"/>
        </w:rPr>
        <w:t>加</w:t>
      </w:r>
      <w:r>
        <w:rPr/>
        <w:t>为本年的</w:t>
      </w:r>
      <w:r>
        <w:rPr>
          <w:spacing w:val="-74"/>
        </w:rPr>
        <w:t> </w:t>
      </w:r>
      <w:r>
        <w:rPr>
          <w:rFonts w:ascii="宋体" w:hAnsi="宋体" w:cs="宋体" w:eastAsia="宋体" w:hint="default"/>
        </w:rPr>
        <w:t>2</w:t>
      </w:r>
      <w:r>
        <w:rPr>
          <w:rFonts w:ascii="宋体" w:hAnsi="宋体" w:cs="宋体" w:eastAsia="宋体" w:hint="default"/>
          <w:spacing w:val="-74"/>
        </w:rPr>
        <w:t> </w:t>
      </w:r>
      <w:r>
        <w:rPr>
          <w:spacing w:val="-2"/>
        </w:rPr>
        <w:t>户</w:t>
      </w:r>
      <w:r>
        <w:rPr>
          <w:spacing w:val="-105"/>
        </w:rPr>
        <w:t>。</w:t>
      </w:r>
      <w:r>
        <w:rPr/>
        <w:t>因</w:t>
      </w:r>
      <w:r>
        <w:rPr>
          <w:spacing w:val="-74"/>
        </w:rPr>
        <w:t> </w:t>
      </w:r>
      <w:r>
        <w:rPr>
          <w:rFonts w:ascii="宋体" w:hAnsi="宋体" w:cs="宋体" w:eastAsia="宋体" w:hint="default"/>
        </w:rPr>
        <w:t>2014</w:t>
      </w:r>
      <w:r>
        <w:rPr>
          <w:rFonts w:ascii="宋体" w:hAnsi="宋体" w:cs="宋体" w:eastAsia="宋体" w:hint="default"/>
          <w:spacing w:val="-74"/>
        </w:rPr>
        <w:t> </w:t>
      </w:r>
      <w:r>
        <w:rPr/>
        <w:t>年</w:t>
      </w:r>
      <w:r>
        <w:rPr>
          <w:spacing w:val="-2"/>
        </w:rPr>
        <w:t>重</w:t>
      </w:r>
      <w:r>
        <w:rPr/>
        <w:t>组</w:t>
      </w:r>
      <w:r>
        <w:rPr>
          <w:spacing w:val="-104"/>
        </w:rPr>
        <w:t>，</w:t>
      </w:r>
      <w:r>
        <w:rPr/>
        <w:t>本期增</w:t>
      </w:r>
      <w:r>
        <w:rPr>
          <w:spacing w:val="-2"/>
        </w:rPr>
        <w:t>加</w:t>
      </w:r>
      <w:r>
        <w:rPr/>
        <w:t>公司总资产</w:t>
      </w:r>
      <w:r>
        <w:rPr>
          <w:spacing w:val="-74"/>
        </w:rPr>
        <w:t> </w:t>
      </w:r>
      <w:r>
        <w:rPr>
          <w:rFonts w:ascii="宋体" w:hAnsi="宋体" w:cs="宋体" w:eastAsia="宋体" w:hint="default"/>
          <w:spacing w:val="-1"/>
        </w:rPr>
        <w:t>9</w:t>
      </w:r>
      <w:r>
        <w:rPr>
          <w:rFonts w:ascii="宋体" w:hAnsi="宋体" w:cs="宋体" w:eastAsia="宋体" w:hint="default"/>
        </w:rPr>
        <w:t>7</w:t>
      </w:r>
      <w:r>
        <w:rPr>
          <w:rFonts w:ascii="宋体" w:hAnsi="宋体" w:cs="宋体" w:eastAsia="宋体" w:hint="default"/>
          <w:spacing w:val="-1"/>
        </w:rPr>
        <w:t>,</w:t>
      </w:r>
      <w:r>
        <w:rPr>
          <w:rFonts w:ascii="宋体" w:hAnsi="宋体" w:cs="宋体" w:eastAsia="宋体" w:hint="default"/>
        </w:rPr>
        <w:t>618</w:t>
      </w:r>
      <w:r>
        <w:rPr>
          <w:rFonts w:ascii="宋体" w:hAnsi="宋体" w:cs="宋体" w:eastAsia="宋体" w:hint="default"/>
          <w:spacing w:val="-1"/>
        </w:rPr>
        <w:t>.</w:t>
      </w:r>
      <w:r>
        <w:rPr>
          <w:rFonts w:ascii="宋体" w:hAnsi="宋体" w:cs="宋体" w:eastAsia="宋体" w:hint="default"/>
        </w:rPr>
        <w:t>99</w:t>
      </w:r>
      <w:r>
        <w:rPr>
          <w:rFonts w:ascii="宋体" w:hAnsi="宋体" w:cs="宋体" w:eastAsia="宋体" w:hint="default"/>
          <w:spacing w:val="-73"/>
        </w:rPr>
        <w:t> </w:t>
      </w:r>
      <w:r>
        <w:rPr>
          <w:spacing w:val="-2"/>
        </w:rPr>
        <w:t>万</w:t>
      </w:r>
      <w:r>
        <w:rPr/>
        <w:t>元</w:t>
      </w:r>
      <w:r>
        <w:rPr>
          <w:spacing w:val="-105"/>
        </w:rPr>
        <w:t>，</w:t>
      </w:r>
      <w:r>
        <w:rPr/>
        <w:t>增加净</w:t>
      </w:r>
      <w:r>
        <w:rPr>
          <w:spacing w:val="-2"/>
        </w:rPr>
        <w:t>资</w:t>
      </w:r>
      <w:r>
        <w:rPr/>
        <w:t>产</w:t>
      </w:r>
      <w:r>
        <w:rPr>
          <w:spacing w:val="-74"/>
        </w:rPr>
        <w:t> </w:t>
      </w:r>
      <w:r>
        <w:rPr>
          <w:rFonts w:ascii="宋体" w:hAnsi="宋体" w:cs="宋体" w:eastAsia="宋体" w:hint="default"/>
        </w:rPr>
        <w:t>8</w:t>
      </w:r>
      <w:r>
        <w:rPr>
          <w:rFonts w:ascii="宋体" w:hAnsi="宋体" w:cs="宋体" w:eastAsia="宋体" w:hint="default"/>
          <w:spacing w:val="-1"/>
        </w:rPr>
        <w:t>8</w:t>
      </w:r>
      <w:r>
        <w:rPr>
          <w:rFonts w:ascii="宋体" w:hAnsi="宋体" w:cs="宋体" w:eastAsia="宋体" w:hint="default"/>
        </w:rPr>
        <w:t>,52</w:t>
      </w:r>
      <w:r>
        <w:rPr>
          <w:rFonts w:ascii="宋体" w:hAnsi="宋体" w:cs="宋体" w:eastAsia="宋体" w:hint="default"/>
          <w:spacing w:val="-1"/>
        </w:rPr>
        <w:t>7</w:t>
      </w:r>
      <w:r>
        <w:rPr>
          <w:rFonts w:ascii="宋体" w:hAnsi="宋体" w:cs="宋体" w:eastAsia="宋体" w:hint="default"/>
        </w:rPr>
        <w:t>.</w:t>
      </w:r>
      <w:r>
        <w:rPr>
          <w:rFonts w:ascii="宋体" w:hAnsi="宋体" w:cs="宋体" w:eastAsia="宋体" w:hint="default"/>
          <w:spacing w:val="-1"/>
        </w:rPr>
        <w:t>4</w:t>
      </w:r>
      <w:r>
        <w:rPr>
          <w:rFonts w:ascii="宋体" w:hAnsi="宋体" w:cs="宋体" w:eastAsia="宋体" w:hint="default"/>
        </w:rPr>
        <w:t>1</w:t>
      </w:r>
    </w:p>
    <w:p>
      <w:pPr>
        <w:pStyle w:val="BodyText"/>
        <w:spacing w:line="240" w:lineRule="auto" w:before="37"/>
        <w:ind w:right="5945"/>
        <w:jc w:val="left"/>
      </w:pPr>
      <w:r>
        <w:rPr/>
        <w:t>万元，增加负债总额</w:t>
      </w:r>
      <w:r>
        <w:rPr>
          <w:spacing w:val="-52"/>
        </w:rPr>
        <w:t> </w:t>
      </w:r>
      <w:r>
        <w:rPr>
          <w:rFonts w:ascii="宋体" w:hAnsi="宋体" w:cs="宋体" w:eastAsia="宋体" w:hint="default"/>
        </w:rPr>
        <w:t>9,091.58</w:t>
      </w:r>
      <w:r>
        <w:rPr>
          <w:rFonts w:ascii="宋体" w:hAnsi="宋体" w:cs="宋体" w:eastAsia="宋体" w:hint="default"/>
          <w:spacing w:val="-53"/>
        </w:rPr>
        <w:t> </w:t>
      </w:r>
      <w:r>
        <w:rPr/>
        <w:t>万元。</w:t>
      </w:r>
    </w:p>
    <w:p>
      <w:pPr>
        <w:pStyle w:val="BodyText"/>
        <w:spacing w:line="273" w:lineRule="auto" w:before="37"/>
        <w:ind w:right="1186" w:firstLine="420"/>
        <w:jc w:val="both"/>
      </w:pPr>
      <w:r>
        <w:rPr/>
        <w:t>除 </w:t>
      </w:r>
      <w:r>
        <w:rPr>
          <w:rFonts w:ascii="宋体" w:hAnsi="宋体" w:cs="宋体" w:eastAsia="宋体" w:hint="default"/>
        </w:rPr>
        <w:t>2014</w:t>
      </w:r>
      <w:r>
        <w:rPr>
          <w:rFonts w:ascii="宋体" w:hAnsi="宋体" w:cs="宋体" w:eastAsia="宋体" w:hint="default"/>
          <w:spacing w:val="-41"/>
        </w:rPr>
        <w:t> </w:t>
      </w:r>
      <w:r>
        <w:rPr/>
        <w:t>年非公开发行股票外，报告期内，公司没有因送股、转增股本、配股、增发新股、权证行 </w:t>
      </w:r>
      <w:r>
        <w:rPr>
          <w:spacing w:val="-1"/>
        </w:rPr>
        <w:t>权、实施股权激励计划、企业合并、可转换公司债券转股、减资、内部职工股上市、债券发行事项引起</w:t>
      </w:r>
      <w:r>
        <w:rPr>
          <w:spacing w:val="-103"/>
        </w:rPr>
        <w:t> </w:t>
      </w:r>
      <w:r>
        <w:rPr>
          <w:spacing w:val="-103"/>
        </w:rPr>
      </w:r>
      <w:r>
        <w:rPr/>
        <w:t>的公司股份总数和股东结构的变动、公司资产和负债结构的变动。</w:t>
      </w:r>
    </w:p>
    <w:p>
      <w:pPr>
        <w:pStyle w:val="BodyText"/>
        <w:spacing w:line="240" w:lineRule="auto" w:before="163"/>
        <w:ind w:left="824" w:right="5945"/>
        <w:jc w:val="left"/>
      </w:pPr>
      <w:r>
        <w:rPr/>
        <w:t>公司内部职工股已于</w:t>
      </w:r>
      <w:r>
        <w:rPr>
          <w:spacing w:val="-54"/>
        </w:rPr>
        <w:t> </w:t>
      </w:r>
      <w:r>
        <w:rPr>
          <w:rFonts w:ascii="宋体" w:hAnsi="宋体" w:cs="宋体" w:eastAsia="宋体" w:hint="default"/>
        </w:rPr>
        <w:t>2000</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月上市。</w:t>
      </w:r>
    </w:p>
    <w:p>
      <w:pPr>
        <w:spacing w:line="240" w:lineRule="auto" w:before="9"/>
        <w:rPr>
          <w:rFonts w:ascii="宋体" w:hAnsi="宋体" w:cs="宋体" w:eastAsia="宋体" w:hint="default"/>
          <w:sz w:val="26"/>
          <w:szCs w:val="26"/>
        </w:rPr>
      </w:pPr>
    </w:p>
    <w:p>
      <w:pPr>
        <w:pStyle w:val="Heading3"/>
        <w:tabs>
          <w:tab w:pos="843" w:val="left" w:leader="none"/>
        </w:tabs>
        <w:spacing w:line="240" w:lineRule="auto" w:before="0"/>
        <w:ind w:left="0" w:right="783"/>
        <w:jc w:val="center"/>
        <w:rPr>
          <w:b w:val="0"/>
          <w:bCs w:val="0"/>
        </w:rPr>
      </w:pPr>
      <w:r>
        <w:rPr>
          <w:w w:val="95"/>
        </w:rPr>
        <w:t>第二节</w:t>
        <w:tab/>
      </w:r>
      <w:r>
        <w:rPr/>
        <w:t>股东和实际控制人情况</w:t>
      </w:r>
      <w:r>
        <w:rPr>
          <w:b w:val="0"/>
          <w:bCs w:val="0"/>
        </w:rPr>
      </w:r>
    </w:p>
    <w:p>
      <w:pPr>
        <w:spacing w:line="240" w:lineRule="auto" w:before="9"/>
        <w:rPr>
          <w:rFonts w:ascii="宋体" w:hAnsi="宋体" w:cs="宋体" w:eastAsia="宋体" w:hint="default"/>
          <w:b/>
          <w:bCs/>
          <w:sz w:val="26"/>
          <w:szCs w:val="26"/>
        </w:rPr>
      </w:pPr>
    </w:p>
    <w:p>
      <w:pPr>
        <w:spacing w:before="0"/>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一、公司股东数量及持股情况</w:t>
      </w:r>
      <w:r>
        <w:rPr>
          <w:rFonts w:ascii="宋体" w:hAnsi="宋体" w:cs="宋体" w:eastAsia="宋体" w:hint="default"/>
          <w:sz w:val="21"/>
          <w:szCs w:val="21"/>
        </w:rPr>
      </w:r>
    </w:p>
    <w:p>
      <w:pPr>
        <w:pStyle w:val="BodyText"/>
        <w:spacing w:line="240" w:lineRule="auto" w:before="37"/>
        <w:ind w:left="824" w:right="5945"/>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公司股东数量及持股情况表</w:t>
      </w:r>
      <w:r>
        <w:rPr>
          <w:rFonts w:ascii="宋体" w:hAnsi="宋体" w:cs="宋体" w:eastAsia="宋体" w:hint="default"/>
        </w:rPr>
        <w:t>(</w:t>
      </w:r>
      <w:r>
        <w:rPr/>
        <w:t>单位：股</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45"/>
        <w:gridCol w:w="1134"/>
        <w:gridCol w:w="708"/>
        <w:gridCol w:w="1134"/>
        <w:gridCol w:w="994"/>
        <w:gridCol w:w="140"/>
        <w:gridCol w:w="994"/>
        <w:gridCol w:w="139"/>
        <w:gridCol w:w="1205"/>
        <w:gridCol w:w="966"/>
        <w:gridCol w:w="666"/>
      </w:tblGrid>
      <w:tr>
        <w:trPr>
          <w:trHeight w:val="53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报告期末普通股股东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24,039</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6"/>
                <w:sz w:val="18"/>
                <w:szCs w:val="18"/>
              </w:rPr>
              <w:t>年度报告披露日前第五个交易日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末普通股股东总数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1" w:right="0"/>
              <w:jc w:val="left"/>
              <w:rPr>
                <w:rFonts w:ascii="宋体" w:hAnsi="宋体" w:cs="宋体" w:eastAsia="宋体" w:hint="default"/>
                <w:sz w:val="18"/>
                <w:szCs w:val="18"/>
              </w:rPr>
            </w:pPr>
            <w:r>
              <w:rPr>
                <w:rFonts w:ascii="宋体" w:hAnsi="宋体" w:cs="宋体" w:eastAsia="宋体" w:hint="default"/>
                <w:sz w:val="18"/>
                <w:szCs w:val="18"/>
              </w:rPr>
              <w:t>24,201</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2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137"/>
              <w:jc w:val="left"/>
              <w:rPr>
                <w:rFonts w:ascii="宋体" w:hAnsi="宋体" w:cs="宋体" w:eastAsia="宋体" w:hint="default"/>
                <w:sz w:val="18"/>
                <w:szCs w:val="18"/>
              </w:rPr>
            </w:pPr>
            <w:r>
              <w:rPr>
                <w:rFonts w:ascii="宋体" w:hAnsi="宋体" w:cs="宋体" w:eastAsia="宋体" w:hint="default"/>
                <w:spacing w:val="7"/>
                <w:sz w:val="18"/>
                <w:szCs w:val="18"/>
              </w:rPr>
              <w:t>报告期末表决权恢复的优 </w:t>
            </w:r>
            <w:r>
              <w:rPr>
                <w:rFonts w:ascii="宋体" w:hAnsi="宋体" w:cs="宋体" w:eastAsia="宋体" w:hint="default"/>
                <w:sz w:val="18"/>
                <w:szCs w:val="18"/>
              </w:rPr>
              <w:t>先股股东总数</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0" w:right="0"/>
              <w:jc w:val="left"/>
              <w:rPr>
                <w:rFonts w:ascii="宋体" w:hAnsi="宋体" w:cs="宋体" w:eastAsia="宋体" w:hint="default"/>
                <w:sz w:val="18"/>
                <w:szCs w:val="18"/>
              </w:rPr>
            </w:pPr>
            <w:r>
              <w:rPr>
                <w:rFonts w:ascii="宋体"/>
                <w:sz w:val="18"/>
              </w:rPr>
              <w:t>0</w:t>
            </w:r>
          </w:p>
        </w:tc>
      </w:tr>
      <w:tr>
        <w:trPr>
          <w:trHeight w:val="414" w:hRule="exact"/>
        </w:trPr>
        <w:tc>
          <w:tcPr>
            <w:tcW w:w="99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90" w:right="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12"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tcPr>
          <w:p>
            <w:pPr>
              <w:pStyle w:val="TableParagraph"/>
              <w:spacing w:line="237" w:lineRule="auto" w:before="10"/>
              <w:ind w:left="169" w:right="167"/>
              <w:jc w:val="both"/>
              <w:rPr>
                <w:rFonts w:ascii="宋体" w:hAnsi="宋体" w:cs="宋体" w:eastAsia="宋体" w:hint="default"/>
                <w:sz w:val="18"/>
                <w:szCs w:val="18"/>
              </w:rPr>
            </w:pPr>
            <w:r>
              <w:rPr>
                <w:rFonts w:ascii="宋体" w:hAnsi="宋体" w:cs="宋体" w:eastAsia="宋体" w:hint="default"/>
                <w:sz w:val="18"/>
                <w:szCs w:val="18"/>
              </w:rPr>
              <w:t>持股 比例 </w:t>
            </w:r>
            <w:r>
              <w:rPr>
                <w:rFonts w:ascii="宋体" w:hAnsi="宋体" w:cs="宋体" w:eastAsia="宋体" w:hint="default"/>
                <w:sz w:val="18"/>
                <w:szCs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87"/>
              <w:ind w:left="103" w:right="95"/>
              <w:jc w:val="left"/>
              <w:rPr>
                <w:rFonts w:ascii="宋体" w:hAnsi="宋体" w:cs="宋体" w:eastAsia="宋体" w:hint="default"/>
                <w:sz w:val="18"/>
                <w:szCs w:val="18"/>
              </w:rPr>
            </w:pPr>
            <w:r>
              <w:rPr>
                <w:rFonts w:ascii="宋体" w:hAnsi="宋体" w:cs="宋体" w:eastAsia="宋体" w:hint="default"/>
                <w:spacing w:val="4"/>
                <w:sz w:val="18"/>
                <w:szCs w:val="18"/>
              </w:rPr>
              <w:t>报告期末持 </w:t>
            </w:r>
            <w:r>
              <w:rPr>
                <w:rFonts w:ascii="宋体" w:hAnsi="宋体" w:cs="宋体" w:eastAsia="宋体" w:hint="default"/>
                <w:sz w:val="18"/>
                <w:szCs w:val="18"/>
              </w:rPr>
              <w:t>股总数</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237" w:lineRule="auto" w:before="10"/>
              <w:ind w:left="103" w:right="95"/>
              <w:jc w:val="both"/>
              <w:rPr>
                <w:rFonts w:ascii="宋体" w:hAnsi="宋体" w:cs="宋体" w:eastAsia="宋体" w:hint="default"/>
                <w:sz w:val="18"/>
                <w:szCs w:val="18"/>
              </w:rPr>
            </w:pPr>
            <w:r>
              <w:rPr>
                <w:rFonts w:ascii="宋体" w:hAnsi="宋体" w:cs="宋体" w:eastAsia="宋体" w:hint="default"/>
                <w:spacing w:val="4"/>
                <w:sz w:val="18"/>
                <w:szCs w:val="18"/>
              </w:rPr>
              <w:t>报告期内持 股增减变动 </w:t>
            </w:r>
            <w:r>
              <w:rPr>
                <w:rFonts w:ascii="宋体" w:hAnsi="宋体" w:cs="宋体" w:eastAsia="宋体" w:hint="default"/>
                <w:sz w:val="18"/>
                <w:szCs w:val="18"/>
              </w:rPr>
              <w:t>情况</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18"/>
                <w:szCs w:val="18"/>
              </w:rPr>
            </w:pPr>
            <w:r>
              <w:rPr>
                <w:rFonts w:ascii="宋体" w:hAnsi="宋体" w:cs="宋体" w:eastAsia="宋体" w:hint="default"/>
                <w:spacing w:val="3"/>
                <w:sz w:val="18"/>
                <w:szCs w:val="18"/>
              </w:rPr>
              <w:t>持有有限售</w:t>
            </w:r>
            <w:r>
              <w:rPr>
                <w:rFonts w:ascii="宋体" w:hAnsi="宋体" w:cs="宋体" w:eastAsia="宋体" w:hint="default"/>
                <w:sz w:val="18"/>
                <w:szCs w:val="18"/>
              </w:rPr>
              <w:t> </w:t>
            </w:r>
            <w:r>
              <w:rPr>
                <w:rFonts w:ascii="宋体" w:hAnsi="宋体" w:cs="宋体" w:eastAsia="宋体" w:hint="default"/>
                <w:spacing w:val="3"/>
                <w:sz w:val="18"/>
                <w:szCs w:val="18"/>
              </w:rPr>
              <w:t>条件股份数</w:t>
            </w:r>
            <w:r>
              <w:rPr>
                <w:rFonts w:ascii="宋体" w:hAnsi="宋体" w:cs="宋体" w:eastAsia="宋体" w:hint="default"/>
                <w:sz w:val="18"/>
                <w:szCs w:val="18"/>
              </w:rPr>
              <w:t> 量</w:t>
            </w:r>
          </w:p>
        </w:tc>
        <w:tc>
          <w:tcPr>
            <w:tcW w:w="1205" w:type="dxa"/>
            <w:vMerge w:val="restart"/>
            <w:tcBorders>
              <w:top w:val="single" w:sz="4" w:space="0" w:color="000000"/>
              <w:left w:val="single" w:sz="4" w:space="0" w:color="000000"/>
              <w:right w:val="single" w:sz="4" w:space="0" w:color="000000"/>
            </w:tcBorders>
          </w:tcPr>
          <w:p>
            <w:pPr>
              <w:pStyle w:val="TableParagraph"/>
              <w:spacing w:line="237" w:lineRule="auto" w:before="10"/>
              <w:ind w:left="103" w:right="83"/>
              <w:jc w:val="both"/>
              <w:rPr>
                <w:rFonts w:ascii="宋体" w:hAnsi="宋体" w:cs="宋体" w:eastAsia="宋体" w:hint="default"/>
                <w:sz w:val="18"/>
                <w:szCs w:val="18"/>
              </w:rPr>
            </w:pPr>
            <w:r>
              <w:rPr>
                <w:rFonts w:ascii="宋体" w:hAnsi="宋体" w:cs="宋体" w:eastAsia="宋体" w:hint="default"/>
                <w:spacing w:val="16"/>
                <w:sz w:val="18"/>
                <w:szCs w:val="18"/>
              </w:rPr>
              <w:t>持有无限售</w:t>
            </w:r>
            <w:r>
              <w:rPr>
                <w:rFonts w:ascii="宋体" w:hAnsi="宋体" w:cs="宋体" w:eastAsia="宋体" w:hint="default"/>
                <w:spacing w:val="-86"/>
                <w:sz w:val="18"/>
                <w:szCs w:val="18"/>
              </w:rPr>
              <w:t> </w:t>
            </w:r>
            <w:r>
              <w:rPr>
                <w:rFonts w:ascii="宋体" w:hAnsi="宋体" w:cs="宋体" w:eastAsia="宋体" w:hint="default"/>
                <w:spacing w:val="16"/>
                <w:sz w:val="18"/>
                <w:szCs w:val="18"/>
              </w:rPr>
              <w:t>条件股份数</w:t>
            </w:r>
            <w:r>
              <w:rPr>
                <w:rFonts w:ascii="宋体" w:hAnsi="宋体" w:cs="宋体" w:eastAsia="宋体" w:hint="default"/>
                <w:spacing w:val="-86"/>
                <w:sz w:val="18"/>
                <w:szCs w:val="18"/>
              </w:rPr>
              <w:t> </w:t>
            </w:r>
            <w:r>
              <w:rPr>
                <w:rFonts w:ascii="宋体" w:hAnsi="宋体" w:cs="宋体" w:eastAsia="宋体" w:hint="default"/>
                <w:sz w:val="18"/>
                <w:szCs w:val="18"/>
              </w:rPr>
              <w:t>量</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74" w:hRule="exact"/>
        </w:trPr>
        <w:tc>
          <w:tcPr>
            <w:tcW w:w="184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50"/>
              <w:jc w:val="right"/>
              <w:rPr>
                <w:rFonts w:ascii="宋体" w:hAnsi="宋体" w:cs="宋体" w:eastAsia="宋体" w:hint="default"/>
                <w:sz w:val="18"/>
                <w:szCs w:val="18"/>
              </w:rPr>
            </w:pPr>
            <w:r>
              <w:rPr>
                <w:rFonts w:ascii="宋体" w:hAnsi="宋体" w:cs="宋体" w:eastAsia="宋体" w:hint="default"/>
                <w:sz w:val="18"/>
                <w:szCs w:val="18"/>
              </w:rPr>
              <w:t>数量</w:t>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中兆投资管理有限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9" w:right="0"/>
              <w:jc w:val="center"/>
              <w:rPr>
                <w:rFonts w:ascii="Calibri" w:hAnsi="Calibri" w:cs="Calibri" w:eastAsia="Calibri" w:hint="default"/>
                <w:sz w:val="16"/>
                <w:szCs w:val="16"/>
              </w:rPr>
            </w:pPr>
            <w:r>
              <w:rPr>
                <w:rFonts w:ascii="Calibri"/>
                <w:sz w:val="16"/>
              </w:rPr>
              <w:t>33.</w:t>
            </w:r>
            <w:r>
              <w:rPr>
                <w:rFonts w:ascii="Calibri"/>
                <w:spacing w:val="-4"/>
                <w:sz w:val="16"/>
              </w:rPr>
              <w:t> </w:t>
            </w:r>
            <w:r>
              <w:rPr>
                <w:rFonts w:ascii="Calibri"/>
                <w:sz w:val="16"/>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208,074,832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0" w:right="0"/>
              <w:jc w:val="left"/>
              <w:rPr>
                <w:rFonts w:ascii="Calibri" w:hAnsi="Calibri" w:cs="Calibri" w:eastAsia="Calibri" w:hint="default"/>
                <w:sz w:val="16"/>
                <w:szCs w:val="16"/>
              </w:rPr>
            </w:pPr>
            <w:r>
              <w:rPr>
                <w:rFonts w:ascii="Calibri"/>
                <w:sz w:val="16"/>
              </w:rPr>
              <w:t>106,813,996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spacing w:val="-1"/>
                <w:sz w:val="16"/>
              </w:rPr>
              <w:t>101,260,836</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
                <w:sz w:val="18"/>
                <w:szCs w:val="18"/>
              </w:rPr>
              <w:t> </w:t>
            </w:r>
            <w:r>
              <w:rPr>
                <w:rFonts w:ascii="宋体" w:hAnsi="宋体" w:cs="宋体" w:eastAsia="宋体" w:hint="default"/>
                <w:sz w:val="18"/>
                <w:szCs w:val="18"/>
              </w:rPr>
              <w:t>孝昌鹰溪谷投资中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27" w:right="0"/>
              <w:jc w:val="center"/>
              <w:rPr>
                <w:rFonts w:ascii="Calibri" w:hAnsi="Calibri" w:cs="Calibri" w:eastAsia="Calibri" w:hint="default"/>
                <w:sz w:val="16"/>
                <w:szCs w:val="16"/>
              </w:rPr>
            </w:pPr>
            <w:r>
              <w:rPr>
                <w:rFonts w:ascii="Calibri"/>
                <w:sz w:val="16"/>
              </w:rPr>
              <w:t>23.86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148,360,844</w:t>
            </w:r>
            <w:r>
              <w:rPr>
                <w:rFonts w:ascii="Calibri"/>
                <w:sz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1" w:right="0"/>
              <w:jc w:val="left"/>
              <w:rPr>
                <w:rFonts w:ascii="Calibri" w:hAnsi="Calibri" w:cs="Calibri" w:eastAsia="Calibri" w:hint="default"/>
                <w:sz w:val="16"/>
                <w:szCs w:val="16"/>
              </w:rPr>
            </w:pPr>
            <w:r>
              <w:rPr>
                <w:rFonts w:ascii="Calibri"/>
                <w:sz w:val="16"/>
              </w:rPr>
              <w:t>148,360,844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0" w:right="0"/>
              <w:jc w:val="left"/>
              <w:rPr>
                <w:rFonts w:ascii="Calibri" w:hAnsi="Calibri" w:cs="Calibri" w:eastAsia="Calibri" w:hint="default"/>
                <w:sz w:val="16"/>
                <w:szCs w:val="16"/>
              </w:rPr>
            </w:pPr>
            <w:r>
              <w:rPr>
                <w:rFonts w:ascii="Calibri"/>
                <w:sz w:val="16"/>
              </w:rPr>
              <w:t>148,360,844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
                <w:sz w:val="18"/>
                <w:szCs w:val="18"/>
              </w:rPr>
              <w:t> </w:t>
            </w:r>
            <w:r>
              <w:rPr>
                <w:rFonts w:ascii="宋体" w:hAnsi="宋体" w:cs="宋体" w:eastAsia="宋体" w:hint="default"/>
                <w:sz w:val="18"/>
                <w:szCs w:val="18"/>
              </w:rPr>
              <w:t>上海峰幽投资管理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8" w:right="0"/>
              <w:jc w:val="center"/>
              <w:rPr>
                <w:rFonts w:ascii="Calibri" w:hAnsi="Calibri" w:cs="Calibri" w:eastAsia="Calibri" w:hint="default"/>
                <w:sz w:val="16"/>
                <w:szCs w:val="16"/>
              </w:rPr>
            </w:pPr>
            <w:r>
              <w:rPr>
                <w:rFonts w:ascii="Calibri"/>
                <w:sz w:val="16"/>
              </w:rPr>
              <w:t>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Calibri" w:hAnsi="Calibri" w:cs="Calibri" w:eastAsia="Calibri" w:hint="default"/>
                <w:sz w:val="16"/>
                <w:szCs w:val="16"/>
              </w:rPr>
            </w:pPr>
            <w:r>
              <w:rPr>
                <w:rFonts w:ascii="Calibri"/>
                <w:spacing w:val="-1"/>
                <w:sz w:val="16"/>
              </w:rPr>
              <w:t>26,445,783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5" w:right="0"/>
              <w:jc w:val="left"/>
              <w:rPr>
                <w:rFonts w:ascii="Calibri" w:hAnsi="Calibri" w:cs="Calibri" w:eastAsia="Calibri" w:hint="default"/>
                <w:sz w:val="16"/>
                <w:szCs w:val="16"/>
              </w:rPr>
            </w:pPr>
            <w:r>
              <w:rPr>
                <w:rFonts w:ascii="Calibri"/>
                <w:sz w:val="16"/>
              </w:rPr>
              <w:t>26,445,783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3" w:right="0"/>
              <w:jc w:val="left"/>
              <w:rPr>
                <w:rFonts w:ascii="Calibri" w:hAnsi="Calibri" w:cs="Calibri" w:eastAsia="Calibri" w:hint="default"/>
                <w:sz w:val="16"/>
                <w:szCs w:val="16"/>
              </w:rPr>
            </w:pPr>
            <w:r>
              <w:rPr>
                <w:rFonts w:ascii="Calibri"/>
                <w:sz w:val="16"/>
              </w:rPr>
              <w:t>26,445,783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
                <w:sz w:val="18"/>
                <w:szCs w:val="18"/>
              </w:rPr>
              <w:t> </w:t>
            </w:r>
            <w:r>
              <w:rPr>
                <w:rFonts w:ascii="宋体" w:hAnsi="宋体" w:cs="宋体" w:eastAsia="宋体" w:hint="default"/>
                <w:sz w:val="18"/>
                <w:szCs w:val="18"/>
              </w:rPr>
              <w:t>全国社保基金一一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7" w:right="0"/>
              <w:jc w:val="center"/>
              <w:rPr>
                <w:rFonts w:ascii="Calibri" w:hAnsi="Calibri" w:cs="Calibri" w:eastAsia="Calibri" w:hint="default"/>
                <w:sz w:val="16"/>
                <w:szCs w:val="16"/>
              </w:rPr>
            </w:pPr>
            <w:r>
              <w:rPr>
                <w:rFonts w:ascii="Calibri"/>
                <w:sz w:val="16"/>
              </w:rPr>
              <w:t>2.85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17,706,239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6" w:right="0"/>
              <w:jc w:val="left"/>
              <w:rPr>
                <w:rFonts w:ascii="Calibri" w:hAnsi="Calibri" w:cs="Calibri" w:eastAsia="Calibri" w:hint="default"/>
                <w:sz w:val="16"/>
                <w:szCs w:val="16"/>
              </w:rPr>
            </w:pPr>
            <w:r>
              <w:rPr>
                <w:rFonts w:ascii="Calibri"/>
                <w:sz w:val="16"/>
              </w:rPr>
              <w:t>17,706,239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spacing w:val="-1"/>
                <w:sz w:val="16"/>
              </w:rPr>
              <w:t>17,706,239</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6"/>
                <w:sz w:val="18"/>
                <w:szCs w:val="18"/>
              </w:rPr>
              <w:t> </w:t>
            </w:r>
            <w:r>
              <w:rPr>
                <w:rFonts w:ascii="宋体" w:hAnsi="宋体" w:cs="宋体" w:eastAsia="宋体" w:hint="default"/>
                <w:sz w:val="18"/>
                <w:szCs w:val="18"/>
              </w:rPr>
              <w:t>秦皇岛市国有资产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8" w:right="0"/>
              <w:jc w:val="center"/>
              <w:rPr>
                <w:rFonts w:ascii="Calibri" w:hAnsi="Calibri" w:cs="Calibri" w:eastAsia="Calibri" w:hint="default"/>
                <w:sz w:val="16"/>
                <w:szCs w:val="16"/>
              </w:rPr>
            </w:pPr>
            <w:r>
              <w:rPr>
                <w:rFonts w:ascii="Calibri"/>
                <w:sz w:val="16"/>
              </w:rPr>
              <w:t>1.89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11,742,341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11,742,341</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71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7"/>
                <w:sz w:val="18"/>
                <w:szCs w:val="18"/>
              </w:rPr>
              <w:t> </w:t>
            </w:r>
            <w:r>
              <w:rPr>
                <w:rFonts w:ascii="宋体" w:hAnsi="宋体" w:cs="宋体" w:eastAsia="宋体" w:hint="default"/>
                <w:sz w:val="18"/>
                <w:szCs w:val="18"/>
              </w:rPr>
              <w:t>中国建设银行—华</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夏红利混合型开放式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证券投资基金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center"/>
              <w:rPr>
                <w:rFonts w:ascii="Calibri" w:hAnsi="Calibri" w:cs="Calibri" w:eastAsia="Calibri" w:hint="default"/>
                <w:sz w:val="16"/>
                <w:szCs w:val="16"/>
              </w:rPr>
            </w:pPr>
            <w:r>
              <w:rPr>
                <w:rFonts w:ascii="Calibri"/>
                <w:sz w:val="16"/>
              </w:rPr>
              <w:t>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6"/>
                <w:szCs w:val="16"/>
              </w:rPr>
            </w:pPr>
            <w:r>
              <w:rPr>
                <w:rFonts w:ascii="Calibri"/>
                <w:spacing w:val="-1"/>
                <w:sz w:val="16"/>
              </w:rPr>
              <w:t>6,835,210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3" w:right="0"/>
              <w:jc w:val="left"/>
              <w:rPr>
                <w:rFonts w:ascii="Calibri" w:hAnsi="Calibri" w:cs="Calibri" w:eastAsia="Calibri" w:hint="default"/>
                <w:sz w:val="16"/>
                <w:szCs w:val="16"/>
              </w:rPr>
            </w:pPr>
            <w:r>
              <w:rPr>
                <w:rFonts w:ascii="Calibri"/>
                <w:sz w:val="16"/>
              </w:rPr>
              <w:t>6,835,210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6"/>
                <w:szCs w:val="16"/>
              </w:rPr>
            </w:pPr>
            <w:r>
              <w:rPr>
                <w:rFonts w:ascii="Calibri"/>
                <w:spacing w:val="-1"/>
                <w:sz w:val="16"/>
              </w:rPr>
              <w:t>6,835,210</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戚石川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7" w:right="0"/>
              <w:jc w:val="center"/>
              <w:rPr>
                <w:rFonts w:ascii="Calibri" w:hAnsi="Calibri" w:cs="Calibri" w:eastAsia="Calibri" w:hint="default"/>
                <w:sz w:val="16"/>
                <w:szCs w:val="16"/>
              </w:rPr>
            </w:pPr>
            <w:r>
              <w:rPr>
                <w:rFonts w:ascii="Calibri"/>
                <w:sz w:val="16"/>
              </w:rPr>
              <w:t>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4,805,807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6" w:right="0"/>
              <w:jc w:val="left"/>
              <w:rPr>
                <w:rFonts w:ascii="Calibri" w:hAnsi="Calibri" w:cs="Calibri" w:eastAsia="Calibri" w:hint="default"/>
                <w:sz w:val="16"/>
                <w:szCs w:val="16"/>
              </w:rPr>
            </w:pPr>
            <w:r>
              <w:rPr>
                <w:rFonts w:ascii="Calibri"/>
                <w:sz w:val="16"/>
              </w:rPr>
              <w:t>4,805,807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spacing w:val="-1"/>
                <w:sz w:val="16"/>
              </w:rPr>
              <w:t>4,805,807</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蒋美</w:t>
            </w:r>
            <w:r>
              <w:rPr>
                <w:rFonts w:ascii="宋体" w:hAnsi="宋体" w:cs="宋体" w:eastAsia="宋体" w:hint="default"/>
                <w:sz w:val="18"/>
                <w:szCs w:val="18"/>
              </w:rPr>
              <w:t>(</w:t>
            </w:r>
            <w:r>
              <w:rPr>
                <w:rFonts w:ascii="宋体" w:hAnsi="宋体" w:cs="宋体" w:eastAsia="宋体" w:hint="default"/>
                <w:sz w:val="18"/>
                <w:szCs w:val="18"/>
              </w:rPr>
              <w:t>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8" w:right="0"/>
              <w:jc w:val="center"/>
              <w:rPr>
                <w:rFonts w:ascii="Calibri" w:hAnsi="Calibri" w:cs="Calibri" w:eastAsia="Calibri" w:hint="default"/>
                <w:sz w:val="16"/>
                <w:szCs w:val="16"/>
              </w:rPr>
            </w:pPr>
            <w:r>
              <w:rPr>
                <w:rFonts w:ascii="Calibri"/>
                <w:sz w:val="16"/>
              </w:rPr>
              <w:t>0.61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6"/>
                <w:szCs w:val="16"/>
              </w:rPr>
            </w:pPr>
            <w:r>
              <w:rPr>
                <w:rFonts w:ascii="Calibri"/>
                <w:spacing w:val="-1"/>
                <w:sz w:val="16"/>
              </w:rPr>
              <w:t>3,793,440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3" w:right="0"/>
              <w:jc w:val="left"/>
              <w:rPr>
                <w:rFonts w:ascii="Calibri" w:hAnsi="Calibri" w:cs="Calibri" w:eastAsia="Calibri" w:hint="default"/>
                <w:sz w:val="16"/>
                <w:szCs w:val="16"/>
              </w:rPr>
            </w:pPr>
            <w:r>
              <w:rPr>
                <w:rFonts w:ascii="Calibri"/>
                <w:sz w:val="16"/>
              </w:rPr>
              <w:t>3,793,440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16"/>
                <w:szCs w:val="16"/>
              </w:rPr>
            </w:pPr>
            <w:r>
              <w:rPr>
                <w:rFonts w:ascii="Calibri"/>
                <w:spacing w:val="-1"/>
                <w:sz w:val="16"/>
              </w:rPr>
              <w:t>3,793,440</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孙德庆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8" w:right="0"/>
              <w:jc w:val="center"/>
              <w:rPr>
                <w:rFonts w:ascii="Calibri" w:hAnsi="Calibri" w:cs="Calibri" w:eastAsia="Calibri" w:hint="default"/>
                <w:sz w:val="16"/>
                <w:szCs w:val="16"/>
              </w:rPr>
            </w:pPr>
            <w:r>
              <w:rPr>
                <w:rFonts w:ascii="Calibri"/>
                <w:sz w:val="16"/>
              </w:rPr>
              <w:t>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3,030,000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spacing w:val="-1"/>
                <w:sz w:val="16"/>
              </w:rPr>
              <w:t>3,030,000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娄美玉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8" w:right="0"/>
              <w:jc w:val="center"/>
              <w:rPr>
                <w:rFonts w:ascii="Calibri" w:hAnsi="Calibri" w:cs="Calibri" w:eastAsia="Calibri" w:hint="default"/>
                <w:sz w:val="16"/>
                <w:szCs w:val="16"/>
              </w:rPr>
            </w:pPr>
            <w:r>
              <w:rPr>
                <w:rFonts w:ascii="Calibri"/>
                <w:sz w:val="16"/>
              </w:rPr>
              <w:t>0.48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3,000,000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7" w:right="0"/>
              <w:jc w:val="left"/>
              <w:rPr>
                <w:rFonts w:ascii="Calibri" w:hAnsi="Calibri" w:cs="Calibri" w:eastAsia="Calibri" w:hint="default"/>
                <w:sz w:val="16"/>
                <w:szCs w:val="16"/>
              </w:rPr>
            </w:pPr>
            <w:r>
              <w:rPr>
                <w:rFonts w:ascii="宋体"/>
                <w:sz w:val="16"/>
              </w:rPr>
              <w:t>-</w:t>
            </w:r>
            <w:r>
              <w:rPr>
                <w:rFonts w:ascii="Calibri"/>
                <w:sz w:val="16"/>
              </w:rPr>
              <w:t>78,619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spacing w:val="-1"/>
                <w:sz w:val="16"/>
              </w:rPr>
              <w:t>3,000,000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8"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上述股东关联关系或是一致行动的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946"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和上海峰幽投资管理中心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r>
              <w:rPr>
                <w:rFonts w:ascii="宋体" w:hAnsi="宋体" w:cs="宋体" w:eastAsia="宋体" w:hint="default"/>
                <w:sz w:val="18"/>
                <w:szCs w:val="18"/>
              </w:rPr>
              <w:t>是一致行动人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外，未发现上述其他股东之间存在关联关系或是一致行动</w:t>
            </w:r>
          </w:p>
        </w:tc>
      </w:tr>
      <w:tr>
        <w:trPr>
          <w:trHeight w:val="396" w:hRule="exact"/>
        </w:trPr>
        <w:tc>
          <w:tcPr>
            <w:tcW w:w="99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宋体" w:hAnsi="宋体" w:cs="宋体" w:eastAsia="宋体" w:hint="default"/>
                <w:spacing w:val="-3"/>
                <w:sz w:val="18"/>
                <w:szCs w:val="18"/>
              </w:rPr>
              <w:t>10</w:t>
            </w:r>
            <w:r>
              <w:rPr>
                <w:rFonts w:ascii="宋体" w:hAnsi="宋体" w:cs="宋体" w:eastAsia="宋体" w:hint="default"/>
                <w:spacing w:val="-54"/>
                <w:sz w:val="18"/>
                <w:szCs w:val="18"/>
              </w:rPr>
              <w:t> </w:t>
            </w:r>
            <w:r>
              <w:rPr>
                <w:rFonts w:ascii="宋体" w:hAnsi="宋体" w:cs="宋体" w:eastAsia="宋体" w:hint="default"/>
                <w:spacing w:val="-12"/>
                <w:sz w:val="18"/>
                <w:szCs w:val="18"/>
              </w:rPr>
              <w:t>名无限售条件股东持股情况</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687"/>
        <w:gridCol w:w="2978"/>
        <w:gridCol w:w="1701"/>
        <w:gridCol w:w="1560"/>
      </w:tblGrid>
      <w:tr>
        <w:trPr>
          <w:trHeight w:val="32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9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87"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101,260,836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101,260,836</w:t>
            </w:r>
          </w:p>
        </w:tc>
      </w:tr>
      <w:tr>
        <w:trPr>
          <w:trHeight w:val="3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全国社保基金一一八组合</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17,706,239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17,706,239</w:t>
            </w:r>
          </w:p>
        </w:tc>
      </w:tr>
      <w:tr>
        <w:trPr>
          <w:trHeight w:val="3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秦皇岛市国有资产经营控股有限公司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11,742,341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11,742,341</w:t>
            </w:r>
          </w:p>
        </w:tc>
      </w:tr>
      <w:tr>
        <w:trPr>
          <w:trHeight w:val="53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7"/>
              <w:ind w:left="103" w:right="10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
                <w:sz w:val="18"/>
                <w:szCs w:val="18"/>
              </w:rPr>
              <w:t> </w:t>
            </w:r>
            <w:r>
              <w:rPr>
                <w:rFonts w:ascii="宋体" w:hAnsi="宋体" w:cs="宋体" w:eastAsia="宋体" w:hint="default"/>
                <w:spacing w:val="2"/>
                <w:sz w:val="18"/>
                <w:szCs w:val="18"/>
              </w:rPr>
              <w:t>中国建设银行—华夏红利混合型开放式证</w:t>
            </w:r>
            <w:r>
              <w:rPr>
                <w:rFonts w:ascii="宋体" w:hAnsi="宋体" w:cs="宋体" w:eastAsia="宋体" w:hint="default"/>
                <w:sz w:val="18"/>
                <w:szCs w:val="18"/>
              </w:rPr>
              <w:t> 券投资基金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6,835,210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6,835,210</w:t>
            </w:r>
          </w:p>
        </w:tc>
      </w:tr>
      <w:tr>
        <w:trPr>
          <w:trHeight w:val="3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戚石川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4,805,807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4,805,807</w:t>
            </w:r>
          </w:p>
        </w:tc>
      </w:tr>
      <w:tr>
        <w:trPr>
          <w:trHeight w:val="3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蒋美</w:t>
            </w:r>
            <w:r>
              <w:rPr>
                <w:rFonts w:ascii="宋体" w:hAnsi="宋体" w:cs="宋体" w:eastAsia="宋体" w:hint="default"/>
                <w:sz w:val="18"/>
                <w:szCs w:val="18"/>
              </w:rPr>
              <w:t>(</w:t>
            </w:r>
            <w:r>
              <w:rPr>
                <w:rFonts w:ascii="宋体" w:hAnsi="宋体" w:cs="宋体" w:eastAsia="宋体" w:hint="default"/>
                <w:sz w:val="18"/>
                <w:szCs w:val="18"/>
              </w:rPr>
              <w:t>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3,793,440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3,793,440</w:t>
            </w:r>
          </w:p>
        </w:tc>
      </w:tr>
      <w:tr>
        <w:trPr>
          <w:trHeight w:val="3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孙德庆</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3,030,000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3,030,000</w:t>
            </w:r>
          </w:p>
        </w:tc>
      </w:tr>
      <w:tr>
        <w:trPr>
          <w:trHeight w:val="3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娄美玉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3,000,000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3,000,000</w:t>
            </w:r>
          </w:p>
        </w:tc>
      </w:tr>
      <w:tr>
        <w:trPr>
          <w:trHeight w:val="3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冯新玲</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2,132,396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2,132,396</w:t>
            </w:r>
          </w:p>
        </w:tc>
      </w:tr>
      <w:tr>
        <w:trPr>
          <w:trHeight w:val="3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孙学锋</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1,817,061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1,817,061</w:t>
            </w:r>
          </w:p>
        </w:tc>
      </w:tr>
      <w:tr>
        <w:trPr>
          <w:trHeight w:val="38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未发现上述股东之间存在关联关系或有一致行动。</w:t>
            </w: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公司前</w:t>
      </w:r>
      <w:r>
        <w:rPr>
          <w:spacing w:val="-55"/>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pStyle w:val="BodyText"/>
        <w:tabs>
          <w:tab w:pos="1560" w:val="left" w:leader="none"/>
        </w:tabs>
        <w:spacing w:line="240" w:lineRule="auto" w:before="37"/>
        <w:ind w:left="824" w:right="5945"/>
        <w:jc w:val="left"/>
      </w:pPr>
      <w:r>
        <w:rPr>
          <w:rFonts w:ascii="Arial" w:hAnsi="Arial" w:cs="Arial" w:eastAsia="Arial" w:hint="default"/>
        </w:rPr>
        <w:t>□  </w:t>
      </w:r>
      <w:r>
        <w:rPr>
          <w:rFonts w:ascii="Arial" w:hAnsi="Arial" w:cs="Arial" w:eastAsia="Arial" w:hint="default"/>
          <w:spacing w:val="13"/>
        </w:rPr>
        <w:t> </w:t>
      </w:r>
      <w:r>
        <w:rPr/>
        <w:t>是</w:t>
        <w:tab/>
        <w:t>√</w:t>
      </w:r>
      <w:r>
        <w:rPr>
          <w:spacing w:val="-1"/>
        </w:rPr>
        <w:t> </w:t>
      </w:r>
      <w:r>
        <w:rPr/>
        <w:t>否</w:t>
      </w:r>
    </w:p>
    <w:p>
      <w:pPr>
        <w:pStyle w:val="BodyText"/>
        <w:spacing w:line="300" w:lineRule="auto" w:before="178"/>
        <w:ind w:left="824" w:right="418"/>
        <w:jc w:val="left"/>
      </w:pPr>
      <w:r>
        <w:rPr>
          <w:rFonts w:ascii="宋体" w:hAnsi="宋体" w:cs="宋体" w:eastAsia="宋体" w:hint="default"/>
        </w:rPr>
        <w:t>(</w:t>
      </w:r>
      <w:r>
        <w:rPr/>
        <w:t>二</w:t>
      </w:r>
      <w:r>
        <w:rPr>
          <w:rFonts w:ascii="宋体" w:hAnsi="宋体" w:cs="宋体" w:eastAsia="宋体" w:hint="default"/>
        </w:rPr>
        <w:t>) </w:t>
      </w:r>
      <w:r>
        <w:rPr/>
        <w:t>截至报告期末持有本公司</w:t>
      </w:r>
      <w:r>
        <w:rPr>
          <w:spacing w:val="-54"/>
        </w:rPr>
        <w:t> </w:t>
      </w:r>
      <w:r>
        <w:rPr>
          <w:rFonts w:ascii="宋体" w:hAnsi="宋体" w:cs="宋体" w:eastAsia="宋体" w:hint="default"/>
        </w:rPr>
        <w:t>5%</w:t>
      </w:r>
      <w:r>
        <w:rPr/>
        <w:t>以上股份的股东情况 </w:t>
      </w:r>
      <w:r>
        <w:rPr>
          <w:rFonts w:ascii="宋体" w:hAnsi="宋体" w:cs="宋体" w:eastAsia="宋体" w:hint="default"/>
        </w:rPr>
        <w:t>1</w:t>
      </w:r>
      <w:r>
        <w:rPr/>
        <w:t>、中兆投资管理有限公司是本公司第一大股东</w:t>
      </w:r>
      <w:r>
        <w:rPr>
          <w:rFonts w:ascii="宋体" w:hAnsi="宋体" w:cs="宋体" w:eastAsia="宋体" w:hint="default"/>
        </w:rPr>
        <w:t>(</w:t>
      </w:r>
      <w:r>
        <w:rPr/>
        <w:t>控股</w:t>
      </w:r>
      <w:r>
        <w:rPr>
          <w:rFonts w:ascii="宋体" w:hAnsi="宋体" w:cs="宋体" w:eastAsia="宋体" w:hint="default"/>
        </w:rPr>
        <w:t>)</w:t>
      </w:r>
      <w:r>
        <w:rPr/>
        <w:t>。报告期内中兆投资所持本公司股份没有增</w:t>
      </w:r>
    </w:p>
    <w:p>
      <w:pPr>
        <w:pStyle w:val="BodyText"/>
        <w:spacing w:line="260" w:lineRule="exact" w:before="0"/>
        <w:ind w:right="418"/>
        <w:jc w:val="left"/>
      </w:pPr>
      <w:r>
        <w:rPr/>
        <w:t>减变动，其持股期末余额为</w:t>
      </w:r>
      <w:r>
        <w:rPr>
          <w:spacing w:val="-38"/>
        </w:rPr>
        <w:t> </w:t>
      </w:r>
      <w:r>
        <w:rPr>
          <w:rFonts w:ascii="宋体" w:hAnsi="宋体" w:cs="宋体" w:eastAsia="宋体" w:hint="default"/>
        </w:rPr>
        <w:t>208,074,832</w:t>
      </w:r>
      <w:r>
        <w:rPr>
          <w:rFonts w:ascii="宋体" w:hAnsi="宋体" w:cs="宋体" w:eastAsia="宋体" w:hint="default"/>
          <w:spacing w:val="-37"/>
        </w:rPr>
        <w:t> </w:t>
      </w:r>
      <w:r>
        <w:rPr/>
        <w:t>股，因</w:t>
      </w:r>
      <w:r>
        <w:rPr>
          <w:spacing w:val="-38"/>
        </w:rPr>
        <w:t> </w:t>
      </w:r>
      <w:r>
        <w:rPr>
          <w:rFonts w:ascii="宋体" w:hAnsi="宋体" w:cs="宋体" w:eastAsia="宋体" w:hint="default"/>
        </w:rPr>
        <w:t>2014</w:t>
      </w:r>
      <w:r>
        <w:rPr>
          <w:rFonts w:ascii="宋体" w:hAnsi="宋体" w:cs="宋体" w:eastAsia="宋体" w:hint="default"/>
          <w:spacing w:val="-37"/>
        </w:rPr>
        <w:t> </w:t>
      </w:r>
      <w:r>
        <w:rPr/>
        <w:t>年重组公司非公开发行股份增加了总股本，中兆</w:t>
      </w:r>
    </w:p>
    <w:p>
      <w:pPr>
        <w:pStyle w:val="BodyText"/>
        <w:spacing w:line="273" w:lineRule="auto" w:before="37"/>
        <w:ind w:right="1174"/>
        <w:jc w:val="left"/>
      </w:pPr>
      <w:r>
        <w:rPr/>
        <w:t>投资占本公司总股本的比例由期初的 </w:t>
      </w:r>
      <w:r>
        <w:rPr>
          <w:rFonts w:ascii="宋体" w:hAnsi="宋体" w:cs="宋体" w:eastAsia="宋体" w:hint="default"/>
        </w:rPr>
        <w:t>46.70%</w:t>
      </w:r>
      <w:r>
        <w:rPr/>
        <w:t>下降为</w:t>
      </w:r>
      <w:r>
        <w:rPr>
          <w:spacing w:val="-42"/>
        </w:rPr>
        <w:t> </w:t>
      </w:r>
      <w:r>
        <w:rPr>
          <w:rFonts w:ascii="宋体" w:hAnsi="宋体" w:cs="宋体" w:eastAsia="宋体" w:hint="default"/>
        </w:rPr>
        <w:t>33.46%</w:t>
      </w:r>
      <w:r>
        <w:rPr/>
        <w:t>。中兆投资所持股份类别为境内非国有法人 股，本公司未发现中兆投资所持股份被质押或冻结。</w:t>
      </w:r>
    </w:p>
    <w:p>
      <w:pPr>
        <w:pStyle w:val="BodyText"/>
        <w:spacing w:line="240" w:lineRule="auto" w:before="8"/>
        <w:ind w:left="824" w:right="418"/>
        <w:jc w:val="left"/>
      </w:pPr>
      <w:r>
        <w:rPr>
          <w:rFonts w:ascii="宋体" w:hAnsi="宋体" w:cs="宋体" w:eastAsia="宋体" w:hint="default"/>
        </w:rPr>
        <w:t>2</w:t>
      </w:r>
      <w:r>
        <w:rPr/>
        <w:t>、孝昌鹰溪谷投资中心</w:t>
      </w:r>
      <w:r>
        <w:rPr>
          <w:rFonts w:ascii="宋体" w:hAnsi="宋体" w:cs="宋体" w:eastAsia="宋体" w:hint="default"/>
        </w:rPr>
        <w:t>(</w:t>
      </w:r>
      <w:r>
        <w:rPr/>
        <w:t>有限合伙</w:t>
      </w:r>
      <w:r>
        <w:rPr>
          <w:rFonts w:ascii="宋体" w:hAnsi="宋体" w:cs="宋体" w:eastAsia="宋体" w:hint="default"/>
        </w:rPr>
        <w:t>)</w:t>
      </w:r>
      <w:r>
        <w:rPr/>
        <w:t>是本公司第二大股东。报告期鹰溪谷因公司</w:t>
      </w:r>
      <w:r>
        <w:rPr>
          <w:spacing w:val="-75"/>
        </w:rPr>
        <w:t> </w:t>
      </w:r>
      <w:r>
        <w:rPr>
          <w:rFonts w:ascii="宋体" w:hAnsi="宋体" w:cs="宋体" w:eastAsia="宋体" w:hint="default"/>
        </w:rPr>
        <w:t>2014</w:t>
      </w:r>
      <w:r>
        <w:rPr>
          <w:rFonts w:ascii="宋体" w:hAnsi="宋体" w:cs="宋体" w:eastAsia="宋体" w:hint="default"/>
          <w:spacing w:val="-76"/>
        </w:rPr>
        <w:t> </w:t>
      </w:r>
      <w:r>
        <w:rPr/>
        <w:t>年重组获得本</w:t>
      </w:r>
    </w:p>
    <w:p>
      <w:pPr>
        <w:pStyle w:val="BodyText"/>
        <w:spacing w:line="273" w:lineRule="auto" w:before="37"/>
        <w:ind w:right="1182"/>
        <w:jc w:val="left"/>
      </w:pPr>
      <w:r>
        <w:rPr/>
        <w:t>公司股份</w:t>
      </w:r>
      <w:r>
        <w:rPr>
          <w:spacing w:val="-49"/>
        </w:rPr>
        <w:t> </w:t>
      </w:r>
      <w:r>
        <w:rPr>
          <w:rFonts w:ascii="宋体" w:hAnsi="宋体" w:cs="宋体" w:eastAsia="宋体" w:hint="default"/>
        </w:rPr>
        <w:t>148,360,844</w:t>
      </w:r>
      <w:r>
        <w:rPr>
          <w:rFonts w:ascii="宋体" w:hAnsi="宋体" w:cs="宋体" w:eastAsia="宋体" w:hint="default"/>
          <w:spacing w:val="-49"/>
        </w:rPr>
        <w:t> </w:t>
      </w:r>
      <w:r>
        <w:rPr>
          <w:spacing w:val="-4"/>
        </w:rPr>
        <w:t>股，其持股期末余额为</w:t>
      </w:r>
      <w:r>
        <w:rPr>
          <w:spacing w:val="-49"/>
        </w:rPr>
        <w:t> </w:t>
      </w:r>
      <w:r>
        <w:rPr>
          <w:rFonts w:ascii="宋体" w:hAnsi="宋体" w:cs="宋体" w:eastAsia="宋体" w:hint="default"/>
        </w:rPr>
        <w:t>148,360,844</w:t>
      </w:r>
      <w:r>
        <w:rPr>
          <w:rFonts w:ascii="宋体" w:hAnsi="宋体" w:cs="宋体" w:eastAsia="宋体" w:hint="default"/>
          <w:spacing w:val="-49"/>
        </w:rPr>
        <w:t> </w:t>
      </w:r>
      <w:r>
        <w:rPr>
          <w:spacing w:val="-5"/>
        </w:rPr>
        <w:t>股，持股比例为</w:t>
      </w:r>
      <w:r>
        <w:rPr>
          <w:spacing w:val="-49"/>
        </w:rPr>
        <w:t> </w:t>
      </w:r>
      <w:r>
        <w:rPr>
          <w:rFonts w:ascii="宋体" w:hAnsi="宋体" w:cs="宋体" w:eastAsia="宋体" w:hint="default"/>
          <w:spacing w:val="-3"/>
        </w:rPr>
        <w:t>23.86%</w:t>
      </w:r>
      <w:r>
        <w:rPr>
          <w:spacing w:val="-3"/>
        </w:rPr>
        <w:t>。鹰溪谷所持股份类</w:t>
      </w:r>
      <w:r>
        <w:rPr/>
        <w:t> 别为境内非国有法人股，本公司未发现鹰溪谷所持股份被质押或冻结。</w:t>
      </w:r>
    </w:p>
    <w:p>
      <w:pPr>
        <w:spacing w:line="326" w:lineRule="auto" w:before="163"/>
        <w:ind w:left="824" w:right="8052" w:firstLine="2"/>
        <w:jc w:val="left"/>
        <w:rPr>
          <w:rFonts w:ascii="宋体" w:hAnsi="宋体" w:cs="宋体" w:eastAsia="宋体" w:hint="default"/>
          <w:sz w:val="21"/>
          <w:szCs w:val="21"/>
        </w:rPr>
      </w:pPr>
      <w:r>
        <w:rPr/>
        <w:pict>
          <v:shape style="position:absolute;margin-left:50.759998pt;margin-top:43.153679pt;width:497pt;height:34.45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208"/>
                    <w:gridCol w:w="1767"/>
                    <w:gridCol w:w="1420"/>
                    <w:gridCol w:w="1866"/>
                    <w:gridCol w:w="1536"/>
                  </w:tblGrid>
                  <w:tr>
                    <w:trPr>
                      <w:trHeight w:val="38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9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张静</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69"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05" w:right="0"/>
                          <w:jc w:val="left"/>
                          <w:rPr>
                            <w:rFonts w:ascii="宋体" w:hAnsi="宋体" w:cs="宋体" w:eastAsia="宋体" w:hint="default"/>
                            <w:sz w:val="18"/>
                            <w:szCs w:val="18"/>
                          </w:rPr>
                        </w:pPr>
                        <w:r>
                          <w:rPr>
                            <w:rFonts w:ascii="宋体"/>
                            <w:sz w:val="18"/>
                          </w:rPr>
                          <w:t>27939414-9</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1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1" w:right="0"/>
                          <w:jc w:val="left"/>
                          <w:rPr>
                            <w:rFonts w:ascii="宋体" w:hAnsi="宋体" w:cs="宋体" w:eastAsia="宋体" w:hint="default"/>
                            <w:sz w:val="18"/>
                            <w:szCs w:val="18"/>
                          </w:rPr>
                        </w:pPr>
                        <w:r>
                          <w:rPr>
                            <w:rFonts w:ascii="宋体" w:hAnsi="宋体" w:cs="宋体" w:eastAsia="宋体" w:hint="default"/>
                            <w:sz w:val="18"/>
                            <w:szCs w:val="18"/>
                          </w:rPr>
                          <w:t>投资兴办实业</w:t>
                        </w:r>
                      </w:p>
                    </w:tc>
                  </w:tr>
                </w:tbl>
                <w:p>
                  <w:pPr/>
                </w:p>
              </w:txbxContent>
            </v:textbox>
            <w10:wrap type="none"/>
          </v:shape>
        </w:pict>
      </w:r>
      <w:r>
        <w:rPr>
          <w:rFonts w:ascii="宋体" w:hAnsi="宋体" w:cs="宋体" w:eastAsia="宋体" w:hint="default"/>
          <w:b/>
          <w:bCs/>
          <w:sz w:val="21"/>
          <w:szCs w:val="21"/>
        </w:rPr>
        <w:t>二、公司控股股东情况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824" w:right="418"/>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中兆投资的经营成果、财务状况、现金流情况</w:t>
      </w:r>
      <w:r>
        <w:rPr>
          <w:rFonts w:ascii="宋体" w:hAnsi="宋体" w:cs="宋体" w:eastAsia="宋体" w:hint="default"/>
        </w:rPr>
        <w:t>(</w:t>
      </w:r>
      <w:r>
        <w:rPr/>
        <w:t>数据未经审计</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36"/>
        <w:gridCol w:w="3186"/>
        <w:gridCol w:w="3402"/>
      </w:tblGrid>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17.49</w:t>
            </w:r>
          </w:p>
        </w:tc>
      </w:tr>
      <w:tr>
        <w:trPr>
          <w:trHeight w:val="28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2.59</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2.53</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5.08</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w:t>
            </w:r>
          </w:p>
        </w:tc>
      </w:tr>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105.40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90.47</w:t>
            </w:r>
          </w:p>
        </w:tc>
      </w:tr>
      <w:tr>
        <w:trPr>
          <w:trHeight w:val="28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78.00</w:t>
            </w:r>
          </w:p>
        </w:tc>
      </w:tr>
      <w:tr>
        <w:trPr>
          <w:trHeight w:val="284"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12.47</w:t>
            </w:r>
          </w:p>
        </w:tc>
      </w:tr>
    </w:tbl>
    <w:p>
      <w:pPr>
        <w:spacing w:line="240" w:lineRule="auto" w:before="0"/>
        <w:rPr>
          <w:rFonts w:ascii="宋体" w:hAnsi="宋体" w:cs="宋体" w:eastAsia="宋体" w:hint="default"/>
          <w:sz w:val="20"/>
          <w:szCs w:val="20"/>
        </w:rPr>
      </w:pPr>
    </w:p>
    <w:p>
      <w:pPr>
        <w:pStyle w:val="BodyText"/>
        <w:spacing w:line="273" w:lineRule="auto" w:before="35"/>
        <w:ind w:left="824" w:right="3022"/>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中兆投资的未来发展战略 依托行业政策支持，立足于零售行业，致力成为中国零售行业优秀企业之一。</w:t>
      </w:r>
    </w:p>
    <w:p>
      <w:pPr>
        <w:spacing w:after="0" w:line="273"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564" w:right="117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中兆投资报告期内控股和参股的其他境内外上市公司的股权情况 </w:t>
      </w:r>
      <w:r>
        <w:rPr>
          <w:spacing w:val="-1"/>
        </w:rPr>
        <w:t>报告期内中兆投资未有控股或参股境外上市公司，中兆投资控股或参股的其他境内上市公司是控股</w:t>
      </w:r>
    </w:p>
    <w:p>
      <w:pPr>
        <w:pStyle w:val="BodyText"/>
        <w:spacing w:line="273" w:lineRule="auto"/>
        <w:ind w:left="144" w:right="1180"/>
        <w:jc w:val="left"/>
      </w:pPr>
      <w:r>
        <w:rPr>
          <w:rFonts w:ascii="宋体" w:hAnsi="宋体" w:cs="宋体" w:eastAsia="宋体" w:hint="default"/>
        </w:rPr>
        <w:t>*ST </w:t>
      </w:r>
      <w:r>
        <w:rPr/>
        <w:t>商城</w:t>
      </w:r>
      <w:r>
        <w:rPr>
          <w:rFonts w:ascii="宋体" w:hAnsi="宋体" w:cs="宋体" w:eastAsia="宋体" w:hint="default"/>
        </w:rPr>
        <w:t>(</w:t>
      </w:r>
      <w:r>
        <w:rPr/>
        <w:t>股票代码</w:t>
      </w:r>
      <w:r>
        <w:rPr>
          <w:spacing w:val="-48"/>
        </w:rPr>
        <w:t> </w:t>
      </w:r>
      <w:r>
        <w:rPr>
          <w:rFonts w:ascii="宋体" w:hAnsi="宋体" w:cs="宋体" w:eastAsia="宋体" w:hint="default"/>
        </w:rPr>
        <w:t>600306.</w:t>
      </w:r>
      <w:r>
        <w:rPr/>
        <w:t>下同</w:t>
      </w:r>
      <w:r>
        <w:rPr>
          <w:rFonts w:ascii="宋体" w:hAnsi="宋体" w:cs="宋体" w:eastAsia="宋体" w:hint="default"/>
        </w:rPr>
        <w:t>)</w:t>
      </w:r>
      <w:r>
        <w:rPr/>
        <w:t>、直接参股银座股份</w:t>
      </w:r>
      <w:r>
        <w:rPr>
          <w:rFonts w:ascii="宋体" w:hAnsi="宋体" w:cs="宋体" w:eastAsia="宋体" w:hint="default"/>
        </w:rPr>
        <w:t>(600858)</w:t>
      </w:r>
      <w:r>
        <w:rPr/>
        <w:t>、间接参股成商集团</w:t>
      </w:r>
      <w:r>
        <w:rPr>
          <w:rFonts w:ascii="宋体" w:hAnsi="宋体" w:cs="宋体" w:eastAsia="宋体" w:hint="default"/>
        </w:rPr>
        <w:t>(600828)</w:t>
      </w:r>
      <w:r>
        <w:rPr/>
        <w:t>、大商股 份</w:t>
      </w:r>
      <w:r>
        <w:rPr>
          <w:rFonts w:ascii="宋体" w:hAnsi="宋体" w:cs="宋体" w:eastAsia="宋体" w:hint="default"/>
        </w:rPr>
        <w:t>(600694)</w:t>
      </w:r>
      <w:r>
        <w:rPr/>
        <w:t>，有关控股或参股境内上市公司股权情况见下图。</w:t>
      </w:r>
    </w:p>
    <w:p>
      <w:pPr>
        <w:pStyle w:val="BodyText"/>
        <w:spacing w:line="240" w:lineRule="auto" w:before="8"/>
        <w:ind w:left="547" w:right="925"/>
        <w:jc w:val="center"/>
        <w:rPr>
          <w:rFonts w:ascii="宋体" w:hAnsi="宋体" w:cs="宋体" w:eastAsia="宋体" w:hint="default"/>
        </w:rPr>
      </w:pPr>
      <w:r>
        <w:rPr>
          <w:rFonts w:ascii="宋体"/>
        </w:rPr>
        <w:t>100%</w:t>
      </w:r>
    </w:p>
    <w:p>
      <w:pPr>
        <w:spacing w:line="240" w:lineRule="auto" w:before="10"/>
        <w:rPr>
          <w:rFonts w:ascii="宋体" w:hAnsi="宋体" w:cs="宋体" w:eastAsia="宋体" w:hint="default"/>
          <w:sz w:val="2"/>
          <w:szCs w:val="2"/>
        </w:rPr>
      </w:pPr>
    </w:p>
    <w:p>
      <w:pPr>
        <w:tabs>
          <w:tab w:pos="1614" w:val="left" w:leader="none"/>
        </w:tabs>
        <w:spacing w:line="2937" w:lineRule="exact"/>
        <w:ind w:left="811" w:right="0" w:firstLine="0"/>
        <w:rPr>
          <w:rFonts w:ascii="宋体" w:hAnsi="宋体" w:cs="宋体" w:eastAsia="宋体" w:hint="default"/>
          <w:sz w:val="20"/>
          <w:szCs w:val="20"/>
        </w:rPr>
      </w:pPr>
      <w:r>
        <w:rPr>
          <w:rFonts w:ascii="宋体"/>
          <w:position w:val="187"/>
          <w:sz w:val="2"/>
        </w:rPr>
        <w:pict>
          <v:group style="width:1.5pt;height:.75pt;mso-position-horizontal-relative:char;mso-position-vertical-relative:line" coordorigin="0,0" coordsize="30,15">
            <v:group style="position:absolute;left:8;top:8;width:15;height:2" coordorigin="8,8" coordsize="15,2">
              <v:shape style="position:absolute;left:8;top:8;width:15;height:2" coordorigin="8,8" coordsize="15,0" path="m8,8l23,8e" filled="false" stroked="true" strokeweight=".75pt" strokecolor="#000000">
                <v:path arrowok="t"/>
              </v:shape>
            </v:group>
          </v:group>
        </w:pict>
      </w:r>
      <w:r>
        <w:rPr>
          <w:rFonts w:ascii="宋体"/>
          <w:position w:val="187"/>
          <w:sz w:val="2"/>
        </w:rPr>
      </w:r>
      <w:r>
        <w:rPr>
          <w:rFonts w:ascii="宋体"/>
          <w:position w:val="187"/>
          <w:sz w:val="2"/>
        </w:rPr>
        <w:tab/>
      </w:r>
      <w:r>
        <w:rPr>
          <w:rFonts w:ascii="宋体"/>
          <w:position w:val="-58"/>
          <w:sz w:val="20"/>
        </w:rPr>
        <w:pict>
          <v:group style="width:356.85pt;height:146.85pt;mso-position-horizontal-relative:char;mso-position-vertical-relative:line" coordorigin="0,0" coordsize="7137,2937">
            <v:shape style="position:absolute;left:4394;top:0;width:2145;height:471" type="#_x0000_t75" stroked="false">
              <v:imagedata r:id="rId23" o:title=""/>
            </v:shape>
            <v:group style="position:absolute;left:5726;top:2874;width:1380;height:2" coordorigin="5726,2874" coordsize="1380,2">
              <v:shape style="position:absolute;left:5726;top:2874;width:1380;height:2" coordorigin="5726,2874" coordsize="1380,0" path="m5726,2874l7106,2874e" filled="false" stroked="true" strokeweight="1.5pt" strokecolor="#964605">
                <v:path arrowok="t"/>
              </v:shape>
            </v:group>
            <v:group style="position:absolute;left:5741;top:1463;width:2;height:1396" coordorigin="5741,1463" coordsize="2,1396">
              <v:shape style="position:absolute;left:5741;top:1463;width:2;height:1396" coordorigin="5741,1463" coordsize="0,1396" path="m5741,1463l5741,2859e" filled="false" stroked="true" strokeweight="1.5pt" strokecolor="#964605">
                <v:path arrowok="t"/>
              </v:shape>
            </v:group>
            <v:group style="position:absolute;left:7056;top:1448;width:50;height:2" coordorigin="7056,1448" coordsize="50,2">
              <v:shape style="position:absolute;left:7056;top:1448;width:50;height:2" coordorigin="7056,1448" coordsize="50,0" path="m7056,1448l7106,1448e" filled="false" stroked="true" strokeweight="1.5pt" strokecolor="#964605">
                <v:path arrowok="t"/>
              </v:shape>
            </v:group>
            <v:group style="position:absolute;left:5731;top:1433;width:2;height:30" coordorigin="5731,1433" coordsize="2,30">
              <v:shape style="position:absolute;left:5731;top:1433;width:2;height:30" coordorigin="5731,1433" coordsize="0,30" path="m5731,1433l5731,1463e" filled="false" stroked="true" strokeweight="1.5pt" strokecolor="#964605">
                <v:path arrowok="t"/>
              </v:shape>
            </v:group>
            <v:group style="position:absolute;left:5756;top:2844;width:1320;height:2" coordorigin="5756,2844" coordsize="1320,2">
              <v:shape style="position:absolute;left:5756;top:2844;width:1320;height:2" coordorigin="5756,2844" coordsize="1320,0" path="m5756,2844l7076,2844e" filled="false" stroked="true" strokeweight="1.5pt" strokecolor="#964605">
                <v:path arrowok="t"/>
              </v:shape>
            </v:group>
            <v:group style="position:absolute;left:5746;top:1493;width:2;height:1336" coordorigin="5746,1493" coordsize="2,1336">
              <v:shape style="position:absolute;left:5746;top:1493;width:2;height:1336" coordorigin="5746,1493" coordsize="0,1336" path="m5746,1493l5746,2829e" filled="false" stroked="true" strokeweight="1.5pt" strokecolor="#964605">
                <v:path arrowok="t"/>
              </v:shape>
            </v:group>
            <v:group style="position:absolute;left:7066;top:1463;width:2;height:30" coordorigin="7066,1463" coordsize="2,30">
              <v:shape style="position:absolute;left:7066;top:1463;width:2;height:30" coordorigin="7066,1463" coordsize="0,30" path="m7066,1463l7066,1493e" filled="false" stroked="true" strokeweight="1.5pt" strokecolor="#964605">
                <v:path arrowok="t"/>
              </v:shape>
            </v:group>
            <v:group style="position:absolute;left:7091;top:1463;width:2;height:1395" coordorigin="7091,1463" coordsize="2,1395">
              <v:shape style="position:absolute;left:7091;top:1463;width:2;height:1395" coordorigin="7091,1463" coordsize="0,1395" path="m7091,1463l7091,2858e" filled="false" stroked="true" strokeweight="1.5pt" strokecolor="#964605">
                <v:path arrowok="t"/>
              </v:shape>
            </v:group>
            <v:group style="position:absolute;left:5736;top:1493;width:50;height:1335" coordorigin="5736,1493" coordsize="50,1335">
              <v:shape style="position:absolute;left:5736;top:1493;width:50;height:1335" coordorigin="5736,1493" coordsize="50,1335" path="m5736,2828l5786,2828,5786,1493,5736,1493,5736,2828xe" filled="true" fillcolor="#964605" stroked="false">
                <v:path arrowok="t"/>
                <v:fill opacity="32896f" type="solid"/>
              </v:shape>
            </v:group>
            <v:group style="position:absolute;left:7061;top:1493;width:2;height:1335" coordorigin="7061,1493" coordsize="2,1335">
              <v:shape style="position:absolute;left:7061;top:1493;width:2;height:1335" coordorigin="7061,1493" coordsize="0,1335" path="m7061,1493l7061,2828e" filled="false" stroked="true" strokeweight="1.5pt" strokecolor="#964605">
                <v:path arrowok="t"/>
              </v:shape>
            </v:group>
            <v:group style="position:absolute;left:5736;top:1423;width:1320;height:1395" coordorigin="5736,1423" coordsize="1320,1395">
              <v:shape style="position:absolute;left:5736;top:1423;width:1320;height:1395" coordorigin="5736,1423" coordsize="1320,1395" path="m5736,2818l7056,2818,7056,1423,5736,1423,5736,2818xe" filled="true" fillcolor="#ffffff" stroked="false">
                <v:path arrowok="t"/>
                <v:fill type="solid"/>
              </v:shape>
            </v:group>
            <v:group style="position:absolute;left:5736;top:1423;width:1320;height:1395" coordorigin="5736,1423" coordsize="1320,1395">
              <v:shape style="position:absolute;left:5736;top:1423;width:1320;height:1395" coordorigin="5736,1423" coordsize="1320,1395" path="m5736,2818l7056,2818,7056,1423,5736,1423,5736,2818xe" filled="false" stroked="true" strokeweight="3pt" strokecolor="#f1f1f1">
                <v:path arrowok="t"/>
              </v:shape>
            </v:group>
            <v:group style="position:absolute;left:6230;top:461;width:120;height:938" coordorigin="6230,461" coordsize="120,938">
              <v:shape style="position:absolute;left:6230;top:461;width:120;height:938" coordorigin="6230,461" coordsize="120,938" path="m6280,1279l6230,1279,6290,1399,6335,1309,6285,1309,6280,1305,6280,1279xe" filled="true" fillcolor="#000000" stroked="false">
                <v:path arrowok="t"/>
                <v:fill type="solid"/>
              </v:shape>
              <v:shape style="position:absolute;left:6230;top:461;width:120;height:938" coordorigin="6230,461" coordsize="120,938" path="m6296,461l6285,461,6280,465,6280,1305,6285,1309,6296,1309,6300,1305,6300,465,6296,461xe" filled="true" fillcolor="#000000" stroked="false">
                <v:path arrowok="t"/>
                <v:fill type="solid"/>
              </v:shape>
              <v:shape style="position:absolute;left:6230;top:461;width:120;height:938" coordorigin="6230,461" coordsize="120,938" path="m6350,1279l6300,1279,6300,1305,6296,1309,6335,1309,6350,1279xe" filled="true" fillcolor="#000000" stroked="false">
                <v:path arrowok="t"/>
                <v:fill type="solid"/>
              </v:shape>
              <v:shape style="position:absolute;left:586;top:0;width:2175;height:471" type="#_x0000_t75" stroked="false">
                <v:imagedata r:id="rId24" o:title=""/>
              </v:shape>
            </v:group>
            <v:group style="position:absolute;left:710;top:485;width:120;height:938" coordorigin="710,485" coordsize="120,938">
              <v:shape style="position:absolute;left:710;top:485;width:120;height:938" coordorigin="710,485" coordsize="120,938" path="m760,1303l710,1303,770,1423,815,1333,765,1333,760,1329,760,1303xe" filled="true" fillcolor="#000000" stroked="false">
                <v:path arrowok="t"/>
                <v:fill type="solid"/>
              </v:shape>
              <v:shape style="position:absolute;left:710;top:485;width:120;height:938" coordorigin="710,485" coordsize="120,938" path="m776,485l765,485,760,489,760,1329,765,1333,776,1333,780,1329,780,489,776,485xe" filled="true" fillcolor="#000000" stroked="false">
                <v:path arrowok="t"/>
                <v:fill type="solid"/>
              </v:shape>
              <v:shape style="position:absolute;left:710;top:485;width:120;height:938" coordorigin="710,485" coordsize="120,938" path="m830,1303l780,1303,780,1329,776,1333,815,1333,830,1303xe" filled="true" fillcolor="#000000" stroked="false">
                <v:path arrowok="t"/>
                <v:fill type="solid"/>
              </v:shape>
            </v:group>
            <v:group style="position:absolute;left:1940;top:2898;width:1350;height:2" coordorigin="1940,2898" coordsize="1350,2">
              <v:shape style="position:absolute;left:1940;top:2898;width:1350;height:2" coordorigin="1940,2898" coordsize="1350,0" path="m1940,2898l3290,2898e" filled="false" stroked="true" strokeweight="1.5pt" strokecolor="#964605">
                <v:path arrowok="t"/>
              </v:shape>
            </v:group>
            <v:group style="position:absolute;left:1955;top:1463;width:2;height:1420" coordorigin="1955,1463" coordsize="2,1420">
              <v:shape style="position:absolute;left:1955;top:1463;width:2;height:1420" coordorigin="1955,1463" coordsize="0,1420" path="m1955,1463l1955,2883e" filled="false" stroked="true" strokeweight="1.5pt" strokecolor="#964605">
                <v:path arrowok="t"/>
              </v:shape>
            </v:group>
            <v:group style="position:absolute;left:3240;top:1448;width:50;height:2" coordorigin="3240,1448" coordsize="50,2">
              <v:shape style="position:absolute;left:3240;top:1448;width:50;height:2" coordorigin="3240,1448" coordsize="50,0" path="m3240,1448l3290,1448e" filled="false" stroked="true" strokeweight="1.5pt" strokecolor="#964605">
                <v:path arrowok="t"/>
              </v:shape>
            </v:group>
            <v:group style="position:absolute;left:1945;top:1433;width:2;height:30" coordorigin="1945,1433" coordsize="2,30">
              <v:shape style="position:absolute;left:1945;top:1433;width:2;height:30" coordorigin="1945,1433" coordsize="0,30" path="m1945,1433l1945,1463e" filled="false" stroked="true" strokeweight="1.5pt" strokecolor="#964605">
                <v:path arrowok="t"/>
              </v:shape>
            </v:group>
            <v:group style="position:absolute;left:1970;top:2868;width:1290;height:2" coordorigin="1970,2868" coordsize="1290,2">
              <v:shape style="position:absolute;left:1970;top:2868;width:1290;height:2" coordorigin="1970,2868" coordsize="1290,0" path="m1970,2868l3260,2868e" filled="false" stroked="true" strokeweight="1.5pt" strokecolor="#964605">
                <v:path arrowok="t"/>
              </v:shape>
            </v:group>
            <v:group style="position:absolute;left:1960;top:1493;width:2;height:1360" coordorigin="1960,1493" coordsize="2,1360">
              <v:shape style="position:absolute;left:1960;top:1493;width:2;height:1360" coordorigin="1960,1493" coordsize="0,1360" path="m1960,1493l1960,2853e" filled="false" stroked="true" strokeweight="1.5pt" strokecolor="#964605">
                <v:path arrowok="t"/>
              </v:shape>
            </v:group>
            <v:group style="position:absolute;left:3250;top:1463;width:2;height:30" coordorigin="3250,1463" coordsize="2,30">
              <v:shape style="position:absolute;left:3250;top:1463;width:2;height:30" coordorigin="3250,1463" coordsize="0,30" path="m3250,1463l3250,1493e" filled="false" stroked="true" strokeweight="1.5pt" strokecolor="#964605">
                <v:path arrowok="t"/>
              </v:shape>
            </v:group>
            <v:group style="position:absolute;left:3275;top:1463;width:2;height:1419" coordorigin="3275,1463" coordsize="2,1419">
              <v:shape style="position:absolute;left:3275;top:1463;width:2;height:1419" coordorigin="3275,1463" coordsize="0,1419" path="m3275,1463l3275,2882e" filled="false" stroked="true" strokeweight="1.5pt" strokecolor="#964605">
                <v:path arrowok="t"/>
              </v:shape>
            </v:group>
            <v:group style="position:absolute;left:1950;top:1493;width:50;height:1359" coordorigin="1950,1493" coordsize="50,1359">
              <v:shape style="position:absolute;left:1950;top:1493;width:50;height:1359" coordorigin="1950,1493" coordsize="50,1359" path="m1950,2852l2000,2852,2000,1493,1950,1493,1950,2852xe" filled="true" fillcolor="#964605" stroked="false">
                <v:path arrowok="t"/>
                <v:fill opacity="32896f" type="solid"/>
              </v:shape>
            </v:group>
            <v:group style="position:absolute;left:3245;top:1493;width:2;height:1359" coordorigin="3245,1493" coordsize="2,1359">
              <v:shape style="position:absolute;left:3245;top:1493;width:2;height:1359" coordorigin="3245,1493" coordsize="0,1359" path="m3245,1493l3245,2852e" filled="false" stroked="true" strokeweight="1.5pt" strokecolor="#964605">
                <v:path arrowok="t"/>
              </v:shape>
            </v:group>
            <v:group style="position:absolute;left:1950;top:1423;width:1290;height:1419" coordorigin="1950,1423" coordsize="1290,1419">
              <v:shape style="position:absolute;left:1950;top:1423;width:1290;height:1419" coordorigin="1950,1423" coordsize="1290,1419" path="m1950,2842l3240,2842,3240,1423,1950,1423,1950,2842xe" filled="true" fillcolor="#ffffff" stroked="false">
                <v:path arrowok="t"/>
                <v:fill type="solid"/>
              </v:shape>
            </v:group>
            <v:group style="position:absolute;left:1950;top:1423;width:1290;height:1419" coordorigin="1950,1423" coordsize="1290,1419">
              <v:shape style="position:absolute;left:1950;top:1423;width:1290;height:1419" coordorigin="1950,1423" coordsize="1290,1419" path="m1950,2842l3240,2842,3240,1423,1950,1423,1950,2842xe" filled="false" stroked="true" strokeweight="3.0pt" strokecolor="#f1f1f1">
                <v:path arrowok="t"/>
              </v:shape>
            </v:group>
            <v:group style="position:absolute;left:2540;top:461;width:120;height:962" coordorigin="2540,461" coordsize="120,962">
              <v:shape style="position:absolute;left:2540;top:461;width:120;height:962" coordorigin="2540,461" coordsize="120,962" path="m2590,1303l2540,1303,2600,1423,2645,1333,2595,1333,2590,1329,2590,1303xe" filled="true" fillcolor="#000000" stroked="false">
                <v:path arrowok="t"/>
                <v:fill type="solid"/>
              </v:shape>
              <v:shape style="position:absolute;left:2540;top:461;width:120;height:962" coordorigin="2540,461" coordsize="120,962" path="m2606,461l2595,461,2590,465,2590,1329,2595,1333,2606,1333,2610,1329,2610,465,2606,461xe" filled="true" fillcolor="#000000" stroked="false">
                <v:path arrowok="t"/>
                <v:fill type="solid"/>
              </v:shape>
              <v:shape style="position:absolute;left:2540;top:461;width:120;height:962" coordorigin="2540,461" coordsize="120,962" path="m2660,1303l2610,1303,2610,1329,2606,1333,2645,1333,2660,1303xe" filled="true" fillcolor="#000000" stroked="false">
                <v:path arrowok="t"/>
                <v:fill type="solid"/>
              </v:shape>
            </v:group>
            <v:group style="position:absolute;left:2751;top:94;width:1643;height:120" coordorigin="2751,94" coordsize="1643,120">
              <v:shape style="position:absolute;left:2751;top:94;width:1643;height:120" coordorigin="2751,94" coordsize="1643,120" path="m4274,94l4274,214,4374,164,4300,164,4304,160,4304,148,4300,144,4374,144,4274,94xe" filled="true" fillcolor="#000000" stroked="false">
                <v:path arrowok="t"/>
                <v:fill type="solid"/>
              </v:shape>
              <v:shape style="position:absolute;left:2751;top:94;width:1643;height:120" coordorigin="2751,94" coordsize="1643,120" path="m4274,144l2756,144,2751,148,2751,160,2756,164,4274,164,4274,144xe" filled="true" fillcolor="#000000" stroked="false">
                <v:path arrowok="t"/>
                <v:fill type="solid"/>
              </v:shape>
              <v:shape style="position:absolute;left:2751;top:94;width:1643;height:120" coordorigin="2751,94" coordsize="1643,120" path="m4374,144l4300,144,4304,148,4304,160,4300,164,4374,164,4394,154,4374,144xe" filled="true" fillcolor="#000000" stroked="false">
                <v:path arrowok="t"/>
                <v:fill type="solid"/>
              </v:shape>
            </v:group>
            <v:group style="position:absolute;left:2761;top:258;width:1643;height:120" coordorigin="2761,258" coordsize="1643,120">
              <v:shape style="position:absolute;left:2761;top:258;width:1643;height:120" coordorigin="2761,258" coordsize="1643,120" path="m2881,258l2761,318,2881,378,2881,328,2856,328,2851,324,2851,312,2856,308,2881,308,2881,258xe" filled="true" fillcolor="#000000" stroked="false">
                <v:path arrowok="t"/>
                <v:fill type="solid"/>
              </v:shape>
              <v:shape style="position:absolute;left:2761;top:258;width:1643;height:120" coordorigin="2761,258" coordsize="1643,120" path="m2881,308l2856,308,2851,312,2851,324,2856,328,2881,328,2881,308xe" filled="true" fillcolor="#000000" stroked="false">
                <v:path arrowok="t"/>
                <v:fill type="solid"/>
              </v:shape>
              <v:shape style="position:absolute;left:2761;top:258;width:1643;height:120" coordorigin="2761,258" coordsize="1643,120" path="m4400,308l2881,308,2881,328,4400,328,4404,324,4404,312,4400,308xe" filled="true" fillcolor="#000000" stroked="false">
                <v:path arrowok="t"/>
                <v:fill type="solid"/>
              </v:shape>
            </v:group>
            <v:group style="position:absolute;left:3980;top:2898;width:1350;height:2" coordorigin="3980,2898" coordsize="1350,2">
              <v:shape style="position:absolute;left:3980;top:2898;width:1350;height:2" coordorigin="3980,2898" coordsize="1350,0" path="m3980,2898l5330,2898e" filled="false" stroked="true" strokeweight="1.5pt" strokecolor="#964605">
                <v:path arrowok="t"/>
              </v:shape>
            </v:group>
            <v:group style="position:absolute;left:3995;top:1463;width:2;height:1420" coordorigin="3995,1463" coordsize="2,1420">
              <v:shape style="position:absolute;left:3995;top:1463;width:2;height:1420" coordorigin="3995,1463" coordsize="0,1420" path="m3995,1463l3995,2883e" filled="false" stroked="true" strokeweight="1.5pt" strokecolor="#964605">
                <v:path arrowok="t"/>
              </v:shape>
            </v:group>
            <v:group style="position:absolute;left:5280;top:1448;width:50;height:2" coordorigin="5280,1448" coordsize="50,2">
              <v:shape style="position:absolute;left:5280;top:1448;width:50;height:2" coordorigin="5280,1448" coordsize="50,0" path="m5280,1448l5330,1448e" filled="false" stroked="true" strokeweight="1.5pt" strokecolor="#964605">
                <v:path arrowok="t"/>
              </v:shape>
            </v:group>
            <v:group style="position:absolute;left:3985;top:1433;width:2;height:30" coordorigin="3985,1433" coordsize="2,30">
              <v:shape style="position:absolute;left:3985;top:1433;width:2;height:30" coordorigin="3985,1433" coordsize="0,30" path="m3985,1433l3985,1463e" filled="false" stroked="true" strokeweight="1.5pt" strokecolor="#964605">
                <v:path arrowok="t"/>
              </v:shape>
            </v:group>
            <v:group style="position:absolute;left:4010;top:2868;width:1290;height:2" coordorigin="4010,2868" coordsize="1290,2">
              <v:shape style="position:absolute;left:4010;top:2868;width:1290;height:2" coordorigin="4010,2868" coordsize="1290,0" path="m4010,2868l5300,2868e" filled="false" stroked="true" strokeweight="1.5pt" strokecolor="#964605">
                <v:path arrowok="t"/>
              </v:shape>
            </v:group>
            <v:group style="position:absolute;left:4000;top:1493;width:2;height:1360" coordorigin="4000,1493" coordsize="2,1360">
              <v:shape style="position:absolute;left:4000;top:1493;width:2;height:1360" coordorigin="4000,1493" coordsize="0,1360" path="m4000,1493l4000,2853e" filled="false" stroked="true" strokeweight="1.5pt" strokecolor="#964605">
                <v:path arrowok="t"/>
              </v:shape>
            </v:group>
            <v:group style="position:absolute;left:5290;top:1463;width:2;height:30" coordorigin="5290,1463" coordsize="2,30">
              <v:shape style="position:absolute;left:5290;top:1463;width:2;height:30" coordorigin="5290,1463" coordsize="0,30" path="m5290,1463l5290,1493e" filled="false" stroked="true" strokeweight="1.5pt" strokecolor="#964605">
                <v:path arrowok="t"/>
              </v:shape>
            </v:group>
            <v:group style="position:absolute;left:5315;top:1463;width:2;height:1419" coordorigin="5315,1463" coordsize="2,1419">
              <v:shape style="position:absolute;left:5315;top:1463;width:2;height:1419" coordorigin="5315,1463" coordsize="0,1419" path="m5315,1463l5315,2882e" filled="false" stroked="true" strokeweight="1.5pt" strokecolor="#964605">
                <v:path arrowok="t"/>
              </v:shape>
            </v:group>
            <v:group style="position:absolute;left:3990;top:1493;width:50;height:1359" coordorigin="3990,1493" coordsize="50,1359">
              <v:shape style="position:absolute;left:3990;top:1493;width:50;height:1359" coordorigin="3990,1493" coordsize="50,1359" path="m3990,2852l4040,2852,4040,1493,3990,1493,3990,2852xe" filled="true" fillcolor="#964605" stroked="false">
                <v:path arrowok="t"/>
                <v:fill opacity="32896f" type="solid"/>
              </v:shape>
            </v:group>
            <v:group style="position:absolute;left:5285;top:1493;width:2;height:1359" coordorigin="5285,1493" coordsize="2,1359">
              <v:shape style="position:absolute;left:5285;top:1493;width:2;height:1359" coordorigin="5285,1493" coordsize="0,1359" path="m5285,1493l5285,2852e" filled="false" stroked="true" strokeweight="1.5pt" strokecolor="#964605">
                <v:path arrowok="t"/>
              </v:shape>
            </v:group>
            <v:group style="position:absolute;left:3990;top:1423;width:1290;height:1419" coordorigin="3990,1423" coordsize="1290,1419">
              <v:shape style="position:absolute;left:3990;top:1423;width:1290;height:1419" coordorigin="3990,1423" coordsize="1290,1419" path="m3990,2842l5280,2842,5280,1423,3990,1423,3990,2842xe" filled="true" fillcolor="#ffffff" stroked="false">
                <v:path arrowok="t"/>
                <v:fill type="solid"/>
              </v:shape>
            </v:group>
            <v:group style="position:absolute;left:3990;top:1423;width:1290;height:1419" coordorigin="3990,1423" coordsize="1290,1419">
              <v:shape style="position:absolute;left:3990;top:1423;width:1290;height:1419" coordorigin="3990,1423" coordsize="1290,1419" path="m3990,2842l5280,2842,5280,1423,3990,1423,3990,2842xe" filled="false" stroked="true" strokeweight="3.0pt" strokecolor="#f1f1f1">
                <v:path arrowok="t"/>
              </v:shape>
            </v:group>
            <v:group style="position:absolute;left:80;top:2922;width:1350;height:2" coordorigin="80,2922" coordsize="1350,2">
              <v:shape style="position:absolute;left:80;top:2922;width:1350;height:2" coordorigin="80,2922" coordsize="1350,0" path="m80,2922l1430,2922e" filled="false" stroked="true" strokeweight="1.5pt" strokecolor="#964605">
                <v:path arrowok="t"/>
              </v:shape>
            </v:group>
            <v:group style="position:absolute;left:95;top:1487;width:2;height:1420" coordorigin="95,1487" coordsize="2,1420">
              <v:shape style="position:absolute;left:95;top:1487;width:2;height:1420" coordorigin="95,1487" coordsize="0,1420" path="m95,1487l95,2907e" filled="false" stroked="true" strokeweight="1.5pt" strokecolor="#964605">
                <v:path arrowok="t"/>
              </v:shape>
            </v:group>
            <v:group style="position:absolute;left:1380;top:1472;width:50;height:2" coordorigin="1380,1472" coordsize="50,2">
              <v:shape style="position:absolute;left:1380;top:1472;width:50;height:2" coordorigin="1380,1472" coordsize="50,0" path="m1380,1472l1430,1472e" filled="false" stroked="true" strokeweight="1.5pt" strokecolor="#964605">
                <v:path arrowok="t"/>
              </v:shape>
            </v:group>
            <v:group style="position:absolute;left:85;top:1457;width:2;height:30" coordorigin="85,1457" coordsize="2,30">
              <v:shape style="position:absolute;left:85;top:1457;width:2;height:30" coordorigin="85,1457" coordsize="0,30" path="m85,1457l85,1487e" filled="false" stroked="true" strokeweight="1.5pt" strokecolor="#964605">
                <v:path arrowok="t"/>
              </v:shape>
            </v:group>
            <v:group style="position:absolute;left:110;top:2892;width:1290;height:2" coordorigin="110,2892" coordsize="1290,2">
              <v:shape style="position:absolute;left:110;top:2892;width:1290;height:2" coordorigin="110,2892" coordsize="1290,0" path="m110,2892l1400,2892e" filled="false" stroked="true" strokeweight="1.5pt" strokecolor="#964605">
                <v:path arrowok="t"/>
              </v:shape>
            </v:group>
            <v:group style="position:absolute;left:100;top:1517;width:2;height:1360" coordorigin="100,1517" coordsize="2,1360">
              <v:shape style="position:absolute;left:100;top:1517;width:2;height:1360" coordorigin="100,1517" coordsize="0,1360" path="m100,1517l100,2877e" filled="false" stroked="true" strokeweight="1.5pt" strokecolor="#964605">
                <v:path arrowok="t"/>
              </v:shape>
            </v:group>
            <v:group style="position:absolute;left:1390;top:1487;width:2;height:30" coordorigin="1390,1487" coordsize="2,30">
              <v:shape style="position:absolute;left:1390;top:1487;width:2;height:30" coordorigin="1390,1487" coordsize="0,30" path="m1390,1487l1390,1517e" filled="false" stroked="true" strokeweight="1.5pt" strokecolor="#964605">
                <v:path arrowok="t"/>
              </v:shape>
            </v:group>
            <v:group style="position:absolute;left:1415;top:1487;width:2;height:1419" coordorigin="1415,1487" coordsize="2,1419">
              <v:shape style="position:absolute;left:1415;top:1487;width:2;height:1419" coordorigin="1415,1487" coordsize="0,1419" path="m1415,1487l1415,2906e" filled="false" stroked="true" strokeweight="1.5pt" strokecolor="#964605">
                <v:path arrowok="t"/>
              </v:shape>
            </v:group>
            <v:group style="position:absolute;left:90;top:1517;width:50;height:1359" coordorigin="90,1517" coordsize="50,1359">
              <v:shape style="position:absolute;left:90;top:1517;width:50;height:1359" coordorigin="90,1517" coordsize="50,1359" path="m90,2876l140,2876,140,1517,90,1517,90,2876xe" filled="true" fillcolor="#964605" stroked="false">
                <v:path arrowok="t"/>
                <v:fill opacity="32896f" type="solid"/>
              </v:shape>
            </v:group>
            <v:group style="position:absolute;left:1385;top:1517;width:2;height:1359" coordorigin="1385,1517" coordsize="2,1359">
              <v:shape style="position:absolute;left:1385;top:1517;width:2;height:1359" coordorigin="1385,1517" coordsize="0,1359" path="m1385,1517l1385,2876e" filled="false" stroked="true" strokeweight="1.5pt" strokecolor="#964605">
                <v:path arrowok="t"/>
              </v:shape>
            </v:group>
            <v:group style="position:absolute;left:90;top:1447;width:1290;height:1419" coordorigin="90,1447" coordsize="1290,1419">
              <v:shape style="position:absolute;left:90;top:1447;width:1290;height:1419" coordorigin="90,1447" coordsize="1290,1419" path="m90,2866l1380,2866,1380,1447,90,1447,90,2866xe" filled="true" fillcolor="#ffffff" stroked="false">
                <v:path arrowok="t"/>
                <v:fill type="solid"/>
              </v:shape>
            </v:group>
            <v:group style="position:absolute;left:90;top:1447;width:1290;height:1419" coordorigin="90,1447" coordsize="1290,1419">
              <v:shape style="position:absolute;left:90;top:1447;width:1290;height:1419" coordorigin="90,1447" coordsize="1290,1419" path="m90,2866l1380,2866,1380,1447,90,1447,90,2866xe" filled="false" stroked="true" strokeweight="3.0pt" strokecolor="#f1f1f1">
                <v:path arrowok="t"/>
              </v:shape>
            </v:group>
            <v:group style="position:absolute;left:4630;top:485;width:120;height:938" coordorigin="4630,485" coordsize="120,938">
              <v:shape style="position:absolute;left:4630;top:485;width:120;height:938" coordorigin="4630,485" coordsize="120,938" path="m4680,1303l4630,1303,4690,1423,4735,1333,4685,1333,4680,1329,4680,1303xe" filled="true" fillcolor="#000000" stroked="false">
                <v:path arrowok="t"/>
                <v:fill type="solid"/>
              </v:shape>
              <v:shape style="position:absolute;left:4630;top:485;width:120;height:938" coordorigin="4630,485" coordsize="120,938" path="m4696,485l4685,485,4680,489,4680,1329,4685,1333,4696,1333,4700,1329,4700,489,4696,485xe" filled="true" fillcolor="#000000" stroked="false">
                <v:path arrowok="t"/>
                <v:fill type="solid"/>
              </v:shape>
              <v:shape style="position:absolute;left:4630;top:485;width:120;height:938" coordorigin="4630,485" coordsize="120,938" path="m4750,1303l4700,1303,4700,1329,4696,1333,4735,1333,4750,1303xe" filled="true" fillcolor="#000000" stroked="false">
                <v:path arrowok="t"/>
                <v:fill type="solid"/>
              </v:shape>
              <v:shape style="position:absolute;left:3358;top:377;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1.31%</w:t>
                      </w:r>
                    </w:p>
                  </w:txbxContent>
                </v:textbox>
                <w10:wrap type="none"/>
              </v:shape>
              <v:shape style="position:absolute;left:4828;top:66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29.22%</w:t>
                      </w:r>
                    </w:p>
                  </w:txbxContent>
                </v:textbox>
                <w10:wrap type="none"/>
              </v:shape>
              <v:shape style="position:absolute;left:6507;top:66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10.00%</w:t>
                      </w:r>
                    </w:p>
                  </w:txbxContent>
                </v:textbox>
                <w10:wrap type="none"/>
              </v:shape>
              <v:shape style="position:absolute;left:0;top:941;width:63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68.06%</w:t>
                      </w:r>
                    </w:p>
                  </w:txbxContent>
                </v:textbox>
                <w10:wrap type="none"/>
              </v:shape>
              <v:shape style="position:absolute;left:1994;top:941;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5.00%</w:t>
                      </w:r>
                    </w:p>
                  </w:txbxContent>
                </v:textbox>
                <w10:wrap type="none"/>
              </v:shape>
              <v:shape style="position:absolute;left:264;top:1615;width:954;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成商集团股</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份有限公司</w:t>
                      </w:r>
                      <w:r>
                        <w:rPr>
                          <w:rFonts w:ascii="宋体" w:hAnsi="宋体" w:cs="宋体" w:eastAsia="宋体" w:hint="default"/>
                          <w:sz w:val="18"/>
                          <w:szCs w:val="18"/>
                        </w:rPr>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（成商集团 </w:t>
                      </w:r>
                      <w:r>
                        <w:rPr>
                          <w:rFonts w:ascii="宋体" w:hAnsi="宋体" w:cs="宋体" w:eastAsia="宋体" w:hint="default"/>
                          <w:sz w:val="18"/>
                          <w:szCs w:val="18"/>
                        </w:rPr>
                        <w:t>600828</w:t>
                      </w:r>
                      <w:r>
                        <w:rPr>
                          <w:rFonts w:ascii="宋体" w:hAnsi="宋体" w:cs="宋体" w:eastAsia="宋体" w:hint="default"/>
                          <w:sz w:val="18"/>
                          <w:szCs w:val="18"/>
                        </w:rPr>
                        <w:t>）</w:t>
                      </w:r>
                    </w:p>
                  </w:txbxContent>
                </v:textbox>
                <w10:wrap type="none"/>
              </v:shape>
              <v:shape style="position:absolute;left:2124;top:1591;width:954;height:1116"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pacing w:val="10"/>
                          <w:sz w:val="18"/>
                          <w:szCs w:val="18"/>
                        </w:rPr>
                        <w:t>大商股份有</w:t>
                      </w:r>
                      <w:r>
                        <w:rPr>
                          <w:rFonts w:ascii="宋体" w:hAnsi="宋体" w:cs="宋体" w:eastAsia="宋体" w:hint="default"/>
                          <w:sz w:val="18"/>
                          <w:szCs w:val="18"/>
                        </w:rPr>
                      </w:r>
                    </w:p>
                    <w:p>
                      <w:pPr>
                        <w:spacing w:line="310" w:lineRule="atLeast" w:before="2"/>
                        <w:ind w:left="0" w:right="0" w:firstLine="0"/>
                        <w:jc w:val="both"/>
                        <w:rPr>
                          <w:rFonts w:ascii="宋体" w:hAnsi="宋体" w:cs="宋体" w:eastAsia="宋体" w:hint="default"/>
                          <w:sz w:val="18"/>
                          <w:szCs w:val="18"/>
                        </w:rPr>
                      </w:pPr>
                      <w:r>
                        <w:rPr>
                          <w:rFonts w:ascii="宋体" w:hAnsi="宋体" w:cs="宋体" w:eastAsia="宋体" w:hint="default"/>
                          <w:spacing w:val="10"/>
                          <w:sz w:val="18"/>
                          <w:szCs w:val="18"/>
                        </w:rPr>
                        <w:t>限公司（大 </w:t>
                      </w:r>
                      <w:r>
                        <w:rPr>
                          <w:rFonts w:ascii="宋体" w:hAnsi="宋体" w:cs="宋体" w:eastAsia="宋体" w:hint="default"/>
                          <w:sz w:val="18"/>
                          <w:szCs w:val="18"/>
                        </w:rPr>
                        <w:t>商 股</w:t>
                      </w:r>
                      <w:r>
                        <w:rPr>
                          <w:rFonts w:ascii="宋体" w:hAnsi="宋体" w:cs="宋体" w:eastAsia="宋体" w:hint="default"/>
                          <w:spacing w:val="40"/>
                          <w:sz w:val="18"/>
                          <w:szCs w:val="18"/>
                        </w:rPr>
                        <w:t> </w:t>
                      </w:r>
                      <w:r>
                        <w:rPr>
                          <w:rFonts w:ascii="宋体" w:hAnsi="宋体" w:cs="宋体" w:eastAsia="宋体" w:hint="default"/>
                          <w:sz w:val="18"/>
                          <w:szCs w:val="18"/>
                        </w:rPr>
                        <w:t>份</w:t>
                      </w:r>
                      <w:r>
                        <w:rPr>
                          <w:rFonts w:ascii="宋体" w:hAnsi="宋体" w:cs="宋体" w:eastAsia="宋体" w:hint="default"/>
                          <w:sz w:val="18"/>
                          <w:szCs w:val="18"/>
                        </w:rPr>
                        <w:t> </w:t>
                      </w:r>
                      <w:r>
                        <w:rPr>
                          <w:rFonts w:ascii="宋体" w:hAnsi="宋体" w:cs="宋体" w:eastAsia="宋体" w:hint="default"/>
                          <w:sz w:val="18"/>
                          <w:szCs w:val="18"/>
                        </w:rPr>
                        <w:t>600694</w:t>
                      </w:r>
                      <w:r>
                        <w:rPr>
                          <w:rFonts w:ascii="宋体" w:hAnsi="宋体" w:cs="宋体" w:eastAsia="宋体" w:hint="default"/>
                          <w:sz w:val="18"/>
                          <w:szCs w:val="18"/>
                        </w:rPr>
                        <w:t>）</w:t>
                      </w:r>
                    </w:p>
                  </w:txbxContent>
                </v:textbox>
                <w10:wrap type="none"/>
              </v:shape>
              <v:shape style="position:absolute;left:4164;top:1591;width:954;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沈阳商业城</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股份有限公</w:t>
                      </w:r>
                      <w:r>
                        <w:rPr>
                          <w:rFonts w:ascii="宋体" w:hAnsi="宋体" w:cs="宋体" w:eastAsia="宋体" w:hint="default"/>
                          <w:sz w:val="18"/>
                          <w:szCs w:val="18"/>
                        </w:rPr>
                      </w:r>
                    </w:p>
                    <w:p>
                      <w:pPr>
                        <w:spacing w:line="300" w:lineRule="atLeast" w:before="26"/>
                        <w:ind w:left="0" w:right="7"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21"/>
                          <w:szCs w:val="21"/>
                        </w:rPr>
                        <w:t>*ST</w:t>
                      </w:r>
                      <w:r>
                        <w:rPr>
                          <w:rFonts w:ascii="宋体" w:hAnsi="宋体" w:cs="宋体" w:eastAsia="宋体" w:hint="default"/>
                          <w:spacing w:val="-18"/>
                          <w:sz w:val="21"/>
                          <w:szCs w:val="21"/>
                        </w:rPr>
                        <w:t> </w:t>
                      </w:r>
                      <w:r>
                        <w:rPr>
                          <w:rFonts w:ascii="宋体" w:hAnsi="宋体" w:cs="宋体" w:eastAsia="宋体" w:hint="default"/>
                          <w:sz w:val="18"/>
                          <w:szCs w:val="18"/>
                        </w:rPr>
                        <w:t>商 城</w:t>
                      </w:r>
                      <w:r>
                        <w:rPr>
                          <w:rFonts w:ascii="宋体" w:hAnsi="宋体" w:cs="宋体" w:eastAsia="宋体" w:hint="default"/>
                          <w:spacing w:val="-46"/>
                          <w:sz w:val="18"/>
                          <w:szCs w:val="18"/>
                        </w:rPr>
                        <w:t> </w:t>
                      </w:r>
                      <w:r>
                        <w:rPr>
                          <w:rFonts w:ascii="宋体" w:hAnsi="宋体" w:cs="宋体" w:eastAsia="宋体" w:hint="default"/>
                          <w:sz w:val="18"/>
                          <w:szCs w:val="18"/>
                        </w:rPr>
                        <w:t>600306</w:t>
                      </w:r>
                      <w:r>
                        <w:rPr>
                          <w:rFonts w:ascii="宋体" w:hAnsi="宋体" w:cs="宋体" w:eastAsia="宋体" w:hint="default"/>
                          <w:sz w:val="18"/>
                          <w:szCs w:val="18"/>
                        </w:rPr>
                        <w:t>）</w:t>
                      </w:r>
                    </w:p>
                  </w:txbxContent>
                </v:textbox>
                <w10:wrap type="none"/>
              </v:shape>
              <v:shape style="position:absolute;left:5912;top:1591;width:990;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4"/>
                          <w:sz w:val="18"/>
                          <w:szCs w:val="18"/>
                        </w:rPr>
                        <w:t>银座集团股</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14"/>
                          <w:sz w:val="18"/>
                          <w:szCs w:val="18"/>
                        </w:rPr>
                        <w:t>份有限公司</w:t>
                      </w:r>
                      <w:r>
                        <w:rPr>
                          <w:rFonts w:ascii="宋体" w:hAnsi="宋体" w:cs="宋体" w:eastAsia="宋体" w:hint="default"/>
                          <w:spacing w:val="-72"/>
                          <w:sz w:val="18"/>
                          <w:szCs w:val="18"/>
                        </w:rPr>
                        <w:t> </w:t>
                      </w:r>
                      <w:r>
                        <w:rPr>
                          <w:rFonts w:ascii="宋体" w:hAnsi="宋体" w:cs="宋体" w:eastAsia="宋体" w:hint="default"/>
                          <w:sz w:val="18"/>
                          <w:szCs w:val="18"/>
                        </w:rPr>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13"/>
                          <w:sz w:val="18"/>
                          <w:szCs w:val="18"/>
                        </w:rPr>
                        <w:t>银座股份</w:t>
                      </w:r>
                      <w:r>
                        <w:rPr>
                          <w:rFonts w:ascii="宋体" w:hAnsi="宋体" w:cs="宋体" w:eastAsia="宋体" w:hint="default"/>
                          <w:spacing w:val="-72"/>
                          <w:sz w:val="18"/>
                          <w:szCs w:val="18"/>
                        </w:rPr>
                        <w:t> </w:t>
                      </w:r>
                      <w:r>
                        <w:rPr>
                          <w:rFonts w:ascii="宋体" w:hAnsi="宋体" w:cs="宋体" w:eastAsia="宋体" w:hint="default"/>
                          <w:sz w:val="18"/>
                          <w:szCs w:val="18"/>
                        </w:rPr>
                        <w:t>600858</w:t>
                      </w:r>
                      <w:r>
                        <w:rPr>
                          <w:rFonts w:ascii="宋体" w:hAnsi="宋体" w:cs="宋体" w:eastAsia="宋体" w:hint="default"/>
                          <w:sz w:val="18"/>
                          <w:szCs w:val="18"/>
                        </w:rPr>
                        <w:t>）</w:t>
                      </w:r>
                    </w:p>
                  </w:txbxContent>
                </v:textbox>
                <w10:wrap type="none"/>
              </v:shape>
              <v:shape style="position:absolute;left:586;top:0;width:2175;height:471" type="#_x0000_t202" filled="false" stroked="true" strokeweight=".75pt" strokecolor="#000000">
                <v:textbox inset="0,0,0,0">
                  <w:txbxContent>
                    <w:p>
                      <w:pPr>
                        <w:spacing w:before="85"/>
                        <w:ind w:left="144"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xbxContent>
                </v:textbox>
                <w10:wrap type="none"/>
              </v:shape>
              <v:shape style="position:absolute;left:4394;top:0;width:2145;height:471" type="#_x0000_t202" filled="false" stroked="true" strokeweight=".75pt" strokecolor="#000000">
                <v:textbox inset="0,0,0,0">
                  <w:txbxContent>
                    <w:p>
                      <w:pPr>
                        <w:spacing w:before="85"/>
                        <w:ind w:left="145"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xbxContent>
                </v:textbox>
                <w10:wrap type="none"/>
              </v:shape>
            </v:group>
          </v:group>
        </w:pict>
      </w:r>
      <w:r>
        <w:rPr>
          <w:rFonts w:ascii="宋体"/>
          <w:position w:val="-58"/>
          <w:sz w:val="20"/>
        </w:rPr>
      </w:r>
    </w:p>
    <w:p>
      <w:pPr>
        <w:spacing w:line="240" w:lineRule="auto" w:before="4"/>
        <w:rPr>
          <w:rFonts w:ascii="宋体" w:hAnsi="宋体" w:cs="宋体" w:eastAsia="宋体" w:hint="default"/>
          <w:sz w:val="5"/>
          <w:szCs w:val="5"/>
        </w:rPr>
      </w:pPr>
    </w:p>
    <w:p>
      <w:pPr>
        <w:pStyle w:val="BodyText"/>
        <w:spacing w:line="240" w:lineRule="auto" w:before="35"/>
        <w:ind w:left="564" w:right="1066"/>
        <w:jc w:val="left"/>
      </w:pPr>
      <w:r>
        <w:rPr>
          <w:rFonts w:ascii="宋体" w:hAnsi="宋体" w:cs="宋体" w:eastAsia="宋体" w:hint="default"/>
        </w:rPr>
        <w:t>(</w:t>
      </w:r>
      <w:r>
        <w:rPr/>
        <w:t>五</w:t>
      </w:r>
      <w:r>
        <w:rPr>
          <w:rFonts w:ascii="宋体" w:hAnsi="宋体" w:cs="宋体" w:eastAsia="宋体" w:hint="default"/>
        </w:rPr>
        <w:t>)</w:t>
      </w:r>
      <w:r>
        <w:rPr/>
        <w:t>公司报告期控股股东未发生变更。</w:t>
      </w:r>
    </w:p>
    <w:p>
      <w:pPr>
        <w:spacing w:line="240" w:lineRule="auto" w:before="10"/>
        <w:rPr>
          <w:rFonts w:ascii="宋体" w:hAnsi="宋体" w:cs="宋体" w:eastAsia="宋体" w:hint="default"/>
          <w:sz w:val="14"/>
          <w:szCs w:val="14"/>
        </w:rPr>
      </w:pPr>
    </w:p>
    <w:p>
      <w:pPr>
        <w:spacing w:line="273" w:lineRule="auto" w:before="0"/>
        <w:ind w:left="564" w:right="6592" w:firstLine="2"/>
        <w:jc w:val="left"/>
        <w:rPr>
          <w:rFonts w:ascii="宋体" w:hAnsi="宋体" w:cs="宋体" w:eastAsia="宋体" w:hint="default"/>
          <w:sz w:val="21"/>
          <w:szCs w:val="21"/>
        </w:rPr>
      </w:pPr>
      <w:r>
        <w:rPr>
          <w:rFonts w:ascii="宋体" w:hAnsi="宋体" w:cs="宋体" w:eastAsia="宋体" w:hint="default"/>
          <w:b/>
          <w:bCs/>
          <w:sz w:val="21"/>
          <w:szCs w:val="21"/>
        </w:rPr>
        <w:t>三、公司实际控制人情况</w:t>
      </w:r>
      <w:r>
        <w:rPr>
          <w:rFonts w:ascii="宋体" w:hAnsi="宋体" w:cs="宋体" w:eastAsia="宋体" w:hint="default"/>
          <w:b/>
          <w:bCs/>
          <w:w w:val="99"/>
          <w:sz w:val="21"/>
          <w:szCs w:val="21"/>
        </w:rPr>
        <w:t> </w:t>
      </w:r>
      <w:r>
        <w:rPr>
          <w:rFonts w:ascii="宋体" w:hAnsi="宋体" w:cs="宋体" w:eastAsia="宋体" w:hint="default"/>
          <w:sz w:val="21"/>
          <w:szCs w:val="21"/>
        </w:rPr>
        <w:t>本公司的实际控制人是自然人黄茂如。</w:t>
      </w:r>
    </w:p>
    <w:p>
      <w:pPr>
        <w:pStyle w:val="BodyText"/>
        <w:spacing w:line="273" w:lineRule="auto" w:before="70"/>
        <w:ind w:left="144" w:right="1188" w:firstLine="420"/>
        <w:jc w:val="both"/>
      </w:pPr>
      <w:r>
        <w:rPr>
          <w:rFonts w:ascii="宋体" w:hAnsi="宋体" w:cs="宋体" w:eastAsia="宋体" w:hint="default"/>
        </w:rPr>
        <w:t>(</w:t>
      </w:r>
      <w:r>
        <w:rPr/>
        <w:t>一</w:t>
      </w:r>
      <w:r>
        <w:rPr>
          <w:rFonts w:ascii="宋体" w:hAnsi="宋体" w:cs="宋体" w:eastAsia="宋体" w:hint="default"/>
        </w:rPr>
        <w:t>) </w:t>
      </w:r>
      <w:r>
        <w:rPr/>
        <w:t>黄茂如，男，</w:t>
      </w:r>
      <w:r>
        <w:rPr>
          <w:rFonts w:ascii="宋体" w:hAnsi="宋体" w:cs="宋体" w:eastAsia="宋体" w:hint="default"/>
        </w:rPr>
        <w:t>49</w:t>
      </w:r>
      <w:r>
        <w:rPr>
          <w:rFonts w:ascii="宋体" w:hAnsi="宋体" w:cs="宋体" w:eastAsia="宋体" w:hint="default"/>
          <w:spacing w:val="-43"/>
        </w:rPr>
        <w:t> </w:t>
      </w:r>
      <w:r>
        <w:rPr/>
        <w:t>岁，国籍伯利兹</w:t>
      </w:r>
      <w:r>
        <w:rPr>
          <w:rFonts w:ascii="宋体" w:hAnsi="宋体" w:cs="宋体" w:eastAsia="宋体" w:hint="default"/>
        </w:rPr>
        <w:t>(BELIZE)</w:t>
      </w:r>
      <w:r>
        <w:rPr/>
        <w:t>，不拥有其他国家或地区的居留权，是茂业国际控 </w:t>
      </w:r>
      <w:r>
        <w:rPr>
          <w:spacing w:val="-1"/>
        </w:rPr>
        <w:t>股有限公司的创办人。他最近五年内的职业是企业经营管理者，曾任深圳茂业</w:t>
      </w:r>
      <w:r>
        <w:rPr>
          <w:rFonts w:ascii="宋体" w:hAnsi="宋体" w:cs="宋体" w:eastAsia="宋体" w:hint="default"/>
          <w:spacing w:val="-1"/>
        </w:rPr>
        <w:t>(</w:t>
      </w:r>
      <w:r>
        <w:rPr>
          <w:spacing w:val="-1"/>
        </w:rPr>
        <w:t>集团</w:t>
      </w:r>
      <w:r>
        <w:rPr>
          <w:rFonts w:ascii="宋体" w:hAnsi="宋体" w:cs="宋体" w:eastAsia="宋体" w:hint="default"/>
          <w:spacing w:val="-1"/>
        </w:rPr>
        <w:t>)</w:t>
      </w:r>
      <w:r>
        <w:rPr>
          <w:spacing w:val="-1"/>
        </w:rPr>
        <w:t>股份有限公司董事</w:t>
      </w:r>
      <w:r>
        <w:rPr>
          <w:spacing w:val="-102"/>
        </w:rPr>
        <w:t> </w:t>
      </w:r>
      <w:r>
        <w:rPr>
          <w:spacing w:val="-102"/>
        </w:rPr>
      </w:r>
      <w:r>
        <w:rPr/>
        <w:t>长兼</w:t>
      </w:r>
      <w:r>
        <w:rPr>
          <w:spacing w:val="-41"/>
        </w:rPr>
        <w:t> </w:t>
      </w:r>
      <w:r>
        <w:rPr>
          <w:rFonts w:ascii="宋体" w:hAnsi="宋体" w:cs="宋体" w:eastAsia="宋体" w:hint="default"/>
        </w:rPr>
        <w:t>CEO</w:t>
      </w:r>
      <w:r>
        <w:rPr/>
        <w:t>，深圳茂业商厦有限公司董事长，成商集团股份有限公司董事长，现任茂业国际控股有限公司 董事长、执行董事、首席执行官。</w:t>
      </w:r>
    </w:p>
    <w:p>
      <w:pPr>
        <w:pStyle w:val="BodyText"/>
        <w:spacing w:line="240" w:lineRule="auto" w:before="8"/>
        <w:ind w:left="564" w:right="1066"/>
        <w:jc w:val="left"/>
      </w:pPr>
      <w:r>
        <w:rPr/>
        <w:t>公司报告期实际控制人未发生变更。</w:t>
      </w:r>
    </w:p>
    <w:p>
      <w:pPr>
        <w:pStyle w:val="BodyText"/>
        <w:spacing w:line="240" w:lineRule="auto" w:before="37"/>
        <w:ind w:left="564" w:right="1066"/>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公司与实际控制人之间的产权和控制关系方框图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3" w:footer="1219" w:top="1140" w:bottom="1400" w:left="1160" w:right="0"/>
        </w:sectPr>
      </w:pPr>
    </w:p>
    <w:p>
      <w:pPr>
        <w:spacing w:line="337" w:lineRule="exact"/>
        <w:ind w:left="4316"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76540" cy="214312"/>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25" cstate="print"/>
                    <a:stretch>
                      <a:fillRect/>
                    </a:stretch>
                  </pic:blipFill>
                  <pic:spPr>
                    <a:xfrm>
                      <a:off x="0" y="0"/>
                      <a:ext cx="76540" cy="214312"/>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8"/>
        <w:rPr>
          <w:rFonts w:ascii="宋体" w:hAnsi="宋体" w:cs="宋体" w:eastAsia="宋体" w:hint="default"/>
          <w:sz w:val="24"/>
          <w:szCs w:val="24"/>
        </w:rPr>
      </w:pPr>
    </w:p>
    <w:p>
      <w:pPr>
        <w:spacing w:line="337" w:lineRule="exact"/>
        <w:ind w:left="4316"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76540" cy="214312"/>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25" cstate="print"/>
                    <a:stretch>
                      <a:fillRect/>
                    </a:stretch>
                  </pic:blipFill>
                  <pic:spPr>
                    <a:xfrm>
                      <a:off x="0" y="0"/>
                      <a:ext cx="76540" cy="214312"/>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3"/>
          <w:szCs w:val="23"/>
        </w:rPr>
      </w:pPr>
    </w:p>
    <w:p>
      <w:pPr>
        <w:spacing w:before="0"/>
        <w:ind w:left="0" w:right="192" w:firstLine="0"/>
        <w:jc w:val="right"/>
        <w:rPr>
          <w:rFonts w:ascii="宋体" w:hAnsi="宋体" w:cs="宋体" w:eastAsia="宋体" w:hint="default"/>
          <w:sz w:val="18"/>
          <w:szCs w:val="18"/>
        </w:rPr>
      </w:pPr>
      <w:r>
        <w:rPr/>
        <w:pict>
          <v:group style="position:absolute;margin-left:214.100006pt;margin-top:-112.190002pt;width:159.65pt;height:113.2pt;mso-position-horizontal-relative:page;mso-position-vertical-relative:paragraph;z-index:-760096" coordorigin="4282,-2244" coordsize="3193,2264">
            <v:group style="position:absolute;left:4712;top:-2234;width:1693;height:2" coordorigin="4712,-2234" coordsize="1693,2">
              <v:shape style="position:absolute;left:4712;top:-2234;width:1693;height:2" coordorigin="4712,-2234" coordsize="1693,0" path="m4712,-2234l6404,-2234e" filled="false" stroked="true" strokeweight=".48pt" strokecolor="#000000">
                <v:path arrowok="t"/>
              </v:shape>
            </v:group>
            <v:group style="position:absolute;left:4707;top:-2239;width:2;height:332" coordorigin="4707,-2239" coordsize="2,332">
              <v:shape style="position:absolute;left:4707;top:-2239;width:2;height:332" coordorigin="4707,-2239" coordsize="0,332" path="m4707,-2239l4707,-1908e" filled="false" stroked="true" strokeweight=".48pt" strokecolor="#000000">
                <v:path arrowok="t"/>
              </v:shape>
            </v:group>
            <v:group style="position:absolute;left:4712;top:-1913;width:1693;height:2" coordorigin="4712,-1913" coordsize="1693,2">
              <v:shape style="position:absolute;left:4712;top:-1913;width:1693;height:2" coordorigin="4712,-1913" coordsize="1693,0" path="m4712,-1913l6404,-1913e" filled="false" stroked="true" strokeweight=".48pt" strokecolor="#000000">
                <v:path arrowok="t"/>
              </v:shape>
            </v:group>
            <v:group style="position:absolute;left:6409;top:-2239;width:2;height:332" coordorigin="6409,-2239" coordsize="2,332">
              <v:shape style="position:absolute;left:6409;top:-2239;width:2;height:332" coordorigin="6409,-2239" coordsize="0,332" path="m6409,-2239l6409,-1908e" filled="false" stroked="true" strokeweight=".48pt" strokecolor="#000000">
                <v:path arrowok="t"/>
              </v:shape>
              <v:shape style="position:absolute;left:5476;top:-1929;width:120;height:336" type="#_x0000_t75" stroked="false">
                <v:imagedata r:id="rId25" o:title=""/>
              </v:shape>
            </v:group>
            <v:group style="position:absolute;left:6405;top:-2068;width:1060;height:2" coordorigin="6405,-2068" coordsize="1060,2">
              <v:shape style="position:absolute;left:6405;top:-2068;width:1060;height:2" coordorigin="6405,-2068" coordsize="1060,0" path="m6405,-2068l7465,-2068e" filled="false" stroked="true" strokeweight=".75pt" strokecolor="#000000">
                <v:path arrowok="t"/>
              </v:shape>
            </v:group>
            <v:group style="position:absolute;left:7465;top:-2068;width:2;height:1929" coordorigin="7465,-2068" coordsize="2,1929">
              <v:shape style="position:absolute;left:7465;top:-2068;width:2;height:1929" coordorigin="7465,-2068" coordsize="0,1929" path="m7465,-2068l7465,-139e" filled="false" stroked="true" strokeweight=".75pt" strokecolor="#000000">
                <v:path arrowok="t"/>
              </v:shape>
            </v:group>
            <v:group style="position:absolute;left:6690;top:-199;width:785;height:120" coordorigin="6690,-199" coordsize="785,120">
              <v:shape style="position:absolute;left:6690;top:-199;width:785;height:120" coordorigin="6690,-199" coordsize="785,120" path="m6810,-199l6690,-139,6810,-79,6810,-129,6784,-129,6780,-133,6780,-145,6784,-149,6810,-149,6810,-199xe" filled="true" fillcolor="#000000" stroked="false">
                <v:path arrowok="t"/>
                <v:fill type="solid"/>
              </v:shape>
              <v:shape style="position:absolute;left:6690;top:-199;width:785;height:120" coordorigin="6690,-199" coordsize="785,120" path="m6810,-149l6784,-149,6780,-145,6780,-133,6784,-129,6810,-129,6810,-149xe" filled="true" fillcolor="#000000" stroked="false">
                <v:path arrowok="t"/>
                <v:fill type="solid"/>
              </v:shape>
              <v:shape style="position:absolute;left:6690;top:-199;width:785;height:120" coordorigin="6690,-199" coordsize="785,120" path="m7471,-149l6810,-149,6810,-129,7471,-129,7475,-133,7475,-145,7471,-149xe" filled="true" fillcolor="#000000" stroked="false">
                <v:path arrowok="t"/>
                <v:fill type="solid"/>
              </v:shape>
              <v:shape style="position:absolute;left:4707;top:-2234;width:1702;height:322" type="#_x0000_t202" filled="false" stroked="false">
                <v:textbox inset="0,0,0,0">
                  <w:txbxContent>
                    <w:p>
                      <w:pPr>
                        <w:spacing w:before="15"/>
                        <w:ind w:left="221" w:right="0" w:firstLine="0"/>
                        <w:jc w:val="left"/>
                        <w:rPr>
                          <w:rFonts w:ascii="宋体" w:hAnsi="宋体" w:cs="宋体" w:eastAsia="宋体" w:hint="default"/>
                          <w:sz w:val="18"/>
                          <w:szCs w:val="18"/>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p>
                  </w:txbxContent>
                </v:textbox>
                <w10:wrap type="none"/>
              </v:shape>
              <v:shape style="position:absolute;left:6042;top:-184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6042;top:-1197;width:35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100%</w:t>
                      </w:r>
                    </w:p>
                  </w:txbxContent>
                </v:textbox>
                <w10:wrap type="none"/>
              </v:shape>
              <v:shape style="position:absolute;left:6056;top:-55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80.81%</w:t>
                      </w:r>
                    </w:p>
                  </w:txbxContent>
                </v:textbox>
                <w10:wrap type="none"/>
              </v:shape>
              <v:shape style="position:absolute;left:4282;top:-1591;width:2410;height:323" type="#_x0000_t202" filled="false" stroked="true" strokeweight=".48pt" strokecolor="#000000">
                <v:textbox inset="0,0,0,0">
                  <w:txbxContent>
                    <w:p>
                      <w:pPr>
                        <w:spacing w:before="11"/>
                        <w:ind w:left="321" w:right="0" w:firstLine="0"/>
                        <w:jc w:val="left"/>
                        <w:rPr>
                          <w:rFonts w:ascii="宋体" w:hAnsi="宋体" w:cs="宋体" w:eastAsia="宋体" w:hint="default"/>
                          <w:sz w:val="18"/>
                          <w:szCs w:val="18"/>
                        </w:rPr>
                      </w:pPr>
                      <w:r>
                        <w:rPr>
                          <w:rFonts w:ascii="宋体" w:hAnsi="宋体" w:cs="宋体" w:eastAsia="宋体" w:hint="default"/>
                          <w:sz w:val="18"/>
                          <w:szCs w:val="18"/>
                        </w:rPr>
                        <w:t>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p>
                  </w:txbxContent>
                </v:textbox>
                <w10:wrap type="none"/>
              </v:shape>
              <v:shape style="position:absolute;left:4282;top:-947;width:2410;height:323" type="#_x0000_t202" filled="false" stroked="true" strokeweight=".48pt" strokecolor="#000000">
                <v:textbox inset="0,0,0,0">
                  <w:txbxContent>
                    <w:p>
                      <w:pPr>
                        <w:spacing w:before="10"/>
                        <w:ind w:left="298" w:right="0" w:firstLine="0"/>
                        <w:jc w:val="left"/>
                        <w:rPr>
                          <w:rFonts w:ascii="宋体" w:hAnsi="宋体" w:cs="宋体" w:eastAsia="宋体" w:hint="default"/>
                          <w:sz w:val="18"/>
                          <w:szCs w:val="18"/>
                        </w:rPr>
                      </w:pPr>
                      <w:r>
                        <w:rPr>
                          <w:rFonts w:ascii="宋体" w:hAnsi="宋体" w:cs="宋体" w:eastAsia="宋体" w:hint="default"/>
                          <w:sz w:val="18"/>
                          <w:szCs w:val="18"/>
                        </w:rPr>
                        <w:t>茂业百货投资有限公司</w:t>
                      </w:r>
                    </w:p>
                  </w:txbxContent>
                </v:textbox>
                <w10:wrap type="none"/>
              </v:shape>
              <v:shape style="position:absolute;left:4282;top:-302;width:2410;height:322" type="#_x0000_t202" filled="false" stroked="true" strokeweight=".48pt" strokecolor="#000000">
                <v:textbox inset="0,0,0,0">
                  <w:txbxContent>
                    <w:p>
                      <w:pPr>
                        <w:spacing w:before="10"/>
                        <w:ind w:left="298" w:right="0" w:firstLine="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xbxContent>
                </v:textbox>
                <w10:wrap type="none"/>
              </v:shape>
            </v:group>
            <w10:wrap type="none"/>
          </v:group>
        </w:pict>
      </w:r>
      <w:r>
        <w:rPr/>
        <w:pict>
          <v:shape style="position:absolute;margin-left:214.100006pt;margin-top:17.049999pt;width:120.5pt;height:16.1500pt;mso-position-horizontal-relative:page;mso-position-vertical-relative:paragraph;z-index:-760048" type="#_x0000_t202" filled="false" stroked="true" strokeweight=".48pt" strokecolor="#000000">
            <v:textbox inset="0,0,0,0">
              <w:txbxContent>
                <w:p>
                  <w:pPr>
                    <w:spacing w:before="10"/>
                    <w:ind w:left="298" w:right="0" w:firstLine="0"/>
                    <w:jc w:val="left"/>
                    <w:rPr>
                      <w:rFonts w:ascii="宋体" w:hAnsi="宋体" w:cs="宋体" w:eastAsia="宋体" w:hint="default"/>
                      <w:sz w:val="18"/>
                      <w:szCs w:val="18"/>
                    </w:rPr>
                  </w:pPr>
                  <w:r>
                    <w:rPr>
                      <w:rFonts w:ascii="宋体" w:hAnsi="宋体" w:cs="宋体" w:eastAsia="宋体" w:hint="default"/>
                      <w:sz w:val="18"/>
                      <w:szCs w:val="18"/>
                    </w:rPr>
                    <w:t>茂业百货控股有限公司</w:t>
                  </w:r>
                </w:p>
              </w:txbxContent>
            </v:textbox>
            <w10:wrap type="none"/>
          </v:shape>
        </w:pict>
      </w:r>
      <w:r>
        <w:rPr>
          <w:position w:val="-7"/>
        </w:rPr>
        <w:drawing>
          <wp:inline distT="0" distB="0" distL="0" distR="0">
            <wp:extent cx="76200" cy="205105"/>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26" cstate="print"/>
                    <a:stretch>
                      <a:fillRect/>
                    </a:stretch>
                  </pic:blipFill>
                  <pic:spPr>
                    <a:xfrm>
                      <a:off x="0" y="0"/>
                      <a:ext cx="76200" cy="205105"/>
                    </a:xfrm>
                    <a:prstGeom prst="rect">
                      <a:avLst/>
                    </a:prstGeom>
                  </pic:spPr>
                </pic:pic>
              </a:graphicData>
            </a:graphic>
          </wp:inline>
        </w:drawing>
      </w:r>
      <w:r>
        <w:rPr>
          <w:position w:val="-7"/>
        </w:rPr>
      </w:r>
      <w:r>
        <w:rPr>
          <w:rFonts w:ascii="Times New Roman"/>
          <w:sz w:val="20"/>
        </w:rPr>
        <w:t>        </w:t>
      </w:r>
      <w:r>
        <w:rPr>
          <w:rFonts w:ascii="宋体"/>
          <w:sz w:val="18"/>
        </w:rPr>
        <w:t>100%</w:t>
      </w:r>
    </w:p>
    <w:p>
      <w:pPr>
        <w:spacing w:line="240" w:lineRule="auto" w:before="2"/>
        <w:rPr>
          <w:rFonts w:ascii="宋体" w:hAnsi="宋体" w:cs="宋体" w:eastAsia="宋体" w:hint="default"/>
          <w:sz w:val="24"/>
          <w:szCs w:val="24"/>
        </w:rPr>
      </w:pPr>
    </w:p>
    <w:p>
      <w:pPr>
        <w:spacing w:before="0"/>
        <w:ind w:left="0" w:right="178" w:firstLine="0"/>
        <w:jc w:val="right"/>
        <w:rPr>
          <w:rFonts w:ascii="宋体" w:hAnsi="宋体" w:cs="宋体" w:eastAsia="宋体" w:hint="default"/>
          <w:sz w:val="18"/>
          <w:szCs w:val="18"/>
        </w:rPr>
      </w:pPr>
      <w:r>
        <w:rPr/>
        <w:pict>
          <v:shape style="position:absolute;margin-left:214.100006pt;margin-top:17.32pt;width:120.5pt;height:16.1pt;mso-position-horizontal-relative:page;mso-position-vertical-relative:paragraph;z-index:-760024" type="#_x0000_t202" filled="false" stroked="true" strokeweight=".48pt" strokecolor="#000000">
            <v:textbox inset="0,0,0,0">
              <w:txbxContent>
                <w:p>
                  <w:pPr>
                    <w:spacing w:before="10"/>
                    <w:ind w:left="208" w:right="0" w:firstLine="0"/>
                    <w:jc w:val="left"/>
                    <w:rPr>
                      <w:rFonts w:ascii="宋体" w:hAnsi="宋体" w:cs="宋体" w:eastAsia="宋体" w:hint="default"/>
                      <w:sz w:val="18"/>
                      <w:szCs w:val="18"/>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xbxContent>
            </v:textbox>
            <w10:wrap type="none"/>
          </v:shape>
        </w:pict>
      </w:r>
      <w:r>
        <w:rPr>
          <w:position w:val="-8"/>
        </w:rPr>
        <w:drawing>
          <wp:inline distT="0" distB="0" distL="0" distR="0">
            <wp:extent cx="76200" cy="21336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5"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100%</w:t>
      </w:r>
    </w:p>
    <w:p>
      <w:pPr>
        <w:spacing w:line="240" w:lineRule="auto" w:before="2"/>
        <w:rPr>
          <w:rFonts w:ascii="宋体" w:hAnsi="宋体" w:cs="宋体" w:eastAsia="宋体" w:hint="default"/>
          <w:sz w:val="24"/>
          <w:szCs w:val="24"/>
        </w:rPr>
      </w:pPr>
    </w:p>
    <w:p>
      <w:pPr>
        <w:spacing w:before="0"/>
        <w:ind w:left="0" w:right="0" w:firstLine="0"/>
        <w:jc w:val="right"/>
        <w:rPr>
          <w:rFonts w:ascii="宋体" w:hAnsi="宋体" w:cs="宋体" w:eastAsia="宋体" w:hint="default"/>
          <w:sz w:val="18"/>
          <w:szCs w:val="18"/>
        </w:rPr>
      </w:pPr>
      <w:r>
        <w:rPr/>
        <w:pict>
          <v:shape style="position:absolute;margin-left:214.100006pt;margin-top:16.879999pt;width:120.5pt;height:16.1500pt;mso-position-horizontal-relative:page;mso-position-vertical-relative:paragraph;z-index:-760000" type="#_x0000_t202" filled="false" stroked="true" strokeweight=".48pt" strokecolor="#000000">
            <v:textbox inset="0,0,0,0">
              <w:txbxContent>
                <w:p>
                  <w:pPr>
                    <w:spacing w:before="11"/>
                    <w:ind w:left="298"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xbxContent>
            </v:textbox>
            <w10:wrap type="none"/>
          </v:shape>
        </w:pict>
      </w:r>
      <w:r>
        <w:rPr>
          <w:position w:val="-8"/>
        </w:rPr>
        <w:drawing>
          <wp:inline distT="0" distB="0" distL="0" distR="0">
            <wp:extent cx="76200" cy="21336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5"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98.69%</w:t>
      </w:r>
    </w:p>
    <w:p>
      <w:pPr>
        <w:spacing w:before="302"/>
        <w:ind w:left="0" w:right="68" w:firstLine="0"/>
        <w:jc w:val="right"/>
        <w:rPr>
          <w:rFonts w:ascii="宋体" w:hAnsi="宋体" w:cs="宋体" w:eastAsia="宋体" w:hint="default"/>
          <w:sz w:val="18"/>
          <w:szCs w:val="18"/>
        </w:rPr>
      </w:pPr>
      <w:r>
        <w:rPr/>
        <w:pict>
          <v:shape style="position:absolute;margin-left:214.100006pt;margin-top:32.299999pt;width:120.5pt;height:16.2pt;mso-position-horizontal-relative:page;mso-position-vertical-relative:paragraph;z-index:2512" type="#_x0000_t202" filled="false" stroked="true" strokeweight=".48pt" strokecolor="#000000">
            <v:textbox inset="0,0,0,0">
              <w:txbxContent>
                <w:p>
                  <w:pPr>
                    <w:spacing w:before="11"/>
                    <w:ind w:left="298"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xbxContent>
            </v:textbox>
            <w10:wrap type="none"/>
          </v:shape>
        </w:pict>
      </w:r>
      <w:r>
        <w:rPr>
          <w:position w:val="-8"/>
        </w:rPr>
        <w:drawing>
          <wp:inline distT="0" distB="0" distL="0" distR="0">
            <wp:extent cx="76200" cy="21336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5"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100%</w:t>
      </w:r>
    </w:p>
    <w:p>
      <w:pPr>
        <w:spacing w:line="240" w:lineRule="auto" w:before="6"/>
        <w:rPr>
          <w:rFonts w:ascii="宋体" w:hAnsi="宋体" w:cs="宋体" w:eastAsia="宋体" w:hint="default"/>
          <w:sz w:val="26"/>
          <w:szCs w:val="26"/>
        </w:rPr>
      </w:pPr>
    </w:p>
    <w:p>
      <w:pPr>
        <w:spacing w:before="0"/>
        <w:ind w:left="0" w:right="0" w:firstLine="0"/>
        <w:jc w:val="right"/>
        <w:rPr>
          <w:rFonts w:ascii="宋体" w:hAnsi="宋体" w:cs="宋体" w:eastAsia="宋体" w:hint="default"/>
          <w:sz w:val="18"/>
          <w:szCs w:val="18"/>
        </w:rPr>
      </w:pPr>
      <w:r>
        <w:rPr/>
        <w:pict>
          <v:shape style="position:absolute;margin-left:273.799988pt;margin-top:-1.528284pt;width:6pt;height:16.8pt;mso-position-horizontal-relative:page;mso-position-vertical-relative:paragraph;z-index:2416" type="#_x0000_t75" stroked="false">
            <v:imagedata r:id="rId25" o:title=""/>
          </v:shape>
        </w:pict>
      </w:r>
      <w:r>
        <w:rPr>
          <w:rFonts w:ascii="宋体"/>
          <w:sz w:val="18"/>
        </w:rPr>
        <w:t>33.46%</w:t>
      </w:r>
    </w:p>
    <w:p>
      <w:pPr>
        <w:spacing w:before="44"/>
        <w:ind w:left="934" w:right="0" w:firstLine="0"/>
        <w:jc w:val="left"/>
        <w:rPr>
          <w:rFonts w:ascii="宋体" w:hAnsi="宋体" w:cs="宋体" w:eastAsia="宋体" w:hint="default"/>
          <w:sz w:val="18"/>
          <w:szCs w:val="18"/>
        </w:rPr>
      </w:pPr>
      <w:r>
        <w:rPr/>
        <w:br w:type="column"/>
      </w:r>
      <w:r>
        <w:rPr>
          <w:rFonts w:ascii="宋体"/>
          <w:sz w:val="18"/>
        </w:rPr>
        <w:t>0.96%</w:t>
      </w:r>
    </w:p>
    <w:p>
      <w:pPr>
        <w:spacing w:after="0"/>
        <w:jc w:val="left"/>
        <w:rPr>
          <w:rFonts w:ascii="宋体" w:hAnsi="宋体" w:cs="宋体" w:eastAsia="宋体" w:hint="default"/>
          <w:sz w:val="18"/>
          <w:szCs w:val="18"/>
        </w:rPr>
        <w:sectPr>
          <w:type w:val="continuous"/>
          <w:pgSz w:w="11910" w:h="16840"/>
          <w:pgMar w:top="1580" w:bottom="760" w:left="1160" w:right="0"/>
          <w:cols w:num="2" w:equalWidth="0">
            <w:col w:w="5437" w:space="40"/>
            <w:col w:w="5273"/>
          </w:cols>
        </w:sectPr>
      </w:pPr>
    </w:p>
    <w:p>
      <w:pPr>
        <w:spacing w:line="240" w:lineRule="auto" w:before="5"/>
        <w:rPr>
          <w:rFonts w:ascii="宋体" w:hAnsi="宋体" w:cs="宋体" w:eastAsia="宋体" w:hint="default"/>
          <w:sz w:val="5"/>
          <w:szCs w:val="5"/>
        </w:rPr>
      </w:pPr>
    </w:p>
    <w:p>
      <w:pPr>
        <w:spacing w:line="321" w:lineRule="exact"/>
        <w:ind w:left="269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1pt;mso-position-horizontal-relative:char;mso-position-vertical-relative:line" type="#_x0000_t202" filled="false" stroked="true" strokeweight=".48pt" strokecolor="#000000">
            <w10:anchorlock/>
            <v:textbox inset="0,0,0,0">
              <w:txbxContent>
                <w:p>
                  <w:pPr>
                    <w:spacing w:before="10"/>
                    <w:ind w:left="723" w:right="0" w:firstLine="0"/>
                    <w:jc w:val="left"/>
                    <w:rPr>
                      <w:rFonts w:ascii="宋体" w:hAnsi="宋体" w:cs="宋体" w:eastAsia="宋体" w:hint="default"/>
                      <w:sz w:val="18"/>
                      <w:szCs w:val="18"/>
                    </w:rPr>
                  </w:pPr>
                  <w:r>
                    <w:rPr>
                      <w:rFonts w:ascii="宋体" w:hAnsi="宋体" w:cs="宋体" w:eastAsia="宋体" w:hint="default"/>
                      <w:sz w:val="18"/>
                      <w:szCs w:val="18"/>
                    </w:rPr>
                    <w:t>茂业物流股份有限公司</w:t>
                  </w:r>
                </w:p>
              </w:txbxContent>
            </v:textbox>
          </v:shape>
        </w:pict>
      </w:r>
      <w:r>
        <w:rPr>
          <w:rFonts w:ascii="宋体" w:hAnsi="宋体" w:cs="宋体" w:eastAsia="宋体" w:hint="default"/>
          <w:position w:val="-5"/>
          <w:sz w:val="20"/>
          <w:szCs w:val="20"/>
        </w:rPr>
      </w:r>
    </w:p>
    <w:p>
      <w:pPr>
        <w:spacing w:after="0" w:line="321" w:lineRule="exact"/>
        <w:rPr>
          <w:rFonts w:ascii="宋体" w:hAnsi="宋体" w:cs="宋体" w:eastAsia="宋体" w:hint="default"/>
          <w:sz w:val="20"/>
          <w:szCs w:val="20"/>
        </w:rPr>
        <w:sectPr>
          <w:type w:val="continuous"/>
          <w:pgSz w:w="11910" w:h="16840"/>
          <w:pgMar w:top="1580" w:bottom="760" w:left="1160" w:right="0"/>
        </w:sectPr>
      </w:pPr>
    </w:p>
    <w:p>
      <w:pPr>
        <w:spacing w:line="240" w:lineRule="auto" w:before="9"/>
        <w:rPr>
          <w:rFonts w:ascii="宋体" w:hAnsi="宋体" w:cs="宋体" w:eastAsia="宋体" w:hint="default"/>
          <w:sz w:val="17"/>
          <w:szCs w:val="17"/>
        </w:rPr>
      </w:pPr>
    </w:p>
    <w:p>
      <w:pPr>
        <w:pStyle w:val="BodyText"/>
        <w:spacing w:line="240" w:lineRule="auto" w:before="35"/>
        <w:ind w:left="824" w:right="41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8"/>
        </w:rPr>
        <w:t> </w:t>
      </w:r>
      <w:r>
        <w:rPr/>
        <w:t>报告期内公司实际控制人未发生变更，实际控制人没有通过信托或其他资产管理方式控制公</w:t>
      </w:r>
    </w:p>
    <w:p>
      <w:pPr>
        <w:pStyle w:val="BodyText"/>
        <w:spacing w:line="240" w:lineRule="auto" w:before="37"/>
        <w:ind w:right="5945"/>
        <w:jc w:val="left"/>
      </w:pPr>
      <w:r>
        <w:rPr/>
        <w:t>司。</w:t>
      </w:r>
    </w:p>
    <w:p>
      <w:pPr>
        <w:pStyle w:val="BodyText"/>
        <w:spacing w:line="240" w:lineRule="auto" w:before="37"/>
        <w:ind w:left="824" w:right="5945"/>
        <w:jc w:val="left"/>
      </w:pPr>
      <w:r>
        <w:rPr/>
        <w:t>四、其他持股在</w:t>
      </w:r>
      <w:r>
        <w:rPr>
          <w:spacing w:val="-55"/>
        </w:rPr>
        <w:t> </w:t>
      </w:r>
      <w:r>
        <w:rPr>
          <w:rFonts w:ascii="宋体" w:hAnsi="宋体" w:cs="宋体" w:eastAsia="宋体" w:hint="default"/>
        </w:rPr>
        <w:t>10%</w:t>
      </w:r>
      <w:r>
        <w:rPr/>
        <w:t>以上的法人股东情况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776"/>
        <w:gridCol w:w="1767"/>
        <w:gridCol w:w="1420"/>
        <w:gridCol w:w="1866"/>
        <w:gridCol w:w="1536"/>
      </w:tblGrid>
      <w:tr>
        <w:trPr>
          <w:trHeight w:val="5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94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1"/>
                <w:sz w:val="18"/>
                <w:szCs w:val="18"/>
              </w:rPr>
              <w:t>孝昌鹰溪谷投资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pacing w:val="14"/>
                <w:sz w:val="18"/>
                <w:szCs w:val="18"/>
              </w:rPr>
              <w:t>北京中泽启天投资</w:t>
            </w:r>
            <w:r>
              <w:rPr>
                <w:rFonts w:ascii="宋体" w:hAnsi="宋体" w:cs="宋体" w:eastAsia="宋体" w:hint="default"/>
                <w:sz w:val="18"/>
                <w:szCs w:val="18"/>
              </w:rPr>
              <w:t> </w:t>
            </w:r>
            <w:r>
              <w:rPr>
                <w:rFonts w:ascii="宋体" w:hAnsi="宋体" w:cs="宋体" w:eastAsia="宋体" w:hint="default"/>
                <w:spacing w:val="2"/>
                <w:sz w:val="18"/>
                <w:szCs w:val="18"/>
              </w:rPr>
              <w:t>中心</w:t>
            </w:r>
            <w:r>
              <w:rPr>
                <w:rFonts w:ascii="宋体" w:hAnsi="宋体" w:cs="宋体" w:eastAsia="宋体" w:hint="default"/>
                <w:spacing w:val="2"/>
                <w:sz w:val="18"/>
                <w:szCs w:val="18"/>
              </w:rPr>
              <w:t>(</w:t>
            </w:r>
            <w:r>
              <w:rPr>
                <w:rFonts w:ascii="宋体" w:hAnsi="宋体" w:cs="宋体" w:eastAsia="宋体" w:hint="default"/>
                <w:spacing w:val="2"/>
                <w:sz w:val="18"/>
                <w:szCs w:val="18"/>
              </w:rPr>
              <w:t>有限合伙</w:t>
            </w:r>
            <w:r>
              <w:rPr>
                <w:rFonts w:ascii="宋体" w:hAnsi="宋体" w:cs="宋体" w:eastAsia="宋体" w:hint="default"/>
                <w:spacing w:val="2"/>
                <w:sz w:val="18"/>
                <w:szCs w:val="18"/>
              </w:rPr>
              <w:t>)(</w:t>
            </w:r>
            <w:r>
              <w:rPr>
                <w:rFonts w:ascii="宋体" w:hAnsi="宋体" w:cs="宋体" w:eastAsia="宋体" w:hint="default"/>
                <w:spacing w:val="2"/>
                <w:sz w:val="18"/>
                <w:szCs w:val="18"/>
              </w:rPr>
              <w:t>委</w:t>
            </w:r>
            <w:r>
              <w:rPr>
                <w:rFonts w:ascii="宋体" w:hAnsi="宋体" w:cs="宋体" w:eastAsia="宋体" w:hint="default"/>
                <w:spacing w:val="-86"/>
                <w:sz w:val="18"/>
                <w:szCs w:val="18"/>
              </w:rPr>
              <w:t> </w:t>
            </w:r>
            <w:r>
              <w:rPr>
                <w:rFonts w:ascii="宋体" w:hAnsi="宋体" w:cs="宋体" w:eastAsia="宋体" w:hint="default"/>
                <w:sz w:val="18"/>
                <w:szCs w:val="18"/>
              </w:rPr>
              <w:t>派代表吴鹰</w:t>
            </w:r>
            <w:r>
              <w:rPr>
                <w:rFonts w:ascii="宋体" w:hAnsi="宋体" w:cs="宋体" w:eastAsia="宋体" w:hint="default"/>
                <w:sz w:val="18"/>
                <w:szCs w:val="18"/>
              </w:rPr>
              <w:t>)</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宋体" w:hAnsi="宋体" w:cs="宋体" w:eastAsia="宋体" w:hint="default"/>
                <w:sz w:val="18"/>
                <w:szCs w:val="18"/>
              </w:rPr>
            </w:pPr>
            <w:r>
              <w:rPr>
                <w:rFonts w:ascii="宋体"/>
                <w:sz w:val="18"/>
              </w:rPr>
              <w:t>30983311-5</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4,200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162"/>
              <w:jc w:val="left"/>
              <w:rPr>
                <w:rFonts w:ascii="宋体" w:hAnsi="宋体" w:cs="宋体" w:eastAsia="宋体" w:hint="default"/>
                <w:sz w:val="18"/>
                <w:szCs w:val="18"/>
              </w:rPr>
            </w:pPr>
            <w:r>
              <w:rPr>
                <w:rFonts w:ascii="宋体" w:hAnsi="宋体" w:cs="宋体" w:eastAsia="宋体" w:hint="default"/>
                <w:sz w:val="18"/>
                <w:szCs w:val="18"/>
              </w:rPr>
              <w:t>实业投资、投资 管理</w:t>
            </w:r>
          </w:p>
        </w:tc>
      </w:tr>
    </w:tbl>
    <w:p>
      <w:pPr>
        <w:spacing w:line="240" w:lineRule="auto" w:before="0"/>
        <w:rPr>
          <w:rFonts w:ascii="宋体" w:hAnsi="宋体" w:cs="宋体" w:eastAsia="宋体" w:hint="default"/>
          <w:sz w:val="20"/>
          <w:szCs w:val="20"/>
        </w:rPr>
      </w:pPr>
    </w:p>
    <w:p>
      <w:pPr>
        <w:pStyle w:val="BodyText"/>
        <w:spacing w:line="273" w:lineRule="auto" w:before="35"/>
        <w:ind w:left="824" w:right="1552"/>
        <w:jc w:val="left"/>
      </w:pPr>
      <w:r>
        <w:rPr/>
        <w:t>五、在公司所知的范围内，没有公司股东及其一致行动人在报告期提出或实施股份增持计划。 六、报告期公司不存在优先股。</w:t>
      </w:r>
    </w:p>
    <w:p>
      <w:pPr>
        <w:spacing w:line="240" w:lineRule="auto" w:before="7"/>
        <w:rPr>
          <w:rFonts w:ascii="宋体" w:hAnsi="宋体" w:cs="宋体" w:eastAsia="宋体" w:hint="default"/>
          <w:sz w:val="29"/>
          <w:szCs w:val="29"/>
        </w:rPr>
      </w:pPr>
    </w:p>
    <w:p>
      <w:pPr>
        <w:pStyle w:val="Heading1"/>
        <w:spacing w:line="240" w:lineRule="auto"/>
        <w:ind w:right="785"/>
        <w:jc w:val="center"/>
        <w:rPr>
          <w:b w:val="0"/>
          <w:bCs w:val="0"/>
        </w:rPr>
      </w:pPr>
      <w:r>
        <w:rPr/>
        <w:t>第七章</w:t>
      </w:r>
      <w:r>
        <w:rPr>
          <w:spacing w:val="-16"/>
        </w:rPr>
        <w:t> </w:t>
      </w:r>
      <w:r>
        <w:rPr/>
        <w:t>董事、监事、高级管理人员和员工情况</w:t>
      </w:r>
      <w:r>
        <w:rPr>
          <w:b w:val="0"/>
          <w:bCs w:val="0"/>
        </w:rPr>
      </w:r>
    </w:p>
    <w:p>
      <w:pPr>
        <w:spacing w:line="240" w:lineRule="auto" w:before="5"/>
        <w:rPr>
          <w:rFonts w:ascii="宋体" w:hAnsi="宋体" w:cs="宋体" w:eastAsia="宋体" w:hint="default"/>
          <w:b/>
          <w:bCs/>
          <w:sz w:val="34"/>
          <w:szCs w:val="34"/>
        </w:rPr>
      </w:pPr>
    </w:p>
    <w:p>
      <w:pPr>
        <w:pStyle w:val="Heading3"/>
        <w:tabs>
          <w:tab w:pos="843" w:val="left" w:leader="none"/>
        </w:tabs>
        <w:spacing w:line="240" w:lineRule="auto" w:before="0"/>
        <w:ind w:left="0" w:right="784"/>
        <w:jc w:val="center"/>
        <w:rPr>
          <w:b w:val="0"/>
          <w:bCs w:val="0"/>
        </w:rPr>
      </w:pPr>
      <w:r>
        <w:rPr>
          <w:w w:val="95"/>
        </w:rPr>
        <w:t>第一节</w:t>
        <w:tab/>
      </w:r>
      <w:r>
        <w:rPr/>
        <w:t>高层人员情况</w:t>
      </w:r>
      <w:r>
        <w:rPr>
          <w:b w:val="0"/>
          <w:bCs w:val="0"/>
        </w:rPr>
      </w:r>
    </w:p>
    <w:p>
      <w:pPr>
        <w:spacing w:line="240" w:lineRule="auto" w:before="9"/>
        <w:rPr>
          <w:rFonts w:ascii="宋体" w:hAnsi="宋体" w:cs="宋体" w:eastAsia="宋体" w:hint="default"/>
          <w:b/>
          <w:bCs/>
          <w:sz w:val="26"/>
          <w:szCs w:val="26"/>
        </w:rPr>
      </w:pPr>
    </w:p>
    <w:p>
      <w:pPr>
        <w:spacing w:before="0"/>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sz w:val="21"/>
          <w:szCs w:val="21"/>
        </w:rPr>
      </w:r>
    </w:p>
    <w:p>
      <w:pPr>
        <w:pStyle w:val="BodyText"/>
        <w:spacing w:line="273" w:lineRule="auto" w:before="37"/>
        <w:ind w:right="1187" w:firstLine="420"/>
        <w:jc w:val="both"/>
      </w:pPr>
      <w:r>
        <w:rPr/>
        <w:t>公司现任董事、监事、高级管理人员等高层人员共</w:t>
      </w:r>
      <w:r>
        <w:rPr>
          <w:spacing w:val="-37"/>
        </w:rPr>
        <w:t> </w:t>
      </w:r>
      <w:r>
        <w:rPr>
          <w:rFonts w:ascii="宋体" w:hAnsi="宋体" w:cs="宋体" w:eastAsia="宋体" w:hint="default"/>
        </w:rPr>
        <w:t>18</w:t>
      </w:r>
      <w:r>
        <w:rPr>
          <w:rFonts w:ascii="宋体" w:hAnsi="宋体" w:cs="宋体" w:eastAsia="宋体" w:hint="default"/>
          <w:spacing w:val="-36"/>
        </w:rPr>
        <w:t> </w:t>
      </w:r>
      <w:r>
        <w:rPr/>
        <w:t>人，报告期内因工作变动、个人原因</w:t>
      </w:r>
      <w:r>
        <w:rPr>
          <w:spacing w:val="-37"/>
        </w:rPr>
        <w:t> </w:t>
      </w:r>
      <w:r>
        <w:rPr>
          <w:rFonts w:ascii="宋体" w:hAnsi="宋体" w:cs="宋体" w:eastAsia="宋体" w:hint="default"/>
        </w:rPr>
        <w:t>2</w:t>
      </w:r>
      <w:r>
        <w:rPr>
          <w:rFonts w:ascii="宋体" w:hAnsi="宋体" w:cs="宋体" w:eastAsia="宋体" w:hint="default"/>
          <w:spacing w:val="-36"/>
        </w:rPr>
        <w:t> </w:t>
      </w:r>
      <w:r>
        <w:rPr/>
        <w:t>人离 </w:t>
      </w:r>
      <w:r>
        <w:rPr>
          <w:spacing w:val="-1"/>
        </w:rPr>
        <w:t>任</w:t>
      </w:r>
      <w:r>
        <w:rPr>
          <w:rFonts w:ascii="宋体" w:hAnsi="宋体" w:cs="宋体" w:eastAsia="宋体" w:hint="default"/>
          <w:spacing w:val="-1"/>
        </w:rPr>
        <w:t>(</w:t>
      </w:r>
      <w:r>
        <w:rPr>
          <w:spacing w:val="-1"/>
        </w:rPr>
        <w:t>详见本报告本章本节“四、公司董事、监事、高级管理人员变动情况”的内容</w:t>
      </w:r>
      <w:r>
        <w:rPr>
          <w:rFonts w:ascii="宋体" w:hAnsi="宋体" w:cs="宋体" w:eastAsia="宋体" w:hint="default"/>
          <w:spacing w:val="-1"/>
        </w:rPr>
        <w:t>)</w:t>
      </w:r>
      <w:r>
        <w:rPr>
          <w:spacing w:val="-1"/>
        </w:rPr>
        <w:t>。公司没有实行股票</w:t>
      </w:r>
      <w:r>
        <w:rPr/>
        <w:t> 期权，高层人员未被授予限制性股票，有关高层人员姓名、性别等情况见下表</w:t>
      </w:r>
    </w:p>
    <w:tbl>
      <w:tblPr>
        <w:tblW w:w="0" w:type="auto"/>
        <w:jc w:val="left"/>
        <w:tblInd w:w="115" w:type="dxa"/>
        <w:tblLayout w:type="fixed"/>
        <w:tblCellMar>
          <w:top w:w="0" w:type="dxa"/>
          <w:left w:w="0" w:type="dxa"/>
          <w:bottom w:w="0" w:type="dxa"/>
          <w:right w:w="0" w:type="dxa"/>
        </w:tblCellMar>
        <w:tblLook w:val="01E0"/>
      </w:tblPr>
      <w:tblGrid>
        <w:gridCol w:w="845"/>
        <w:gridCol w:w="1992"/>
        <w:gridCol w:w="648"/>
        <w:gridCol w:w="486"/>
        <w:gridCol w:w="709"/>
        <w:gridCol w:w="2506"/>
        <w:gridCol w:w="754"/>
        <w:gridCol w:w="568"/>
        <w:gridCol w:w="638"/>
        <w:gridCol w:w="779"/>
      </w:tblGrid>
      <w:tr>
        <w:trPr>
          <w:trHeight w:val="94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37" w:right="13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46" w:right="148"/>
              <w:jc w:val="left"/>
              <w:rPr>
                <w:rFonts w:ascii="宋体" w:hAnsi="宋体" w:cs="宋体" w:eastAsia="宋体" w:hint="default"/>
                <w:sz w:val="18"/>
                <w:szCs w:val="18"/>
              </w:rPr>
            </w:pPr>
            <w:r>
              <w:rPr>
                <w:rFonts w:ascii="宋体" w:hAnsi="宋体" w:cs="宋体" w:eastAsia="宋体" w:hint="default"/>
                <w:sz w:val="18"/>
                <w:szCs w:val="18"/>
              </w:rPr>
              <w:t>性 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06" w:right="125" w:hanging="82"/>
              <w:jc w:val="left"/>
              <w:rPr>
                <w:rFonts w:ascii="宋体" w:hAnsi="宋体" w:cs="宋体" w:eastAsia="宋体" w:hint="default"/>
                <w:sz w:val="18"/>
                <w:szCs w:val="18"/>
              </w:rPr>
            </w:pPr>
            <w:r>
              <w:rPr>
                <w:rFonts w:ascii="宋体" w:hAnsi="宋体" w:cs="宋体" w:eastAsia="宋体" w:hint="default"/>
                <w:spacing w:val="-17"/>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股数</w:t>
            </w:r>
            <w:r>
              <w:rPr>
                <w:rFonts w:ascii="宋体" w:hAnsi="宋体" w:cs="宋体" w:eastAsia="宋体" w:hint="default"/>
                <w:spacing w:val="-17"/>
                <w:sz w:val="18"/>
                <w:szCs w:val="18"/>
              </w:rPr>
              <w:t> </w:t>
            </w:r>
            <w:r>
              <w:rPr>
                <w:rFonts w:ascii="宋体" w:hAnsi="宋体" w:cs="宋体" w:eastAsia="宋体"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pacing w:val="-9"/>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pacing w:val="-17"/>
                <w:sz w:val="18"/>
                <w:szCs w:val="18"/>
              </w:rPr>
              <w:t>本期</w:t>
            </w:r>
            <w:r>
              <w:rPr>
                <w:rFonts w:ascii="宋体" w:hAnsi="宋体" w:cs="宋体" w:eastAsia="宋体" w:hint="default"/>
                <w:sz w:val="18"/>
                <w:szCs w:val="18"/>
              </w:rPr>
            </w:r>
          </w:p>
          <w:p>
            <w:pPr>
              <w:pStyle w:val="TableParagraph"/>
              <w:spacing w:line="237" w:lineRule="auto" w:before="1"/>
              <w:ind w:left="115" w:right="107"/>
              <w:jc w:val="both"/>
              <w:rPr>
                <w:rFonts w:ascii="宋体" w:hAnsi="宋体" w:cs="宋体" w:eastAsia="宋体" w:hint="default"/>
                <w:sz w:val="18"/>
                <w:szCs w:val="18"/>
              </w:rPr>
            </w:pPr>
            <w:r>
              <w:rPr>
                <w:rFonts w:ascii="宋体" w:hAnsi="宋体" w:cs="宋体" w:eastAsia="宋体" w:hint="default"/>
                <w:spacing w:val="-17"/>
                <w:sz w:val="18"/>
                <w:szCs w:val="18"/>
              </w:rPr>
              <w:t>增持 股份 </w:t>
            </w:r>
            <w:r>
              <w:rPr>
                <w:rFonts w:ascii="宋体" w:hAnsi="宋体" w:cs="宋体" w:eastAsia="宋体"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pacing w:val="-9"/>
                <w:sz w:val="18"/>
                <w:szCs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pacing w:val="-17"/>
                <w:sz w:val="18"/>
                <w:szCs w:val="18"/>
              </w:rPr>
              <w:t>本期</w:t>
            </w:r>
            <w:r>
              <w:rPr>
                <w:rFonts w:ascii="宋体" w:hAnsi="宋体" w:cs="宋体" w:eastAsia="宋体" w:hint="default"/>
                <w:sz w:val="18"/>
                <w:szCs w:val="18"/>
              </w:rPr>
            </w:r>
          </w:p>
          <w:p>
            <w:pPr>
              <w:pStyle w:val="TableParagraph"/>
              <w:spacing w:line="237" w:lineRule="auto" w:before="1"/>
              <w:ind w:left="148" w:right="143"/>
              <w:jc w:val="both"/>
              <w:rPr>
                <w:rFonts w:ascii="宋体" w:hAnsi="宋体" w:cs="宋体" w:eastAsia="宋体" w:hint="default"/>
                <w:sz w:val="18"/>
                <w:szCs w:val="18"/>
              </w:rPr>
            </w:pPr>
            <w:r>
              <w:rPr>
                <w:rFonts w:ascii="宋体" w:hAnsi="宋体" w:cs="宋体" w:eastAsia="宋体" w:hint="default"/>
                <w:spacing w:val="-17"/>
                <w:sz w:val="18"/>
                <w:szCs w:val="18"/>
              </w:rPr>
              <w:t>减持 股份 </w:t>
            </w:r>
            <w:r>
              <w:rPr>
                <w:rFonts w:ascii="宋体" w:hAnsi="宋体" w:cs="宋体" w:eastAsia="宋体"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pacing w:val="-9"/>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19" w:right="121" w:hanging="82"/>
              <w:jc w:val="left"/>
              <w:rPr>
                <w:rFonts w:ascii="宋体" w:hAnsi="宋体" w:cs="宋体" w:eastAsia="宋体" w:hint="default"/>
                <w:sz w:val="18"/>
                <w:szCs w:val="18"/>
              </w:rPr>
            </w:pPr>
            <w:r>
              <w:rPr>
                <w:rFonts w:ascii="宋体" w:hAnsi="宋体" w:cs="宋体" w:eastAsia="宋体" w:hint="default"/>
                <w:spacing w:val="-11"/>
                <w:sz w:val="18"/>
                <w:szCs w:val="18"/>
              </w:rPr>
              <w:t>期末持</w:t>
            </w:r>
            <w:r>
              <w:rPr>
                <w:rFonts w:ascii="宋体" w:hAnsi="宋体" w:cs="宋体" w:eastAsia="宋体" w:hint="default"/>
                <w:sz w:val="18"/>
                <w:szCs w:val="18"/>
              </w:rPr>
              <w:t> </w:t>
            </w:r>
            <w:r>
              <w:rPr>
                <w:rFonts w:ascii="宋体" w:hAnsi="宋体" w:cs="宋体" w:eastAsia="宋体" w:hint="default"/>
                <w:spacing w:val="-17"/>
                <w:sz w:val="18"/>
                <w:szCs w:val="18"/>
              </w:rPr>
              <w:t>股数</w:t>
            </w:r>
            <w:r>
              <w:rPr>
                <w:rFonts w:ascii="宋体" w:hAnsi="宋体" w:cs="宋体" w:eastAsia="宋体" w:hint="default"/>
                <w:spacing w:val="-17"/>
                <w:sz w:val="18"/>
                <w:szCs w:val="18"/>
              </w:rPr>
              <w:t> </w:t>
            </w:r>
            <w:r>
              <w:rPr>
                <w:rFonts w:ascii="宋体" w:hAnsi="宋体" w:cs="宋体" w:eastAsia="宋体"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pacing w:val="-9"/>
                <w:sz w:val="18"/>
                <w:szCs w:val="18"/>
              </w:rPr>
              <w:t>)</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刘  宏</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董事长、法人代表</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费自力</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王国文</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柳木华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姜大鸣</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王  斌</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甘  玲</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姜德起</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9,716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9,716</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王志远</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pacing w:val="-3"/>
                <w:sz w:val="18"/>
                <w:szCs w:val="18"/>
              </w:rPr>
              <w:t>职工监事、监事会主席</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康树佳</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卢小娟</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陈哲元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史鸿雁</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于海鹏</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夏冠明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45"/>
        <w:gridCol w:w="1992"/>
        <w:gridCol w:w="648"/>
        <w:gridCol w:w="486"/>
        <w:gridCol w:w="709"/>
        <w:gridCol w:w="2506"/>
        <w:gridCol w:w="754"/>
        <w:gridCol w:w="568"/>
        <w:gridCol w:w="638"/>
        <w:gridCol w:w="779"/>
      </w:tblGrid>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王  歌</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6"/>
              <w:jc w:val="righ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焦海青</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6"/>
              <w:jc w:val="right"/>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王福琴</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70" w:right="0"/>
              <w:jc w:val="left"/>
              <w:rPr>
                <w:rFonts w:ascii="宋体" w:hAnsi="宋体" w:cs="宋体" w:eastAsia="宋体" w:hint="default"/>
                <w:sz w:val="18"/>
                <w:szCs w:val="18"/>
              </w:rPr>
            </w:pPr>
            <w:r>
              <w:rPr>
                <w:rFonts w:ascii="宋体" w:hAnsi="宋体" w:cs="宋体" w:eastAsia="宋体" w:hint="default"/>
                <w:sz w:val="18"/>
                <w:szCs w:val="18"/>
              </w:rPr>
              <w:t>董事长、法人代表</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6"/>
              <w:jc w:val="righ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马志发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6"/>
              <w:jc w:val="right"/>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9,716</w:t>
            </w:r>
          </w:p>
        </w:tc>
        <w:tc>
          <w:tcPr>
            <w:tcW w:w="5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9,716</w:t>
            </w:r>
          </w:p>
        </w:tc>
      </w:tr>
    </w:tbl>
    <w:p>
      <w:pPr>
        <w:pStyle w:val="BodyText"/>
        <w:spacing w:line="273" w:lineRule="auto" w:before="47"/>
        <w:ind w:right="1073" w:firstLine="420"/>
        <w:jc w:val="left"/>
        <w:rPr>
          <w:rFonts w:ascii="宋体" w:hAnsi="宋体" w:cs="宋体" w:eastAsia="宋体" w:hint="default"/>
        </w:rPr>
      </w:pPr>
      <w:r>
        <w:rPr>
          <w:spacing w:val="-4"/>
        </w:rPr>
        <w:t>如上表所示：公司现任高层人员中除 </w:t>
      </w:r>
      <w:r>
        <w:rPr>
          <w:rFonts w:ascii="宋体" w:hAnsi="宋体" w:cs="宋体" w:eastAsia="宋体" w:hint="default"/>
        </w:rPr>
        <w:t>1</w:t>
      </w:r>
      <w:r>
        <w:rPr>
          <w:rFonts w:ascii="宋体" w:hAnsi="宋体" w:cs="宋体" w:eastAsia="宋体" w:hint="default"/>
          <w:spacing w:val="-80"/>
        </w:rPr>
        <w:t> </w:t>
      </w:r>
      <w:r>
        <w:rPr>
          <w:spacing w:val="-4"/>
        </w:rPr>
        <w:t>人持有公司股份外，其余人员都未持有公司股份。报告期内，</w:t>
      </w:r>
      <w:r>
        <w:rPr/>
        <w:t> 公司相关高层人员持股数量没有变动，但是按照中国证监会《上市公司董事、监事和高级管理人员所持 本公司股份及其变动管理规则》规定解除了部分限售股份，有关情况见下表</w:t>
      </w:r>
      <w:r>
        <w:rPr>
          <w:rFonts w:ascii="宋体" w:hAnsi="宋体" w:cs="宋体" w:eastAsia="宋体" w:hint="default"/>
        </w:rPr>
        <w:t>(</w:t>
      </w:r>
      <w:r>
        <w:rPr/>
        <w:t>数量单位：股</w:t>
      </w:r>
      <w:r>
        <w:rPr>
          <w:rFonts w:ascii="宋体" w:hAnsi="宋体" w:cs="宋体" w:eastAsia="宋体" w:hint="default"/>
        </w:rPr>
        <w:t>)</w:t>
      </w:r>
    </w:p>
    <w:tbl>
      <w:tblPr>
        <w:tblW w:w="0" w:type="auto"/>
        <w:jc w:val="left"/>
        <w:tblInd w:w="115" w:type="dxa"/>
        <w:tblLayout w:type="fixed"/>
        <w:tblCellMar>
          <w:top w:w="0" w:type="dxa"/>
          <w:left w:w="0" w:type="dxa"/>
          <w:bottom w:w="0" w:type="dxa"/>
          <w:right w:w="0" w:type="dxa"/>
        </w:tblCellMar>
        <w:tblLook w:val="01E0"/>
      </w:tblPr>
      <w:tblGrid>
        <w:gridCol w:w="994"/>
        <w:gridCol w:w="1276"/>
        <w:gridCol w:w="1559"/>
        <w:gridCol w:w="1560"/>
        <w:gridCol w:w="1417"/>
        <w:gridCol w:w="1559"/>
        <w:gridCol w:w="1560"/>
      </w:tblGrid>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持股数增减</w:t>
            </w:r>
            <w:r>
              <w:rPr>
                <w:rFonts w:ascii="宋体" w:hAnsi="宋体" w:cs="宋体" w:eastAsia="宋体" w:hint="default"/>
                <w:sz w:val="18"/>
                <w:szCs w:val="18"/>
              </w:rPr>
              <w:t>(+</w:t>
            </w:r>
            <w:r>
              <w:rPr>
                <w:rFonts w:ascii="宋体" w:hAnsi="宋体" w:cs="宋体" w:eastAsia="宋体" w:hint="default"/>
                <w:sz w:val="15"/>
                <w:szCs w:val="15"/>
              </w:rPr>
              <w:t>.</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其中</w:t>
            </w:r>
          </w:p>
        </w:tc>
      </w:tr>
      <w:tr>
        <w:trPr>
          <w:trHeight w:val="478" w:hRule="exact"/>
        </w:trPr>
        <w:tc>
          <w:tcPr>
            <w:tcW w:w="99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持有无限售条件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持有有限售条件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股份数量</w:t>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姜德起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9,716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2,429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z w:val="21"/>
              </w:rPr>
              <w:t>9,716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z w:val="21"/>
              </w:rPr>
              <w:t>2,429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7,287</w:t>
            </w:r>
          </w:p>
        </w:tc>
      </w:tr>
      <w:tr>
        <w:trPr>
          <w:trHeight w:val="4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9,716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z w:val="21"/>
              </w:rPr>
              <w:t>2,429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z w:val="21"/>
              </w:rPr>
              <w:t>9,716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z w:val="21"/>
              </w:rPr>
              <w:t>2,429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z w:val="21"/>
              </w:rPr>
              <w:t>7,287</w:t>
            </w:r>
          </w:p>
        </w:tc>
      </w:tr>
    </w:tbl>
    <w:p>
      <w:pPr>
        <w:spacing w:line="240" w:lineRule="auto" w:before="10"/>
        <w:rPr>
          <w:rFonts w:ascii="宋体" w:hAnsi="宋体" w:cs="宋体" w:eastAsia="宋体" w:hint="default"/>
          <w:sz w:val="21"/>
          <w:szCs w:val="21"/>
        </w:rPr>
      </w:pPr>
    </w:p>
    <w:p>
      <w:pPr>
        <w:pStyle w:val="Heading3"/>
        <w:spacing w:line="240" w:lineRule="auto"/>
        <w:ind w:right="418"/>
        <w:jc w:val="left"/>
        <w:rPr>
          <w:b w:val="0"/>
          <w:bCs w:val="0"/>
        </w:rPr>
      </w:pPr>
      <w:r>
        <w:rPr/>
        <w:t>二、公司现任董事、监事、高级管理人员最近</w:t>
      </w:r>
      <w:r>
        <w:rPr>
          <w:spacing w:val="-55"/>
        </w:rPr>
        <w:t> </w:t>
      </w:r>
      <w:r>
        <w:rPr>
          <w:rFonts w:ascii="宋体" w:hAnsi="宋体" w:cs="宋体" w:eastAsia="宋体" w:hint="default"/>
        </w:rPr>
        <w:t>5</w:t>
      </w:r>
      <w:r>
        <w:rPr>
          <w:rFonts w:ascii="宋体" w:hAnsi="宋体" w:cs="宋体" w:eastAsia="宋体" w:hint="default"/>
          <w:spacing w:val="-56"/>
        </w:rPr>
        <w:t> </w:t>
      </w:r>
      <w:r>
        <w:rPr/>
        <w:t>年的主要工作经历</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before="0"/>
        <w:ind w:left="824" w:right="1179"/>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公司现任高层人员最近</w:t>
      </w:r>
      <w:r>
        <w:rPr>
          <w:spacing w:val="-54"/>
        </w:rPr>
        <w:t> </w:t>
      </w:r>
      <w:r>
        <w:rPr>
          <w:rFonts w:ascii="宋体" w:hAnsi="宋体" w:cs="宋体" w:eastAsia="宋体" w:hint="default"/>
        </w:rPr>
        <w:t>5</w:t>
      </w:r>
      <w:r>
        <w:rPr>
          <w:rFonts w:ascii="宋体" w:hAnsi="宋体" w:cs="宋体" w:eastAsia="宋体" w:hint="default"/>
          <w:spacing w:val="-53"/>
        </w:rPr>
        <w:t> </w:t>
      </w:r>
      <w:r>
        <w:rPr/>
        <w:t>年的主要工作经历 刘宏，大学本科，高级经济师，会计师，中共党员，最近</w:t>
      </w:r>
      <w:r>
        <w:rPr>
          <w:spacing w:val="-76"/>
        </w:rPr>
        <w:t> </w:t>
      </w:r>
      <w:r>
        <w:rPr>
          <w:rFonts w:ascii="宋体" w:hAnsi="宋体" w:cs="宋体" w:eastAsia="宋体" w:hint="default"/>
        </w:rPr>
        <w:t>5</w:t>
      </w:r>
      <w:r>
        <w:rPr>
          <w:rFonts w:ascii="宋体" w:hAnsi="宋体" w:cs="宋体" w:eastAsia="宋体" w:hint="default"/>
          <w:spacing w:val="-76"/>
        </w:rPr>
        <w:t> </w:t>
      </w:r>
      <w:r>
        <w:rPr/>
        <w:t>年以来，曾任公司第四届、第五届董事</w:t>
      </w:r>
    </w:p>
    <w:p>
      <w:pPr>
        <w:pStyle w:val="BodyText"/>
        <w:spacing w:line="273" w:lineRule="auto"/>
        <w:ind w:right="1177"/>
        <w:jc w:val="left"/>
      </w:pPr>
      <w:r>
        <w:rPr>
          <w:spacing w:val="-1"/>
        </w:rPr>
        <w:t>会董事、公司总裁，秦皇岛市第十一届、第十二届人大代表，现任本公司第六届董事会董事长、党委书</w:t>
      </w:r>
      <w:r>
        <w:rPr/>
        <w:t> 记，兼任公司全资子公司秦皇岛市金原房地产开发有限公司和秦皇岛茂业控股有限公司的法人代表。</w:t>
      </w:r>
    </w:p>
    <w:p>
      <w:pPr>
        <w:pStyle w:val="BodyText"/>
        <w:spacing w:line="273" w:lineRule="auto"/>
        <w:ind w:right="1188" w:firstLine="420"/>
        <w:jc w:val="both"/>
      </w:pPr>
      <w:r>
        <w:rPr/>
        <w:t>费自力，本科，中共党员，会计师，高级职业经理人，最近</w:t>
      </w:r>
      <w:r>
        <w:rPr>
          <w:spacing w:val="-74"/>
        </w:rPr>
        <w:t> </w:t>
      </w:r>
      <w:r>
        <w:rPr>
          <w:rFonts w:ascii="宋体" w:hAnsi="宋体" w:cs="宋体" w:eastAsia="宋体" w:hint="default"/>
        </w:rPr>
        <w:t>5</w:t>
      </w:r>
      <w:r>
        <w:rPr>
          <w:rFonts w:ascii="宋体" w:hAnsi="宋体" w:cs="宋体" w:eastAsia="宋体" w:hint="default"/>
          <w:spacing w:val="-73"/>
        </w:rPr>
        <w:t> </w:t>
      </w:r>
      <w:r>
        <w:rPr/>
        <w:t>年以来，曾任公司第四届、第五届董 事会董事、公司副总裁，现任公司第六届董事会董事、公司总裁。</w:t>
      </w:r>
    </w:p>
    <w:p>
      <w:pPr>
        <w:pStyle w:val="BodyText"/>
        <w:spacing w:line="273" w:lineRule="auto"/>
        <w:ind w:right="1185" w:firstLine="420"/>
        <w:jc w:val="both"/>
      </w:pPr>
      <w:r>
        <w:rPr>
          <w:spacing w:val="-1"/>
        </w:rPr>
        <w:t>王国文，经济学博士，管理学博士后，中共党员，工作单位是综合开发研究院</w:t>
      </w:r>
      <w:r>
        <w:rPr>
          <w:rFonts w:ascii="宋体" w:hAnsi="宋体" w:cs="宋体" w:eastAsia="宋体" w:hint="default"/>
          <w:spacing w:val="-1"/>
        </w:rPr>
        <w:t>(</w:t>
      </w:r>
      <w:r>
        <w:rPr>
          <w:spacing w:val="-1"/>
        </w:rPr>
        <w:t>中国·深圳</w:t>
      </w:r>
      <w:r>
        <w:rPr>
          <w:rFonts w:ascii="宋体" w:hAnsi="宋体" w:cs="宋体" w:eastAsia="宋体" w:hint="default"/>
          <w:spacing w:val="-1"/>
        </w:rPr>
        <w:t>)</w:t>
      </w:r>
      <w:r>
        <w:rPr>
          <w:spacing w:val="-1"/>
        </w:rPr>
        <w:t>，最近</w:t>
      </w:r>
      <w:r>
        <w:rPr/>
        <w:t> </w:t>
      </w:r>
      <w:r>
        <w:rPr>
          <w:rFonts w:ascii="宋体" w:hAnsi="宋体" w:cs="宋体" w:eastAsia="宋体" w:hint="default"/>
        </w:rPr>
        <w:t>5</w:t>
      </w:r>
      <w:r>
        <w:rPr>
          <w:rFonts w:ascii="宋体" w:hAnsi="宋体" w:cs="宋体" w:eastAsia="宋体" w:hint="default"/>
          <w:spacing w:val="-41"/>
        </w:rPr>
        <w:t> </w:t>
      </w:r>
      <w:r>
        <w:rPr/>
        <w:t>年以来，曾任综合开发研究院物流研究中心主任、中国物流学会副秘书长、本公司第五届董事会独立 </w:t>
      </w:r>
      <w:r>
        <w:rPr>
          <w:spacing w:val="-1"/>
        </w:rPr>
        <w:t>董事；现任综合开发研究院</w:t>
      </w:r>
      <w:r>
        <w:rPr>
          <w:rFonts w:ascii="宋体" w:hAnsi="宋体" w:cs="宋体" w:eastAsia="宋体" w:hint="default"/>
          <w:spacing w:val="-1"/>
        </w:rPr>
        <w:t>(</w:t>
      </w:r>
      <w:r>
        <w:rPr>
          <w:spacing w:val="-1"/>
        </w:rPr>
        <w:t>中国·深圳</w:t>
      </w:r>
      <w:r>
        <w:rPr>
          <w:rFonts w:ascii="宋体" w:hAnsi="宋体" w:cs="宋体" w:eastAsia="宋体" w:hint="default"/>
          <w:spacing w:val="-1"/>
        </w:rPr>
        <w:t>)</w:t>
      </w:r>
      <w:r>
        <w:rPr>
          <w:spacing w:val="-1"/>
        </w:rPr>
        <w:t>物流与供应链管理研究所所长，中国物流学会副会长，南开大</w:t>
      </w:r>
      <w:r>
        <w:rPr>
          <w:spacing w:val="-102"/>
        </w:rPr>
        <w:t> </w:t>
      </w:r>
      <w:r>
        <w:rPr>
          <w:spacing w:val="-102"/>
        </w:rPr>
      </w:r>
      <w:r>
        <w:rPr/>
        <w:t>学、北京交通大学兼职教授，兼任本公司第六届董事会独立董事。</w:t>
      </w:r>
    </w:p>
    <w:p>
      <w:pPr>
        <w:pStyle w:val="BodyText"/>
        <w:spacing w:line="273" w:lineRule="auto"/>
        <w:ind w:right="1187" w:firstLine="420"/>
        <w:jc w:val="both"/>
      </w:pPr>
      <w:r>
        <w:rPr/>
        <w:t>柳木华，管理学</w:t>
      </w:r>
      <w:r>
        <w:rPr>
          <w:rFonts w:ascii="宋体" w:hAnsi="宋体" w:cs="宋体" w:eastAsia="宋体" w:hint="default"/>
        </w:rPr>
        <w:t>(</w:t>
      </w:r>
      <w:r>
        <w:rPr/>
        <w:t>会计学</w:t>
      </w:r>
      <w:r>
        <w:rPr>
          <w:rFonts w:ascii="宋体" w:hAnsi="宋体" w:cs="宋体" w:eastAsia="宋体" w:hint="default"/>
        </w:rPr>
        <w:t>)</w:t>
      </w:r>
      <w:r>
        <w:rPr/>
        <w:t>博士，工商管理博士后，注册会计师</w:t>
      </w:r>
      <w:r>
        <w:rPr>
          <w:rFonts w:ascii="宋体" w:hAnsi="宋体" w:cs="宋体" w:eastAsia="宋体" w:hint="default"/>
        </w:rPr>
        <w:t>(</w:t>
      </w:r>
      <w:r>
        <w:rPr/>
        <w:t>非执业</w:t>
      </w:r>
      <w:r>
        <w:rPr>
          <w:rFonts w:ascii="宋体" w:hAnsi="宋体" w:cs="宋体" w:eastAsia="宋体" w:hint="default"/>
        </w:rPr>
        <w:t>)</w:t>
      </w:r>
      <w:r>
        <w:rPr/>
        <w:t>，教授，中共党员，最近</w:t>
      </w:r>
      <w:r>
        <w:rPr>
          <w:spacing w:val="-43"/>
        </w:rPr>
        <w:t> </w:t>
      </w:r>
      <w:r>
        <w:rPr>
          <w:rFonts w:ascii="宋体" w:hAnsi="宋体" w:cs="宋体" w:eastAsia="宋体" w:hint="default"/>
        </w:rPr>
        <w:t>5 </w:t>
      </w:r>
      <w:r>
        <w:rPr>
          <w:spacing w:val="-1"/>
        </w:rPr>
        <w:t>年以来，在深圳大学经济学院工作，曾任经济学院审计系主任、本公司第五届董事会独立董事；现任经</w:t>
      </w:r>
      <w:r>
        <w:rPr>
          <w:spacing w:val="-99"/>
        </w:rPr>
        <w:t> </w:t>
      </w:r>
      <w:r>
        <w:rPr>
          <w:spacing w:val="-99"/>
        </w:rPr>
      </w:r>
      <w:r>
        <w:rPr/>
        <w:t>济学院会计学系主任，兼任本公司第六届董事会独立董事。</w:t>
      </w:r>
    </w:p>
    <w:p>
      <w:pPr>
        <w:pStyle w:val="BodyText"/>
        <w:spacing w:line="273" w:lineRule="auto"/>
        <w:ind w:right="1187" w:firstLine="420"/>
        <w:jc w:val="both"/>
      </w:pPr>
      <w:r>
        <w:rPr/>
        <w:t>姜大鸣，经济学学士，中国注册会计师，注册税务师，最近</w:t>
      </w:r>
      <w:r>
        <w:rPr>
          <w:spacing w:val="-74"/>
        </w:rPr>
        <w:t> </w:t>
      </w:r>
      <w:r>
        <w:rPr>
          <w:rFonts w:ascii="宋体" w:hAnsi="宋体" w:cs="宋体" w:eastAsia="宋体" w:hint="default"/>
        </w:rPr>
        <w:t>5</w:t>
      </w:r>
      <w:r>
        <w:rPr>
          <w:rFonts w:ascii="宋体" w:hAnsi="宋体" w:cs="宋体" w:eastAsia="宋体" w:hint="default"/>
          <w:spacing w:val="-73"/>
        </w:rPr>
        <w:t> </w:t>
      </w:r>
      <w:r>
        <w:rPr/>
        <w:t>年以来，曾任秦皇岛正源会计师事务 </w:t>
      </w:r>
      <w:r>
        <w:rPr>
          <w:spacing w:val="-1"/>
        </w:rPr>
        <w:t>所有限责任公司副所长，现任秦皇岛至诚会计师事务所有限责任公司所长，兼任本公司第六届董事会独</w:t>
      </w:r>
      <w:r>
        <w:rPr>
          <w:spacing w:val="-99"/>
        </w:rPr>
        <w:t> </w:t>
      </w:r>
      <w:r>
        <w:rPr>
          <w:spacing w:val="-99"/>
        </w:rPr>
      </w:r>
      <w:r>
        <w:rPr/>
        <w:t>立董事。</w:t>
      </w:r>
    </w:p>
    <w:p>
      <w:pPr>
        <w:pStyle w:val="BodyText"/>
        <w:spacing w:line="273" w:lineRule="auto"/>
        <w:ind w:right="1188" w:firstLine="420"/>
        <w:jc w:val="both"/>
      </w:pPr>
      <w:r>
        <w:rPr/>
        <w:t>王斌，高级会计师，</w:t>
      </w:r>
      <w:r>
        <w:rPr>
          <w:rFonts w:ascii="宋体" w:hAnsi="宋体" w:cs="宋体" w:eastAsia="宋体" w:hint="default"/>
        </w:rPr>
        <w:t>1988 </w:t>
      </w:r>
      <w:r>
        <w:rPr/>
        <w:t>年获上海海事大学财务与会计专业学士学位，</w:t>
      </w:r>
      <w:r>
        <w:rPr>
          <w:rFonts w:ascii="宋体" w:hAnsi="宋体" w:cs="宋体" w:eastAsia="宋体" w:hint="default"/>
        </w:rPr>
        <w:t>2001</w:t>
      </w:r>
      <w:r>
        <w:rPr>
          <w:rFonts w:ascii="宋体" w:hAnsi="宋体" w:cs="宋体" w:eastAsia="宋体" w:hint="default"/>
          <w:spacing w:val="-41"/>
        </w:rPr>
        <w:t> </w:t>
      </w:r>
      <w:r>
        <w:rPr/>
        <w:t>年获澳大利亚梅铎大 学工商管理硕士学位，最近</w:t>
      </w:r>
      <w:r>
        <w:rPr>
          <w:spacing w:val="-72"/>
        </w:rPr>
        <w:t> </w:t>
      </w:r>
      <w:r>
        <w:rPr>
          <w:rFonts w:ascii="宋体" w:hAnsi="宋体" w:cs="宋体" w:eastAsia="宋体" w:hint="default"/>
        </w:rPr>
        <w:t>5</w:t>
      </w:r>
      <w:r>
        <w:rPr>
          <w:rFonts w:ascii="宋体" w:hAnsi="宋体" w:cs="宋体" w:eastAsia="宋体" w:hint="default"/>
          <w:spacing w:val="-72"/>
        </w:rPr>
        <w:t> </w:t>
      </w:r>
      <w:r>
        <w:rPr/>
        <w:t>年以来，曾任华孚控股有限公司</w:t>
      </w:r>
      <w:r>
        <w:rPr>
          <w:rFonts w:ascii="宋体" w:hAnsi="宋体" w:cs="宋体" w:eastAsia="宋体" w:hint="default"/>
        </w:rPr>
        <w:t>(002042)</w:t>
      </w:r>
      <w:r>
        <w:rPr/>
        <w:t>财务总监，华孚色纺股份有限公 </w:t>
      </w:r>
      <w:r>
        <w:rPr>
          <w:spacing w:val="-1"/>
        </w:rPr>
        <w:t>司董事、本公司第五届董事会董事，现任本公司第六届董事会董事，茂业国际</w:t>
      </w:r>
      <w:r>
        <w:rPr>
          <w:rFonts w:ascii="宋体" w:hAnsi="宋体" w:cs="宋体" w:eastAsia="宋体" w:hint="default"/>
          <w:spacing w:val="-1"/>
        </w:rPr>
        <w:t>(00848.HK)</w:t>
      </w:r>
      <w:r>
        <w:rPr>
          <w:spacing w:val="-1"/>
        </w:rPr>
        <w:t>执行董事、副</w:t>
      </w:r>
      <w:r>
        <w:rPr>
          <w:spacing w:val="-96"/>
        </w:rPr>
        <w:t> </w:t>
      </w:r>
      <w:r>
        <w:rPr>
          <w:spacing w:val="-96"/>
        </w:rPr>
      </w:r>
      <w:r>
        <w:rPr/>
        <w:t>总裁、首席财务官，成商集团</w:t>
      </w:r>
      <w:r>
        <w:rPr>
          <w:rFonts w:ascii="宋体" w:hAnsi="宋体" w:cs="宋体" w:eastAsia="宋体" w:hint="default"/>
        </w:rPr>
        <w:t>(600828)</w:t>
      </w:r>
      <w:r>
        <w:rPr/>
        <w:t>和</w:t>
      </w:r>
      <w:r>
        <w:rPr>
          <w:rFonts w:ascii="宋体" w:hAnsi="宋体" w:cs="宋体" w:eastAsia="宋体" w:hint="default"/>
        </w:rPr>
        <w:t>*ST</w:t>
      </w:r>
      <w:r>
        <w:rPr>
          <w:rFonts w:ascii="宋体" w:hAnsi="宋体" w:cs="宋体" w:eastAsia="宋体" w:hint="default"/>
          <w:spacing w:val="-54"/>
        </w:rPr>
        <w:t> </w:t>
      </w:r>
      <w:r>
        <w:rPr/>
        <w:t>商城</w:t>
      </w:r>
      <w:r>
        <w:rPr>
          <w:rFonts w:ascii="宋体" w:hAnsi="宋体" w:cs="宋体" w:eastAsia="宋体" w:hint="default"/>
        </w:rPr>
        <w:t>(600306)</w:t>
      </w:r>
      <w:r>
        <w:rPr/>
        <w:t>董事。</w:t>
      </w:r>
    </w:p>
    <w:p>
      <w:pPr>
        <w:pStyle w:val="BodyText"/>
        <w:spacing w:line="273" w:lineRule="auto"/>
        <w:ind w:right="1188" w:firstLine="420"/>
        <w:jc w:val="both"/>
      </w:pPr>
      <w:r>
        <w:rPr>
          <w:spacing w:val="-4"/>
        </w:rPr>
        <w:t>甘玲，工商管理硕士，</w:t>
      </w:r>
      <w:r>
        <w:rPr>
          <w:rFonts w:ascii="宋体" w:hAnsi="宋体" w:cs="宋体" w:eastAsia="宋体" w:hint="default"/>
          <w:spacing w:val="-4"/>
        </w:rPr>
        <w:t>2003</w:t>
      </w:r>
      <w:r>
        <w:rPr>
          <w:rFonts w:ascii="宋体" w:hAnsi="宋体" w:cs="宋体" w:eastAsia="宋体" w:hint="default"/>
          <w:spacing w:val="-65"/>
        </w:rPr>
        <w:t> </w:t>
      </w:r>
      <w:r>
        <w:rPr/>
        <w:t>年毕业于美国德州大学奥斯丁分校，最近</w:t>
      </w:r>
      <w:r>
        <w:rPr>
          <w:spacing w:val="-65"/>
        </w:rPr>
        <w:t> </w:t>
      </w:r>
      <w:r>
        <w:rPr>
          <w:rFonts w:ascii="宋体" w:hAnsi="宋体" w:cs="宋体" w:eastAsia="宋体" w:hint="default"/>
        </w:rPr>
        <w:t>5</w:t>
      </w:r>
      <w:r>
        <w:rPr>
          <w:rFonts w:ascii="宋体" w:hAnsi="宋体" w:cs="宋体" w:eastAsia="宋体" w:hint="default"/>
          <w:spacing w:val="-65"/>
        </w:rPr>
        <w:t> </w:t>
      </w:r>
      <w:r>
        <w:rPr/>
        <w:t>年以来，曾任纽约老虎基金 </w:t>
      </w:r>
      <w:r>
        <w:rPr>
          <w:spacing w:val="-1"/>
        </w:rPr>
        <w:t>系列之一的科图基金管理公司分析师、公司第五届董事会董事，现任本公司第六届董事会董事，茂业国</w:t>
      </w:r>
      <w:r>
        <w:rPr>
          <w:spacing w:val="-102"/>
        </w:rPr>
        <w:t> </w:t>
      </w:r>
      <w:r>
        <w:rPr>
          <w:spacing w:val="-102"/>
        </w:rPr>
      </w:r>
      <w:r>
        <w:rPr/>
        <w:t>际</w:t>
      </w:r>
      <w:r>
        <w:rPr>
          <w:rFonts w:ascii="宋体" w:hAnsi="宋体" w:cs="宋体" w:eastAsia="宋体" w:hint="default"/>
        </w:rPr>
        <w:t>(00848.HK)</w:t>
      </w:r>
      <w:r>
        <w:rPr/>
        <w:t>副总经理、战略投资中心总经理，成商集团</w:t>
      </w:r>
      <w:r>
        <w:rPr>
          <w:rFonts w:ascii="宋体" w:hAnsi="宋体" w:cs="宋体" w:eastAsia="宋体" w:hint="default"/>
        </w:rPr>
        <w:t>(600828)</w:t>
      </w:r>
      <w:r>
        <w:rPr/>
        <w:t>董事。</w:t>
      </w:r>
    </w:p>
    <w:p>
      <w:pPr>
        <w:pStyle w:val="BodyText"/>
        <w:spacing w:line="273" w:lineRule="auto" w:before="8"/>
        <w:ind w:right="1189" w:firstLine="420"/>
        <w:jc w:val="both"/>
      </w:pPr>
      <w:r>
        <w:rPr/>
        <w:t>姜德起，大专，中共党员，经济师，最近</w:t>
      </w:r>
      <w:r>
        <w:rPr>
          <w:spacing w:val="-74"/>
        </w:rPr>
        <w:t> </w:t>
      </w:r>
      <w:r>
        <w:rPr>
          <w:rFonts w:ascii="宋体" w:hAnsi="宋体" w:cs="宋体" w:eastAsia="宋体" w:hint="default"/>
        </w:rPr>
        <w:t>5</w:t>
      </w:r>
      <w:r>
        <w:rPr>
          <w:rFonts w:ascii="宋体" w:hAnsi="宋体" w:cs="宋体" w:eastAsia="宋体" w:hint="default"/>
          <w:spacing w:val="-74"/>
        </w:rPr>
        <w:t> </w:t>
      </w:r>
      <w:r>
        <w:rPr/>
        <w:t>年以来，曾任公司副总裁、常务副总裁，现任公司第六 </w:t>
      </w:r>
      <w:r>
        <w:rPr>
          <w:spacing w:val="-6"/>
        </w:rPr>
        <w:t>届董事会董事，兼任秦皇岛茂业房地产开发有限公司总经理。</w:t>
      </w:r>
    </w:p>
    <w:p>
      <w:pPr>
        <w:pStyle w:val="BodyText"/>
        <w:spacing w:line="273" w:lineRule="auto"/>
        <w:ind w:right="1067" w:firstLine="420"/>
        <w:jc w:val="left"/>
      </w:pPr>
      <w:r>
        <w:rPr>
          <w:spacing w:val="-8"/>
        </w:rPr>
        <w:t>卢小娟，工商管理硕士，最近</w:t>
      </w:r>
      <w:r>
        <w:rPr>
          <w:spacing w:val="-73"/>
        </w:rPr>
        <w:t> </w:t>
      </w:r>
      <w:r>
        <w:rPr>
          <w:rFonts w:ascii="宋体" w:hAnsi="宋体" w:cs="宋体" w:eastAsia="宋体" w:hint="default"/>
        </w:rPr>
        <w:t>5</w:t>
      </w:r>
      <w:r>
        <w:rPr>
          <w:rFonts w:ascii="宋体" w:hAnsi="宋体" w:cs="宋体" w:eastAsia="宋体" w:hint="default"/>
          <w:spacing w:val="-73"/>
        </w:rPr>
        <w:t> </w:t>
      </w:r>
      <w:r>
        <w:rPr/>
        <w:t>年以来，曾任茂业国际控股有限公司</w:t>
      </w:r>
      <w:r>
        <w:rPr>
          <w:rFonts w:ascii="宋体" w:hAnsi="宋体" w:cs="宋体" w:eastAsia="宋体" w:hint="default"/>
        </w:rPr>
        <w:t>(00848.HK)</w:t>
      </w:r>
      <w:r>
        <w:rPr/>
        <w:t>审计监察部总经理、 合同管理中心总经理兼办公室主任、公司第五届监事会监事，现任本公司第六届监事会监事，茂业国际</w:t>
      </w:r>
    </w:p>
    <w:p>
      <w:pPr>
        <w:spacing w:after="0" w:line="273"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824" w:right="1178" w:hanging="421"/>
        <w:jc w:val="left"/>
      </w:pPr>
      <w:r>
        <w:rPr>
          <w:rFonts w:ascii="宋体" w:hAnsi="宋体" w:cs="宋体" w:eastAsia="宋体" w:hint="default"/>
        </w:rPr>
        <w:t>(00848.HK)</w:t>
      </w:r>
      <w:r>
        <w:rPr/>
        <w:t>财务管理中心副总经理，成商集团</w:t>
      </w:r>
      <w:r>
        <w:rPr>
          <w:rFonts w:ascii="宋体" w:hAnsi="宋体" w:cs="宋体" w:eastAsia="宋体" w:hint="default"/>
        </w:rPr>
        <w:t>(600828)</w:t>
      </w:r>
      <w:r>
        <w:rPr/>
        <w:t>监事。 康树佳，大学本科，中共党员，经济师，最近</w:t>
      </w:r>
      <w:r>
        <w:rPr>
          <w:spacing w:val="-76"/>
        </w:rPr>
        <w:t> </w:t>
      </w:r>
      <w:r>
        <w:rPr>
          <w:rFonts w:ascii="宋体" w:hAnsi="宋体" w:cs="宋体" w:eastAsia="宋体" w:hint="default"/>
        </w:rPr>
        <w:t>5</w:t>
      </w:r>
      <w:r>
        <w:rPr>
          <w:rFonts w:ascii="宋体" w:hAnsi="宋体" w:cs="宋体" w:eastAsia="宋体" w:hint="default"/>
          <w:spacing w:val="-75"/>
        </w:rPr>
        <w:t> </w:t>
      </w:r>
      <w:r>
        <w:rPr/>
        <w:t>年以来，曾任秦皇岛市人民政府国有资产监督管理</w:t>
      </w:r>
    </w:p>
    <w:p>
      <w:pPr>
        <w:pStyle w:val="BodyText"/>
        <w:spacing w:line="273" w:lineRule="auto"/>
        <w:ind w:left="824" w:right="1068" w:hanging="421"/>
        <w:jc w:val="left"/>
      </w:pPr>
      <w:r>
        <w:rPr/>
        <w:t>委员会研究室主任，现任本公司第六届监事会监事，兼任秦皇岛市国资委办公室主任。 </w:t>
      </w:r>
      <w:r>
        <w:rPr>
          <w:spacing w:val="-5"/>
        </w:rPr>
        <w:t>史鸿雁，大学文化，中共党员，会计师，最近 </w:t>
      </w:r>
      <w:r>
        <w:rPr>
          <w:rFonts w:ascii="宋体" w:hAnsi="宋体" w:cs="宋体" w:eastAsia="宋体" w:hint="default"/>
        </w:rPr>
        <w:t>5</w:t>
      </w:r>
      <w:r>
        <w:rPr>
          <w:rFonts w:ascii="宋体" w:hAnsi="宋体" w:cs="宋体" w:eastAsia="宋体" w:hint="default"/>
          <w:spacing w:val="-77"/>
        </w:rPr>
        <w:t> </w:t>
      </w:r>
      <w:r>
        <w:rPr>
          <w:spacing w:val="-3"/>
        </w:rPr>
        <w:t>年以来，曾任公司第四届、第五届监事会职工监事，</w:t>
      </w:r>
    </w:p>
    <w:p>
      <w:pPr>
        <w:pStyle w:val="BodyText"/>
        <w:spacing w:line="273" w:lineRule="auto" w:before="8"/>
        <w:ind w:left="824" w:right="1071" w:hanging="421"/>
        <w:jc w:val="left"/>
      </w:pPr>
      <w:r>
        <w:rPr/>
        <w:t>现任公司第六届监事会职工监事，公司证券事务代表、证券部经理。 </w:t>
      </w:r>
      <w:r>
        <w:rPr>
          <w:spacing w:val="-5"/>
        </w:rPr>
        <w:t>王志远，大专，中共党员，高级会计师，注册会计师，最近 </w:t>
      </w:r>
      <w:r>
        <w:rPr>
          <w:rFonts w:ascii="宋体" w:hAnsi="宋体" w:cs="宋体" w:eastAsia="宋体" w:hint="default"/>
        </w:rPr>
        <w:t>5</w:t>
      </w:r>
      <w:r>
        <w:rPr>
          <w:rFonts w:ascii="宋体" w:hAnsi="宋体" w:cs="宋体" w:eastAsia="宋体" w:hint="default"/>
          <w:spacing w:val="-68"/>
        </w:rPr>
        <w:t> </w:t>
      </w:r>
      <w:r>
        <w:rPr>
          <w:spacing w:val="-3"/>
        </w:rPr>
        <w:t>年以来，曾任公司副总裁、总会计师，</w:t>
      </w:r>
    </w:p>
    <w:p>
      <w:pPr>
        <w:pStyle w:val="BodyText"/>
        <w:spacing w:line="273" w:lineRule="auto"/>
        <w:ind w:left="824" w:right="1177" w:hanging="421"/>
        <w:jc w:val="left"/>
      </w:pPr>
      <w:r>
        <w:rPr/>
        <w:t>现任公司第六届监事会职工监事、监事会主席及公司党委副书记、纪委书记、工会主席。 陈哲元，大学本科，中共党员，经济师、高级经营师。最近</w:t>
      </w:r>
      <w:r>
        <w:rPr>
          <w:spacing w:val="-75"/>
        </w:rPr>
        <w:t> </w:t>
      </w:r>
      <w:r>
        <w:rPr>
          <w:rFonts w:ascii="宋体" w:hAnsi="宋体" w:cs="宋体" w:eastAsia="宋体" w:hint="default"/>
        </w:rPr>
        <w:t>5</w:t>
      </w:r>
      <w:r>
        <w:rPr>
          <w:rFonts w:ascii="宋体" w:hAnsi="宋体" w:cs="宋体" w:eastAsia="宋体" w:hint="default"/>
          <w:spacing w:val="-75"/>
        </w:rPr>
        <w:t> </w:t>
      </w:r>
      <w:r>
        <w:rPr/>
        <w:t>年以来任公司第六届监事会监事、茂</w:t>
      </w:r>
    </w:p>
    <w:p>
      <w:pPr>
        <w:pStyle w:val="BodyText"/>
        <w:spacing w:line="273" w:lineRule="auto"/>
        <w:ind w:left="824" w:right="1177" w:hanging="421"/>
        <w:jc w:val="left"/>
      </w:pPr>
      <w:r>
        <w:rPr/>
        <w:t>业国际</w:t>
      </w:r>
      <w:r>
        <w:rPr>
          <w:rFonts w:ascii="宋体" w:hAnsi="宋体" w:cs="宋体" w:eastAsia="宋体" w:hint="default"/>
        </w:rPr>
        <w:t>(00848.HK)</w:t>
      </w:r>
      <w:r>
        <w:rPr/>
        <w:t>副总经理、成商集团</w:t>
      </w:r>
      <w:r>
        <w:rPr>
          <w:rFonts w:ascii="宋体" w:hAnsi="宋体" w:cs="宋体" w:eastAsia="宋体" w:hint="default"/>
        </w:rPr>
        <w:t>(600828)</w:t>
      </w:r>
      <w:r>
        <w:rPr/>
        <w:t>监事、深圳市罗湖区第六届人民代表大会代表。 张文千，硕士，最近</w:t>
      </w:r>
      <w:r>
        <w:rPr>
          <w:spacing w:val="-75"/>
        </w:rPr>
        <w:t> </w:t>
      </w:r>
      <w:r>
        <w:rPr>
          <w:rFonts w:ascii="宋体" w:hAnsi="宋体" w:cs="宋体" w:eastAsia="宋体" w:hint="default"/>
        </w:rPr>
        <w:t>5</w:t>
      </w:r>
      <w:r>
        <w:rPr>
          <w:rFonts w:ascii="宋体" w:hAnsi="宋体" w:cs="宋体" w:eastAsia="宋体" w:hint="default"/>
          <w:spacing w:val="-75"/>
        </w:rPr>
        <w:t> </w:t>
      </w:r>
      <w:r>
        <w:rPr/>
        <w:t>年以来，曾任公司第四届董事会董事、常务副总裁；现任公司副总裁，兼公</w:t>
      </w:r>
    </w:p>
    <w:p>
      <w:pPr>
        <w:pStyle w:val="BodyText"/>
        <w:spacing w:line="273" w:lineRule="auto"/>
        <w:ind w:left="824" w:right="1133" w:hanging="421"/>
        <w:jc w:val="left"/>
      </w:pPr>
      <w:r>
        <w:rPr/>
        <w:t>司控股子公司安徽国润和间接控股公司滁州茂业、淮南茂业的法人代表。 于海鹏，研究生，中共党员，经济师。最近</w:t>
      </w:r>
      <w:r>
        <w:rPr>
          <w:spacing w:val="-53"/>
        </w:rPr>
        <w:t> </w:t>
      </w:r>
      <w:r>
        <w:rPr>
          <w:rFonts w:ascii="宋体" w:hAnsi="宋体" w:cs="宋体" w:eastAsia="宋体" w:hint="default"/>
        </w:rPr>
        <w:t>5</w:t>
      </w:r>
      <w:r>
        <w:rPr>
          <w:rFonts w:ascii="宋体" w:hAnsi="宋体" w:cs="宋体" w:eastAsia="宋体" w:hint="default"/>
          <w:spacing w:val="-53"/>
        </w:rPr>
        <w:t> </w:t>
      </w:r>
      <w:r>
        <w:rPr/>
        <w:t>年以来，曾任华联商场总经理、秦皇岛商城总经理，</w:t>
      </w:r>
    </w:p>
    <w:p>
      <w:pPr>
        <w:pStyle w:val="BodyText"/>
        <w:spacing w:line="273" w:lineRule="auto"/>
        <w:ind w:left="824" w:right="1175" w:hanging="421"/>
        <w:jc w:val="left"/>
      </w:pPr>
      <w:r>
        <w:rPr/>
        <w:t>现任公司副总裁、党委副书记、海港区第十四届人大代表、秦皇岛市第十三届人大代表。 夏冠明，英国伦敦大学</w:t>
      </w:r>
      <w:r>
        <w:rPr>
          <w:rFonts w:ascii="宋体" w:hAnsi="宋体" w:cs="宋体" w:eastAsia="宋体" w:hint="default"/>
        </w:rPr>
        <w:t>(UCL)MBA</w:t>
      </w:r>
      <w:r>
        <w:rPr>
          <w:rFonts w:ascii="宋体" w:hAnsi="宋体" w:cs="宋体" w:eastAsia="宋体" w:hint="default"/>
          <w:spacing w:val="-49"/>
        </w:rPr>
        <w:t> </w:t>
      </w:r>
      <w:r>
        <w:rPr/>
        <w:t>硕士，英国特许房屋经理学会</w:t>
      </w:r>
      <w:r>
        <w:rPr>
          <w:rFonts w:ascii="宋体" w:hAnsi="宋体" w:cs="宋体" w:eastAsia="宋体" w:hint="default"/>
        </w:rPr>
        <w:t>(CIH)</w:t>
      </w:r>
      <w:r>
        <w:rPr/>
        <w:t>特许会员，最近</w:t>
      </w:r>
      <w:r>
        <w:rPr>
          <w:spacing w:val="-50"/>
        </w:rPr>
        <w:t> </w:t>
      </w:r>
      <w:r>
        <w:rPr>
          <w:rFonts w:ascii="宋体" w:hAnsi="宋体" w:cs="宋体" w:eastAsia="宋体" w:hint="default"/>
        </w:rPr>
        <w:t>5</w:t>
      </w:r>
      <w:r>
        <w:rPr>
          <w:rFonts w:ascii="宋体" w:hAnsi="宋体" w:cs="宋体" w:eastAsia="宋体" w:hint="default"/>
          <w:spacing w:val="-49"/>
        </w:rPr>
        <w:t> </w:t>
      </w:r>
      <w:r>
        <w:rPr/>
        <w:t>年以来，曾</w:t>
      </w:r>
    </w:p>
    <w:p>
      <w:pPr>
        <w:pStyle w:val="BodyText"/>
        <w:spacing w:line="273" w:lineRule="auto"/>
        <w:ind w:right="1177"/>
        <w:jc w:val="left"/>
      </w:pPr>
      <w:r>
        <w:rPr>
          <w:spacing w:val="-1"/>
        </w:rPr>
        <w:t>任广州市时代地产集团有限公司项目管理中心总经理、物业经营管理中心总经理，茂业集团所属崇德物</w:t>
      </w:r>
      <w:r>
        <w:rPr>
          <w:spacing w:val="-100"/>
        </w:rPr>
        <w:t> </w:t>
      </w:r>
      <w:r>
        <w:rPr>
          <w:spacing w:val="-100"/>
        </w:rPr>
      </w:r>
      <w:r>
        <w:rPr/>
        <w:t>业管理</w:t>
      </w:r>
      <w:r>
        <w:rPr>
          <w:rFonts w:ascii="宋体" w:hAnsi="宋体" w:cs="宋体" w:eastAsia="宋体" w:hint="default"/>
        </w:rPr>
        <w:t>(</w:t>
      </w:r>
      <w:r>
        <w:rPr/>
        <w:t>深圳</w:t>
      </w:r>
      <w:r>
        <w:rPr>
          <w:rFonts w:ascii="宋体" w:hAnsi="宋体" w:cs="宋体" w:eastAsia="宋体" w:hint="default"/>
        </w:rPr>
        <w:t>)</w:t>
      </w:r>
      <w:r>
        <w:rPr/>
        <w:t>有限公司总经理，现任公司副总裁，兼公司控股子公司安徽国润董事长、总经理。</w:t>
      </w:r>
    </w:p>
    <w:p>
      <w:pPr>
        <w:pStyle w:val="BodyText"/>
        <w:spacing w:line="273" w:lineRule="auto"/>
        <w:ind w:right="1187" w:firstLine="420"/>
        <w:jc w:val="both"/>
      </w:pPr>
      <w:r>
        <w:rPr>
          <w:spacing w:val="-3"/>
        </w:rPr>
        <w:t>王歌，本科，会计师，最近</w:t>
      </w:r>
      <w:r>
        <w:rPr>
          <w:spacing w:val="-58"/>
        </w:rPr>
        <w:t> </w:t>
      </w:r>
      <w:r>
        <w:rPr>
          <w:rFonts w:ascii="宋体" w:hAnsi="宋体" w:cs="宋体" w:eastAsia="宋体" w:hint="default"/>
        </w:rPr>
        <w:t>5</w:t>
      </w:r>
      <w:r>
        <w:rPr>
          <w:rFonts w:ascii="宋体" w:hAnsi="宋体" w:cs="宋体" w:eastAsia="宋体" w:hint="default"/>
          <w:spacing w:val="-57"/>
        </w:rPr>
        <w:t> </w:t>
      </w:r>
      <w:r>
        <w:rPr/>
        <w:t>年以来，曾任深圳茂业商厦有限公司管理会计部经理、成商集团股份 </w:t>
      </w:r>
      <w:r>
        <w:rPr>
          <w:spacing w:val="-1"/>
        </w:rPr>
        <w:t>有限公司财务管理会计部经理、太原茂业百货有限公司财务部经理、深圳市恒波商业连锁股份有限公司</w:t>
      </w:r>
      <w:r>
        <w:rPr>
          <w:spacing w:val="-100"/>
        </w:rPr>
        <w:t> </w:t>
      </w:r>
      <w:r>
        <w:rPr>
          <w:spacing w:val="-100"/>
        </w:rPr>
      </w:r>
      <w:r>
        <w:rPr/>
        <w:t>财务总监、茂业国际控股有限公司</w:t>
      </w:r>
      <w:r>
        <w:rPr>
          <w:rFonts w:ascii="宋体" w:hAnsi="宋体" w:cs="宋体" w:eastAsia="宋体" w:hint="default"/>
        </w:rPr>
        <w:t>(00848.HK)</w:t>
      </w:r>
      <w:r>
        <w:rPr/>
        <w:t>华南区域副总经理兼财务总监，现任公司财务总监。</w:t>
      </w:r>
    </w:p>
    <w:p>
      <w:pPr>
        <w:pStyle w:val="BodyText"/>
        <w:spacing w:line="408" w:lineRule="auto"/>
        <w:ind w:left="824" w:right="2602"/>
        <w:jc w:val="left"/>
      </w:pPr>
      <w:r>
        <w:rPr/>
        <w:pict>
          <v:shape style="position:absolute;margin-left:50.759998pt;margin-top:40.093681pt;width:497pt;height:128.8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2410"/>
                    <w:gridCol w:w="2978"/>
                    <w:gridCol w:w="1984"/>
                    <w:gridCol w:w="1560"/>
                  </w:tblGrid>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4"/>
                          <w:ind w:left="103" w:right="82"/>
                          <w:jc w:val="left"/>
                          <w:rPr>
                            <w:rFonts w:ascii="宋体" w:hAnsi="宋体" w:cs="宋体" w:eastAsia="宋体" w:hint="default"/>
                            <w:sz w:val="18"/>
                            <w:szCs w:val="18"/>
                          </w:rPr>
                        </w:pPr>
                        <w:r>
                          <w:rPr>
                            <w:rFonts w:ascii="宋体" w:hAnsi="宋体" w:cs="宋体" w:eastAsia="宋体" w:hint="default"/>
                            <w:spacing w:val="14"/>
                            <w:sz w:val="18"/>
                            <w:szCs w:val="18"/>
                          </w:rPr>
                          <w:t>任职人员</w:t>
                        </w:r>
                        <w:r>
                          <w:rPr>
                            <w:rFonts w:ascii="宋体" w:hAnsi="宋体" w:cs="宋体" w:eastAsia="宋体" w:hint="default"/>
                            <w:spacing w:val="-71"/>
                            <w:sz w:val="18"/>
                            <w:szCs w:val="18"/>
                          </w:rPr>
                          <w:t> </w:t>
                        </w: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在股东单位担任职务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3" w:right="14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执行董事、副总裁及首席财务官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甘玲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副总经理及战略投资中心总经理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财务管理中心副总经理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康树佳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秦皇岛市国资委</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办公室主任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没有任职终止日期</w:t>
                        </w:r>
                      </w:p>
                    </w:tc>
                  </w:tr>
                </w:tbl>
                <w:p>
                  <w:pPr/>
                </w:p>
              </w:txbxContent>
            </v:textbox>
            <w10:wrap type="none"/>
          </v:shape>
        </w:pict>
      </w:r>
      <w:r>
        <w:rPr/>
        <w:t>焦海青，大学本科，工程学士，讲师，最近</w:t>
      </w:r>
      <w:r>
        <w:rPr>
          <w:spacing w:val="-52"/>
        </w:rPr>
        <w:t> </w:t>
      </w:r>
      <w:r>
        <w:rPr>
          <w:rFonts w:ascii="宋体" w:hAnsi="宋体" w:cs="宋体" w:eastAsia="宋体" w:hint="default"/>
        </w:rPr>
        <w:t>5</w:t>
      </w:r>
      <w:r>
        <w:rPr>
          <w:rFonts w:ascii="宋体" w:hAnsi="宋体" w:cs="宋体" w:eastAsia="宋体" w:hint="default"/>
          <w:spacing w:val="-53"/>
        </w:rPr>
        <w:t> </w:t>
      </w:r>
      <w:r>
        <w:rPr/>
        <w:t>年以来任公司董事会秘书、副总裁。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公司现任董事、监事在股东单位任职情况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35"/>
        <w:ind w:left="824" w:right="41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公司现任董事、监事在其他单位任职情况</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994"/>
        <w:gridCol w:w="2268"/>
        <w:gridCol w:w="1276"/>
        <w:gridCol w:w="3827"/>
        <w:gridCol w:w="1560"/>
      </w:tblGrid>
      <w:tr>
        <w:trPr>
          <w:trHeight w:val="63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82"/>
              <w:jc w:val="left"/>
              <w:rPr>
                <w:rFonts w:ascii="宋体" w:hAnsi="宋体" w:cs="宋体" w:eastAsia="宋体" w:hint="default"/>
                <w:sz w:val="18"/>
                <w:szCs w:val="18"/>
              </w:rPr>
            </w:pPr>
            <w:r>
              <w:rPr>
                <w:rFonts w:ascii="宋体" w:hAnsi="宋体" w:cs="宋体" w:eastAsia="宋体" w:hint="default"/>
                <w:spacing w:val="14"/>
                <w:sz w:val="18"/>
                <w:szCs w:val="18"/>
              </w:rPr>
              <w:t>任职人员</w:t>
            </w:r>
            <w:r>
              <w:rPr>
                <w:rFonts w:ascii="宋体" w:hAnsi="宋体" w:cs="宋体" w:eastAsia="宋体" w:hint="default"/>
                <w:spacing w:val="-71"/>
                <w:sz w:val="18"/>
                <w:szCs w:val="18"/>
              </w:rPr>
              <w:t> </w:t>
            </w:r>
            <w:r>
              <w:rPr>
                <w:rFonts w:ascii="宋体" w:hAnsi="宋体" w:cs="宋体" w:eastAsia="宋体" w:hint="default"/>
                <w:sz w:val="18"/>
                <w:szCs w:val="18"/>
              </w:rPr>
              <w:t>姓名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62"/>
              <w:jc w:val="left"/>
              <w:rPr>
                <w:rFonts w:ascii="宋体" w:hAnsi="宋体" w:cs="宋体" w:eastAsia="宋体" w:hint="default"/>
                <w:sz w:val="18"/>
                <w:szCs w:val="18"/>
              </w:rPr>
            </w:pPr>
            <w:r>
              <w:rPr>
                <w:rFonts w:ascii="宋体" w:hAnsi="宋体" w:cs="宋体" w:eastAsia="宋体" w:hint="default"/>
                <w:sz w:val="18"/>
                <w:szCs w:val="18"/>
              </w:rPr>
              <w:t>在其他单位 担任职务</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3" w:right="14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月止</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沈阳商业城股份有限公司</w:t>
            </w:r>
          </w:p>
        </w:tc>
        <w:tc>
          <w:tcPr>
            <w:tcW w:w="1276" w:type="dxa"/>
            <w:vMerge/>
            <w:tcBorders>
              <w:left w:val="single" w:sz="4" w:space="0" w:color="000000"/>
              <w:bottom w:val="single" w:sz="4" w:space="0" w:color="000000"/>
              <w:right w:val="single" w:sz="4" w:space="0" w:color="000000"/>
            </w:tcBorders>
          </w:tcPr>
          <w:p>
            <w:pP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月起至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月止</w:t>
            </w:r>
          </w:p>
        </w:tc>
        <w:tc>
          <w:tcPr>
            <w:tcW w:w="1560" w:type="dxa"/>
            <w:vMerge/>
            <w:tcBorders>
              <w:left w:val="single" w:sz="4" w:space="0" w:color="000000"/>
              <w:bottom w:val="single" w:sz="4" w:space="0" w:color="000000"/>
              <w:right w:val="single" w:sz="4" w:space="0" w:color="000000"/>
            </w:tcBorders>
          </w:tcPr>
          <w:p>
            <w:pP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甘玲</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姜德起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7"/>
                <w:sz w:val="18"/>
                <w:szCs w:val="18"/>
              </w:rPr>
              <w:t>茂业国际所属企业秦皇岛</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8"/>
                <w:sz w:val="18"/>
                <w:szCs w:val="18"/>
              </w:rPr>
              <w:t>茂业房地产开发有限公司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姜德起没有任职终止日期</w:t>
            </w:r>
          </w:p>
        </w:tc>
      </w:tr>
    </w:tbl>
    <w:p>
      <w:pPr>
        <w:spacing w:line="408" w:lineRule="auto" w:before="78"/>
        <w:ind w:left="827" w:right="418" w:hanging="3"/>
        <w:jc w:val="left"/>
        <w:rPr>
          <w:rFonts w:ascii="宋体" w:hAnsi="宋体" w:cs="宋体" w:eastAsia="宋体" w:hint="default"/>
          <w:sz w:val="21"/>
          <w:szCs w:val="21"/>
        </w:rPr>
      </w:pPr>
      <w:r>
        <w:rPr>
          <w:rFonts w:ascii="宋体" w:hAnsi="宋体" w:cs="宋体" w:eastAsia="宋体" w:hint="default"/>
          <w:spacing w:val="-4"/>
          <w:sz w:val="21"/>
          <w:szCs w:val="21"/>
        </w:rPr>
        <w:t>除上述董</w:t>
      </w:r>
      <w:r>
        <w:rPr>
          <w:rFonts w:ascii="宋体" w:hAnsi="宋体" w:cs="宋体" w:eastAsia="宋体" w:hint="default"/>
          <w:spacing w:val="-4"/>
          <w:sz w:val="21"/>
          <w:szCs w:val="21"/>
        </w:rPr>
        <w:t>(</w:t>
      </w:r>
      <w:r>
        <w:rPr>
          <w:rFonts w:ascii="宋体" w:hAnsi="宋体" w:cs="宋体" w:eastAsia="宋体" w:hint="default"/>
          <w:spacing w:val="-4"/>
          <w:sz w:val="21"/>
          <w:szCs w:val="21"/>
        </w:rPr>
        <w:t>监</w:t>
      </w:r>
      <w:r>
        <w:rPr>
          <w:rFonts w:ascii="宋体" w:hAnsi="宋体" w:cs="宋体" w:eastAsia="宋体" w:hint="default"/>
          <w:spacing w:val="-4"/>
          <w:sz w:val="21"/>
          <w:szCs w:val="21"/>
        </w:rPr>
        <w:t>)</w:t>
      </w:r>
      <w:r>
        <w:rPr>
          <w:rFonts w:ascii="宋体" w:hAnsi="宋体" w:cs="宋体" w:eastAsia="宋体" w:hint="default"/>
          <w:spacing w:val="-4"/>
          <w:sz w:val="21"/>
          <w:szCs w:val="21"/>
        </w:rPr>
        <w:t>事之外，公司其他董事、监事、高级管理人员没有在股东单位或其他单位任职或兼职。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三、董事、监事、高级管理人员年度报酬情况</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883" w:footer="1219" w:top="1140" w:bottom="1400" w:left="900" w:right="0"/>
        </w:sectPr>
      </w:pPr>
    </w:p>
    <w:p>
      <w:pPr>
        <w:spacing w:line="240" w:lineRule="auto" w:before="9"/>
        <w:rPr>
          <w:rFonts w:ascii="宋体" w:hAnsi="宋体" w:cs="宋体" w:eastAsia="宋体" w:hint="default"/>
          <w:b/>
          <w:bCs/>
          <w:sz w:val="17"/>
          <w:szCs w:val="17"/>
        </w:rPr>
      </w:pPr>
    </w:p>
    <w:p>
      <w:pPr>
        <w:pStyle w:val="BodyText"/>
        <w:spacing w:line="273" w:lineRule="auto" w:before="35"/>
        <w:ind w:left="824" w:right="41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报酬的决策程序、确定依据 </w:t>
      </w:r>
      <w:r>
        <w:rPr>
          <w:spacing w:val="-2"/>
        </w:rPr>
        <w:t>依据公司实际，给予公司董事、独立董事、监事适当的津贴。报告期内，公司按照津贴方案发放了</w:t>
      </w:r>
    </w:p>
    <w:p>
      <w:pPr>
        <w:pStyle w:val="BodyText"/>
        <w:spacing w:line="273" w:lineRule="auto"/>
        <w:ind w:left="824" w:right="1175" w:hanging="421"/>
        <w:jc w:val="left"/>
      </w:pPr>
      <w:r>
        <w:rPr>
          <w:rFonts w:ascii="宋体" w:hAnsi="宋体" w:cs="宋体" w:eastAsia="宋体" w:hint="default"/>
        </w:rPr>
        <w:t>2014</w:t>
      </w:r>
      <w:r>
        <w:rPr>
          <w:rFonts w:ascii="宋体" w:hAnsi="宋体" w:cs="宋体" w:eastAsia="宋体" w:hint="default"/>
          <w:spacing w:val="-53"/>
        </w:rPr>
        <w:t> </w:t>
      </w: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事津贴方案已经由董事会、监事会分别提请公司股东大会批准。 </w:t>
      </w:r>
      <w:r>
        <w:rPr>
          <w:spacing w:val="-1"/>
        </w:rPr>
        <w:t>独立董事除参加董事会、股东大会、现场工作的差旅费用和监管部门组织的培训费用据实报销，并</w:t>
      </w:r>
    </w:p>
    <w:p>
      <w:pPr>
        <w:pStyle w:val="BodyText"/>
        <w:spacing w:line="273" w:lineRule="auto" w:before="8"/>
        <w:ind w:left="824" w:right="418" w:hanging="421"/>
        <w:jc w:val="left"/>
      </w:pPr>
      <w:r>
        <w:rPr/>
        <w:t>且按照公司董事津贴方案领取津贴外，不再享受其他待遇。独立董事在各自工作单位领取报酬。 </w:t>
      </w:r>
      <w:r>
        <w:rPr>
          <w:spacing w:val="-4"/>
        </w:rPr>
        <w:t>高级管理人员的薪酬由董事会依据经营情况确定，由基本薪酬和绩效薪酬组成，基本薪酬按月支付，</w:t>
      </w:r>
    </w:p>
    <w:p>
      <w:pPr>
        <w:pStyle w:val="BodyText"/>
        <w:spacing w:line="240" w:lineRule="auto"/>
        <w:ind w:right="5945"/>
        <w:jc w:val="left"/>
      </w:pPr>
      <w:r>
        <w:rPr/>
        <w:t>绩效薪酬与年度完成经营业绩目标挂钩。</w:t>
      </w:r>
    </w:p>
    <w:p>
      <w:pPr>
        <w:spacing w:line="240" w:lineRule="auto" w:before="10"/>
        <w:rPr>
          <w:rFonts w:ascii="宋体" w:hAnsi="宋体" w:cs="宋体" w:eastAsia="宋体" w:hint="default"/>
          <w:sz w:val="14"/>
          <w:szCs w:val="14"/>
        </w:rPr>
      </w:pPr>
    </w:p>
    <w:p>
      <w:pPr>
        <w:pStyle w:val="BodyText"/>
        <w:spacing w:line="273" w:lineRule="auto" w:before="0"/>
        <w:ind w:left="824" w:right="186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应付报酬情况 报告期末公司全体董事、监事和高级管理人员从公司实际获得的报酬合计为</w:t>
      </w:r>
      <w:r>
        <w:rPr>
          <w:spacing w:val="-52"/>
        </w:rPr>
        <w:t> </w:t>
      </w:r>
      <w:r>
        <w:rPr>
          <w:rFonts w:ascii="宋体" w:hAnsi="宋体" w:cs="宋体" w:eastAsia="宋体" w:hint="default"/>
        </w:rPr>
        <w:t>306.45</w:t>
      </w:r>
      <w:r>
        <w:rPr>
          <w:rFonts w:ascii="宋体" w:hAnsi="宋体" w:cs="宋体" w:eastAsia="宋体" w:hint="default"/>
          <w:spacing w:val="-53"/>
        </w:rPr>
        <w:t> </w:t>
      </w:r>
      <w:r>
        <w:rPr/>
        <w:t>万元。</w:t>
      </w:r>
    </w:p>
    <w:p>
      <w:pPr>
        <w:pStyle w:val="BodyText"/>
        <w:spacing w:line="273" w:lineRule="auto"/>
        <w:ind w:right="1177"/>
        <w:jc w:val="left"/>
      </w:pPr>
      <w:r>
        <w:rPr>
          <w:spacing w:val="-1"/>
        </w:rPr>
        <w:t>报告期末每位现任及报告期内离任董事、监事和高级管理人员在报告期内从公司获得的应付报酬总额及</w:t>
      </w:r>
      <w:r>
        <w:rPr>
          <w:spacing w:val="-102"/>
        </w:rPr>
        <w:t> </w:t>
      </w:r>
      <w:r>
        <w:rPr>
          <w:spacing w:val="-102"/>
        </w:rPr>
      </w:r>
      <w:r>
        <w:rPr/>
        <w:t>在其股东单位领薪情况见下表</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136"/>
        <w:gridCol w:w="2126"/>
        <w:gridCol w:w="1419"/>
        <w:gridCol w:w="1842"/>
        <w:gridCol w:w="1842"/>
        <w:gridCol w:w="1560"/>
      </w:tblGrid>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从公司获得的报酬总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从股东单位获得的报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酬总额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11"/>
                <w:sz w:val="18"/>
                <w:szCs w:val="18"/>
              </w:rPr>
              <w:t>报告期末实际所</w:t>
            </w:r>
            <w:r>
              <w:rPr>
                <w:rFonts w:ascii="宋体" w:hAnsi="宋体" w:cs="宋体" w:eastAsia="宋体" w:hint="default"/>
                <w:sz w:val="18"/>
                <w:szCs w:val="18"/>
              </w:rPr>
              <w:t> 得报酬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刘  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董事长、法人代表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61.12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46.49</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费自力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8"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48.98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38.38</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王国文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4.20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柳木华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4.20</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姜大鸣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4.20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王  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甘  玲</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1.80</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姜德起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王志远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职工监事、监事会主席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36.26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28.80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康树佳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0.74</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卢小娟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0.99</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陈哲元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0.99</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史鸿雁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7.45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6.11</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张文千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36.60</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于海鹏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42.79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32.95</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夏冠明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43.80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40.80</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0"/>
              <w:jc w:val="right"/>
              <w:rPr>
                <w:rFonts w:ascii="宋体" w:hAnsi="宋体" w:cs="宋体" w:eastAsia="宋体" w:hint="default"/>
                <w:sz w:val="18"/>
                <w:szCs w:val="18"/>
              </w:rPr>
            </w:pPr>
            <w:r>
              <w:rPr>
                <w:rFonts w:ascii="宋体" w:hAnsi="宋体" w:cs="宋体" w:eastAsia="宋体" w:hint="default"/>
                <w:sz w:val="18"/>
                <w:szCs w:val="18"/>
              </w:rPr>
              <w:t>王  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34.55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27.52</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焦海青</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34.23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27.23</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1"/>
              <w:jc w:val="right"/>
              <w:rPr>
                <w:rFonts w:ascii="宋体" w:hAnsi="宋体" w:cs="宋体" w:eastAsia="宋体" w:hint="default"/>
                <w:sz w:val="18"/>
                <w:szCs w:val="18"/>
              </w:rPr>
            </w:pPr>
            <w:r>
              <w:rPr>
                <w:rFonts w:ascii="宋体" w:hAnsi="宋体" w:cs="宋体" w:eastAsia="宋体" w:hint="default"/>
                <w:sz w:val="18"/>
                <w:szCs w:val="18"/>
              </w:rPr>
              <w:t>王福琴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董事长、法人代表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0.60</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1"/>
              <w:jc w:val="right"/>
              <w:rPr>
                <w:rFonts w:ascii="宋体" w:hAnsi="宋体" w:cs="宋体" w:eastAsia="宋体" w:hint="default"/>
                <w:sz w:val="18"/>
                <w:szCs w:val="18"/>
              </w:rPr>
            </w:pPr>
            <w:r>
              <w:rPr>
                <w:rFonts w:ascii="宋体" w:hAnsi="宋体" w:cs="宋体" w:eastAsia="宋体" w:hint="default"/>
                <w:sz w:val="18"/>
                <w:szCs w:val="18"/>
              </w:rPr>
              <w:t>马志发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0.25</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合  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375.85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474.63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306.45</w:t>
            </w:r>
          </w:p>
        </w:tc>
      </w:tr>
      <w:tr>
        <w:trPr>
          <w:trHeight w:val="63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说  明</w:t>
            </w:r>
          </w:p>
        </w:tc>
        <w:tc>
          <w:tcPr>
            <w:tcW w:w="879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公司副总裁夏冠明自</w:t>
            </w:r>
            <w:r>
              <w:rPr>
                <w:rFonts w:ascii="宋体" w:hAnsi="宋体" w:cs="宋体" w:eastAsia="宋体" w:hint="default"/>
                <w:spacing w:val="-40"/>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月任职公司高管之后，已不从股东关联单位茂业集团所属崇德物业管理</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 </w:t>
            </w:r>
            <w:r>
              <w:rPr>
                <w:rFonts w:ascii="宋体" w:hAnsi="宋体" w:cs="宋体" w:eastAsia="宋体" w:hint="default"/>
                <w:sz w:val="18"/>
                <w:szCs w:val="18"/>
              </w:rPr>
              <w:t>有限公司领取报酬。</w:t>
            </w:r>
          </w:p>
        </w:tc>
      </w:tr>
    </w:tbl>
    <w:p>
      <w:pPr>
        <w:spacing w:line="240" w:lineRule="auto" w:before="0"/>
        <w:rPr>
          <w:rFonts w:ascii="宋体" w:hAnsi="宋体" w:cs="宋体" w:eastAsia="宋体" w:hint="default"/>
          <w:sz w:val="20"/>
          <w:szCs w:val="20"/>
        </w:rPr>
      </w:pPr>
    </w:p>
    <w:p>
      <w:pPr>
        <w:pStyle w:val="BodyText"/>
        <w:spacing w:line="408" w:lineRule="auto" w:before="35"/>
        <w:ind w:left="824" w:right="3549"/>
        <w:jc w:val="left"/>
      </w:pPr>
      <w:r>
        <w:rPr/>
        <w:pict>
          <v:shape style="position:absolute;margin-left:50.759998pt;margin-top:41.513676pt;width:497pt;height:48.8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8"/>
                    <w:gridCol w:w="1416"/>
                    <w:gridCol w:w="1560"/>
                    <w:gridCol w:w="1985"/>
                    <w:gridCol w:w="3686"/>
                  </w:tblGrid>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变动类型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马志发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康树佳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年度股东大会补选</w:t>
                        </w:r>
                      </w:p>
                    </w:tc>
                  </w:tr>
                </w:tbl>
                <w:p>
                  <w:pPr/>
                </w:p>
              </w:txbxContent>
            </v:textbox>
            <w10:wrap type="none"/>
          </v:shape>
        </w:pic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公司尚未实施股权激励，没有股票期权、被授予限制性股票事项。 四、公司董事、监事、高级管理人员变动情况</w:t>
      </w:r>
    </w:p>
    <w:p>
      <w:pPr>
        <w:spacing w:after="0" w:line="408" w:lineRule="auto"/>
        <w:jc w:val="left"/>
        <w:sectPr>
          <w:footerReference w:type="default" r:id="rId27"/>
          <w:pgSz w:w="11910" w:h="16840"/>
          <w:pgMar w:footer="1219" w:header="883"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278"/>
        <w:gridCol w:w="1416"/>
        <w:gridCol w:w="1560"/>
        <w:gridCol w:w="1985"/>
        <w:gridCol w:w="3686"/>
      </w:tblGrid>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年第三次会议聘任</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244" w:hRule="exact"/>
        </w:trPr>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86" w:type="dxa"/>
            <w:vMerge w:val="restart"/>
            <w:tcBorders>
              <w:top w:val="single" w:sz="4" w:space="0" w:color="000000"/>
              <w:left w:val="single" w:sz="4" w:space="0" w:color="000000"/>
              <w:right w:val="single" w:sz="4" w:space="0" w:color="000000"/>
            </w:tcBorders>
          </w:tcPr>
          <w:p>
            <w:pPr>
              <w:pStyle w:val="TableParagraph"/>
              <w:spacing w:line="237" w:lineRule="auto" w:before="21"/>
              <w:ind w:left="101" w:right="102"/>
              <w:jc w:val="both"/>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66"/>
                <w:sz w:val="18"/>
                <w:szCs w:val="18"/>
              </w:rPr>
              <w:t> </w:t>
            </w:r>
            <w:r>
              <w:rPr>
                <w:rFonts w:ascii="宋体" w:hAnsi="宋体" w:cs="宋体" w:eastAsia="宋体" w:hint="default"/>
                <w:sz w:val="18"/>
                <w:szCs w:val="18"/>
              </w:rPr>
              <w:t>2014</w:t>
            </w:r>
            <w:r>
              <w:rPr>
                <w:rFonts w:ascii="宋体" w:hAnsi="宋体" w:cs="宋体" w:eastAsia="宋体" w:hint="default"/>
                <w:spacing w:val="-66"/>
                <w:sz w:val="18"/>
                <w:szCs w:val="18"/>
              </w:rPr>
              <w:t> </w:t>
            </w:r>
            <w:r>
              <w:rPr>
                <w:rFonts w:ascii="宋体" w:hAnsi="宋体" w:cs="宋体" w:eastAsia="宋体" w:hint="default"/>
                <w:sz w:val="18"/>
                <w:szCs w:val="18"/>
              </w:rPr>
              <w:t>年第五次会议选举刘 </w:t>
            </w:r>
            <w:r>
              <w:rPr>
                <w:rFonts w:ascii="宋体" w:hAnsi="宋体" w:cs="宋体" w:eastAsia="宋体" w:hint="default"/>
                <w:spacing w:val="2"/>
                <w:sz w:val="18"/>
                <w:szCs w:val="18"/>
              </w:rPr>
              <w:t>宏董事为公司董事长不兼任公司总裁，聘任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费自力</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r>
              <w:rPr>
                <w:rFonts w:ascii="宋体" w:hAnsi="宋体" w:cs="宋体" w:eastAsia="宋体" w:hint="default"/>
                <w:sz w:val="18"/>
                <w:szCs w:val="18"/>
              </w:rPr>
              <w:t>为公司总裁。</w:t>
            </w:r>
          </w:p>
        </w:tc>
      </w:tr>
      <w:tr>
        <w:trPr>
          <w:trHeight w:val="242" w:hRule="exact"/>
        </w:trPr>
        <w:tc>
          <w:tcPr>
            <w:tcW w:w="127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985"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985"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r>
    </w:tbl>
    <w:p>
      <w:pPr>
        <w:pStyle w:val="BodyText"/>
        <w:spacing w:line="240" w:lineRule="auto" w:before="47"/>
        <w:ind w:left="824" w:right="418"/>
        <w:jc w:val="left"/>
      </w:pPr>
      <w:r>
        <w:rPr/>
        <w:t>公司对上述离任的董事、监事、高级管理人员在任职期间的勤勉尽责表示感谢。</w:t>
      </w:r>
    </w:p>
    <w:p>
      <w:pPr>
        <w:spacing w:line="240" w:lineRule="auto" w:before="10"/>
        <w:rPr>
          <w:rFonts w:ascii="宋体" w:hAnsi="宋体" w:cs="宋体" w:eastAsia="宋体" w:hint="default"/>
          <w:sz w:val="14"/>
          <w:szCs w:val="14"/>
        </w:rPr>
      </w:pPr>
    </w:p>
    <w:p>
      <w:pPr>
        <w:pStyle w:val="BodyText"/>
        <w:spacing w:line="273" w:lineRule="auto" w:before="0"/>
        <w:ind w:left="800" w:right="418" w:firstLine="24"/>
        <w:jc w:val="left"/>
      </w:pPr>
      <w:r>
        <w:rPr/>
        <w:t>四、报告期核心技术团队或关键技术人员变动情况 </w:t>
      </w:r>
      <w:r>
        <w:rPr>
          <w:spacing w:val="-6"/>
        </w:rPr>
        <w:t>除同岗位调整外，报告期内公司的核心技术团队或关键技术人员</w:t>
      </w:r>
      <w:r>
        <w:rPr>
          <w:rFonts w:ascii="宋体" w:hAnsi="宋体" w:cs="宋体" w:eastAsia="宋体" w:hint="default"/>
          <w:spacing w:val="-6"/>
        </w:rPr>
        <w:t>(</w:t>
      </w:r>
      <w:r>
        <w:rPr>
          <w:spacing w:val="-6"/>
        </w:rPr>
        <w:t>非董事、监事、高级管理人员</w:t>
      </w:r>
      <w:r>
        <w:rPr>
          <w:rFonts w:ascii="宋体" w:hAnsi="宋体" w:cs="宋体" w:eastAsia="宋体" w:hint="default"/>
          <w:spacing w:val="-6"/>
        </w:rPr>
        <w:t>)</w:t>
      </w:r>
      <w:r>
        <w:rPr>
          <w:spacing w:val="-6"/>
        </w:rPr>
        <w:t>等对</w:t>
      </w:r>
    </w:p>
    <w:p>
      <w:pPr>
        <w:pStyle w:val="BodyText"/>
        <w:spacing w:line="240" w:lineRule="auto"/>
        <w:ind w:right="5945"/>
        <w:jc w:val="left"/>
      </w:pPr>
      <w:r>
        <w:rPr/>
        <w:t>公司核心竞争力有重大影响的人员没有变动。</w:t>
      </w:r>
    </w:p>
    <w:p>
      <w:pPr>
        <w:spacing w:line="240" w:lineRule="auto" w:before="9"/>
        <w:rPr>
          <w:rFonts w:ascii="宋体" w:hAnsi="宋体" w:cs="宋体" w:eastAsia="宋体" w:hint="default"/>
          <w:sz w:val="26"/>
          <w:szCs w:val="26"/>
        </w:rPr>
      </w:pPr>
    </w:p>
    <w:p>
      <w:pPr>
        <w:pStyle w:val="Heading3"/>
        <w:spacing w:line="240" w:lineRule="auto" w:before="0"/>
        <w:ind w:left="0" w:right="770"/>
        <w:jc w:val="center"/>
        <w:rPr>
          <w:b w:val="0"/>
          <w:bCs w:val="0"/>
        </w:rPr>
      </w:pPr>
      <w:r>
        <w:rPr>
          <w:spacing w:val="-8"/>
        </w:rPr>
        <w:t>第二节</w:t>
      </w:r>
      <w:r>
        <w:rPr>
          <w:spacing w:val="71"/>
        </w:rPr>
        <w:t> </w:t>
      </w:r>
      <w:r>
        <w:rPr>
          <w:spacing w:val="-10"/>
        </w:rPr>
        <w:t>员工情况</w:t>
      </w:r>
      <w:r>
        <w:rPr>
          <w:b w:val="0"/>
          <w:bCs w:val="0"/>
          <w:spacing w:val="-1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0"/>
        <w:ind w:left="824" w:right="418"/>
        <w:jc w:val="left"/>
      </w:pPr>
      <w:r>
        <w:rPr/>
        <w:t>一、</w:t>
      </w:r>
      <w:r>
        <w:rPr>
          <w:spacing w:val="-13"/>
        </w:rPr>
        <w:t> </w:t>
      </w:r>
      <w:r>
        <w:rPr/>
        <w:t>员工的数量：截至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日，公司在职员工数量</w:t>
      </w:r>
      <w:r>
        <w:rPr>
          <w:spacing w:val="-56"/>
        </w:rPr>
        <w:t> </w:t>
      </w:r>
      <w:r>
        <w:rPr>
          <w:rFonts w:ascii="宋体" w:hAnsi="宋体" w:cs="宋体" w:eastAsia="宋体" w:hint="default"/>
        </w:rPr>
        <w:t>1,836</w:t>
      </w:r>
      <w:r>
        <w:rPr>
          <w:rFonts w:ascii="宋体" w:hAnsi="宋体" w:cs="宋体" w:eastAsia="宋体" w:hint="default"/>
          <w:spacing w:val="-55"/>
        </w:rPr>
        <w:t> </w:t>
      </w:r>
      <w:r>
        <w:rPr/>
        <w:t>人，其中母公司</w:t>
      </w:r>
      <w:r>
        <w:rPr>
          <w:spacing w:val="-56"/>
        </w:rPr>
        <w:t> </w:t>
      </w:r>
      <w:r>
        <w:rPr>
          <w:rFonts w:ascii="宋体" w:hAnsi="宋体" w:cs="宋体" w:eastAsia="宋体" w:hint="default"/>
        </w:rPr>
        <w:t>919</w:t>
      </w:r>
      <w:r>
        <w:rPr>
          <w:rFonts w:ascii="宋体" w:hAnsi="宋体" w:cs="宋体" w:eastAsia="宋体" w:hint="default"/>
          <w:spacing w:val="-55"/>
        </w:rPr>
        <w:t> </w:t>
      </w:r>
      <w:r>
        <w:rPr>
          <w:spacing w:val="-4"/>
        </w:rPr>
        <w:t>人，子</w:t>
      </w:r>
    </w:p>
    <w:p>
      <w:pPr>
        <w:pStyle w:val="BodyText"/>
        <w:spacing w:line="240" w:lineRule="auto" w:before="37"/>
        <w:ind w:right="418"/>
        <w:jc w:val="left"/>
      </w:pPr>
      <w:r>
        <w:rPr/>
        <w:t>公司</w:t>
      </w:r>
      <w:r>
        <w:rPr>
          <w:spacing w:val="-53"/>
        </w:rPr>
        <w:t> </w:t>
      </w:r>
      <w:r>
        <w:rPr>
          <w:rFonts w:ascii="宋体" w:hAnsi="宋体" w:cs="宋体" w:eastAsia="宋体" w:hint="default"/>
        </w:rPr>
        <w:t>917</w:t>
      </w:r>
      <w:r>
        <w:rPr>
          <w:rFonts w:ascii="宋体" w:hAnsi="宋体" w:cs="宋体" w:eastAsia="宋体" w:hint="default"/>
          <w:spacing w:val="-53"/>
        </w:rPr>
        <w:t> </w:t>
      </w:r>
      <w:r>
        <w:rPr/>
        <w:t>人。主要子公司安徽国润</w:t>
      </w:r>
      <w:r>
        <w:rPr>
          <w:spacing w:val="-54"/>
        </w:rPr>
        <w:t> </w:t>
      </w:r>
      <w:r>
        <w:rPr>
          <w:rFonts w:ascii="宋体" w:hAnsi="宋体" w:cs="宋体" w:eastAsia="宋体" w:hint="default"/>
        </w:rPr>
        <w:t>161</w:t>
      </w:r>
      <w:r>
        <w:rPr>
          <w:rFonts w:ascii="宋体" w:hAnsi="宋体" w:cs="宋体" w:eastAsia="宋体" w:hint="default"/>
          <w:spacing w:val="-53"/>
        </w:rPr>
        <w:t> </w:t>
      </w:r>
      <w:r>
        <w:rPr/>
        <w:t>人，秦皇岛茂业</w:t>
      </w:r>
      <w:r>
        <w:rPr>
          <w:spacing w:val="-54"/>
        </w:rPr>
        <w:t> </w:t>
      </w:r>
      <w:r>
        <w:rPr>
          <w:rFonts w:ascii="宋体" w:hAnsi="宋体" w:cs="宋体" w:eastAsia="宋体" w:hint="default"/>
        </w:rPr>
        <w:t>140</w:t>
      </w:r>
      <w:r>
        <w:rPr>
          <w:rFonts w:ascii="宋体" w:hAnsi="宋体" w:cs="宋体" w:eastAsia="宋体" w:hint="default"/>
          <w:spacing w:val="-54"/>
        </w:rPr>
        <w:t> </w:t>
      </w:r>
      <w:r>
        <w:rPr/>
        <w:t>人，创世漫道</w:t>
      </w:r>
      <w:r>
        <w:rPr>
          <w:spacing w:val="-54"/>
        </w:rPr>
        <w:t> </w:t>
      </w:r>
      <w:r>
        <w:rPr>
          <w:rFonts w:ascii="宋体" w:hAnsi="宋体" w:cs="宋体" w:eastAsia="宋体" w:hint="default"/>
        </w:rPr>
        <w:t>171</w:t>
      </w:r>
      <w:r>
        <w:rPr>
          <w:rFonts w:ascii="宋体" w:hAnsi="宋体" w:cs="宋体" w:eastAsia="宋体" w:hint="default"/>
          <w:spacing w:val="-53"/>
        </w:rPr>
        <w:t> </w:t>
      </w:r>
      <w:r>
        <w:rPr/>
        <w:t>人。</w:t>
      </w:r>
    </w:p>
    <w:p>
      <w:pPr>
        <w:spacing w:line="240" w:lineRule="auto" w:before="10"/>
        <w:rPr>
          <w:rFonts w:ascii="宋体" w:hAnsi="宋体" w:cs="宋体" w:eastAsia="宋体" w:hint="default"/>
          <w:sz w:val="14"/>
          <w:szCs w:val="14"/>
        </w:rPr>
      </w:pPr>
    </w:p>
    <w:p>
      <w:pPr>
        <w:pStyle w:val="BodyText"/>
        <w:spacing w:line="240" w:lineRule="auto" w:before="0"/>
        <w:ind w:left="824" w:right="418"/>
        <w:jc w:val="left"/>
        <w:rPr>
          <w:rFonts w:ascii="宋体" w:hAnsi="宋体" w:cs="宋体" w:eastAsia="宋体" w:hint="default"/>
        </w:rPr>
      </w:pPr>
      <w:r>
        <w:rPr/>
        <w:t>二、</w:t>
      </w:r>
      <w:r>
        <w:rPr>
          <w:spacing w:val="-2"/>
        </w:rPr>
        <w:t> </w:t>
      </w:r>
      <w:r>
        <w:rPr/>
        <w:t>员工的专业构成：营销人员</w:t>
      </w:r>
      <w:r>
        <w:rPr>
          <w:spacing w:val="-37"/>
        </w:rPr>
        <w:t> </w:t>
      </w:r>
      <w:r>
        <w:rPr>
          <w:rFonts w:ascii="宋体" w:hAnsi="宋体" w:cs="宋体" w:eastAsia="宋体" w:hint="default"/>
        </w:rPr>
        <w:t>801</w:t>
      </w:r>
      <w:r>
        <w:rPr>
          <w:rFonts w:ascii="宋体" w:hAnsi="宋体" w:cs="宋体" w:eastAsia="宋体" w:hint="default"/>
          <w:spacing w:val="-36"/>
        </w:rPr>
        <w:t> </w:t>
      </w:r>
      <w:r>
        <w:rPr/>
        <w:t>人，收银员</w:t>
      </w:r>
      <w:r>
        <w:rPr>
          <w:spacing w:val="-37"/>
        </w:rPr>
        <w:t> </w:t>
      </w:r>
      <w:r>
        <w:rPr>
          <w:rFonts w:ascii="宋体" w:hAnsi="宋体" w:cs="宋体" w:eastAsia="宋体" w:hint="default"/>
        </w:rPr>
        <w:t>284</w:t>
      </w:r>
      <w:r>
        <w:rPr>
          <w:rFonts w:ascii="宋体" w:hAnsi="宋体" w:cs="宋体" w:eastAsia="宋体" w:hint="default"/>
          <w:spacing w:val="-36"/>
        </w:rPr>
        <w:t> </w:t>
      </w:r>
      <w:r>
        <w:rPr/>
        <w:t>人，保安人员</w:t>
      </w:r>
      <w:r>
        <w:rPr>
          <w:spacing w:val="-37"/>
        </w:rPr>
        <w:t> </w:t>
      </w:r>
      <w:r>
        <w:rPr>
          <w:rFonts w:ascii="宋体" w:hAnsi="宋体" w:cs="宋体" w:eastAsia="宋体" w:hint="default"/>
        </w:rPr>
        <w:t>244</w:t>
      </w:r>
      <w:r>
        <w:rPr>
          <w:rFonts w:ascii="宋体" w:hAnsi="宋体" w:cs="宋体" w:eastAsia="宋体" w:hint="default"/>
          <w:spacing w:val="-36"/>
        </w:rPr>
        <w:t> </w:t>
      </w:r>
      <w:r>
        <w:rPr/>
        <w:t>人，技术及物业人员</w:t>
      </w:r>
      <w:r>
        <w:rPr>
          <w:spacing w:val="-37"/>
        </w:rPr>
        <w:t> </w:t>
      </w:r>
      <w:r>
        <w:rPr>
          <w:rFonts w:ascii="宋体" w:hAnsi="宋体" w:cs="宋体" w:eastAsia="宋体" w:hint="default"/>
        </w:rPr>
        <w:t>211</w:t>
      </w:r>
    </w:p>
    <w:p>
      <w:pPr>
        <w:pStyle w:val="BodyText"/>
        <w:spacing w:line="273" w:lineRule="auto" w:before="37"/>
        <w:ind w:right="1175"/>
        <w:jc w:val="left"/>
      </w:pPr>
      <w:r>
        <w:rPr/>
        <w:t>人，财务人员</w:t>
      </w:r>
      <w:r>
        <w:rPr>
          <w:spacing w:val="-63"/>
        </w:rPr>
        <w:t> </w:t>
      </w:r>
      <w:r>
        <w:rPr>
          <w:rFonts w:ascii="宋体" w:hAnsi="宋体" w:cs="宋体" w:eastAsia="宋体" w:hint="default"/>
        </w:rPr>
        <w:t>118</w:t>
      </w:r>
      <w:r>
        <w:rPr>
          <w:rFonts w:ascii="宋体" w:hAnsi="宋体" w:cs="宋体" w:eastAsia="宋体" w:hint="default"/>
          <w:spacing w:val="-63"/>
        </w:rPr>
        <w:t> </w:t>
      </w:r>
      <w:r>
        <w:rPr/>
        <w:t>人，行政人员</w:t>
      </w:r>
      <w:r>
        <w:rPr>
          <w:spacing w:val="-64"/>
        </w:rPr>
        <w:t> </w:t>
      </w:r>
      <w:r>
        <w:rPr>
          <w:rFonts w:ascii="宋体" w:hAnsi="宋体" w:cs="宋体" w:eastAsia="宋体" w:hint="default"/>
        </w:rPr>
        <w:t>178</w:t>
      </w:r>
      <w:r>
        <w:rPr>
          <w:rFonts w:ascii="宋体" w:hAnsi="宋体" w:cs="宋体" w:eastAsia="宋体" w:hint="default"/>
          <w:spacing w:val="-63"/>
        </w:rPr>
        <w:t> </w:t>
      </w:r>
      <w:r>
        <w:rPr/>
        <w:t>人。公司母公司和主要子公司员工专业构成饼状图</w:t>
      </w:r>
      <w:r>
        <w:rPr>
          <w:rFonts w:ascii="宋体" w:hAnsi="宋体" w:cs="宋体" w:eastAsia="宋体" w:hint="default"/>
        </w:rPr>
        <w:t>(</w:t>
      </w:r>
      <w:r>
        <w:rPr/>
        <w:t>人数，百分比</w:t>
      </w:r>
      <w:r>
        <w:rPr>
          <w:rFonts w:ascii="宋体" w:hAnsi="宋体" w:cs="宋体" w:eastAsia="宋体" w:hint="default"/>
        </w:rPr>
        <w:t>) </w:t>
      </w:r>
      <w:r>
        <w:rPr/>
        <w:t>如下。</w:t>
      </w:r>
    </w:p>
    <w:p>
      <w:pPr>
        <w:spacing w:line="240" w:lineRule="auto" w:before="9"/>
        <w:rPr>
          <w:rFonts w:ascii="宋体" w:hAnsi="宋体" w:cs="宋体" w:eastAsia="宋体" w:hint="default"/>
          <w:sz w:val="8"/>
          <w:szCs w:val="8"/>
        </w:rPr>
      </w:pPr>
    </w:p>
    <w:p>
      <w:pPr>
        <w:spacing w:line="2214" w:lineRule="exact"/>
        <w:ind w:left="1044"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02.1pt;height:110.75pt;mso-position-horizontal-relative:char;mso-position-vertical-relative:line" coordorigin="0,0" coordsize="8042,2215">
            <v:shape style="position:absolute;left:701;top:619;width:4913;height:1498" type="#_x0000_t75" stroked="false">
              <v:imagedata r:id="rId29" o:title=""/>
            </v:shape>
            <v:group style="position:absolute;left:4343;top:635;width:133;height:131" coordorigin="4343,635" coordsize="133,131">
              <v:shape style="position:absolute;left:4343;top:635;width:133;height:131" coordorigin="4343,635" coordsize="133,131" path="m4343,765l4476,765,4476,635,4343,635,4343,765xe" filled="true" fillcolor="#4571a7" stroked="false">
                <v:path arrowok="t"/>
                <v:fill type="solid"/>
              </v:shape>
            </v:group>
            <v:group style="position:absolute;left:682;top:1970;width:133;height:131" coordorigin="682,1970" coordsize="133,131">
              <v:shape style="position:absolute;left:682;top:1970;width:133;height:131" coordorigin="682,1970" coordsize="133,131" path="m682,2100l815,2100,815,1970,682,1970,682,2100xe" filled="true" fillcolor="#aa4643" stroked="false">
                <v:path arrowok="t"/>
                <v:fill type="solid"/>
              </v:shape>
            </v:group>
            <v:group style="position:absolute;left:511;top:847;width:152;height:131" coordorigin="511,847" coordsize="152,131">
              <v:shape style="position:absolute;left:511;top:847;width:152;height:131" coordorigin="511,847" coordsize="152,131" path="m511,977l663,977,663,847,511,847,511,977xe" filled="true" fillcolor="#70578f" stroked="false">
                <v:path arrowok="t"/>
                <v:fill type="solid"/>
              </v:shape>
            </v:group>
            <v:group style="position:absolute;left:1327;top:505;width:133;height:114" coordorigin="1327,505" coordsize="133,114">
              <v:shape style="position:absolute;left:1327;top:505;width:133;height:114" coordorigin="1327,505" coordsize="133,114" path="m1327,619l1460,619,1460,505,1327,505,1327,619xe" filled="true" fillcolor="#4197ae" stroked="false">
                <v:path arrowok="t"/>
                <v:fill type="solid"/>
              </v:shape>
            </v:group>
            <v:group style="position:absolute;left:340;top:1286;width:133;height:131" coordorigin="340,1286" coordsize="133,131">
              <v:shape style="position:absolute;left:340;top:1286;width:133;height:131" coordorigin="340,1286" coordsize="133,131" path="m340,1417l473,1417,473,1286,340,1286,340,1417xe" filled="true" fillcolor="#88a44e" stroked="false">
                <v:path arrowok="t"/>
                <v:fill type="solid"/>
              </v:shape>
            </v:group>
            <v:group style="position:absolute;left:2787;top:293;width:133;height:131" coordorigin="2787,293" coordsize="133,131">
              <v:shape style="position:absolute;left:2787;top:293;width:133;height:131" coordorigin="2787,293" coordsize="133,131" path="m2787,423l2920,423,2920,293,2787,293,2787,423xe" filled="true" fillcolor="#db843c" stroked="false">
                <v:path arrowok="t"/>
                <v:fill type="solid"/>
              </v:shape>
            </v:group>
            <v:group style="position:absolute;left:6050;top:586;width:152;height:114" coordorigin="6050,586" coordsize="152,114">
              <v:shape style="position:absolute;left:6050;top:586;width:152;height:114" coordorigin="6050,586" coordsize="152,114" path="m6050,700l6202,700,6202,586,6050,586,6050,700xe" filled="true" fillcolor="#4571a7" stroked="false">
                <v:path arrowok="t"/>
                <v:fill type="solid"/>
              </v:shape>
            </v:group>
            <v:group style="position:absolute;left:6050;top:847;width:152;height:114" coordorigin="6050,847" coordsize="152,114">
              <v:shape style="position:absolute;left:6050;top:847;width:152;height:114" coordorigin="6050,847" coordsize="152,114" path="m6050,961l6202,961,6202,847,6050,847,6050,961xe" filled="true" fillcolor="#aa4643" stroked="false">
                <v:path arrowok="t"/>
                <v:fill type="solid"/>
              </v:shape>
            </v:group>
            <v:group style="position:absolute;left:6050;top:1107;width:152;height:114" coordorigin="6050,1107" coordsize="152,114">
              <v:shape style="position:absolute;left:6050;top:1107;width:152;height:114" coordorigin="6050,1107" coordsize="152,114" path="m6050,1221l6202,1221,6202,1107,6050,1107,6050,1221xe" filled="true" fillcolor="#88a44e" stroked="false">
                <v:path arrowok="t"/>
                <v:fill type="solid"/>
              </v:shape>
            </v:group>
            <v:group style="position:absolute;left:6050;top:1384;width:152;height:114" coordorigin="6050,1384" coordsize="152,114">
              <v:shape style="position:absolute;left:6050;top:1384;width:152;height:114" coordorigin="6050,1384" coordsize="152,114" path="m6050,1498l6202,1498,6202,1384,6050,1384,6050,1498xe" filled="true" fillcolor="#70578f" stroked="false">
                <v:path arrowok="t"/>
                <v:fill type="solid"/>
              </v:shape>
            </v:group>
            <v:group style="position:absolute;left:6050;top:1645;width:152;height:114" coordorigin="6050,1645" coordsize="152,114">
              <v:shape style="position:absolute;left:6050;top:1645;width:152;height:114" coordorigin="6050,1645" coordsize="152,114" path="m6050,1759l6202,1759,6202,1645,6050,1645,6050,1759xe" filled="true" fillcolor="#4197ae" stroked="false">
                <v:path arrowok="t"/>
                <v:fill type="solid"/>
              </v:shape>
            </v:group>
            <v:group style="position:absolute;left:6050;top:1905;width:152;height:114" coordorigin="6050,1905" coordsize="152,114">
              <v:shape style="position:absolute;left:6050;top:1905;width:152;height:114" coordorigin="6050,1905" coordsize="152,114" path="m6050,2019l6202,2019,6202,1905,6050,1905,6050,2019xe" filled="true" fillcolor="#db843c" stroked="false">
                <v:path arrowok="t"/>
                <v:fill type="solid"/>
              </v:shape>
            </v:group>
            <v:group style="position:absolute;left:8;top:8;width:8025;height:2198" coordorigin="8,8" coordsize="8025,2198">
              <v:shape style="position:absolute;left:8;top:8;width:8025;height:2198" coordorigin="8,8" coordsize="8025,2198" path="m8,2206l8033,2206,8033,8,8,8,8,2206xe" filled="false" stroked="true" strokeweight=".824281pt" strokecolor="#858585">
                <v:path arrowok="t"/>
              </v:shape>
              <v:shape style="position:absolute;left:75;top:70;width:2402;height:992" type="#_x0000_t202" filled="false" stroked="false">
                <v:textbox inset="0,0,0,0">
                  <w:txbxContent>
                    <w:p>
                      <w:pPr>
                        <w:spacing w:line="231" w:lineRule="exact" w:before="0"/>
                        <w:ind w:left="0" w:right="0" w:firstLine="0"/>
                        <w:jc w:val="center"/>
                        <w:rPr>
                          <w:rFonts w:ascii="宋体" w:hAnsi="宋体" w:cs="宋体" w:eastAsia="宋体" w:hint="default"/>
                          <w:sz w:val="23"/>
                          <w:szCs w:val="23"/>
                        </w:rPr>
                      </w:pPr>
                      <w:r>
                        <w:rPr>
                          <w:rFonts w:ascii="宋体" w:hAnsi="宋体" w:cs="宋体" w:eastAsia="宋体" w:hint="default"/>
                          <w:spacing w:val="-3"/>
                          <w:w w:val="115"/>
                          <w:sz w:val="23"/>
                          <w:szCs w:val="23"/>
                        </w:rPr>
                        <w:t>母公司员工专业构成</w:t>
                      </w:r>
                      <w:r>
                        <w:rPr>
                          <w:rFonts w:ascii="宋体" w:hAnsi="宋体" w:cs="宋体" w:eastAsia="宋体" w:hint="default"/>
                          <w:sz w:val="23"/>
                          <w:szCs w:val="23"/>
                        </w:rPr>
                      </w:r>
                    </w:p>
                    <w:p>
                      <w:pPr>
                        <w:spacing w:before="155"/>
                        <w:ind w:left="1534" w:right="0" w:firstLine="0"/>
                        <w:jc w:val="left"/>
                        <w:rPr>
                          <w:rFonts w:ascii="Calibri" w:hAnsi="Calibri" w:cs="Calibri" w:eastAsia="Calibri" w:hint="default"/>
                          <w:sz w:val="21"/>
                          <w:szCs w:val="21"/>
                        </w:rPr>
                      </w:pPr>
                      <w:r>
                        <w:rPr>
                          <w:rFonts w:ascii="Calibri"/>
                          <w:spacing w:val="2"/>
                          <w:w w:val="120"/>
                          <w:sz w:val="21"/>
                        </w:rPr>
                        <w:t>41,</w:t>
                      </w:r>
                      <w:r>
                        <w:rPr>
                          <w:rFonts w:ascii="Calibri"/>
                          <w:spacing w:val="-17"/>
                          <w:w w:val="120"/>
                          <w:sz w:val="21"/>
                        </w:rPr>
                        <w:t> </w:t>
                      </w:r>
                      <w:r>
                        <w:rPr>
                          <w:rFonts w:ascii="Calibri"/>
                          <w:w w:val="120"/>
                          <w:sz w:val="21"/>
                        </w:rPr>
                        <w:t>5%</w:t>
                      </w:r>
                      <w:r>
                        <w:rPr>
                          <w:rFonts w:ascii="Calibri"/>
                          <w:sz w:val="21"/>
                        </w:rPr>
                      </w:r>
                    </w:p>
                    <w:p>
                      <w:pPr>
                        <w:spacing w:line="254" w:lineRule="exact" w:before="95"/>
                        <w:ind w:left="0" w:right="163" w:firstLine="0"/>
                        <w:jc w:val="center"/>
                        <w:rPr>
                          <w:rFonts w:ascii="Calibri" w:hAnsi="Calibri" w:cs="Calibri" w:eastAsia="Calibri" w:hint="default"/>
                          <w:sz w:val="21"/>
                          <w:szCs w:val="21"/>
                        </w:rPr>
                      </w:pPr>
                      <w:r>
                        <w:rPr>
                          <w:rFonts w:ascii="Calibri"/>
                          <w:spacing w:val="2"/>
                          <w:w w:val="120"/>
                          <w:sz w:val="21"/>
                        </w:rPr>
                        <w:t>89,</w:t>
                      </w:r>
                      <w:r>
                        <w:rPr>
                          <w:rFonts w:ascii="Calibri"/>
                          <w:spacing w:val="-21"/>
                          <w:w w:val="120"/>
                          <w:sz w:val="21"/>
                        </w:rPr>
                        <w:t> </w:t>
                      </w:r>
                      <w:r>
                        <w:rPr>
                          <w:rFonts w:ascii="Calibri"/>
                          <w:spacing w:val="2"/>
                          <w:w w:val="120"/>
                          <w:sz w:val="21"/>
                        </w:rPr>
                        <w:t>10%</w:t>
                      </w:r>
                      <w:r>
                        <w:rPr>
                          <w:rFonts w:ascii="Calibri"/>
                          <w:spacing w:val="2"/>
                          <w:sz w:val="21"/>
                        </w:rPr>
                      </w:r>
                    </w:p>
                  </w:txbxContent>
                </v:textbox>
                <w10:wrap type="none"/>
              </v:shape>
              <v:shape style="position:absolute;left:3084;top:284;width:673;height:215" type="#_x0000_t202" filled="false" stroked="false">
                <v:textbox inset="0,0,0,0">
                  <w:txbxContent>
                    <w:p>
                      <w:pPr>
                        <w:spacing w:line="214" w:lineRule="exact" w:before="0"/>
                        <w:ind w:left="0" w:right="0" w:firstLine="0"/>
                        <w:jc w:val="left"/>
                        <w:rPr>
                          <w:rFonts w:ascii="Calibri" w:hAnsi="Calibri" w:cs="Calibri" w:eastAsia="Calibri" w:hint="default"/>
                          <w:sz w:val="21"/>
                          <w:szCs w:val="21"/>
                        </w:rPr>
                      </w:pPr>
                      <w:r>
                        <w:rPr>
                          <w:rFonts w:ascii="Calibri"/>
                          <w:spacing w:val="2"/>
                          <w:w w:val="120"/>
                          <w:sz w:val="21"/>
                        </w:rPr>
                        <w:t>83,</w:t>
                      </w:r>
                      <w:r>
                        <w:rPr>
                          <w:rFonts w:ascii="Calibri"/>
                          <w:spacing w:val="-20"/>
                          <w:w w:val="120"/>
                          <w:sz w:val="21"/>
                        </w:rPr>
                        <w:t> </w:t>
                      </w:r>
                      <w:r>
                        <w:rPr>
                          <w:rFonts w:ascii="Calibri"/>
                          <w:w w:val="120"/>
                          <w:sz w:val="21"/>
                        </w:rPr>
                        <w:t>9%</w:t>
                      </w:r>
                      <w:r>
                        <w:rPr>
                          <w:rFonts w:ascii="Calibri"/>
                          <w:sz w:val="21"/>
                        </w:rPr>
                      </w:r>
                    </w:p>
                  </w:txbxContent>
                </v:textbox>
                <w10:wrap type="none"/>
              </v:shape>
              <v:shape style="position:absolute;left:4638;top:630;width:941;height:215" type="#_x0000_t202" filled="false" stroked="false">
                <v:textbox inset="0,0,0,0">
                  <w:txbxContent>
                    <w:p>
                      <w:pPr>
                        <w:spacing w:line="214" w:lineRule="exact" w:before="0"/>
                        <w:ind w:left="0" w:right="0" w:firstLine="0"/>
                        <w:jc w:val="left"/>
                        <w:rPr>
                          <w:rFonts w:ascii="Calibri" w:hAnsi="Calibri" w:cs="Calibri" w:eastAsia="Calibri" w:hint="default"/>
                          <w:sz w:val="21"/>
                          <w:szCs w:val="21"/>
                        </w:rPr>
                      </w:pPr>
                      <w:r>
                        <w:rPr>
                          <w:rFonts w:ascii="Calibri"/>
                          <w:w w:val="120"/>
                          <w:sz w:val="21"/>
                        </w:rPr>
                        <w:t>482,</w:t>
                      </w:r>
                      <w:r>
                        <w:rPr>
                          <w:rFonts w:ascii="Calibri"/>
                          <w:spacing w:val="-9"/>
                          <w:w w:val="120"/>
                          <w:sz w:val="21"/>
                        </w:rPr>
                        <w:t> </w:t>
                      </w:r>
                      <w:r>
                        <w:rPr>
                          <w:rFonts w:ascii="Calibri"/>
                          <w:spacing w:val="2"/>
                          <w:w w:val="120"/>
                          <w:sz w:val="21"/>
                        </w:rPr>
                        <w:t>52%</w:t>
                      </w:r>
                      <w:r>
                        <w:rPr>
                          <w:rFonts w:ascii="Calibri"/>
                          <w:spacing w:val="2"/>
                          <w:sz w:val="21"/>
                        </w:rPr>
                      </w:r>
                    </w:p>
                  </w:txbxContent>
                </v:textbox>
                <w10:wrap type="none"/>
              </v:shape>
              <v:shape style="position:absolute;left:610;top:1293;width:940;height:215" type="#_x0000_t202" filled="false" stroked="false">
                <v:textbox inset="0,0,0,0">
                  <w:txbxContent>
                    <w:p>
                      <w:pPr>
                        <w:spacing w:line="215" w:lineRule="exact" w:before="0"/>
                        <w:ind w:left="0" w:right="0" w:firstLine="0"/>
                        <w:jc w:val="left"/>
                        <w:rPr>
                          <w:rFonts w:ascii="Calibri" w:hAnsi="Calibri" w:cs="Calibri" w:eastAsia="Calibri" w:hint="default"/>
                          <w:sz w:val="21"/>
                          <w:szCs w:val="21"/>
                        </w:rPr>
                      </w:pPr>
                      <w:r>
                        <w:rPr>
                          <w:rFonts w:ascii="Calibri"/>
                          <w:w w:val="120"/>
                          <w:sz w:val="21"/>
                        </w:rPr>
                        <w:t>103,</w:t>
                      </w:r>
                      <w:r>
                        <w:rPr>
                          <w:rFonts w:ascii="Calibri"/>
                          <w:spacing w:val="-9"/>
                          <w:w w:val="120"/>
                          <w:sz w:val="21"/>
                        </w:rPr>
                        <w:t> </w:t>
                      </w:r>
                      <w:r>
                        <w:rPr>
                          <w:rFonts w:ascii="Calibri"/>
                          <w:spacing w:val="2"/>
                          <w:w w:val="120"/>
                          <w:sz w:val="21"/>
                        </w:rPr>
                        <w:t>11%</w:t>
                      </w:r>
                      <w:r>
                        <w:rPr>
                          <w:rFonts w:ascii="Calibri"/>
                          <w:spacing w:val="2"/>
                          <w:sz w:val="21"/>
                        </w:rPr>
                      </w:r>
                    </w:p>
                  </w:txbxContent>
                </v:textbox>
                <w10:wrap type="none"/>
              </v:shape>
              <v:shape style="position:absolute;left:942;top:1986;width:941;height:215" type="#_x0000_t202" filled="false" stroked="false">
                <v:textbox inset="0,0,0,0">
                  <w:txbxContent>
                    <w:p>
                      <w:pPr>
                        <w:spacing w:line="214" w:lineRule="exact" w:before="0"/>
                        <w:ind w:left="0" w:right="0" w:firstLine="0"/>
                        <w:jc w:val="left"/>
                        <w:rPr>
                          <w:rFonts w:ascii="Calibri" w:hAnsi="Calibri" w:cs="Calibri" w:eastAsia="Calibri" w:hint="default"/>
                          <w:sz w:val="21"/>
                          <w:szCs w:val="21"/>
                        </w:rPr>
                      </w:pPr>
                      <w:r>
                        <w:rPr>
                          <w:rFonts w:ascii="Calibri"/>
                          <w:w w:val="120"/>
                          <w:sz w:val="21"/>
                        </w:rPr>
                        <w:t>121,</w:t>
                      </w:r>
                      <w:r>
                        <w:rPr>
                          <w:rFonts w:ascii="Calibri"/>
                          <w:spacing w:val="-9"/>
                          <w:w w:val="120"/>
                          <w:sz w:val="21"/>
                        </w:rPr>
                        <w:t> </w:t>
                      </w:r>
                      <w:r>
                        <w:rPr>
                          <w:rFonts w:ascii="Calibri"/>
                          <w:spacing w:val="2"/>
                          <w:w w:val="120"/>
                          <w:sz w:val="21"/>
                        </w:rPr>
                        <w:t>13%</w:t>
                      </w:r>
                      <w:r>
                        <w:rPr>
                          <w:rFonts w:ascii="Calibri"/>
                          <w:spacing w:val="2"/>
                          <w:sz w:val="21"/>
                        </w:rPr>
                      </w:r>
                    </w:p>
                  </w:txbxContent>
                </v:textbox>
                <w10:wrap type="none"/>
              </v:shape>
              <v:shape style="position:absolute;left:6285;top:491;width:1488;height:156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3"/>
                          <w:w w:val="120"/>
                          <w:sz w:val="21"/>
                          <w:szCs w:val="21"/>
                        </w:rPr>
                        <w:t>营销人员</w:t>
                      </w:r>
                      <w:r>
                        <w:rPr>
                          <w:rFonts w:ascii="宋体" w:hAnsi="宋体" w:cs="宋体" w:eastAsia="宋体" w:hint="default"/>
                          <w:sz w:val="21"/>
                          <w:szCs w:val="21"/>
                        </w:rPr>
                      </w:r>
                    </w:p>
                    <w:p>
                      <w:pPr>
                        <w:spacing w:line="270" w:lineRule="exact" w:before="26"/>
                        <w:ind w:left="0" w:right="0" w:firstLine="0"/>
                        <w:jc w:val="left"/>
                        <w:rPr>
                          <w:rFonts w:ascii="宋体" w:hAnsi="宋体" w:cs="宋体" w:eastAsia="宋体" w:hint="default"/>
                          <w:sz w:val="21"/>
                          <w:szCs w:val="21"/>
                        </w:rPr>
                      </w:pPr>
                      <w:r>
                        <w:rPr>
                          <w:rFonts w:ascii="宋体" w:hAnsi="宋体" w:cs="宋体" w:eastAsia="宋体" w:hint="default"/>
                          <w:spacing w:val="-2"/>
                          <w:w w:val="120"/>
                          <w:sz w:val="21"/>
                          <w:szCs w:val="21"/>
                        </w:rPr>
                        <w:t>收银员</w:t>
                      </w:r>
                      <w:r>
                        <w:rPr>
                          <w:rFonts w:ascii="宋体" w:hAnsi="宋体" w:cs="宋体" w:eastAsia="宋体" w:hint="default"/>
                          <w:spacing w:val="-2"/>
                          <w:w w:val="118"/>
                          <w:sz w:val="21"/>
                          <w:szCs w:val="21"/>
                        </w:rPr>
                        <w:t> </w:t>
                      </w:r>
                      <w:r>
                        <w:rPr>
                          <w:rFonts w:ascii="宋体" w:hAnsi="宋体" w:cs="宋体" w:eastAsia="宋体" w:hint="default"/>
                          <w:w w:val="120"/>
                          <w:sz w:val="21"/>
                          <w:szCs w:val="21"/>
                        </w:rPr>
                        <w:t>保安人员</w:t>
                      </w:r>
                      <w:r>
                        <w:rPr>
                          <w:rFonts w:ascii="宋体" w:hAnsi="宋体" w:cs="宋体" w:eastAsia="宋体" w:hint="default"/>
                          <w:spacing w:val="-2"/>
                          <w:w w:val="118"/>
                          <w:sz w:val="21"/>
                          <w:szCs w:val="21"/>
                        </w:rPr>
                        <w:t> </w:t>
                      </w:r>
                      <w:r>
                        <w:rPr>
                          <w:rFonts w:ascii="宋体" w:hAnsi="宋体" w:cs="宋体" w:eastAsia="宋体" w:hint="default"/>
                          <w:w w:val="120"/>
                          <w:sz w:val="21"/>
                          <w:szCs w:val="21"/>
                        </w:rPr>
                        <w:t>财务人员</w:t>
                      </w:r>
                      <w:r>
                        <w:rPr>
                          <w:rFonts w:ascii="宋体" w:hAnsi="宋体" w:cs="宋体" w:eastAsia="宋体" w:hint="default"/>
                          <w:spacing w:val="-2"/>
                          <w:w w:val="118"/>
                          <w:sz w:val="21"/>
                          <w:szCs w:val="21"/>
                        </w:rPr>
                        <w:t> </w:t>
                      </w:r>
                      <w:r>
                        <w:rPr>
                          <w:rFonts w:ascii="宋体" w:hAnsi="宋体" w:cs="宋体" w:eastAsia="宋体" w:hint="default"/>
                          <w:spacing w:val="-3"/>
                          <w:w w:val="115"/>
                          <w:sz w:val="21"/>
                          <w:szCs w:val="21"/>
                        </w:rPr>
                        <w:t>物业技术人员</w:t>
                      </w:r>
                      <w:r>
                        <w:rPr>
                          <w:rFonts w:ascii="宋体" w:hAnsi="宋体" w:cs="宋体" w:eastAsia="宋体" w:hint="default"/>
                          <w:spacing w:val="-68"/>
                          <w:w w:val="115"/>
                          <w:sz w:val="21"/>
                          <w:szCs w:val="21"/>
                        </w:rPr>
                        <w:t> </w:t>
                      </w:r>
                      <w:r>
                        <w:rPr>
                          <w:rFonts w:ascii="宋体" w:hAnsi="宋体" w:cs="宋体" w:eastAsia="宋体" w:hint="default"/>
                          <w:spacing w:val="-68"/>
                          <w:w w:val="115"/>
                          <w:sz w:val="21"/>
                          <w:szCs w:val="21"/>
                        </w:rPr>
                      </w:r>
                      <w:r>
                        <w:rPr>
                          <w:rFonts w:ascii="宋体" w:hAnsi="宋体" w:cs="宋体" w:eastAsia="宋体" w:hint="default"/>
                          <w:spacing w:val="-3"/>
                          <w:w w:val="120"/>
                          <w:sz w:val="21"/>
                          <w:szCs w:val="21"/>
                        </w:rPr>
                        <w:t>行政人员</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4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296" w:lineRule="exact"/>
        <w:ind w:left="1007"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10.35pt;height:114.85pt;mso-position-horizontal-relative:char;mso-position-vertical-relative:line" coordorigin="0,0" coordsize="8207,2297">
            <v:shape style="position:absolute;left:1423;top:656;width:3010;height:1551" type="#_x0000_t75" stroked="false">
              <v:imagedata r:id="rId30" o:title=""/>
            </v:shape>
            <v:group style="position:absolute;left:4253;top:999;width:105;height:105" coordorigin="4253,999" coordsize="105,105">
              <v:shape style="position:absolute;left:4253;top:999;width:105;height:105" coordorigin="4253,999" coordsize="105,105" path="m4253,1104l4358,1104,4358,999,4253,999,4253,1104xe" filled="true" fillcolor="#4f81bc" stroked="false">
                <v:path arrowok="t"/>
                <v:fill type="solid"/>
              </v:shape>
            </v:group>
            <v:group style="position:absolute;left:1378;top:522;width:105;height:105" coordorigin="1378,522" coordsize="105,105">
              <v:shape style="position:absolute;left:1378;top:522;width:105;height:105" coordorigin="1378,522" coordsize="105,105" path="m1378,626l1482,626,1482,522,1378,522,1378,626xe" filled="true" fillcolor="#8063a1" stroked="false">
                <v:path arrowok="t"/>
                <v:fill type="solid"/>
              </v:shape>
            </v:group>
            <v:group style="position:absolute;left:2740;top:403;width:105;height:105" coordorigin="2740,403" coordsize="105,105">
              <v:shape style="position:absolute;left:2740;top:403;width:105;height:105" coordorigin="2740,403" coordsize="105,105" path="m2740,507l2845,507,2845,403,2740,403,2740,507xe" filled="true" fillcolor="#4aacc5" stroked="false">
                <v:path arrowok="t"/>
                <v:fill type="solid"/>
              </v:shape>
            </v:group>
            <v:group style="position:absolute;left:898;top:1924;width:120;height:105" coordorigin="898,1924" coordsize="120,105">
              <v:shape style="position:absolute;left:898;top:1924;width:120;height:105" coordorigin="898,1924" coordsize="120,105" path="m898,2028l1018,2028,1018,1924,898,1924,898,2028xe" filled="true" fillcolor="#c0504d" stroked="false">
                <v:path arrowok="t"/>
                <v:fill type="solid"/>
              </v:shape>
            </v:group>
            <v:group style="position:absolute;left:764;top:895;width:105;height:120" coordorigin="764,895" coordsize="105,120">
              <v:shape style="position:absolute;left:764;top:895;width:105;height:120" coordorigin="764,895" coordsize="105,120" path="m764,1014l869,1014,869,895,764,895,764,1014xe" filled="true" fillcolor="#9bba58" stroked="false">
                <v:path arrowok="t"/>
                <v:fill type="solid"/>
              </v:shape>
            </v:group>
            <v:group style="position:absolute;left:6379;top:686;width:120;height:105" coordorigin="6379,686" coordsize="120,105">
              <v:shape style="position:absolute;left:6379;top:686;width:120;height:105" coordorigin="6379,686" coordsize="120,105" path="m6379,790l6499,790,6499,686,6379,686,6379,790xe" filled="true" fillcolor="#4f81bc" stroked="false">
                <v:path arrowok="t"/>
                <v:fill type="solid"/>
              </v:shape>
            </v:group>
            <v:group style="position:absolute;left:6379;top:954;width:120;height:105" coordorigin="6379,954" coordsize="120,105">
              <v:shape style="position:absolute;left:6379;top:954;width:120;height:105" coordorigin="6379,954" coordsize="120,105" path="m6379,1059l6499,1059,6499,954,6379,954,6379,1059xe" filled="true" fillcolor="#c0504d" stroked="false">
                <v:path arrowok="t"/>
                <v:fill type="solid"/>
              </v:shape>
            </v:group>
            <v:group style="position:absolute;left:6379;top:1223;width:120;height:105" coordorigin="6379,1223" coordsize="120,105">
              <v:shape style="position:absolute;left:6379;top:1223;width:120;height:105" coordorigin="6379,1223" coordsize="120,105" path="m6379,1327l6499,1327,6499,1223,6379,1223,6379,1327xe" filled="true" fillcolor="#9bba58" stroked="false">
                <v:path arrowok="t"/>
                <v:fill type="solid"/>
              </v:shape>
            </v:group>
            <v:group style="position:absolute;left:6379;top:1491;width:120;height:105" coordorigin="6379,1491" coordsize="120,105">
              <v:shape style="position:absolute;left:6379;top:1491;width:120;height:105" coordorigin="6379,1491" coordsize="120,105" path="m6379,1596l6499,1596,6499,1491,6379,1491,6379,1596xe" filled="true" fillcolor="#8063a1" stroked="false">
                <v:path arrowok="t"/>
                <v:fill type="solid"/>
              </v:shape>
            </v:group>
            <v:group style="position:absolute;left:6379;top:1760;width:120;height:105" coordorigin="6379,1760" coordsize="120,105">
              <v:shape style="position:absolute;left:6379;top:1760;width:120;height:105" coordorigin="6379,1760" coordsize="120,105" path="m6379,1864l6499,1864,6499,1760,6379,1760,6379,1864xe" filled="true" fillcolor="#4aacc5" stroked="false">
                <v:path arrowok="t"/>
                <v:fill type="solid"/>
              </v:shape>
            </v:group>
            <v:group style="position:absolute;left:7;top:7;width:8192;height:2282" coordorigin="7,7" coordsize="8192,2282">
              <v:shape style="position:absolute;left:7;top:7;width:8192;height:2282" coordorigin="7,7" coordsize="8192,2282" path="m7,2289l8199,2289,8199,7,7,7,7,2289xe" filled="false" stroked="true" strokeweight=".746644pt" strokecolor="#858585">
                <v:path arrowok="t"/>
              </v:shape>
              <v:shape style="position:absolute;left:73;top:79;width:2477;height:1013" type="#_x0000_t202" filled="false" stroked="false">
                <v:textbox inset="0,0,0,0">
                  <w:txbxContent>
                    <w:p>
                      <w:pPr>
                        <w:spacing w:line="225"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秦皇岛茂业员工专业构成</w:t>
                      </w:r>
                    </w:p>
                    <w:p>
                      <w:pPr>
                        <w:spacing w:before="168"/>
                        <w:ind w:left="1516" w:right="0" w:firstLine="0"/>
                        <w:jc w:val="left"/>
                        <w:rPr>
                          <w:rFonts w:ascii="Calibri" w:hAnsi="Calibri" w:cs="Calibri" w:eastAsia="Calibri" w:hint="default"/>
                          <w:sz w:val="19"/>
                          <w:szCs w:val="19"/>
                        </w:rPr>
                      </w:pPr>
                      <w:r>
                        <w:rPr>
                          <w:rFonts w:ascii="Calibri"/>
                          <w:w w:val="105"/>
                          <w:sz w:val="19"/>
                        </w:rPr>
                        <w:t>14,</w:t>
                      </w:r>
                      <w:r>
                        <w:rPr>
                          <w:rFonts w:ascii="Calibri"/>
                          <w:spacing w:val="-12"/>
                          <w:w w:val="105"/>
                          <w:sz w:val="19"/>
                        </w:rPr>
                        <w:t> </w:t>
                      </w:r>
                      <w:r>
                        <w:rPr>
                          <w:rFonts w:ascii="Calibri"/>
                          <w:w w:val="105"/>
                          <w:sz w:val="19"/>
                        </w:rPr>
                        <w:t>10%</w:t>
                      </w:r>
                      <w:r>
                        <w:rPr>
                          <w:rFonts w:ascii="Calibri"/>
                          <w:sz w:val="19"/>
                        </w:rPr>
                      </w:r>
                    </w:p>
                    <w:p>
                      <w:pPr>
                        <w:spacing w:line="230" w:lineRule="exact" w:before="157"/>
                        <w:ind w:left="0" w:right="26" w:firstLine="0"/>
                        <w:jc w:val="center"/>
                        <w:rPr>
                          <w:rFonts w:ascii="Calibri" w:hAnsi="Calibri" w:cs="Calibri" w:eastAsia="Calibri" w:hint="default"/>
                          <w:sz w:val="19"/>
                          <w:szCs w:val="19"/>
                        </w:rPr>
                      </w:pPr>
                      <w:r>
                        <w:rPr>
                          <w:rFonts w:ascii="Calibri"/>
                          <w:w w:val="105"/>
                          <w:sz w:val="19"/>
                        </w:rPr>
                        <w:t>19,</w:t>
                      </w:r>
                      <w:r>
                        <w:rPr>
                          <w:rFonts w:ascii="Calibri"/>
                          <w:spacing w:val="-10"/>
                          <w:w w:val="105"/>
                          <w:sz w:val="19"/>
                        </w:rPr>
                        <w:t> </w:t>
                      </w:r>
                      <w:r>
                        <w:rPr>
                          <w:rFonts w:ascii="Calibri"/>
                          <w:w w:val="105"/>
                          <w:sz w:val="19"/>
                        </w:rPr>
                        <w:t>14%</w:t>
                      </w:r>
                      <w:r>
                        <w:rPr>
                          <w:rFonts w:ascii="Calibri"/>
                          <w:sz w:val="19"/>
                        </w:rPr>
                      </w:r>
                    </w:p>
                  </w:txbxContent>
                </v:textbox>
                <w10:wrap type="none"/>
              </v:shape>
              <v:shape style="position:absolute;left:2963;top:392;width:42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9,</w:t>
                      </w:r>
                      <w:r>
                        <w:rPr>
                          <w:rFonts w:ascii="Calibri"/>
                          <w:spacing w:val="-14"/>
                          <w:w w:val="105"/>
                          <w:sz w:val="19"/>
                        </w:rPr>
                        <w:t> </w:t>
                      </w:r>
                      <w:r>
                        <w:rPr>
                          <w:rFonts w:ascii="Calibri"/>
                          <w:w w:val="105"/>
                          <w:sz w:val="19"/>
                        </w:rPr>
                        <w:t>6%</w:t>
                      </w:r>
                      <w:r>
                        <w:rPr>
                          <w:rFonts w:ascii="Calibri"/>
                          <w:sz w:val="19"/>
                        </w:rPr>
                      </w:r>
                    </w:p>
                  </w:txbxContent>
                </v:textbox>
                <w10:wrap type="none"/>
              </v:shape>
              <v:shape style="position:absolute;left:4469;top:990;width:63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51,</w:t>
                      </w:r>
                      <w:r>
                        <w:rPr>
                          <w:rFonts w:ascii="Calibri"/>
                          <w:spacing w:val="-8"/>
                          <w:w w:val="105"/>
                          <w:sz w:val="19"/>
                        </w:rPr>
                        <w:t> </w:t>
                      </w:r>
                      <w:r>
                        <w:rPr>
                          <w:rFonts w:ascii="Calibri"/>
                          <w:w w:val="105"/>
                          <w:sz w:val="19"/>
                        </w:rPr>
                        <w:t>36%</w:t>
                      </w:r>
                      <w:r>
                        <w:rPr>
                          <w:rFonts w:ascii="Calibri"/>
                          <w:sz w:val="19"/>
                        </w:rPr>
                      </w:r>
                    </w:p>
                  </w:txbxContent>
                </v:textbox>
                <w10:wrap type="none"/>
              </v:shape>
              <v:shape style="position:absolute;left:6563;top:607;width:1174;height:1283" type="#_x0000_t202" filled="false" stroked="false">
                <v:textbox inset="0,0,0,0">
                  <w:txbxContent>
                    <w:p>
                      <w:pPr>
                        <w:spacing w:line="195" w:lineRule="exact" w:before="0"/>
                        <w:ind w:left="0" w:right="0" w:firstLine="0"/>
                        <w:jc w:val="left"/>
                        <w:rPr>
                          <w:rFonts w:ascii="宋体" w:hAnsi="宋体" w:cs="宋体" w:eastAsia="宋体" w:hint="default"/>
                          <w:sz w:val="19"/>
                          <w:szCs w:val="19"/>
                        </w:rPr>
                      </w:pPr>
                      <w:r>
                        <w:rPr>
                          <w:rFonts w:ascii="宋体" w:hAnsi="宋体" w:cs="宋体" w:eastAsia="宋体" w:hint="default"/>
                          <w:w w:val="105"/>
                          <w:sz w:val="19"/>
                          <w:szCs w:val="19"/>
                        </w:rPr>
                        <w:t>营销人员</w:t>
                      </w:r>
                      <w:r>
                        <w:rPr>
                          <w:rFonts w:ascii="宋体" w:hAnsi="宋体" w:cs="宋体" w:eastAsia="宋体" w:hint="default"/>
                          <w:sz w:val="19"/>
                          <w:szCs w:val="19"/>
                        </w:rPr>
                      </w:r>
                    </w:p>
                    <w:p>
                      <w:pPr>
                        <w:spacing w:line="261" w:lineRule="auto" w:before="22"/>
                        <w:ind w:left="0" w:right="0" w:firstLine="0"/>
                        <w:jc w:val="left"/>
                        <w:rPr>
                          <w:rFonts w:ascii="宋体" w:hAnsi="宋体" w:cs="宋体" w:eastAsia="宋体" w:hint="default"/>
                          <w:sz w:val="19"/>
                          <w:szCs w:val="19"/>
                        </w:rPr>
                      </w:pPr>
                      <w:r>
                        <w:rPr>
                          <w:rFonts w:ascii="宋体" w:hAnsi="宋体" w:cs="宋体" w:eastAsia="宋体" w:hint="default"/>
                          <w:spacing w:val="-2"/>
                          <w:w w:val="105"/>
                          <w:sz w:val="19"/>
                          <w:szCs w:val="19"/>
                        </w:rPr>
                        <w:t>收银员</w:t>
                      </w:r>
                      <w:r>
                        <w:rPr>
                          <w:rFonts w:ascii="宋体" w:hAnsi="宋体" w:cs="宋体" w:eastAsia="宋体" w:hint="default"/>
                          <w:spacing w:val="-2"/>
                          <w:w w:val="103"/>
                          <w:sz w:val="19"/>
                          <w:szCs w:val="19"/>
                        </w:rPr>
                        <w:t> </w:t>
                      </w:r>
                      <w:r>
                        <w:rPr>
                          <w:rFonts w:ascii="宋体" w:hAnsi="宋体" w:cs="宋体" w:eastAsia="宋体" w:hint="default"/>
                          <w:w w:val="105"/>
                          <w:sz w:val="19"/>
                          <w:szCs w:val="19"/>
                        </w:rPr>
                        <w:t>保安人员</w:t>
                      </w:r>
                      <w:r>
                        <w:rPr>
                          <w:rFonts w:ascii="宋体" w:hAnsi="宋体" w:cs="宋体" w:eastAsia="宋体" w:hint="default"/>
                          <w:spacing w:val="-2"/>
                          <w:w w:val="103"/>
                          <w:sz w:val="19"/>
                          <w:szCs w:val="19"/>
                        </w:rPr>
                        <w:t> </w:t>
                      </w:r>
                      <w:r>
                        <w:rPr>
                          <w:rFonts w:ascii="宋体" w:hAnsi="宋体" w:cs="宋体" w:eastAsia="宋体" w:hint="default"/>
                          <w:spacing w:val="-2"/>
                          <w:sz w:val="19"/>
                          <w:szCs w:val="19"/>
                        </w:rPr>
                        <w:t>物业技术人员</w:t>
                      </w:r>
                      <w:r>
                        <w:rPr>
                          <w:rFonts w:ascii="宋体" w:hAnsi="宋体" w:cs="宋体" w:eastAsia="宋体" w:hint="default"/>
                          <w:spacing w:val="-52"/>
                          <w:sz w:val="19"/>
                          <w:szCs w:val="19"/>
                        </w:rPr>
                        <w:t> </w:t>
                      </w:r>
                      <w:r>
                        <w:rPr>
                          <w:rFonts w:ascii="宋体" w:hAnsi="宋体" w:cs="宋体" w:eastAsia="宋体" w:hint="default"/>
                          <w:w w:val="105"/>
                          <w:sz w:val="19"/>
                          <w:szCs w:val="19"/>
                        </w:rPr>
                        <w:t>行政人员</w:t>
                      </w:r>
                      <w:r>
                        <w:rPr>
                          <w:rFonts w:ascii="宋体" w:hAnsi="宋体" w:cs="宋体" w:eastAsia="宋体" w:hint="default"/>
                          <w:sz w:val="19"/>
                          <w:szCs w:val="19"/>
                        </w:rPr>
                      </w:r>
                    </w:p>
                  </w:txbxContent>
                </v:textbox>
                <w10:wrap type="none"/>
              </v:shape>
              <v:shape style="position:absolute;left:1113;top:1924;width:63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47,</w:t>
                      </w:r>
                      <w:r>
                        <w:rPr>
                          <w:rFonts w:ascii="Calibri"/>
                          <w:spacing w:val="-8"/>
                          <w:w w:val="105"/>
                          <w:sz w:val="19"/>
                        </w:rPr>
                        <w:t> </w:t>
                      </w:r>
                      <w:r>
                        <w:rPr>
                          <w:rFonts w:ascii="Calibri"/>
                          <w:w w:val="105"/>
                          <w:sz w:val="19"/>
                        </w:rPr>
                        <w:t>34%</w:t>
                      </w:r>
                      <w:r>
                        <w:rPr>
                          <w:rFonts w:ascii="Calibri"/>
                          <w:sz w:val="19"/>
                        </w:rPr>
                      </w:r>
                    </w:p>
                  </w:txbxContent>
                </v:textbox>
                <w10:wrap type="none"/>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28"/>
          <w:pgSz w:w="11910" w:h="16840"/>
          <w:pgMar w:footer="1219" w:header="883" w:top="1140" w:bottom="1400" w:left="900" w:right="0"/>
          <w:pgNumType w:start="41"/>
        </w:sectPr>
      </w:pPr>
    </w:p>
    <w:p>
      <w:pPr>
        <w:spacing w:before="36"/>
        <w:ind w:left="1417" w:right="0" w:firstLine="0"/>
        <w:jc w:val="left"/>
        <w:rPr>
          <w:rFonts w:ascii="宋体" w:hAnsi="宋体" w:cs="宋体" w:eastAsia="宋体" w:hint="default"/>
          <w:sz w:val="22"/>
          <w:szCs w:val="22"/>
        </w:rPr>
      </w:pPr>
      <w:r>
        <w:rPr>
          <w:rFonts w:ascii="宋体" w:hAnsi="宋体" w:cs="宋体" w:eastAsia="宋体" w:hint="default"/>
          <w:w w:val="105"/>
          <w:sz w:val="22"/>
          <w:szCs w:val="22"/>
        </w:rPr>
        <w:t>创世漫道员工专业构成</w:t>
      </w:r>
      <w:r>
        <w:rPr>
          <w:rFonts w:ascii="宋体" w:hAnsi="宋体" w:cs="宋体" w:eastAsia="宋体" w:hint="default"/>
          <w:sz w:val="22"/>
          <w:szCs w:val="22"/>
        </w:rPr>
      </w:r>
    </w:p>
    <w:p>
      <w:pPr>
        <w:spacing w:line="240" w:lineRule="auto" w:before="9"/>
        <w:rPr>
          <w:rFonts w:ascii="宋体" w:hAnsi="宋体" w:cs="宋体" w:eastAsia="宋体" w:hint="default"/>
          <w:sz w:val="23"/>
          <w:szCs w:val="23"/>
        </w:rPr>
      </w:pPr>
    </w:p>
    <w:p>
      <w:pPr>
        <w:spacing w:before="0"/>
        <w:ind w:left="0" w:right="0" w:firstLine="0"/>
        <w:jc w:val="right"/>
        <w:rPr>
          <w:rFonts w:ascii="Calibri" w:hAnsi="Calibri" w:cs="Calibri" w:eastAsia="Calibri" w:hint="default"/>
          <w:sz w:val="19"/>
          <w:szCs w:val="19"/>
        </w:rPr>
      </w:pPr>
      <w:r>
        <w:rPr/>
        <w:pict>
          <v:group style="position:absolute;margin-left:213.311508pt;margin-top:7.711535pt;width:119.05pt;height:60.05pt;mso-position-horizontal-relative:page;mso-position-vertical-relative:paragraph;z-index:-759592" coordorigin="4266,154" coordsize="2381,1201">
            <v:shape style="position:absolute;left:4266;top:154;width:2381;height:1200" type="#_x0000_t75" stroked="false">
              <v:imagedata r:id="rId31" o:title=""/>
            </v:shape>
            <v:group style="position:absolute;left:6272;top:199;width:120;height:104" coordorigin="6272,199" coordsize="120,104">
              <v:shape style="position:absolute;left:6272;top:199;width:120;height:104" coordorigin="6272,199" coordsize="120,104" path="m6272,302l6392,302,6392,199,6272,199,6272,302xe" filled="true" fillcolor="#4f81bc" stroked="false">
                <v:path arrowok="t"/>
                <v:fill type="solid"/>
              </v:shape>
            </v:group>
            <w10:wrap type="none"/>
          </v:group>
        </w:pict>
      </w:r>
      <w:r>
        <w:rPr/>
        <w:pict>
          <v:group style="position:absolute;margin-left:200.58548pt;margin-top:1.785367pt;width:5.25pt;height:5.95pt;mso-position-horizontal-relative:page;mso-position-vertical-relative:paragraph;z-index:2944" coordorigin="4012,36" coordsize="105,119">
            <v:shape style="position:absolute;left:4012;top:36;width:105;height:119" coordorigin="4012,36" coordsize="105,119" path="m4012,154l4117,154,4117,36,4012,36,4012,154xe" filled="true" fillcolor="#9bba58" stroked="false">
              <v:path arrowok="t"/>
              <v:fill type="solid"/>
            </v:shape>
            <w10:wrap type="none"/>
          </v:group>
        </w:pict>
      </w:r>
      <w:r>
        <w:rPr>
          <w:rFonts w:ascii="Calibri"/>
          <w:w w:val="105"/>
          <w:sz w:val="19"/>
        </w:rPr>
        <w:t>13, </w:t>
      </w:r>
      <w:r>
        <w:rPr>
          <w:rFonts w:ascii="Calibri"/>
          <w:spacing w:val="31"/>
          <w:w w:val="105"/>
          <w:sz w:val="19"/>
        </w:rPr>
        <w:t> </w:t>
      </w:r>
      <w:r>
        <w:rPr>
          <w:rFonts w:ascii="Calibri"/>
          <w:spacing w:val="4"/>
          <w:w w:val="105"/>
          <w:sz w:val="19"/>
        </w:rPr>
        <w:t>8%</w:t>
      </w:r>
      <w:r>
        <w:rPr>
          <w:rFonts w:ascii="Calibri"/>
          <w:sz w:val="19"/>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before="140"/>
        <w:ind w:left="0" w:right="425" w:firstLine="0"/>
        <w:jc w:val="right"/>
        <w:rPr>
          <w:rFonts w:ascii="Calibri" w:hAnsi="Calibri" w:cs="Calibri" w:eastAsia="Calibri" w:hint="default"/>
          <w:sz w:val="19"/>
          <w:szCs w:val="19"/>
        </w:rPr>
      </w:pPr>
      <w:r>
        <w:rPr/>
        <w:pict>
          <v:group style="position:absolute;margin-left:173.636215pt;margin-top:8.390265pt;width:5.25pt;height:5.2pt;mso-position-horizontal-relative:page;mso-position-vertical-relative:paragraph;z-index:2920" coordorigin="3473,168" coordsize="105,104">
            <v:shape style="position:absolute;left:3473;top:168;width:105;height:104" coordorigin="3473,168" coordsize="105,104" path="m3473,272l3578,272,3578,168,3473,168,3473,272xe" filled="true" fillcolor="#c0504d" stroked="false">
              <v:path arrowok="t"/>
              <v:fill type="solid"/>
            </v:shape>
            <w10:wrap type="none"/>
          </v:group>
        </w:pict>
      </w:r>
      <w:r>
        <w:rPr>
          <w:rFonts w:ascii="Calibri"/>
          <w:w w:val="105"/>
          <w:sz w:val="19"/>
        </w:rPr>
        <w:t>76, </w:t>
      </w:r>
      <w:r>
        <w:rPr>
          <w:rFonts w:ascii="Calibri"/>
          <w:spacing w:val="32"/>
          <w:w w:val="105"/>
          <w:sz w:val="19"/>
        </w:rPr>
        <w:t> </w:t>
      </w:r>
      <w:r>
        <w:rPr>
          <w:rFonts w:ascii="Calibri"/>
          <w:spacing w:val="3"/>
          <w:w w:val="105"/>
          <w:sz w:val="19"/>
        </w:rPr>
        <w:t>44%</w:t>
      </w:r>
      <w:r>
        <w:rPr>
          <w:rFonts w:ascii="Calibri"/>
          <w:sz w:val="19"/>
        </w:rPr>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2"/>
        <w:rPr>
          <w:rFonts w:ascii="Calibri" w:hAnsi="Calibri" w:cs="Calibri" w:eastAsia="Calibri" w:hint="default"/>
          <w:sz w:val="17"/>
          <w:szCs w:val="17"/>
        </w:rPr>
      </w:pPr>
    </w:p>
    <w:p>
      <w:pPr>
        <w:spacing w:before="0"/>
        <w:ind w:left="434" w:right="-16" w:firstLine="0"/>
        <w:jc w:val="left"/>
        <w:rPr>
          <w:rFonts w:ascii="Calibri" w:hAnsi="Calibri" w:cs="Calibri" w:eastAsia="Calibri" w:hint="default"/>
          <w:sz w:val="19"/>
          <w:szCs w:val="19"/>
        </w:rPr>
      </w:pPr>
      <w:r>
        <w:rPr/>
        <w:pict>
          <v:group style="position:absolute;margin-left:255.232574pt;margin-top:1.908843pt;width:5.25pt;height:5.95pt;mso-position-horizontal-relative:page;mso-position-vertical-relative:paragraph;z-index:2968" coordorigin="5105,38" coordsize="105,119">
            <v:shape style="position:absolute;left:5105;top:38;width:105;height:119" coordorigin="5105,38" coordsize="105,119" path="m5105,157l5209,157,5209,38,5105,38,5105,157xe" filled="true" fillcolor="#8063a1" stroked="false">
              <v:path arrowok="t"/>
              <v:fill type="solid"/>
            </v:shape>
            <w10:wrap type="none"/>
          </v:group>
        </w:pict>
      </w:r>
      <w:r>
        <w:rPr>
          <w:rFonts w:ascii="Calibri"/>
          <w:w w:val="105"/>
          <w:sz w:val="19"/>
        </w:rPr>
        <w:t>13,  </w:t>
      </w:r>
      <w:r>
        <w:rPr>
          <w:rFonts w:ascii="Calibri"/>
          <w:spacing w:val="30"/>
          <w:w w:val="105"/>
          <w:sz w:val="19"/>
        </w:rPr>
        <w:t> </w:t>
      </w:r>
      <w:r>
        <w:rPr>
          <w:rFonts w:ascii="Calibri"/>
          <w:spacing w:val="4"/>
          <w:w w:val="105"/>
          <w:sz w:val="19"/>
        </w:rPr>
        <w:t>8%</w:t>
      </w:r>
      <w:r>
        <w:rPr>
          <w:rFonts w:ascii="Calibri"/>
          <w:sz w:val="19"/>
        </w:rPr>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0"/>
        <w:rPr>
          <w:rFonts w:ascii="Calibri" w:hAnsi="Calibri" w:cs="Calibri" w:eastAsia="Calibri" w:hint="default"/>
          <w:sz w:val="20"/>
          <w:szCs w:val="20"/>
        </w:rPr>
      </w:pPr>
    </w:p>
    <w:p>
      <w:pPr>
        <w:spacing w:line="240" w:lineRule="auto" w:before="8"/>
        <w:rPr>
          <w:rFonts w:ascii="Calibri" w:hAnsi="Calibri" w:cs="Calibri" w:eastAsia="Calibri" w:hint="default"/>
          <w:sz w:val="24"/>
          <w:szCs w:val="24"/>
        </w:rPr>
      </w:pPr>
    </w:p>
    <w:p>
      <w:pPr>
        <w:spacing w:before="0"/>
        <w:ind w:left="461" w:right="-15" w:firstLine="0"/>
        <w:jc w:val="left"/>
        <w:rPr>
          <w:rFonts w:ascii="Calibri" w:hAnsi="Calibri" w:cs="Calibri" w:eastAsia="Calibri" w:hint="default"/>
          <w:sz w:val="19"/>
          <w:szCs w:val="19"/>
        </w:rPr>
      </w:pPr>
      <w:r>
        <w:rPr>
          <w:rFonts w:ascii="Calibri"/>
          <w:w w:val="105"/>
          <w:sz w:val="19"/>
        </w:rPr>
        <w:t>69,  </w:t>
      </w:r>
      <w:r>
        <w:rPr>
          <w:rFonts w:ascii="Calibri"/>
          <w:spacing w:val="30"/>
          <w:w w:val="105"/>
          <w:sz w:val="19"/>
        </w:rPr>
        <w:t> </w:t>
      </w:r>
      <w:r>
        <w:rPr>
          <w:rFonts w:ascii="Calibri"/>
          <w:spacing w:val="3"/>
          <w:w w:val="105"/>
          <w:sz w:val="19"/>
        </w:rPr>
        <w:t>40%</w:t>
      </w:r>
      <w:r>
        <w:rPr>
          <w:rFonts w:ascii="Calibri"/>
          <w:sz w:val="19"/>
        </w:rPr>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5"/>
        <w:rPr>
          <w:rFonts w:ascii="Calibri" w:hAnsi="Calibri" w:cs="Calibri" w:eastAsia="Calibri" w:hint="default"/>
          <w:sz w:val="21"/>
          <w:szCs w:val="21"/>
        </w:rPr>
      </w:pPr>
    </w:p>
    <w:p>
      <w:pPr>
        <w:spacing w:line="292" w:lineRule="auto" w:before="0"/>
        <w:ind w:left="892" w:right="2913" w:firstLine="0"/>
        <w:jc w:val="both"/>
        <w:rPr>
          <w:rFonts w:ascii="宋体" w:hAnsi="宋体" w:cs="宋体" w:eastAsia="宋体" w:hint="default"/>
          <w:sz w:val="19"/>
          <w:szCs w:val="19"/>
        </w:rPr>
      </w:pPr>
      <w:r>
        <w:rPr/>
        <w:pict>
          <v:group style="position:absolute;margin-left:401.207703pt;margin-top:6.724869pt;width:6pt;height:5.2pt;mso-position-horizontal-relative:page;mso-position-vertical-relative:paragraph;z-index:2992" coordorigin="8024,134" coordsize="120,104">
            <v:shape style="position:absolute;left:8024;top:134;width:120;height:104" coordorigin="8024,134" coordsize="120,104" path="m8024,238l8144,238,8144,134,8024,134,8024,238xe" filled="true" fillcolor="#4f81bc" stroked="false">
              <v:path arrowok="t"/>
              <v:fill type="solid"/>
            </v:shape>
            <w10:wrap type="none"/>
          </v:group>
        </w:pict>
      </w:r>
      <w:r>
        <w:rPr/>
        <w:pict>
          <v:group style="position:absolute;margin-left:401.207703pt;margin-top:21.541277pt;width:6pt;height:5.2pt;mso-position-horizontal-relative:page;mso-position-vertical-relative:paragraph;z-index:3016" coordorigin="8024,431" coordsize="120,104">
            <v:shape style="position:absolute;left:8024;top:431;width:120;height:104" coordorigin="8024,431" coordsize="120,104" path="m8024,535l8144,535,8144,431,8024,431,8024,535xe" filled="true" fillcolor="#c0504d" stroked="false">
              <v:path arrowok="t"/>
              <v:fill type="solid"/>
            </v:shape>
            <w10:wrap type="none"/>
          </v:group>
        </w:pict>
      </w:r>
      <w:r>
        <w:rPr/>
        <w:pict>
          <v:group style="position:absolute;margin-left:401.207703pt;margin-top:36.357685pt;width:6pt;height:5.95pt;mso-position-horizontal-relative:page;mso-position-vertical-relative:paragraph;z-index:3040" coordorigin="8024,727" coordsize="120,119">
            <v:shape style="position:absolute;left:8024;top:727;width:120;height:119" coordorigin="8024,727" coordsize="120,119" path="m8024,846l8144,846,8144,727,8024,727,8024,846xe" filled="true" fillcolor="#9bba58" stroked="false">
              <v:path arrowok="t"/>
              <v:fill type="solid"/>
            </v:shape>
            <w10:wrap type="none"/>
          </v:group>
        </w:pict>
      </w:r>
      <w:r>
        <w:rPr/>
        <w:pict>
          <v:group style="position:absolute;margin-left:401.207703pt;margin-top:51.914913pt;width:6pt;height:5.2pt;mso-position-horizontal-relative:page;mso-position-vertical-relative:paragraph;z-index:3064" coordorigin="8024,1038" coordsize="120,104">
            <v:shape style="position:absolute;left:8024;top:1038;width:120;height:104" coordorigin="8024,1038" coordsize="120,104" path="m8024,1142l8144,1142,8144,1038,8024,1038,8024,1142xe" filled="true" fillcolor="#8063a1" stroked="false">
              <v:path arrowok="t"/>
              <v:fill type="solid"/>
            </v:shape>
            <w10:wrap type="none"/>
          </v:group>
        </w:pict>
      </w:r>
      <w:r>
        <w:rPr>
          <w:rFonts w:ascii="宋体" w:hAnsi="宋体" w:cs="宋体" w:eastAsia="宋体" w:hint="default"/>
          <w:spacing w:val="-2"/>
          <w:sz w:val="19"/>
          <w:szCs w:val="19"/>
        </w:rPr>
        <w:t>营销人员</w:t>
      </w:r>
      <w:r>
        <w:rPr>
          <w:rFonts w:ascii="宋体" w:hAnsi="宋体" w:cs="宋体" w:eastAsia="宋体" w:hint="default"/>
          <w:spacing w:val="-67"/>
          <w:sz w:val="19"/>
          <w:szCs w:val="19"/>
        </w:rPr>
        <w:t> </w:t>
      </w:r>
      <w:r>
        <w:rPr>
          <w:rFonts w:ascii="宋体" w:hAnsi="宋体" w:cs="宋体" w:eastAsia="宋体" w:hint="default"/>
          <w:spacing w:val="-2"/>
          <w:sz w:val="19"/>
          <w:szCs w:val="19"/>
        </w:rPr>
        <w:t>技术人员</w:t>
      </w:r>
      <w:r>
        <w:rPr>
          <w:rFonts w:ascii="宋体" w:hAnsi="宋体" w:cs="宋体" w:eastAsia="宋体" w:hint="default"/>
          <w:spacing w:val="-67"/>
          <w:sz w:val="19"/>
          <w:szCs w:val="19"/>
        </w:rPr>
        <w:t> </w:t>
      </w:r>
      <w:r>
        <w:rPr>
          <w:rFonts w:ascii="宋体" w:hAnsi="宋体" w:cs="宋体" w:eastAsia="宋体" w:hint="default"/>
          <w:spacing w:val="-2"/>
          <w:sz w:val="19"/>
          <w:szCs w:val="19"/>
        </w:rPr>
        <w:t>财务人员</w:t>
      </w:r>
      <w:r>
        <w:rPr>
          <w:rFonts w:ascii="宋体" w:hAnsi="宋体" w:cs="宋体" w:eastAsia="宋体" w:hint="default"/>
          <w:spacing w:val="-67"/>
          <w:sz w:val="19"/>
          <w:szCs w:val="19"/>
        </w:rPr>
        <w:t> </w:t>
      </w:r>
      <w:r>
        <w:rPr>
          <w:rFonts w:ascii="宋体" w:hAnsi="宋体" w:cs="宋体" w:eastAsia="宋体" w:hint="default"/>
          <w:spacing w:val="-2"/>
          <w:sz w:val="19"/>
          <w:szCs w:val="19"/>
        </w:rPr>
        <w:t>行政人员</w:t>
      </w:r>
      <w:r>
        <w:rPr>
          <w:rFonts w:ascii="宋体" w:hAnsi="宋体" w:cs="宋体" w:eastAsia="宋体" w:hint="default"/>
          <w:sz w:val="19"/>
          <w:szCs w:val="19"/>
        </w:rPr>
      </w:r>
    </w:p>
    <w:p>
      <w:pPr>
        <w:spacing w:after="0" w:line="292" w:lineRule="auto"/>
        <w:jc w:val="both"/>
        <w:rPr>
          <w:rFonts w:ascii="宋体" w:hAnsi="宋体" w:cs="宋体" w:eastAsia="宋体" w:hint="default"/>
          <w:sz w:val="19"/>
          <w:szCs w:val="19"/>
        </w:rPr>
        <w:sectPr>
          <w:type w:val="continuous"/>
          <w:pgSz w:w="11910" w:h="16840"/>
          <w:pgMar w:top="1580" w:bottom="760" w:left="900" w:right="0"/>
          <w:cols w:num="4" w:equalWidth="0">
            <w:col w:w="3954" w:space="40"/>
            <w:col w:w="1108" w:space="40"/>
            <w:col w:w="1238" w:space="40"/>
            <w:col w:w="45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2356" w:lineRule="exact"/>
        <w:ind w:left="807"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04.3pt;height:117.85pt;mso-position-horizontal-relative:char;mso-position-vertical-relative:line" coordorigin="0,0" coordsize="8086,2357">
            <v:shape style="position:absolute;left:1857;top:522;width:2650;height:1626" type="#_x0000_t75" stroked="false">
              <v:imagedata r:id="rId32" o:title=""/>
            </v:shape>
            <v:group style="position:absolute;left:4537;top:880;width:120;height:105" coordorigin="4537,880" coordsize="120,105">
              <v:shape style="position:absolute;left:4537;top:880;width:120;height:105" coordorigin="4537,880" coordsize="120,105" path="m4537,984l4657,984,4657,880,4537,880,4537,984xe" filled="true" fillcolor="#aa4643" stroked="false">
                <v:path arrowok="t"/>
                <v:fill type="solid"/>
              </v:shape>
            </v:group>
            <v:group style="position:absolute;left:4357;top:1924;width:120;height:105" coordorigin="4357,1924" coordsize="120,105">
              <v:shape style="position:absolute;left:4357;top:1924;width:120;height:105" coordorigin="4357,1924" coordsize="120,105" path="m4357,2029l4477,2029,4477,1924,4357,1924,4357,2029xe" filled="true" fillcolor="#88a44e" stroked="false">
                <v:path arrowok="t"/>
                <v:fill type="solid"/>
              </v:shape>
            </v:group>
            <v:group style="position:absolute;left:3459;top:298;width:105;height:120" coordorigin="3459,298" coordsize="105,120">
              <v:shape style="position:absolute;left:3459;top:298;width:105;height:120" coordorigin="3459,298" coordsize="105,120" path="m3459,418l3564,418,3564,298,3459,298,3459,418xe" filled="true" fillcolor="#4571a7" stroked="false">
                <v:path arrowok="t"/>
                <v:fill type="solid"/>
              </v:shape>
            </v:group>
            <v:group style="position:absolute;left:898;top:1760;width:105;height:105" coordorigin="898,1760" coordsize="105,105">
              <v:shape style="position:absolute;left:898;top:1760;width:105;height:105" coordorigin="898,1760" coordsize="105,105" path="m898,1865l1003,1865,1003,1760,898,1760,898,1865xe" filled="true" fillcolor="#70578f" stroked="false">
                <v:path arrowok="t"/>
                <v:fill type="solid"/>
              </v:shape>
            </v:group>
            <v:group style="position:absolute;left:973;top:955;width:105;height:120" coordorigin="973,955" coordsize="105,120">
              <v:shape style="position:absolute;left:973;top:955;width:105;height:120" coordorigin="973,955" coordsize="105,120" path="m973,1074l1078,1074,1078,955,973,955,973,1074xe" filled="true" fillcolor="#4197ae" stroked="false">
                <v:path arrowok="t"/>
                <v:fill type="solid"/>
              </v:shape>
            </v:group>
            <v:group style="position:absolute;left:1497;top:477;width:105;height:120" coordorigin="1497,477" coordsize="105,120">
              <v:shape style="position:absolute;left:1497;top:477;width:105;height:120" coordorigin="1497,477" coordsize="105,120" path="m1497,597l1602,597,1602,477,1497,477,1497,597xe" filled="true" fillcolor="#db843c" stroked="false">
                <v:path arrowok="t"/>
                <v:fill type="solid"/>
              </v:shape>
            </v:group>
            <v:group style="position:absolute;left:5870;top:761;width:120;height:120" coordorigin="5870,761" coordsize="120,120">
              <v:shape style="position:absolute;left:5870;top:761;width:120;height:120" coordorigin="5870,761" coordsize="120,120" path="m5870,880l5990,880,5990,761,5870,761,5870,880xe" filled="true" fillcolor="#4571a7" stroked="false">
                <v:path arrowok="t"/>
                <v:fill type="solid"/>
              </v:shape>
            </v:group>
            <v:group style="position:absolute;left:5870;top:984;width:120;height:120" coordorigin="5870,984" coordsize="120,120">
              <v:shape style="position:absolute;left:5870;top:984;width:120;height:120" coordorigin="5870,984" coordsize="120,120" path="m5870,1104l5990,1104,5990,984,5870,984,5870,1104xe" filled="true" fillcolor="#aa4643" stroked="false">
                <v:path arrowok="t"/>
                <v:fill type="solid"/>
              </v:shape>
            </v:group>
            <v:group style="position:absolute;left:5870;top:1208;width:120;height:120" coordorigin="5870,1208" coordsize="120,120">
              <v:shape style="position:absolute;left:5870;top:1208;width:120;height:120" coordorigin="5870,1208" coordsize="120,120" path="m5870,1328l5990,1328,5990,1208,5870,1208,5870,1328xe" filled="true" fillcolor="#88a44e" stroked="false">
                <v:path arrowok="t"/>
                <v:fill type="solid"/>
              </v:shape>
            </v:group>
            <v:group style="position:absolute;left:5870;top:1432;width:120;height:120" coordorigin="5870,1432" coordsize="120,120">
              <v:shape style="position:absolute;left:5870;top:1432;width:120;height:120" coordorigin="5870,1432" coordsize="120,120" path="m5870,1551l5990,1551,5990,1432,5870,1432,5870,1551xe" filled="true" fillcolor="#70578f" stroked="false">
                <v:path arrowok="t"/>
                <v:fill type="solid"/>
              </v:shape>
            </v:group>
            <v:group style="position:absolute;left:5870;top:1671;width:120;height:105" coordorigin="5870,1671" coordsize="120,105">
              <v:shape style="position:absolute;left:5870;top:1671;width:120;height:105" coordorigin="5870,1671" coordsize="120,105" path="m5870,1775l5990,1775,5990,1671,5870,1671,5870,1775xe" filled="true" fillcolor="#4197ae" stroked="false">
                <v:path arrowok="t"/>
                <v:fill type="solid"/>
              </v:shape>
            </v:group>
            <v:group style="position:absolute;left:5870;top:1894;width:120;height:105" coordorigin="5870,1894" coordsize="120,105">
              <v:shape style="position:absolute;left:5870;top:1894;width:120;height:105" coordorigin="5870,1894" coordsize="120,105" path="m5870,1999l5990,1999,5990,1894,5870,1894,5870,1999xe" filled="true" fillcolor="#db843c" stroked="false">
                <v:path arrowok="t"/>
                <v:fill type="solid"/>
              </v:shape>
            </v:group>
            <v:group style="position:absolute;left:7;top:7;width:8071;height:2342" coordorigin="7,7" coordsize="8071,2342">
              <v:shape style="position:absolute;left:7;top:7;width:8071;height:2342" coordorigin="7,7" coordsize="8071,2342" path="m7,2349l8078,2349,8078,7,7,7,7,2349xe" filled="false" stroked="true" strokeweight=".746787pt" strokecolor="#858585">
                <v:path arrowok="t"/>
              </v:shape>
              <v:shape style="position:absolute;left:44;top:66;width:2308;height:603" type="#_x0000_t202" filled="false" stroked="false">
                <v:textbox inset="0,0,0,0">
                  <w:txbxContent>
                    <w:p>
                      <w:pPr>
                        <w:spacing w:line="225" w:lineRule="exact" w:before="0"/>
                        <w:ind w:left="0" w:right="49" w:firstLine="0"/>
                        <w:jc w:val="right"/>
                        <w:rPr>
                          <w:rFonts w:ascii="宋体" w:hAnsi="宋体" w:cs="宋体" w:eastAsia="宋体" w:hint="default"/>
                          <w:sz w:val="22"/>
                          <w:szCs w:val="22"/>
                        </w:rPr>
                      </w:pPr>
                      <w:r>
                        <w:rPr>
                          <w:rFonts w:ascii="宋体" w:hAnsi="宋体" w:cs="宋体" w:eastAsia="宋体" w:hint="default"/>
                          <w:spacing w:val="-2"/>
                          <w:sz w:val="22"/>
                          <w:szCs w:val="22"/>
                        </w:rPr>
                        <w:t>安徽国润员工专业构成</w:t>
                      </w:r>
                      <w:r>
                        <w:rPr>
                          <w:rFonts w:ascii="宋体" w:hAnsi="宋体" w:cs="宋体" w:eastAsia="宋体" w:hint="default"/>
                          <w:sz w:val="22"/>
                          <w:szCs w:val="22"/>
                        </w:rPr>
                      </w:r>
                    </w:p>
                    <w:p>
                      <w:pPr>
                        <w:spacing w:line="230" w:lineRule="exact" w:before="147"/>
                        <w:ind w:left="0" w:right="0" w:firstLine="0"/>
                        <w:jc w:val="right"/>
                        <w:rPr>
                          <w:rFonts w:ascii="Calibri" w:hAnsi="Calibri" w:cs="Calibri" w:eastAsia="Calibri" w:hint="default"/>
                          <w:sz w:val="19"/>
                          <w:szCs w:val="19"/>
                        </w:rPr>
                      </w:pPr>
                      <w:r>
                        <w:rPr>
                          <w:rFonts w:ascii="Calibri"/>
                          <w:w w:val="105"/>
                          <w:sz w:val="19"/>
                        </w:rPr>
                        <w:t>28,</w:t>
                      </w:r>
                      <w:r>
                        <w:rPr>
                          <w:rFonts w:ascii="Calibri"/>
                          <w:spacing w:val="-9"/>
                          <w:w w:val="105"/>
                          <w:sz w:val="19"/>
                        </w:rPr>
                        <w:t> </w:t>
                      </w:r>
                      <w:r>
                        <w:rPr>
                          <w:rFonts w:ascii="Calibri"/>
                          <w:w w:val="105"/>
                          <w:sz w:val="19"/>
                        </w:rPr>
                        <w:t>17%</w:t>
                      </w:r>
                      <w:r>
                        <w:rPr>
                          <w:rFonts w:ascii="Calibri"/>
                          <w:sz w:val="19"/>
                        </w:rPr>
                      </w:r>
                    </w:p>
                  </w:txbxContent>
                </v:textbox>
                <w10:wrap type="none"/>
              </v:shape>
              <v:shape style="position:absolute;left:3689;top:293;width:63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21,</w:t>
                      </w:r>
                      <w:r>
                        <w:rPr>
                          <w:rFonts w:ascii="Calibri"/>
                          <w:spacing w:val="-9"/>
                          <w:w w:val="105"/>
                          <w:sz w:val="19"/>
                        </w:rPr>
                        <w:t> </w:t>
                      </w:r>
                      <w:r>
                        <w:rPr>
                          <w:rFonts w:ascii="Calibri"/>
                          <w:w w:val="105"/>
                          <w:sz w:val="19"/>
                        </w:rPr>
                        <w:t>13%</w:t>
                      </w:r>
                      <w:r>
                        <w:rPr>
                          <w:rFonts w:ascii="Calibri"/>
                          <w:sz w:val="19"/>
                        </w:rPr>
                      </w:r>
                    </w:p>
                  </w:txbxContent>
                </v:textbox>
                <w10:wrap type="none"/>
              </v:shape>
              <v:shape style="position:absolute;left:1189;top:956;width:635;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16,</w:t>
                      </w:r>
                      <w:r>
                        <w:rPr>
                          <w:rFonts w:ascii="Calibri"/>
                          <w:spacing w:val="-12"/>
                          <w:w w:val="105"/>
                          <w:sz w:val="19"/>
                        </w:rPr>
                        <w:t> </w:t>
                      </w:r>
                      <w:r>
                        <w:rPr>
                          <w:rFonts w:ascii="Calibri"/>
                          <w:w w:val="105"/>
                          <w:sz w:val="19"/>
                        </w:rPr>
                        <w:t>10%</w:t>
                      </w:r>
                      <w:r>
                        <w:rPr>
                          <w:rFonts w:ascii="Calibri"/>
                          <w:sz w:val="19"/>
                        </w:rPr>
                      </w:r>
                    </w:p>
                  </w:txbxContent>
                </v:textbox>
                <w10:wrap type="none"/>
              </v:shape>
              <v:shape style="position:absolute;left:4776;top:874;width:637;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31,</w:t>
                      </w:r>
                      <w:r>
                        <w:rPr>
                          <w:rFonts w:ascii="Calibri"/>
                          <w:spacing w:val="-9"/>
                          <w:w w:val="105"/>
                          <w:sz w:val="19"/>
                        </w:rPr>
                        <w:t> </w:t>
                      </w:r>
                      <w:r>
                        <w:rPr>
                          <w:rFonts w:ascii="Calibri"/>
                          <w:w w:val="105"/>
                          <w:sz w:val="19"/>
                        </w:rPr>
                        <w:t>19%</w:t>
                      </w:r>
                      <w:r>
                        <w:rPr>
                          <w:rFonts w:ascii="Calibri"/>
                          <w:sz w:val="19"/>
                        </w:rPr>
                      </w:r>
                    </w:p>
                  </w:txbxContent>
                </v:textbox>
                <w10:wrap type="none"/>
              </v:shape>
              <v:shape style="position:absolute;left:1118;top:1766;width:63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38,</w:t>
                      </w:r>
                      <w:r>
                        <w:rPr>
                          <w:rFonts w:ascii="Calibri"/>
                          <w:spacing w:val="-9"/>
                          <w:w w:val="105"/>
                          <w:sz w:val="19"/>
                        </w:rPr>
                        <w:t> </w:t>
                      </w:r>
                      <w:r>
                        <w:rPr>
                          <w:rFonts w:ascii="Calibri"/>
                          <w:w w:val="105"/>
                          <w:sz w:val="19"/>
                        </w:rPr>
                        <w:t>24%</w:t>
                      </w:r>
                      <w:r>
                        <w:rPr>
                          <w:rFonts w:ascii="Calibri"/>
                          <w:sz w:val="19"/>
                        </w:rPr>
                      </w:r>
                    </w:p>
                  </w:txbxContent>
                </v:textbox>
                <w10:wrap type="none"/>
              </v:shape>
              <v:shape style="position:absolute;left:4597;top:1928;width:637;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27,</w:t>
                      </w:r>
                      <w:r>
                        <w:rPr>
                          <w:rFonts w:ascii="Calibri"/>
                          <w:spacing w:val="-10"/>
                          <w:w w:val="105"/>
                          <w:sz w:val="19"/>
                        </w:rPr>
                        <w:t> </w:t>
                      </w:r>
                      <w:r>
                        <w:rPr>
                          <w:rFonts w:ascii="Calibri"/>
                          <w:w w:val="105"/>
                          <w:sz w:val="19"/>
                        </w:rPr>
                        <w:t>17%</w:t>
                      </w:r>
                      <w:r>
                        <w:rPr>
                          <w:rFonts w:ascii="Calibri"/>
                          <w:sz w:val="19"/>
                        </w:rPr>
                      </w:r>
                    </w:p>
                  </w:txbxContent>
                </v:textbox>
                <w10:wrap type="none"/>
              </v:shape>
              <v:shape style="position:absolute;left:6054;top:686;width:1171;height:1336" type="#_x0000_t202" filled="false" stroked="false">
                <v:textbox inset="0,0,0,0">
                  <w:txbxContent>
                    <w:p>
                      <w:pPr>
                        <w:spacing w:line="185" w:lineRule="exact" w:before="0"/>
                        <w:ind w:left="0" w:right="0" w:firstLine="0"/>
                        <w:jc w:val="left"/>
                        <w:rPr>
                          <w:rFonts w:ascii="宋体" w:hAnsi="宋体" w:cs="宋体" w:eastAsia="宋体" w:hint="default"/>
                          <w:sz w:val="19"/>
                          <w:szCs w:val="19"/>
                        </w:rPr>
                      </w:pPr>
                      <w:r>
                        <w:rPr>
                          <w:rFonts w:ascii="宋体" w:hAnsi="宋体" w:cs="宋体" w:eastAsia="宋体" w:hint="default"/>
                          <w:w w:val="105"/>
                          <w:sz w:val="19"/>
                          <w:szCs w:val="19"/>
                        </w:rPr>
                        <w:t>营销人员</w:t>
                      </w:r>
                      <w:r>
                        <w:rPr>
                          <w:rFonts w:ascii="宋体" w:hAnsi="宋体" w:cs="宋体" w:eastAsia="宋体" w:hint="default"/>
                          <w:sz w:val="19"/>
                          <w:szCs w:val="19"/>
                        </w:rPr>
                      </w:r>
                    </w:p>
                    <w:p>
                      <w:pPr>
                        <w:spacing w:line="220" w:lineRule="auto" w:before="7"/>
                        <w:ind w:left="0" w:right="0" w:firstLine="0"/>
                        <w:jc w:val="left"/>
                        <w:rPr>
                          <w:rFonts w:ascii="宋体" w:hAnsi="宋体" w:cs="宋体" w:eastAsia="宋体" w:hint="default"/>
                          <w:sz w:val="19"/>
                          <w:szCs w:val="19"/>
                        </w:rPr>
                      </w:pPr>
                      <w:r>
                        <w:rPr>
                          <w:rFonts w:ascii="宋体" w:hAnsi="宋体" w:cs="宋体" w:eastAsia="宋体" w:hint="default"/>
                          <w:w w:val="105"/>
                          <w:sz w:val="19"/>
                          <w:szCs w:val="19"/>
                        </w:rPr>
                        <w:t>保安人员</w:t>
                      </w:r>
                      <w:r>
                        <w:rPr>
                          <w:rFonts w:ascii="宋体" w:hAnsi="宋体" w:cs="宋体" w:eastAsia="宋体" w:hint="default"/>
                          <w:spacing w:val="-2"/>
                          <w:w w:val="103"/>
                          <w:sz w:val="19"/>
                          <w:szCs w:val="19"/>
                        </w:rPr>
                        <w:t> </w:t>
                      </w:r>
                      <w:r>
                        <w:rPr>
                          <w:rFonts w:ascii="宋体" w:hAnsi="宋体" w:cs="宋体" w:eastAsia="宋体" w:hint="default"/>
                          <w:spacing w:val="-2"/>
                          <w:sz w:val="19"/>
                          <w:szCs w:val="19"/>
                        </w:rPr>
                        <w:t>技术物业人员</w:t>
                      </w:r>
                      <w:r>
                        <w:rPr>
                          <w:rFonts w:ascii="宋体" w:hAnsi="宋体" w:cs="宋体" w:eastAsia="宋体" w:hint="default"/>
                          <w:spacing w:val="-52"/>
                          <w:sz w:val="19"/>
                          <w:szCs w:val="19"/>
                        </w:rPr>
                        <w:t> </w:t>
                      </w:r>
                      <w:r>
                        <w:rPr>
                          <w:rFonts w:ascii="宋体" w:hAnsi="宋体" w:cs="宋体" w:eastAsia="宋体" w:hint="default"/>
                          <w:spacing w:val="-52"/>
                          <w:sz w:val="19"/>
                          <w:szCs w:val="19"/>
                        </w:rPr>
                      </w:r>
                      <w:r>
                        <w:rPr>
                          <w:rFonts w:ascii="宋体" w:hAnsi="宋体" w:cs="宋体" w:eastAsia="宋体" w:hint="default"/>
                          <w:spacing w:val="-2"/>
                          <w:w w:val="105"/>
                          <w:sz w:val="19"/>
                          <w:szCs w:val="19"/>
                        </w:rPr>
                        <w:t>收银员</w:t>
                      </w:r>
                      <w:r>
                        <w:rPr>
                          <w:rFonts w:ascii="宋体" w:hAnsi="宋体" w:cs="宋体" w:eastAsia="宋体" w:hint="default"/>
                          <w:spacing w:val="-2"/>
                          <w:w w:val="103"/>
                          <w:sz w:val="19"/>
                          <w:szCs w:val="19"/>
                        </w:rPr>
                        <w:t> </w:t>
                      </w:r>
                      <w:r>
                        <w:rPr>
                          <w:rFonts w:ascii="宋体" w:hAnsi="宋体" w:cs="宋体" w:eastAsia="宋体" w:hint="default"/>
                          <w:w w:val="105"/>
                          <w:sz w:val="19"/>
                          <w:szCs w:val="19"/>
                        </w:rPr>
                        <w:t>财务人员</w:t>
                      </w:r>
                      <w:r>
                        <w:rPr>
                          <w:rFonts w:ascii="宋体" w:hAnsi="宋体" w:cs="宋体" w:eastAsia="宋体" w:hint="default"/>
                          <w:spacing w:val="-2"/>
                          <w:w w:val="103"/>
                          <w:sz w:val="19"/>
                          <w:szCs w:val="19"/>
                        </w:rPr>
                        <w:t> </w:t>
                      </w:r>
                      <w:r>
                        <w:rPr>
                          <w:rFonts w:ascii="宋体" w:hAnsi="宋体" w:cs="宋体" w:eastAsia="宋体" w:hint="default"/>
                          <w:w w:val="105"/>
                          <w:sz w:val="19"/>
                          <w:szCs w:val="19"/>
                        </w:rPr>
                        <w:t>行政人员</w:t>
                      </w:r>
                      <w:r>
                        <w:rPr>
                          <w:rFonts w:ascii="宋体" w:hAnsi="宋体" w:cs="宋体" w:eastAsia="宋体" w:hint="default"/>
                          <w:sz w:val="19"/>
                          <w:szCs w:val="19"/>
                        </w:rPr>
                      </w:r>
                    </w:p>
                  </w:txbxContent>
                </v:textbox>
                <w10:wrap type="none"/>
              </v:shape>
            </v:group>
          </v:group>
        </w:pict>
      </w:r>
      <w:r>
        <w:rPr>
          <w:rFonts w:ascii="宋体" w:hAnsi="宋体" w:cs="宋体" w:eastAsia="宋体" w:hint="default"/>
          <w:position w:val="-46"/>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5"/>
        <w:ind w:left="564" w:right="1066"/>
        <w:jc w:val="left"/>
      </w:pPr>
      <w:r>
        <w:rPr/>
        <w:t>三、</w:t>
      </w:r>
      <w:r>
        <w:rPr>
          <w:spacing w:val="-2"/>
        </w:rPr>
        <w:t> </w:t>
      </w:r>
      <w:r>
        <w:rPr/>
        <w:t>公司员工的教育程度：本科及以上</w:t>
      </w:r>
      <w:r>
        <w:rPr>
          <w:spacing w:val="-45"/>
        </w:rPr>
        <w:t> </w:t>
      </w:r>
      <w:r>
        <w:rPr>
          <w:rFonts w:ascii="宋体" w:hAnsi="宋体" w:cs="宋体" w:eastAsia="宋体" w:hint="default"/>
        </w:rPr>
        <w:t>197</w:t>
      </w:r>
      <w:r>
        <w:rPr>
          <w:rFonts w:ascii="宋体" w:hAnsi="宋体" w:cs="宋体" w:eastAsia="宋体" w:hint="default"/>
          <w:spacing w:val="-45"/>
        </w:rPr>
        <w:t> </w:t>
      </w:r>
      <w:r>
        <w:rPr/>
        <w:t>人，大专</w:t>
      </w:r>
      <w:r>
        <w:rPr>
          <w:spacing w:val="-45"/>
        </w:rPr>
        <w:t> </w:t>
      </w:r>
      <w:r>
        <w:rPr>
          <w:rFonts w:ascii="宋体" w:hAnsi="宋体" w:cs="宋体" w:eastAsia="宋体" w:hint="default"/>
        </w:rPr>
        <w:t>599</w:t>
      </w:r>
      <w:r>
        <w:rPr>
          <w:rFonts w:ascii="宋体" w:hAnsi="宋体" w:cs="宋体" w:eastAsia="宋体" w:hint="default"/>
          <w:spacing w:val="-46"/>
        </w:rPr>
        <w:t> </w:t>
      </w:r>
      <w:r>
        <w:rPr/>
        <w:t>人，中专</w:t>
      </w:r>
      <w:r>
        <w:rPr>
          <w:spacing w:val="-45"/>
        </w:rPr>
        <w:t> </w:t>
      </w:r>
      <w:r>
        <w:rPr>
          <w:rFonts w:ascii="宋体" w:hAnsi="宋体" w:cs="宋体" w:eastAsia="宋体" w:hint="default"/>
        </w:rPr>
        <w:t>138</w:t>
      </w:r>
      <w:r>
        <w:rPr>
          <w:rFonts w:ascii="宋体" w:hAnsi="宋体" w:cs="宋体" w:eastAsia="宋体" w:hint="default"/>
          <w:spacing w:val="-45"/>
        </w:rPr>
        <w:t> </w:t>
      </w:r>
      <w:r>
        <w:rPr/>
        <w:t>人，高中</w:t>
      </w:r>
      <w:r>
        <w:rPr>
          <w:spacing w:val="-46"/>
        </w:rPr>
        <w:t> </w:t>
      </w:r>
      <w:r>
        <w:rPr>
          <w:rFonts w:ascii="宋体" w:hAnsi="宋体" w:cs="宋体" w:eastAsia="宋体" w:hint="default"/>
        </w:rPr>
        <w:t>731</w:t>
      </w:r>
      <w:r>
        <w:rPr>
          <w:rFonts w:ascii="宋体" w:hAnsi="宋体" w:cs="宋体" w:eastAsia="宋体" w:hint="default"/>
          <w:spacing w:val="-45"/>
        </w:rPr>
        <w:t> </w:t>
      </w:r>
      <w:r>
        <w:rPr/>
        <w:t>人，高中以</w:t>
      </w:r>
    </w:p>
    <w:p>
      <w:pPr>
        <w:pStyle w:val="BodyText"/>
        <w:spacing w:line="240" w:lineRule="auto" w:before="37"/>
        <w:ind w:left="144" w:right="1066"/>
        <w:jc w:val="left"/>
      </w:pPr>
      <w:r>
        <w:rPr/>
        <w:t>下</w:t>
      </w:r>
      <w:r>
        <w:rPr>
          <w:spacing w:val="-54"/>
        </w:rPr>
        <w:t> </w:t>
      </w:r>
      <w:r>
        <w:rPr>
          <w:rFonts w:ascii="宋体" w:hAnsi="宋体" w:cs="宋体" w:eastAsia="宋体" w:hint="default"/>
        </w:rPr>
        <w:t>171</w:t>
      </w:r>
      <w:r>
        <w:rPr>
          <w:rFonts w:ascii="宋体" w:hAnsi="宋体" w:cs="宋体" w:eastAsia="宋体" w:hint="default"/>
          <w:spacing w:val="-53"/>
        </w:rPr>
        <w:t> </w:t>
      </w:r>
      <w:r>
        <w:rPr/>
        <w:t>人。其中母公司和主要子公司的员工教育程度柱状图如下。</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3" w:footer="1219" w:top="1140" w:bottom="1400" w:left="1160" w:right="0"/>
        </w:sectPr>
      </w:pPr>
    </w:p>
    <w:p>
      <w:pPr>
        <w:spacing w:before="128"/>
        <w:ind w:left="1016" w:right="-12" w:firstLine="0"/>
        <w:jc w:val="left"/>
        <w:rPr>
          <w:rFonts w:ascii="宋体" w:hAnsi="宋体" w:cs="宋体" w:eastAsia="宋体" w:hint="default"/>
          <w:sz w:val="18"/>
          <w:szCs w:val="18"/>
        </w:rPr>
      </w:pPr>
      <w:r>
        <w:rPr>
          <w:rFonts w:ascii="宋体" w:hAnsi="宋体" w:cs="宋体" w:eastAsia="宋体" w:hint="default"/>
          <w:sz w:val="18"/>
          <w:szCs w:val="18"/>
        </w:rPr>
        <w:t>母公司员工教育程度分布</w:t>
      </w:r>
    </w:p>
    <w:p>
      <w:pPr>
        <w:spacing w:before="45"/>
        <w:ind w:left="101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秦皇岛茂业员工教育程度分布</w:t>
      </w:r>
    </w:p>
    <w:p>
      <w:pPr>
        <w:spacing w:after="0"/>
        <w:jc w:val="left"/>
        <w:rPr>
          <w:rFonts w:ascii="宋体" w:hAnsi="宋体" w:cs="宋体" w:eastAsia="宋体" w:hint="default"/>
          <w:sz w:val="18"/>
          <w:szCs w:val="18"/>
        </w:rPr>
        <w:sectPr>
          <w:type w:val="continuous"/>
          <w:pgSz w:w="11910" w:h="16840"/>
          <w:pgMar w:top="1580" w:bottom="760" w:left="1160" w:right="0"/>
          <w:cols w:num="2" w:equalWidth="0">
            <w:col w:w="3005" w:space="1487"/>
            <w:col w:w="6258"/>
          </w:cols>
        </w:sectPr>
      </w:pPr>
    </w:p>
    <w:p>
      <w:pPr>
        <w:spacing w:line="240" w:lineRule="auto" w:before="9"/>
        <w:rPr>
          <w:rFonts w:ascii="宋体" w:hAnsi="宋体" w:cs="宋体" w:eastAsia="宋体" w:hint="default"/>
          <w:sz w:val="9"/>
          <w:szCs w:val="9"/>
        </w:rPr>
      </w:pPr>
    </w:p>
    <w:p>
      <w:pPr>
        <w:tabs>
          <w:tab w:pos="5317" w:val="left" w:leader="none"/>
        </w:tabs>
        <w:spacing w:line="1299" w:lineRule="exact"/>
        <w:ind w:left="652" w:right="0" w:firstLine="0"/>
        <w:rPr>
          <w:rFonts w:ascii="宋体" w:hAnsi="宋体" w:cs="宋体" w:eastAsia="宋体" w:hint="default"/>
          <w:sz w:val="20"/>
          <w:szCs w:val="20"/>
        </w:rPr>
      </w:pPr>
      <w:r>
        <w:rPr>
          <w:rFonts w:ascii="宋体"/>
          <w:position w:val="-10"/>
          <w:sz w:val="20"/>
        </w:rPr>
        <w:pict>
          <v:group style="width:113.55pt;height:53.75pt;mso-position-horizontal-relative:char;mso-position-vertical-relative:line" coordorigin="0,0" coordsize="2271,1075">
            <v:shape style="position:absolute;left:0;top:0;width:2271;height:1074" type="#_x0000_t75" stroked="false">
              <v:imagedata r:id="rId33" o:title=""/>
            </v:shape>
            <v:shape style="position:absolute;left:1351;top:39;width:316;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spacing w:val="4"/>
                        <w:sz w:val="19"/>
                      </w:rPr>
                      <w:t>405</w:t>
                    </w:r>
                    <w:r>
                      <w:rPr>
                        <w:rFonts w:ascii="Calibri"/>
                        <w:sz w:val="19"/>
                      </w:rPr>
                    </w:r>
                  </w:p>
                </w:txbxContent>
              </v:textbox>
              <w10:wrap type="none"/>
            </v:shape>
            <v:shape style="position:absolute;left:384;top:231;width:447;height:502" type="#_x0000_t202" filled="false" stroked="false">
              <v:textbox inset="0,0,0,0">
                <w:txbxContent>
                  <w:p>
                    <w:pPr>
                      <w:spacing w:line="198" w:lineRule="exact" w:before="0"/>
                      <w:ind w:left="129" w:right="0" w:firstLine="0"/>
                      <w:jc w:val="left"/>
                      <w:rPr>
                        <w:rFonts w:ascii="Calibri" w:hAnsi="Calibri" w:cs="Calibri" w:eastAsia="Calibri" w:hint="default"/>
                        <w:sz w:val="19"/>
                        <w:szCs w:val="19"/>
                      </w:rPr>
                    </w:pPr>
                    <w:r>
                      <w:rPr>
                        <w:rFonts w:ascii="Calibri"/>
                        <w:spacing w:val="5"/>
                        <w:sz w:val="19"/>
                      </w:rPr>
                      <w:t>296</w:t>
                    </w:r>
                    <w:r>
                      <w:rPr>
                        <w:rFonts w:ascii="Calibri"/>
                        <w:sz w:val="19"/>
                      </w:rPr>
                    </w:r>
                  </w:p>
                  <w:p>
                    <w:pPr>
                      <w:spacing w:line="230" w:lineRule="exact" w:before="74"/>
                      <w:ind w:left="0" w:right="0" w:firstLine="0"/>
                      <w:jc w:val="left"/>
                      <w:rPr>
                        <w:rFonts w:ascii="Calibri" w:hAnsi="Calibri" w:cs="Calibri" w:eastAsia="Calibri" w:hint="default"/>
                        <w:sz w:val="19"/>
                        <w:szCs w:val="19"/>
                      </w:rPr>
                    </w:pPr>
                    <w:r>
                      <w:rPr>
                        <w:rFonts w:ascii="Calibri"/>
                        <w:spacing w:val="3"/>
                        <w:w w:val="105"/>
                        <w:sz w:val="19"/>
                      </w:rPr>
                      <w:t>88</w:t>
                    </w:r>
                    <w:r>
                      <w:rPr>
                        <w:rFonts w:ascii="Calibri"/>
                        <w:sz w:val="19"/>
                      </w:rPr>
                    </w:r>
                  </w:p>
                </w:txbxContent>
              </v:textbox>
              <w10:wrap type="none"/>
            </v:shape>
            <v:shape style="position:absolute;left:1004;top:503;width:212;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spacing w:val="5"/>
                        <w:sz w:val="19"/>
                      </w:rPr>
                      <w:t>52</w:t>
                    </w:r>
                    <w:r>
                      <w:rPr>
                        <w:rFonts w:ascii="Calibri"/>
                        <w:sz w:val="19"/>
                      </w:rPr>
                    </w:r>
                  </w:p>
                </w:txbxContent>
              </v:textbox>
              <w10:wrap type="none"/>
            </v:shape>
            <v:shape style="position:absolute;left:1924;top:540;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78</w:t>
                    </w:r>
                    <w:r>
                      <w:rPr>
                        <w:rFonts w:ascii="Calibri"/>
                        <w:sz w:val="19"/>
                      </w:rPr>
                    </w:r>
                  </w:p>
                </w:txbxContent>
              </v:textbox>
              <w10:wrap type="none"/>
            </v:shape>
          </v:group>
        </w:pict>
      </w:r>
      <w:r>
        <w:rPr>
          <w:rFonts w:ascii="宋体"/>
          <w:position w:val="-10"/>
          <w:sz w:val="20"/>
        </w:rPr>
      </w:r>
      <w:r>
        <w:rPr>
          <w:rFonts w:ascii="宋体"/>
          <w:position w:val="-10"/>
          <w:sz w:val="20"/>
        </w:rPr>
        <w:tab/>
      </w:r>
      <w:r>
        <w:rPr>
          <w:rFonts w:ascii="宋体"/>
          <w:position w:val="-25"/>
          <w:sz w:val="20"/>
        </w:rPr>
        <w:pict>
          <v:group style="width:119.55pt;height:65pt;mso-position-horizontal-relative:char;mso-position-vertical-relative:line" coordorigin="0,0" coordsize="2391,1300">
            <v:shape style="position:absolute;left:0;top:0;width:2390;height:1300" type="#_x0000_t75" stroked="false">
              <v:imagedata r:id="rId34" o:title=""/>
            </v:shape>
            <v:shape style="position:absolute;left:1546;top:176;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74</w:t>
                    </w:r>
                    <w:r>
                      <w:rPr>
                        <w:rFonts w:ascii="Calibri"/>
                        <w:sz w:val="19"/>
                      </w:rPr>
                    </w:r>
                  </w:p>
                </w:txbxContent>
              </v:textbox>
              <w10:wrap type="none"/>
            </v:shape>
            <v:shape style="position:absolute;left:704;top:433;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44</w:t>
                    </w:r>
                    <w:r>
                      <w:rPr>
                        <w:rFonts w:ascii="Calibri"/>
                        <w:sz w:val="19"/>
                      </w:rPr>
                    </w:r>
                  </w:p>
                </w:txbxContent>
              </v:textbox>
              <w10:wrap type="none"/>
            </v:shape>
            <v:shape style="position:absolute;left:417;top:736;width:1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2"/>
                        <w:sz w:val="19"/>
                      </w:rPr>
                      <w:t>5</w:t>
                    </w:r>
                    <w:r>
                      <w:rPr>
                        <w:rFonts w:ascii="Calibri"/>
                        <w:sz w:val="19"/>
                      </w:rPr>
                    </w:r>
                  </w:p>
                </w:txbxContent>
              </v:textbox>
              <w10:wrap type="none"/>
            </v:shape>
            <v:shape style="position:absolute;left:1116;top:643;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13</w:t>
                    </w:r>
                    <w:r>
                      <w:rPr>
                        <w:rFonts w:ascii="Calibri"/>
                        <w:sz w:val="19"/>
                      </w:rPr>
                    </w:r>
                  </w:p>
                </w:txbxContent>
              </v:textbox>
              <w10:wrap type="none"/>
            </v:shape>
            <v:shape style="position:absolute;left:2109;top:804;width:1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2"/>
                        <w:sz w:val="19"/>
                      </w:rPr>
                      <w:t>4</w:t>
                    </w:r>
                    <w:r>
                      <w:rPr>
                        <w:rFonts w:ascii="Calibri"/>
                        <w:sz w:val="19"/>
                      </w:rPr>
                    </w:r>
                  </w:p>
                </w:txbxContent>
              </v:textbox>
              <w10:wrap type="none"/>
            </v:shape>
          </v:group>
        </w:pict>
      </w:r>
      <w:r>
        <w:rPr>
          <w:rFonts w:ascii="宋体"/>
          <w:position w:val="-25"/>
          <w:sz w:val="20"/>
        </w:rPr>
      </w:r>
    </w:p>
    <w:p>
      <w:pPr>
        <w:spacing w:after="0" w:line="1299" w:lineRule="exact"/>
        <w:rPr>
          <w:rFonts w:ascii="宋体" w:hAnsi="宋体" w:cs="宋体" w:eastAsia="宋体" w:hint="default"/>
          <w:sz w:val="20"/>
          <w:szCs w:val="20"/>
        </w:rPr>
        <w:sectPr>
          <w:type w:val="continuous"/>
          <w:pgSz w:w="11910" w:h="16840"/>
          <w:pgMar w:top="1580" w:bottom="760" w:left="1160" w:right="0"/>
        </w:sectPr>
      </w:pPr>
    </w:p>
    <w:p>
      <w:pPr>
        <w:spacing w:line="268" w:lineRule="exact" w:before="61"/>
        <w:ind w:left="1288" w:right="-16" w:firstLine="0"/>
        <w:jc w:val="left"/>
        <w:rPr>
          <w:rFonts w:ascii="Calibri" w:hAnsi="Calibri" w:cs="Calibri" w:eastAsia="Calibri" w:hint="default"/>
          <w:sz w:val="19"/>
          <w:szCs w:val="19"/>
        </w:rPr>
      </w:pPr>
      <w:r>
        <w:rPr/>
        <w:pict>
          <v:group style="position:absolute;margin-left:113.779625pt;margin-top:9.59581pt;width:6pt;height:5.25pt;mso-position-horizontal-relative:page;mso-position-vertical-relative:paragraph;z-index:3808" coordorigin="2276,192" coordsize="120,105">
            <v:shape style="position:absolute;left:2276;top:192;width:120;height:105" coordorigin="2276,192" coordsize="120,105" path="m2276,296l2395,296,2395,192,2276,192,2276,296xe" filled="true" fillcolor="#4f81bc" stroked="false">
              <v:path arrowok="t"/>
              <v:fill type="solid"/>
            </v:shape>
            <w10:wrap type="none"/>
          </v:group>
        </w:pict>
      </w:r>
      <w:r>
        <w:rPr>
          <w:rFonts w:ascii="宋体" w:hAnsi="宋体" w:cs="宋体" w:eastAsia="宋体" w:hint="default"/>
          <w:w w:val="105"/>
          <w:sz w:val="19"/>
          <w:szCs w:val="19"/>
        </w:rPr>
        <w:t>本科及以上</w:t>
      </w:r>
      <w:r>
        <w:rPr>
          <w:rFonts w:ascii="宋体" w:hAnsi="宋体" w:cs="宋体" w:eastAsia="宋体" w:hint="default"/>
          <w:spacing w:val="-67"/>
          <w:w w:val="105"/>
          <w:sz w:val="19"/>
          <w:szCs w:val="19"/>
        </w:rPr>
        <w:t> </w:t>
      </w:r>
      <w:r>
        <w:rPr>
          <w:rFonts w:ascii="Calibri" w:hAnsi="Calibri" w:cs="Calibri" w:eastAsia="Calibri" w:hint="default"/>
          <w:spacing w:val="2"/>
          <w:w w:val="105"/>
          <w:sz w:val="19"/>
          <w:szCs w:val="19"/>
        </w:rPr>
        <w:t>9.60%</w:t>
      </w:r>
      <w:r>
        <w:rPr>
          <w:rFonts w:ascii="Calibri" w:hAnsi="Calibri" w:cs="Calibri" w:eastAsia="Calibri" w:hint="default"/>
          <w:spacing w:val="2"/>
          <w:sz w:val="19"/>
          <w:szCs w:val="19"/>
        </w:rPr>
      </w:r>
    </w:p>
    <w:p>
      <w:pPr>
        <w:spacing w:line="264" w:lineRule="exact" w:before="0"/>
        <w:ind w:left="1288" w:right="-16" w:firstLine="0"/>
        <w:jc w:val="left"/>
        <w:rPr>
          <w:rFonts w:ascii="Calibri" w:hAnsi="Calibri" w:cs="Calibri" w:eastAsia="Calibri" w:hint="default"/>
          <w:sz w:val="19"/>
          <w:szCs w:val="19"/>
        </w:rPr>
      </w:pPr>
      <w:r>
        <w:rPr/>
        <w:pict>
          <v:group style="position:absolute;margin-left:113.779625pt;margin-top:5.80128pt;width:6pt;height:5.25pt;mso-position-horizontal-relative:page;mso-position-vertical-relative:paragraph;z-index:3832" coordorigin="2276,116" coordsize="120,105">
            <v:shape style="position:absolute;left:2276;top:116;width:120;height:105" coordorigin="2276,116" coordsize="120,105" path="m2276,220l2395,220,2395,116,2276,116,2276,220xe" filled="true" fillcolor="#c0504d" stroked="false">
              <v:path arrowok="t"/>
              <v:fill type="solid"/>
            </v:shape>
            <w10:wrap type="none"/>
          </v:group>
        </w:pict>
      </w:r>
      <w:r>
        <w:rPr>
          <w:rFonts w:ascii="宋体" w:hAnsi="宋体" w:cs="宋体" w:eastAsia="宋体" w:hint="default"/>
          <w:w w:val="105"/>
          <w:sz w:val="19"/>
          <w:szCs w:val="19"/>
        </w:rPr>
        <w:t>大专</w:t>
      </w:r>
      <w:r>
        <w:rPr>
          <w:rFonts w:ascii="宋体" w:hAnsi="宋体" w:cs="宋体" w:eastAsia="宋体" w:hint="default"/>
          <w:spacing w:val="-67"/>
          <w:w w:val="105"/>
          <w:sz w:val="19"/>
          <w:szCs w:val="19"/>
        </w:rPr>
        <w:t> </w:t>
      </w:r>
      <w:r>
        <w:rPr>
          <w:rFonts w:ascii="Calibri" w:hAnsi="Calibri" w:cs="Calibri" w:eastAsia="Calibri" w:hint="default"/>
          <w:spacing w:val="2"/>
          <w:w w:val="105"/>
          <w:sz w:val="19"/>
          <w:szCs w:val="19"/>
        </w:rPr>
        <w:t>32.20%</w:t>
      </w:r>
      <w:r>
        <w:rPr>
          <w:rFonts w:ascii="Calibri" w:hAnsi="Calibri" w:cs="Calibri" w:eastAsia="Calibri" w:hint="default"/>
          <w:spacing w:val="2"/>
          <w:sz w:val="19"/>
          <w:szCs w:val="19"/>
        </w:rPr>
      </w:r>
    </w:p>
    <w:p>
      <w:pPr>
        <w:spacing w:line="264" w:lineRule="exact" w:before="0"/>
        <w:ind w:left="1288" w:right="-16" w:firstLine="0"/>
        <w:jc w:val="left"/>
        <w:rPr>
          <w:rFonts w:ascii="Calibri" w:hAnsi="Calibri" w:cs="Calibri" w:eastAsia="Calibri" w:hint="default"/>
          <w:sz w:val="19"/>
          <w:szCs w:val="19"/>
        </w:rPr>
      </w:pPr>
      <w:r>
        <w:rPr/>
        <w:pict>
          <v:group style="position:absolute;margin-left:113.779625pt;margin-top:6.025044pt;width:6pt;height:5.25pt;mso-position-horizontal-relative:page;mso-position-vertical-relative:paragraph;z-index:3856" coordorigin="2276,121" coordsize="120,105">
            <v:shape style="position:absolute;left:2276;top:121;width:120;height:105" coordorigin="2276,121" coordsize="120,105" path="m2276,225l2395,225,2395,121,2276,121,2276,225xe" filled="true" fillcolor="#9bba58" stroked="false">
              <v:path arrowok="t"/>
              <v:fill type="solid"/>
            </v:shape>
            <w10:wrap type="none"/>
          </v:group>
        </w:pict>
      </w:r>
      <w:r>
        <w:rPr>
          <w:rFonts w:ascii="宋体" w:hAnsi="宋体" w:cs="宋体" w:eastAsia="宋体" w:hint="default"/>
          <w:w w:val="105"/>
          <w:sz w:val="19"/>
          <w:szCs w:val="19"/>
        </w:rPr>
        <w:t>中专</w:t>
      </w:r>
      <w:r>
        <w:rPr>
          <w:rFonts w:ascii="宋体" w:hAnsi="宋体" w:cs="宋体" w:eastAsia="宋体" w:hint="default"/>
          <w:spacing w:val="-69"/>
          <w:w w:val="105"/>
          <w:sz w:val="19"/>
          <w:szCs w:val="19"/>
        </w:rPr>
        <w:t> </w:t>
      </w:r>
      <w:r>
        <w:rPr>
          <w:rFonts w:ascii="Calibri" w:hAnsi="Calibri" w:cs="Calibri" w:eastAsia="Calibri" w:hint="default"/>
          <w:spacing w:val="2"/>
          <w:w w:val="105"/>
          <w:sz w:val="19"/>
          <w:szCs w:val="19"/>
        </w:rPr>
        <w:t>5.70%</w:t>
      </w:r>
      <w:r>
        <w:rPr>
          <w:rFonts w:ascii="Calibri" w:hAnsi="Calibri" w:cs="Calibri" w:eastAsia="Calibri" w:hint="default"/>
          <w:spacing w:val="2"/>
          <w:sz w:val="19"/>
          <w:szCs w:val="19"/>
        </w:rPr>
      </w:r>
    </w:p>
    <w:p>
      <w:pPr>
        <w:spacing w:line="264" w:lineRule="exact" w:before="0"/>
        <w:ind w:left="1288" w:right="-16" w:firstLine="0"/>
        <w:jc w:val="left"/>
        <w:rPr>
          <w:rFonts w:ascii="Calibri" w:hAnsi="Calibri" w:cs="Calibri" w:eastAsia="Calibri" w:hint="default"/>
          <w:sz w:val="19"/>
          <w:szCs w:val="19"/>
        </w:rPr>
      </w:pPr>
      <w:r>
        <w:rPr/>
        <w:pict>
          <v:group style="position:absolute;margin-left:113.779625pt;margin-top:5.502925pt;width:6pt;height:5.25pt;mso-position-horizontal-relative:page;mso-position-vertical-relative:paragraph;z-index:3880" coordorigin="2276,110" coordsize="120,105">
            <v:shape style="position:absolute;left:2276;top:110;width:120;height:105" coordorigin="2276,110" coordsize="120,105" path="m2276,214l2395,214,2395,110,2276,110,2276,214xe" filled="true" fillcolor="#8063a1" stroked="false">
              <v:path arrowok="t"/>
              <v:fill type="solid"/>
            </v:shape>
            <w10:wrap type="none"/>
          </v:group>
        </w:pict>
      </w:r>
      <w:r>
        <w:rPr>
          <w:rFonts w:ascii="宋体" w:hAnsi="宋体" w:cs="宋体" w:eastAsia="宋体" w:hint="default"/>
          <w:w w:val="105"/>
          <w:sz w:val="19"/>
          <w:szCs w:val="19"/>
        </w:rPr>
        <w:t>高中</w:t>
      </w:r>
      <w:r>
        <w:rPr>
          <w:rFonts w:ascii="宋体" w:hAnsi="宋体" w:cs="宋体" w:eastAsia="宋体" w:hint="default"/>
          <w:spacing w:val="-58"/>
          <w:w w:val="105"/>
          <w:sz w:val="19"/>
          <w:szCs w:val="19"/>
        </w:rPr>
        <w:t> </w:t>
      </w:r>
      <w:r>
        <w:rPr>
          <w:rFonts w:ascii="Calibri" w:hAnsi="Calibri" w:cs="Calibri" w:eastAsia="Calibri" w:hint="default"/>
          <w:w w:val="105"/>
          <w:sz w:val="19"/>
          <w:szCs w:val="19"/>
        </w:rPr>
        <w:t>44.10%</w:t>
      </w:r>
      <w:r>
        <w:rPr>
          <w:rFonts w:ascii="Calibri" w:hAnsi="Calibri" w:cs="Calibri" w:eastAsia="Calibri" w:hint="default"/>
          <w:sz w:val="19"/>
          <w:szCs w:val="19"/>
        </w:rPr>
      </w:r>
    </w:p>
    <w:p>
      <w:pPr>
        <w:spacing w:line="268" w:lineRule="exact" w:before="0"/>
        <w:ind w:left="1288" w:right="-16" w:firstLine="0"/>
        <w:jc w:val="left"/>
        <w:rPr>
          <w:rFonts w:ascii="Calibri" w:hAnsi="Calibri" w:cs="Calibri" w:eastAsia="Calibri" w:hint="default"/>
          <w:sz w:val="19"/>
          <w:szCs w:val="19"/>
        </w:rPr>
      </w:pPr>
      <w:r>
        <w:rPr/>
        <w:pict>
          <v:group style="position:absolute;margin-left:113.779625pt;margin-top:5.72669pt;width:6pt;height:5.25pt;mso-position-horizontal-relative:page;mso-position-vertical-relative:paragraph;z-index:3904" coordorigin="2276,115" coordsize="120,105">
            <v:shape style="position:absolute;left:2276;top:115;width:120;height:105" coordorigin="2276,115" coordsize="120,105" path="m2276,219l2395,219,2395,115,2276,115,2276,219xe" filled="true" fillcolor="#4aacc5" stroked="false">
              <v:path arrowok="t"/>
              <v:fill type="solid"/>
            </v:shape>
            <w10:wrap type="none"/>
          </v:group>
        </w:pict>
      </w:r>
      <w:r>
        <w:rPr>
          <w:rFonts w:ascii="宋体" w:hAnsi="宋体" w:cs="宋体" w:eastAsia="宋体" w:hint="default"/>
          <w:w w:val="105"/>
          <w:sz w:val="19"/>
          <w:szCs w:val="19"/>
        </w:rPr>
        <w:t>高中以下</w:t>
      </w:r>
      <w:r>
        <w:rPr>
          <w:rFonts w:ascii="宋体" w:hAnsi="宋体" w:cs="宋体" w:eastAsia="宋体" w:hint="default"/>
          <w:spacing w:val="-69"/>
          <w:w w:val="105"/>
          <w:sz w:val="19"/>
          <w:szCs w:val="19"/>
        </w:rPr>
        <w:t> </w:t>
      </w:r>
      <w:r>
        <w:rPr>
          <w:rFonts w:ascii="Calibri" w:hAnsi="Calibri" w:cs="Calibri" w:eastAsia="Calibri" w:hint="default"/>
          <w:w w:val="105"/>
          <w:sz w:val="19"/>
          <w:szCs w:val="19"/>
        </w:rPr>
        <w:t>8.40%</w:t>
      </w:r>
      <w:r>
        <w:rPr>
          <w:rFonts w:ascii="Calibri" w:hAnsi="Calibri" w:cs="Calibri" w:eastAsia="Calibri" w:hint="default"/>
          <w:sz w:val="19"/>
          <w:szCs w:val="19"/>
        </w:rPr>
      </w:r>
    </w:p>
    <w:p>
      <w:pPr>
        <w:spacing w:line="240" w:lineRule="auto" w:before="5"/>
        <w:rPr>
          <w:rFonts w:ascii="Calibri" w:hAnsi="Calibri" w:cs="Calibri" w:eastAsia="Calibri" w:hint="default"/>
          <w:sz w:val="16"/>
          <w:szCs w:val="16"/>
        </w:rPr>
      </w:pPr>
      <w:r>
        <w:rPr/>
        <w:br w:type="column"/>
      </w:r>
      <w:r>
        <w:rPr>
          <w:rFonts w:ascii="Calibri"/>
          <w:sz w:val="16"/>
        </w:rPr>
      </w:r>
    </w:p>
    <w:p>
      <w:pPr>
        <w:spacing w:line="258" w:lineRule="exact" w:before="0"/>
        <w:ind w:left="1288" w:right="0" w:firstLine="0"/>
        <w:jc w:val="left"/>
        <w:rPr>
          <w:rFonts w:ascii="Calibri" w:hAnsi="Calibri" w:cs="Calibri" w:eastAsia="Calibri" w:hint="default"/>
          <w:sz w:val="19"/>
          <w:szCs w:val="19"/>
        </w:rPr>
      </w:pPr>
      <w:r>
        <w:rPr/>
        <w:pict>
          <v:group style="position:absolute;margin-left:341.810455pt;margin-top:6.439967pt;width:6pt;height:5.25pt;mso-position-horizontal-relative:page;mso-position-vertical-relative:paragraph;z-index:3928" coordorigin="6836,129" coordsize="120,105">
            <v:shape style="position:absolute;left:6836;top:129;width:120;height:105" coordorigin="6836,129" coordsize="120,105" path="m6836,233l6956,233,6956,129,6836,129,6836,233xe" filled="true" fillcolor="#4f81bc" stroked="false">
              <v:path arrowok="t"/>
              <v:fill type="solid"/>
            </v:shape>
            <w10:wrap type="none"/>
          </v:group>
        </w:pict>
      </w:r>
      <w:r>
        <w:rPr>
          <w:rFonts w:ascii="宋体" w:hAnsi="宋体" w:cs="宋体" w:eastAsia="宋体" w:hint="default"/>
          <w:w w:val="105"/>
          <w:sz w:val="19"/>
          <w:szCs w:val="19"/>
        </w:rPr>
        <w:t>本科及以上</w:t>
      </w:r>
      <w:r>
        <w:rPr>
          <w:rFonts w:ascii="宋体" w:hAnsi="宋体" w:cs="宋体" w:eastAsia="宋体" w:hint="default"/>
          <w:spacing w:val="-65"/>
          <w:w w:val="105"/>
          <w:sz w:val="19"/>
          <w:szCs w:val="19"/>
        </w:rPr>
        <w:t> </w:t>
      </w:r>
      <w:r>
        <w:rPr>
          <w:rFonts w:ascii="Calibri" w:hAnsi="Calibri" w:cs="Calibri" w:eastAsia="Calibri" w:hint="default"/>
          <w:spacing w:val="2"/>
          <w:w w:val="105"/>
          <w:sz w:val="19"/>
          <w:szCs w:val="19"/>
        </w:rPr>
        <w:t>3.60%</w:t>
      </w:r>
      <w:r>
        <w:rPr>
          <w:rFonts w:ascii="Calibri" w:hAnsi="Calibri" w:cs="Calibri" w:eastAsia="Calibri" w:hint="default"/>
          <w:spacing w:val="2"/>
          <w:sz w:val="19"/>
          <w:szCs w:val="19"/>
        </w:rPr>
      </w:r>
    </w:p>
    <w:p>
      <w:pPr>
        <w:spacing w:line="242" w:lineRule="exact" w:before="0"/>
        <w:ind w:left="1288" w:right="0" w:firstLine="0"/>
        <w:jc w:val="left"/>
        <w:rPr>
          <w:rFonts w:ascii="Calibri" w:hAnsi="Calibri" w:cs="Calibri" w:eastAsia="Calibri" w:hint="default"/>
          <w:sz w:val="19"/>
          <w:szCs w:val="19"/>
        </w:rPr>
      </w:pPr>
      <w:r>
        <w:rPr/>
        <w:pict>
          <v:group style="position:absolute;margin-left:341.810455pt;margin-top:5.504611pt;width:6pt;height:5.25pt;mso-position-horizontal-relative:page;mso-position-vertical-relative:paragraph;z-index:3952" coordorigin="6836,110" coordsize="120,105">
            <v:shape style="position:absolute;left:6836;top:110;width:120;height:105" coordorigin="6836,110" coordsize="120,105" path="m6836,215l6956,215,6956,110,6836,110,6836,215xe" filled="true" fillcolor="#c0504d" stroked="false">
              <v:path arrowok="t"/>
              <v:fill type="solid"/>
            </v:shape>
            <w10:wrap type="none"/>
          </v:group>
        </w:pict>
      </w:r>
      <w:r>
        <w:rPr>
          <w:rFonts w:ascii="宋体" w:hAnsi="宋体" w:cs="宋体" w:eastAsia="宋体" w:hint="default"/>
          <w:w w:val="105"/>
          <w:sz w:val="19"/>
          <w:szCs w:val="19"/>
        </w:rPr>
        <w:t>大专</w:t>
      </w:r>
      <w:r>
        <w:rPr>
          <w:rFonts w:ascii="宋体" w:hAnsi="宋体" w:cs="宋体" w:eastAsia="宋体" w:hint="default"/>
          <w:spacing w:val="-66"/>
          <w:w w:val="105"/>
          <w:sz w:val="19"/>
          <w:szCs w:val="19"/>
        </w:rPr>
        <w:t> </w:t>
      </w:r>
      <w:r>
        <w:rPr>
          <w:rFonts w:ascii="Calibri" w:hAnsi="Calibri" w:cs="Calibri" w:eastAsia="Calibri" w:hint="default"/>
          <w:spacing w:val="2"/>
          <w:w w:val="105"/>
          <w:sz w:val="19"/>
          <w:szCs w:val="19"/>
        </w:rPr>
        <w:t>31.40%</w:t>
      </w:r>
      <w:r>
        <w:rPr>
          <w:rFonts w:ascii="Calibri" w:hAnsi="Calibri" w:cs="Calibri" w:eastAsia="Calibri" w:hint="default"/>
          <w:spacing w:val="2"/>
          <w:sz w:val="19"/>
          <w:szCs w:val="19"/>
        </w:rPr>
      </w:r>
    </w:p>
    <w:p>
      <w:pPr>
        <w:spacing w:line="242" w:lineRule="exact" w:before="0"/>
        <w:ind w:left="1288" w:right="0" w:firstLine="0"/>
        <w:jc w:val="left"/>
        <w:rPr>
          <w:rFonts w:ascii="Calibri" w:hAnsi="Calibri" w:cs="Calibri" w:eastAsia="Calibri" w:hint="default"/>
          <w:sz w:val="19"/>
          <w:szCs w:val="19"/>
        </w:rPr>
      </w:pPr>
      <w:r>
        <w:rPr/>
        <w:pict>
          <v:group style="position:absolute;margin-left:341.810455pt;margin-top:5.330333pt;width:6pt;height:5.25pt;mso-position-horizontal-relative:page;mso-position-vertical-relative:paragraph;z-index:3976" coordorigin="6836,107" coordsize="120,105">
            <v:shape style="position:absolute;left:6836;top:107;width:120;height:105" coordorigin="6836,107" coordsize="120,105" path="m6836,211l6956,211,6956,107,6836,107,6836,211xe" filled="true" fillcolor="#9bba58" stroked="false">
              <v:path arrowok="t"/>
              <v:fill type="solid"/>
            </v:shape>
            <w10:wrap type="none"/>
          </v:group>
        </w:pict>
      </w:r>
      <w:r>
        <w:rPr>
          <w:rFonts w:ascii="宋体" w:hAnsi="宋体" w:cs="宋体" w:eastAsia="宋体" w:hint="default"/>
          <w:w w:val="105"/>
          <w:sz w:val="19"/>
          <w:szCs w:val="19"/>
        </w:rPr>
        <w:t>中专</w:t>
      </w:r>
      <w:r>
        <w:rPr>
          <w:rFonts w:ascii="宋体" w:hAnsi="宋体" w:cs="宋体" w:eastAsia="宋体" w:hint="default"/>
          <w:spacing w:val="-68"/>
          <w:w w:val="105"/>
          <w:sz w:val="19"/>
          <w:szCs w:val="19"/>
        </w:rPr>
        <w:t> </w:t>
      </w:r>
      <w:r>
        <w:rPr>
          <w:rFonts w:ascii="Calibri" w:hAnsi="Calibri" w:cs="Calibri" w:eastAsia="Calibri" w:hint="default"/>
          <w:spacing w:val="2"/>
          <w:w w:val="105"/>
          <w:sz w:val="19"/>
          <w:szCs w:val="19"/>
        </w:rPr>
        <w:t>9.30%</w:t>
      </w:r>
      <w:r>
        <w:rPr>
          <w:rFonts w:ascii="Calibri" w:hAnsi="Calibri" w:cs="Calibri" w:eastAsia="Calibri" w:hint="default"/>
          <w:spacing w:val="2"/>
          <w:sz w:val="19"/>
          <w:szCs w:val="19"/>
        </w:rPr>
      </w:r>
    </w:p>
    <w:p>
      <w:pPr>
        <w:spacing w:line="242" w:lineRule="exact" w:before="0"/>
        <w:ind w:left="1288" w:right="0" w:firstLine="0"/>
        <w:jc w:val="left"/>
        <w:rPr>
          <w:rFonts w:ascii="Calibri" w:hAnsi="Calibri" w:cs="Calibri" w:eastAsia="Calibri" w:hint="default"/>
          <w:sz w:val="19"/>
          <w:szCs w:val="19"/>
        </w:rPr>
      </w:pPr>
      <w:r>
        <w:rPr/>
        <w:pict>
          <v:group style="position:absolute;margin-left:341.810455pt;margin-top:5.156054pt;width:6pt;height:5.25pt;mso-position-horizontal-relative:page;mso-position-vertical-relative:paragraph;z-index:4000" coordorigin="6836,103" coordsize="120,105">
            <v:shape style="position:absolute;left:6836;top:103;width:120;height:105" coordorigin="6836,103" coordsize="120,105" path="m6836,208l6956,208,6956,103,6836,103,6836,208xe" filled="true" fillcolor="#8063a1" stroked="false">
              <v:path arrowok="t"/>
              <v:fill type="solid"/>
            </v:shape>
            <w10:wrap type="none"/>
          </v:group>
        </w:pict>
      </w:r>
      <w:r>
        <w:rPr>
          <w:rFonts w:ascii="宋体" w:hAnsi="宋体" w:cs="宋体" w:eastAsia="宋体" w:hint="default"/>
          <w:w w:val="105"/>
          <w:sz w:val="19"/>
          <w:szCs w:val="19"/>
        </w:rPr>
        <w:t>高中</w:t>
      </w:r>
      <w:r>
        <w:rPr>
          <w:rFonts w:ascii="宋体" w:hAnsi="宋体" w:cs="宋体" w:eastAsia="宋体" w:hint="default"/>
          <w:spacing w:val="-66"/>
          <w:w w:val="105"/>
          <w:sz w:val="19"/>
          <w:szCs w:val="19"/>
        </w:rPr>
        <w:t> </w:t>
      </w:r>
      <w:r>
        <w:rPr>
          <w:rFonts w:ascii="Calibri" w:hAnsi="Calibri" w:cs="Calibri" w:eastAsia="Calibri" w:hint="default"/>
          <w:spacing w:val="2"/>
          <w:w w:val="105"/>
          <w:sz w:val="19"/>
          <w:szCs w:val="19"/>
        </w:rPr>
        <w:t>52.80%</w:t>
      </w:r>
      <w:r>
        <w:rPr>
          <w:rFonts w:ascii="Calibri" w:hAnsi="Calibri" w:cs="Calibri" w:eastAsia="Calibri" w:hint="default"/>
          <w:spacing w:val="2"/>
          <w:sz w:val="19"/>
          <w:szCs w:val="19"/>
        </w:rPr>
      </w:r>
    </w:p>
    <w:p>
      <w:pPr>
        <w:spacing w:line="258" w:lineRule="exact" w:before="0"/>
        <w:ind w:left="1288" w:right="0" w:firstLine="0"/>
        <w:jc w:val="left"/>
        <w:rPr>
          <w:rFonts w:ascii="Calibri" w:hAnsi="Calibri" w:cs="Calibri" w:eastAsia="Calibri" w:hint="default"/>
          <w:sz w:val="19"/>
          <w:szCs w:val="19"/>
        </w:rPr>
      </w:pPr>
      <w:r>
        <w:rPr/>
        <w:pict>
          <v:group style="position:absolute;margin-left:341.810455pt;margin-top:4.981776pt;width:6pt;height:5.25pt;mso-position-horizontal-relative:page;mso-position-vertical-relative:paragraph;z-index:4024" coordorigin="6836,100" coordsize="120,105">
            <v:shape style="position:absolute;left:6836;top:100;width:120;height:105" coordorigin="6836,100" coordsize="120,105" path="m6836,204l6956,204,6956,100,6836,100,6836,204xe" filled="true" fillcolor="#4aacc5" stroked="false">
              <v:path arrowok="t"/>
              <v:fill type="solid"/>
            </v:shape>
            <w10:wrap type="none"/>
          </v:group>
        </w:pict>
      </w:r>
      <w:r>
        <w:rPr>
          <w:rFonts w:ascii="宋体" w:hAnsi="宋体" w:cs="宋体" w:eastAsia="宋体" w:hint="default"/>
          <w:w w:val="105"/>
          <w:sz w:val="19"/>
          <w:szCs w:val="19"/>
        </w:rPr>
        <w:t>高中以下</w:t>
      </w:r>
      <w:r>
        <w:rPr>
          <w:rFonts w:ascii="宋体" w:hAnsi="宋体" w:cs="宋体" w:eastAsia="宋体" w:hint="default"/>
          <w:spacing w:val="-71"/>
          <w:w w:val="105"/>
          <w:sz w:val="19"/>
          <w:szCs w:val="19"/>
        </w:rPr>
        <w:t> </w:t>
      </w:r>
      <w:r>
        <w:rPr>
          <w:rFonts w:ascii="Calibri" w:hAnsi="Calibri" w:cs="Calibri" w:eastAsia="Calibri" w:hint="default"/>
          <w:w w:val="105"/>
          <w:sz w:val="19"/>
          <w:szCs w:val="19"/>
        </w:rPr>
        <w:t>2.90%</w:t>
      </w:r>
      <w:r>
        <w:rPr>
          <w:rFonts w:ascii="Calibri" w:hAnsi="Calibri" w:cs="Calibri" w:eastAsia="Calibri" w:hint="default"/>
          <w:sz w:val="19"/>
          <w:szCs w:val="19"/>
        </w:rPr>
      </w:r>
    </w:p>
    <w:p>
      <w:pPr>
        <w:spacing w:after="0" w:line="258" w:lineRule="exact"/>
        <w:jc w:val="left"/>
        <w:rPr>
          <w:rFonts w:ascii="Calibri" w:hAnsi="Calibri" w:cs="Calibri" w:eastAsia="Calibri" w:hint="default"/>
          <w:sz w:val="19"/>
          <w:szCs w:val="19"/>
        </w:rPr>
        <w:sectPr>
          <w:type w:val="continuous"/>
          <w:pgSz w:w="11910" w:h="16840"/>
          <w:pgMar w:top="1580" w:bottom="760" w:left="1160" w:right="0"/>
          <w:cols w:num="2" w:equalWidth="0">
            <w:col w:w="2829" w:space="1728"/>
            <w:col w:w="6193"/>
          </w:cols>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7"/>
        <w:rPr>
          <w:rFonts w:ascii="Calibri" w:hAnsi="Calibri" w:cs="Calibri" w:eastAsia="Calibri" w:hint="default"/>
          <w:sz w:val="17"/>
          <w:szCs w:val="17"/>
        </w:rPr>
      </w:pPr>
    </w:p>
    <w:p>
      <w:pPr>
        <w:spacing w:after="0" w:line="240" w:lineRule="auto"/>
        <w:rPr>
          <w:rFonts w:ascii="Calibri" w:hAnsi="Calibri" w:cs="Calibri" w:eastAsia="Calibri" w:hint="default"/>
          <w:sz w:val="17"/>
          <w:szCs w:val="17"/>
        </w:rPr>
        <w:sectPr>
          <w:type w:val="continuous"/>
          <w:pgSz w:w="11910" w:h="16840"/>
          <w:pgMar w:top="1580" w:bottom="760" w:left="1160" w:right="0"/>
        </w:sectPr>
      </w:pPr>
    </w:p>
    <w:p>
      <w:pPr>
        <w:spacing w:before="45"/>
        <w:ind w:left="807" w:right="-10" w:firstLine="0"/>
        <w:jc w:val="left"/>
        <w:rPr>
          <w:rFonts w:ascii="宋体" w:hAnsi="宋体" w:cs="宋体" w:eastAsia="宋体" w:hint="default"/>
          <w:sz w:val="18"/>
          <w:szCs w:val="18"/>
        </w:rPr>
      </w:pPr>
      <w:r>
        <w:rPr>
          <w:rFonts w:ascii="宋体" w:hAnsi="宋体" w:cs="宋体" w:eastAsia="宋体" w:hint="default"/>
          <w:spacing w:val="49"/>
          <w:sz w:val="18"/>
          <w:szCs w:val="18"/>
        </w:rPr>
        <w:t>创世漫道员工教育程</w:t>
      </w:r>
      <w:r>
        <w:rPr>
          <w:rFonts w:ascii="宋体" w:hAnsi="宋体" w:cs="宋体" w:eastAsia="宋体" w:hint="default"/>
          <w:spacing w:val="-11"/>
          <w:sz w:val="18"/>
          <w:szCs w:val="18"/>
        </w:rPr>
        <w:t> </w:t>
      </w:r>
      <w:r>
        <w:rPr>
          <w:rFonts w:ascii="宋体" w:hAnsi="宋体" w:cs="宋体" w:eastAsia="宋体" w:hint="default"/>
          <w:sz w:val="18"/>
          <w:szCs w:val="18"/>
        </w:rPr>
        <w:t>度</w:t>
      </w:r>
    </w:p>
    <w:p>
      <w:pPr>
        <w:spacing w:before="68"/>
        <w:ind w:left="80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安徽国润员工教育程度分布</w:t>
      </w:r>
    </w:p>
    <w:p>
      <w:pPr>
        <w:spacing w:after="0"/>
        <w:jc w:val="left"/>
        <w:rPr>
          <w:rFonts w:ascii="宋体" w:hAnsi="宋体" w:cs="宋体" w:eastAsia="宋体" w:hint="default"/>
          <w:sz w:val="18"/>
          <w:szCs w:val="18"/>
        </w:rPr>
        <w:sectPr>
          <w:type w:val="continuous"/>
          <w:pgSz w:w="11910" w:h="16840"/>
          <w:pgMar w:top="1580" w:bottom="760" w:left="1160" w:right="0"/>
          <w:cols w:num="2" w:equalWidth="0">
            <w:col w:w="3138" w:space="2098"/>
            <w:col w:w="5514"/>
          </w:cols>
        </w:sectPr>
      </w:pPr>
    </w:p>
    <w:p>
      <w:pPr>
        <w:spacing w:line="240" w:lineRule="auto" w:before="5"/>
        <w:rPr>
          <w:rFonts w:ascii="宋体" w:hAnsi="宋体" w:cs="宋体" w:eastAsia="宋体" w:hint="default"/>
          <w:sz w:val="15"/>
          <w:szCs w:val="15"/>
        </w:rPr>
      </w:pPr>
    </w:p>
    <w:p>
      <w:pPr>
        <w:tabs>
          <w:tab w:pos="5827" w:val="left" w:leader="none"/>
        </w:tabs>
        <w:spacing w:line="1345" w:lineRule="exact"/>
        <w:ind w:left="713" w:right="0" w:firstLine="0"/>
        <w:rPr>
          <w:rFonts w:ascii="宋体" w:hAnsi="宋体" w:cs="宋体" w:eastAsia="宋体" w:hint="default"/>
          <w:sz w:val="20"/>
          <w:szCs w:val="20"/>
        </w:rPr>
      </w:pPr>
      <w:r>
        <w:rPr>
          <w:rFonts w:ascii="宋体"/>
          <w:position w:val="-24"/>
          <w:sz w:val="20"/>
        </w:rPr>
        <w:pict>
          <v:group style="width:104.6pt;height:66.4pt;mso-position-horizontal-relative:char;mso-position-vertical-relative:line" coordorigin="0,0" coordsize="2092,1328">
            <v:shape style="position:absolute;left:0;top:0;width:2092;height:1327" type="#_x0000_t75" stroked="false">
              <v:imagedata r:id="rId35" o:title=""/>
            </v:shape>
            <v:shape style="position:absolute;left:299;top:309;width:211;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spacing w:val="4"/>
                        <w:sz w:val="19"/>
                      </w:rPr>
                      <w:t>52</w:t>
                    </w:r>
                    <w:r>
                      <w:rPr>
                        <w:rFonts w:ascii="Calibri"/>
                        <w:sz w:val="19"/>
                      </w:rPr>
                    </w:r>
                  </w:p>
                </w:txbxContent>
              </v:textbox>
              <w10:wrap type="none"/>
            </v:shape>
            <v:shape style="position:absolute;left:753;top:166;width:212;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spacing w:val="5"/>
                        <w:sz w:val="19"/>
                      </w:rPr>
                      <w:t>68</w:t>
                    </w:r>
                    <w:r>
                      <w:rPr>
                        <w:rFonts w:ascii="Calibri"/>
                        <w:sz w:val="19"/>
                      </w:rPr>
                    </w:r>
                  </w:p>
                </w:txbxContent>
              </v:textbox>
              <w10:wrap type="none"/>
            </v:shape>
            <v:shape style="position:absolute;left:991;top:580;width:182;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1"/>
                        <w:sz w:val="18"/>
                      </w:rPr>
                      <w:t>25</w:t>
                    </w:r>
                    <w:r>
                      <w:rPr>
                        <w:rFonts w:ascii="Calibri"/>
                        <w:sz w:val="18"/>
                      </w:rPr>
                    </w:r>
                  </w:p>
                </w:txbxContent>
              </v:textbox>
              <w10:wrap type="none"/>
            </v:shape>
            <v:shape style="position:absolute;left:1261;top:703;width:212;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spacing w:val="5"/>
                        <w:sz w:val="19"/>
                      </w:rPr>
                      <w:t>21</w:t>
                    </w:r>
                    <w:r>
                      <w:rPr>
                        <w:rFonts w:ascii="Calibri"/>
                        <w:sz w:val="19"/>
                      </w:rPr>
                    </w:r>
                  </w:p>
                </w:txbxContent>
              </v:textbox>
              <w10:wrap type="none"/>
            </v:shape>
            <v:shape style="position:absolute;left:1652;top:828;width:100;height:196" type="#_x0000_t202" filled="false" stroked="false">
              <v:textbox inset="0,0,0,0">
                <w:txbxContent>
                  <w:p>
                    <w:pPr>
                      <w:spacing w:line="195" w:lineRule="exact" w:before="0"/>
                      <w:ind w:left="0" w:right="0" w:firstLine="0"/>
                      <w:jc w:val="left"/>
                      <w:rPr>
                        <w:rFonts w:ascii="Calibri" w:hAnsi="Calibri" w:cs="Calibri" w:eastAsia="Calibri" w:hint="default"/>
                        <w:sz w:val="19"/>
                        <w:szCs w:val="19"/>
                      </w:rPr>
                    </w:pPr>
                    <w:r>
                      <w:rPr>
                        <w:rFonts w:ascii="Calibri"/>
                        <w:w w:val="103"/>
                        <w:sz w:val="19"/>
                      </w:rPr>
                      <w:t>5</w:t>
                    </w:r>
                    <w:r>
                      <w:rPr>
                        <w:rFonts w:ascii="Calibri"/>
                        <w:sz w:val="19"/>
                      </w:rPr>
                    </w:r>
                  </w:p>
                </w:txbxContent>
              </v:textbox>
              <w10:wrap type="none"/>
            </v:shape>
          </v:group>
        </w:pict>
      </w:r>
      <w:r>
        <w:rPr>
          <w:rFonts w:ascii="宋体"/>
          <w:position w:val="-24"/>
          <w:sz w:val="20"/>
        </w:rPr>
      </w:r>
      <w:r>
        <w:rPr>
          <w:rFonts w:ascii="宋体"/>
          <w:position w:val="-24"/>
          <w:sz w:val="20"/>
        </w:rPr>
        <w:tab/>
      </w:r>
      <w:r>
        <w:rPr>
          <w:rFonts w:ascii="宋体"/>
          <w:position w:val="-26"/>
          <w:sz w:val="20"/>
        </w:rPr>
        <w:pict>
          <v:group style="width:118.8pt;height:65pt;mso-position-horizontal-relative:char;mso-position-vertical-relative:line" coordorigin="0,0" coordsize="2376,1300">
            <v:shape style="position:absolute;left:0;top:0;width:2375;height:1300" type="#_x0000_t75" stroked="false">
              <v:imagedata r:id="rId36" o:title=""/>
            </v:shape>
            <v:shape style="position:absolute;left:360;top:316;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25</w:t>
                    </w:r>
                    <w:r>
                      <w:rPr>
                        <w:rFonts w:ascii="Calibri"/>
                        <w:sz w:val="19"/>
                      </w:rPr>
                    </w:r>
                  </w:p>
                </w:txbxContent>
              </v:textbox>
              <w10:wrap type="none"/>
            </v:shape>
            <v:shape style="position:absolute;left:715;top:180;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35</w:t>
                    </w:r>
                    <w:r>
                      <w:rPr>
                        <w:rFonts w:ascii="Calibri"/>
                        <w:sz w:val="19"/>
                      </w:rPr>
                    </w:r>
                  </w:p>
                </w:txbxContent>
              </v:textbox>
              <w10:wrap type="none"/>
            </v:shape>
            <v:shape style="position:absolute;left:1530;top:31;width:560;height:205" type="#_x0000_t202" filled="false" stroked="false">
              <v:textbox inset="0,0,0,0">
                <w:txbxContent>
                  <w:p>
                    <w:pPr>
                      <w:spacing w:line="204" w:lineRule="exact" w:before="0"/>
                      <w:ind w:left="0" w:right="0" w:firstLine="0"/>
                      <w:jc w:val="left"/>
                      <w:rPr>
                        <w:rFonts w:ascii="Calibri" w:hAnsi="Calibri" w:cs="Calibri" w:eastAsia="Calibri" w:hint="default"/>
                        <w:sz w:val="19"/>
                        <w:szCs w:val="19"/>
                      </w:rPr>
                    </w:pPr>
                    <w:r>
                      <w:rPr>
                        <w:rFonts w:ascii="Calibri"/>
                        <w:w w:val="105"/>
                        <w:sz w:val="19"/>
                      </w:rPr>
                      <w:t>44  </w:t>
                    </w:r>
                    <w:r>
                      <w:rPr>
                        <w:rFonts w:ascii="Calibri"/>
                        <w:spacing w:val="8"/>
                        <w:w w:val="105"/>
                        <w:sz w:val="19"/>
                      </w:rPr>
                      <w:t> </w:t>
                    </w:r>
                    <w:r>
                      <w:rPr>
                        <w:rFonts w:ascii="Calibri"/>
                        <w:spacing w:val="4"/>
                        <w:w w:val="105"/>
                        <w:position w:val="1"/>
                        <w:sz w:val="19"/>
                      </w:rPr>
                      <w:t>43</w:t>
                    </w:r>
                    <w:r>
                      <w:rPr>
                        <w:rFonts w:ascii="Calibri"/>
                        <w:sz w:val="19"/>
                      </w:rPr>
                    </w:r>
                  </w:p>
                </w:txbxContent>
              </v:textbox>
              <w10:wrap type="none"/>
            </v:shape>
            <v:shape style="position:absolute;left:1114;top:480;width:21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5"/>
                        <w:sz w:val="19"/>
                      </w:rPr>
                      <w:t>14</w:t>
                    </w:r>
                    <w:r>
                      <w:rPr>
                        <w:rFonts w:ascii="Calibri"/>
                        <w:sz w:val="19"/>
                      </w:rPr>
                    </w:r>
                  </w:p>
                </w:txbxContent>
              </v:textbox>
              <w10:wrap type="none"/>
            </v:shape>
          </v:group>
        </w:pict>
      </w:r>
      <w:r>
        <w:rPr>
          <w:rFonts w:ascii="宋体"/>
          <w:position w:val="-26"/>
          <w:sz w:val="20"/>
        </w:rPr>
      </w:r>
    </w:p>
    <w:p>
      <w:pPr>
        <w:spacing w:after="0" w:line="1345" w:lineRule="exact"/>
        <w:rPr>
          <w:rFonts w:ascii="宋体" w:hAnsi="宋体" w:cs="宋体" w:eastAsia="宋体" w:hint="default"/>
          <w:sz w:val="20"/>
          <w:szCs w:val="20"/>
        </w:rPr>
        <w:sectPr>
          <w:type w:val="continuous"/>
          <w:pgSz w:w="11910" w:h="16840"/>
          <w:pgMar w:top="1580" w:bottom="760" w:left="1160" w:right="0"/>
        </w:sectPr>
      </w:pPr>
    </w:p>
    <w:p>
      <w:pPr>
        <w:spacing w:before="18"/>
        <w:ind w:left="1018" w:right="-17" w:firstLine="0"/>
        <w:jc w:val="left"/>
        <w:rPr>
          <w:rFonts w:ascii="Calibri" w:hAnsi="Calibri" w:cs="Calibri" w:eastAsia="Calibri" w:hint="default"/>
          <w:sz w:val="19"/>
          <w:szCs w:val="19"/>
        </w:rPr>
      </w:pPr>
      <w:r>
        <w:rPr/>
        <w:pict>
          <v:group style="position:absolute;margin-left:101.128883pt;margin-top:7.298858pt;width:5.25pt;height:5.25pt;mso-position-horizontal-relative:page;mso-position-vertical-relative:paragraph;z-index:4048" coordorigin="2023,146" coordsize="105,105">
            <v:shape style="position:absolute;left:2023;top:146;width:105;height:105" coordorigin="2023,146" coordsize="105,105" path="m2023,250l2127,250,2127,146,2023,146,2023,250xe" filled="true" fillcolor="#4f81bc" stroked="false">
              <v:path arrowok="t"/>
              <v:fill type="solid"/>
            </v:shape>
            <w10:wrap type="none"/>
          </v:group>
        </w:pict>
      </w:r>
      <w:r>
        <w:rPr>
          <w:rFonts w:ascii="宋体" w:hAnsi="宋体" w:cs="宋体" w:eastAsia="宋体" w:hint="default"/>
          <w:w w:val="105"/>
          <w:sz w:val="19"/>
          <w:szCs w:val="19"/>
        </w:rPr>
        <w:t>本科及以上 </w:t>
      </w:r>
      <w:r>
        <w:rPr>
          <w:rFonts w:ascii="Calibri" w:hAnsi="Calibri" w:cs="Calibri" w:eastAsia="Calibri" w:hint="default"/>
          <w:w w:val="105"/>
          <w:sz w:val="19"/>
          <w:szCs w:val="19"/>
        </w:rPr>
        <w:t>3 0 . 4</w:t>
      </w:r>
      <w:r>
        <w:rPr>
          <w:rFonts w:ascii="Calibri" w:hAnsi="Calibri" w:cs="Calibri" w:eastAsia="Calibri" w:hint="default"/>
          <w:spacing w:val="-3"/>
          <w:w w:val="105"/>
          <w:sz w:val="19"/>
          <w:szCs w:val="19"/>
        </w:rPr>
        <w:t> </w:t>
      </w:r>
      <w:r>
        <w:rPr>
          <w:rFonts w:ascii="Calibri" w:hAnsi="Calibri" w:cs="Calibri" w:eastAsia="Calibri" w:hint="default"/>
          <w:w w:val="105"/>
          <w:sz w:val="19"/>
          <w:szCs w:val="19"/>
        </w:rPr>
        <w:t>1</w:t>
      </w:r>
      <w:r>
        <w:rPr>
          <w:rFonts w:ascii="Calibri" w:hAnsi="Calibri" w:cs="Calibri" w:eastAsia="Calibri" w:hint="default"/>
          <w:sz w:val="19"/>
          <w:szCs w:val="19"/>
        </w:rPr>
      </w:r>
    </w:p>
    <w:p>
      <w:pPr>
        <w:spacing w:before="34"/>
        <w:ind w:left="1018" w:right="-17" w:firstLine="0"/>
        <w:jc w:val="left"/>
        <w:rPr>
          <w:rFonts w:ascii="Calibri" w:hAnsi="Calibri" w:cs="Calibri" w:eastAsia="Calibri" w:hint="default"/>
          <w:sz w:val="19"/>
          <w:szCs w:val="19"/>
        </w:rPr>
      </w:pPr>
      <w:r>
        <w:rPr/>
        <w:pict>
          <v:group style="position:absolute;margin-left:101.128883pt;margin-top:7.626697pt;width:5.25pt;height:6pt;mso-position-horizontal-relative:page;mso-position-vertical-relative:paragraph;z-index:4072" coordorigin="2023,153" coordsize="105,120">
            <v:shape style="position:absolute;left:2023;top:153;width:105;height:120" coordorigin="2023,153" coordsize="105,120" path="m2023,272l2127,272,2127,153,2023,153,2023,272xe" filled="true" fillcolor="#c0504d" stroked="false">
              <v:path arrowok="t"/>
              <v:fill type="solid"/>
            </v:shape>
            <w10:wrap type="none"/>
          </v:group>
        </w:pict>
      </w:r>
      <w:r>
        <w:rPr>
          <w:rFonts w:ascii="宋体" w:hAnsi="宋体" w:cs="宋体" w:eastAsia="宋体" w:hint="default"/>
          <w:w w:val="105"/>
          <w:sz w:val="19"/>
          <w:szCs w:val="19"/>
        </w:rPr>
        <w:t>大 </w:t>
      </w:r>
      <w:r>
        <w:rPr>
          <w:rFonts w:ascii="宋体" w:hAnsi="宋体" w:cs="宋体" w:eastAsia="宋体" w:hint="default"/>
          <w:spacing w:val="-7"/>
          <w:w w:val="105"/>
          <w:sz w:val="19"/>
          <w:szCs w:val="19"/>
        </w:rPr>
        <w:t>专</w:t>
      </w:r>
      <w:r>
        <w:rPr>
          <w:rFonts w:ascii="Calibri" w:hAnsi="Calibri" w:cs="Calibri" w:eastAsia="Calibri" w:hint="default"/>
          <w:spacing w:val="-7"/>
          <w:w w:val="105"/>
          <w:sz w:val="19"/>
          <w:szCs w:val="19"/>
        </w:rPr>
        <w:t>3 </w:t>
      </w:r>
      <w:r>
        <w:rPr>
          <w:rFonts w:ascii="Calibri" w:hAnsi="Calibri" w:cs="Calibri" w:eastAsia="Calibri" w:hint="default"/>
          <w:w w:val="105"/>
          <w:sz w:val="19"/>
          <w:szCs w:val="19"/>
        </w:rPr>
        <w:t>9 . 7</w:t>
      </w:r>
      <w:r>
        <w:rPr>
          <w:rFonts w:ascii="Calibri" w:hAnsi="Calibri" w:cs="Calibri" w:eastAsia="Calibri" w:hint="default"/>
          <w:spacing w:val="11"/>
          <w:w w:val="105"/>
          <w:sz w:val="19"/>
          <w:szCs w:val="19"/>
        </w:rPr>
        <w:t> </w:t>
      </w:r>
      <w:r>
        <w:rPr>
          <w:rFonts w:ascii="Calibri" w:hAnsi="Calibri" w:cs="Calibri" w:eastAsia="Calibri" w:hint="default"/>
          <w:w w:val="105"/>
          <w:sz w:val="19"/>
          <w:szCs w:val="19"/>
        </w:rPr>
        <w:t>7</w:t>
      </w:r>
      <w:r>
        <w:rPr>
          <w:rFonts w:ascii="Calibri" w:hAnsi="Calibri" w:cs="Calibri" w:eastAsia="Calibri" w:hint="default"/>
          <w:sz w:val="19"/>
          <w:szCs w:val="19"/>
        </w:rPr>
      </w:r>
    </w:p>
    <w:p>
      <w:pPr>
        <w:spacing w:before="34"/>
        <w:ind w:left="1018" w:right="-17" w:firstLine="0"/>
        <w:jc w:val="left"/>
        <w:rPr>
          <w:rFonts w:ascii="Calibri" w:hAnsi="Calibri" w:cs="Calibri" w:eastAsia="Calibri" w:hint="default"/>
          <w:sz w:val="19"/>
          <w:szCs w:val="19"/>
        </w:rPr>
      </w:pPr>
      <w:r>
        <w:rPr/>
        <w:pict>
          <v:group style="position:absolute;margin-left:101.128883pt;margin-top:7.924908pt;width:5.25pt;height:5.25pt;mso-position-horizontal-relative:page;mso-position-vertical-relative:paragraph;z-index:4096" coordorigin="2023,158" coordsize="105,105">
            <v:shape style="position:absolute;left:2023;top:158;width:105;height:105" coordorigin="2023,158" coordsize="105,105" path="m2023,263l2127,263,2127,158,2023,158,2023,263xe" filled="true" fillcolor="#9bba58" stroked="false">
              <v:path arrowok="t"/>
              <v:fill type="solid"/>
            </v:shape>
            <w10:wrap type="none"/>
          </v:group>
        </w:pict>
      </w:r>
      <w:r>
        <w:rPr>
          <w:rFonts w:ascii="宋体" w:hAnsi="宋体" w:cs="宋体" w:eastAsia="宋体" w:hint="default"/>
          <w:w w:val="105"/>
          <w:sz w:val="19"/>
          <w:szCs w:val="19"/>
        </w:rPr>
        <w:t>中专 </w:t>
      </w:r>
      <w:r>
        <w:rPr>
          <w:rFonts w:ascii="Calibri" w:hAnsi="Calibri" w:cs="Calibri" w:eastAsia="Calibri" w:hint="default"/>
          <w:w w:val="105"/>
          <w:sz w:val="19"/>
          <w:szCs w:val="19"/>
        </w:rPr>
        <w:t>1 4 . 6</w:t>
      </w:r>
      <w:r>
        <w:rPr>
          <w:rFonts w:ascii="Calibri" w:hAnsi="Calibri" w:cs="Calibri" w:eastAsia="Calibri" w:hint="default"/>
          <w:spacing w:val="-6"/>
          <w:w w:val="105"/>
          <w:sz w:val="19"/>
          <w:szCs w:val="19"/>
        </w:rPr>
        <w:t> </w:t>
      </w:r>
      <w:r>
        <w:rPr>
          <w:rFonts w:ascii="Calibri" w:hAnsi="Calibri" w:cs="Calibri" w:eastAsia="Calibri" w:hint="default"/>
          <w:w w:val="105"/>
          <w:sz w:val="19"/>
          <w:szCs w:val="19"/>
        </w:rPr>
        <w:t>2</w:t>
      </w:r>
      <w:r>
        <w:rPr>
          <w:rFonts w:ascii="Calibri" w:hAnsi="Calibri" w:cs="Calibri" w:eastAsia="Calibri" w:hint="default"/>
          <w:sz w:val="19"/>
          <w:szCs w:val="19"/>
        </w:rPr>
      </w:r>
    </w:p>
    <w:p>
      <w:pPr>
        <w:spacing w:before="34"/>
        <w:ind w:left="1018" w:right="-17" w:firstLine="0"/>
        <w:jc w:val="left"/>
        <w:rPr>
          <w:rFonts w:ascii="Calibri" w:hAnsi="Calibri" w:cs="Calibri" w:eastAsia="Calibri" w:hint="default"/>
          <w:sz w:val="19"/>
          <w:szCs w:val="19"/>
        </w:rPr>
      </w:pPr>
      <w:r>
        <w:rPr/>
        <w:pict>
          <v:group style="position:absolute;margin-left:101.128883pt;margin-top:7.452731pt;width:5.25pt;height:5.25pt;mso-position-horizontal-relative:page;mso-position-vertical-relative:paragraph;z-index:4120" coordorigin="2023,149" coordsize="105,105">
            <v:shape style="position:absolute;left:2023;top:149;width:105;height:105" coordorigin="2023,149" coordsize="105,105" path="m2023,253l2127,253,2127,149,2023,149,2023,253xe" filled="true" fillcolor="#8063a1" stroked="false">
              <v:path arrowok="t"/>
              <v:fill type="solid"/>
            </v:shape>
            <w10:wrap type="none"/>
          </v:group>
        </w:pict>
      </w:r>
      <w:r>
        <w:rPr>
          <w:rFonts w:ascii="宋体" w:hAnsi="宋体" w:cs="宋体" w:eastAsia="宋体" w:hint="default"/>
          <w:w w:val="105"/>
          <w:sz w:val="19"/>
          <w:szCs w:val="19"/>
        </w:rPr>
        <w:t>高中 </w:t>
      </w:r>
      <w:r>
        <w:rPr>
          <w:rFonts w:ascii="Calibri" w:hAnsi="Calibri" w:cs="Calibri" w:eastAsia="Calibri" w:hint="default"/>
          <w:w w:val="105"/>
          <w:sz w:val="19"/>
          <w:szCs w:val="19"/>
        </w:rPr>
        <w:t>1 2 . 2</w:t>
      </w:r>
      <w:r>
        <w:rPr>
          <w:rFonts w:ascii="Calibri" w:hAnsi="Calibri" w:cs="Calibri" w:eastAsia="Calibri" w:hint="default"/>
          <w:spacing w:val="-6"/>
          <w:w w:val="105"/>
          <w:sz w:val="19"/>
          <w:szCs w:val="19"/>
        </w:rPr>
        <w:t> </w:t>
      </w:r>
      <w:r>
        <w:rPr>
          <w:rFonts w:ascii="Calibri" w:hAnsi="Calibri" w:cs="Calibri" w:eastAsia="Calibri" w:hint="default"/>
          <w:w w:val="105"/>
          <w:sz w:val="19"/>
          <w:szCs w:val="19"/>
        </w:rPr>
        <w:t>8</w:t>
      </w:r>
      <w:r>
        <w:rPr>
          <w:rFonts w:ascii="Calibri" w:hAnsi="Calibri" w:cs="Calibri" w:eastAsia="Calibri" w:hint="default"/>
          <w:sz w:val="19"/>
          <w:szCs w:val="19"/>
        </w:rPr>
      </w:r>
    </w:p>
    <w:p>
      <w:pPr>
        <w:spacing w:before="34"/>
        <w:ind w:left="1018" w:right="-17" w:firstLine="0"/>
        <w:jc w:val="left"/>
        <w:rPr>
          <w:rFonts w:ascii="Calibri" w:hAnsi="Calibri" w:cs="Calibri" w:eastAsia="Calibri" w:hint="default"/>
          <w:sz w:val="19"/>
          <w:szCs w:val="19"/>
        </w:rPr>
      </w:pPr>
      <w:r>
        <w:rPr/>
        <w:pict>
          <v:group style="position:absolute;margin-left:101.128883pt;margin-top:7.7261pt;width:5.25pt;height:5.25pt;mso-position-horizontal-relative:page;mso-position-vertical-relative:paragraph;z-index:4144" coordorigin="2023,155" coordsize="105,105">
            <v:shape style="position:absolute;left:2023;top:155;width:105;height:105" coordorigin="2023,155" coordsize="105,105" path="m2023,259l2127,259,2127,155,2023,155,2023,259xe" filled="true" fillcolor="#4aacc5" stroked="false">
              <v:path arrowok="t"/>
              <v:fill type="solid"/>
            </v:shape>
            <w10:wrap type="none"/>
          </v:group>
        </w:pict>
      </w:r>
      <w:r>
        <w:rPr>
          <w:rFonts w:ascii="宋体" w:hAnsi="宋体" w:cs="宋体" w:eastAsia="宋体" w:hint="default"/>
          <w:w w:val="105"/>
          <w:sz w:val="19"/>
          <w:szCs w:val="19"/>
        </w:rPr>
        <w:t>高中以下</w:t>
      </w:r>
      <w:r>
        <w:rPr>
          <w:rFonts w:ascii="宋体" w:hAnsi="宋体" w:cs="宋体" w:eastAsia="宋体" w:hint="default"/>
          <w:spacing w:val="-60"/>
          <w:w w:val="105"/>
          <w:sz w:val="19"/>
          <w:szCs w:val="19"/>
        </w:rPr>
        <w:t> </w:t>
      </w:r>
      <w:r>
        <w:rPr>
          <w:rFonts w:ascii="Calibri" w:hAnsi="Calibri" w:cs="Calibri" w:eastAsia="Calibri" w:hint="default"/>
          <w:w w:val="105"/>
          <w:sz w:val="19"/>
          <w:szCs w:val="19"/>
        </w:rPr>
        <w:t>2</w:t>
      </w:r>
      <w:r>
        <w:rPr>
          <w:rFonts w:ascii="Calibri" w:hAnsi="Calibri" w:cs="Calibri" w:eastAsia="Calibri" w:hint="default"/>
          <w:spacing w:val="12"/>
          <w:w w:val="105"/>
          <w:sz w:val="19"/>
          <w:szCs w:val="19"/>
        </w:rPr>
        <w:t> </w:t>
      </w:r>
      <w:r>
        <w:rPr>
          <w:rFonts w:ascii="Calibri" w:hAnsi="Calibri" w:cs="Calibri" w:eastAsia="Calibri" w:hint="default"/>
          <w:w w:val="105"/>
          <w:sz w:val="19"/>
          <w:szCs w:val="19"/>
        </w:rPr>
        <w:t>.</w:t>
      </w:r>
      <w:r>
        <w:rPr>
          <w:rFonts w:ascii="Calibri" w:hAnsi="Calibri" w:cs="Calibri" w:eastAsia="Calibri" w:hint="default"/>
          <w:spacing w:val="3"/>
          <w:w w:val="105"/>
          <w:sz w:val="19"/>
          <w:szCs w:val="19"/>
        </w:rPr>
        <w:t> </w:t>
      </w:r>
      <w:r>
        <w:rPr>
          <w:rFonts w:ascii="Calibri" w:hAnsi="Calibri" w:cs="Calibri" w:eastAsia="Calibri" w:hint="default"/>
          <w:w w:val="105"/>
          <w:sz w:val="19"/>
          <w:szCs w:val="19"/>
        </w:rPr>
        <w:t>9</w:t>
      </w:r>
      <w:r>
        <w:rPr>
          <w:rFonts w:ascii="Calibri" w:hAnsi="Calibri" w:cs="Calibri" w:eastAsia="Calibri" w:hint="default"/>
          <w:spacing w:val="12"/>
          <w:w w:val="105"/>
          <w:sz w:val="19"/>
          <w:szCs w:val="19"/>
        </w:rPr>
        <w:t> </w:t>
      </w:r>
      <w:r>
        <w:rPr>
          <w:rFonts w:ascii="Calibri" w:hAnsi="Calibri" w:cs="Calibri" w:eastAsia="Calibri" w:hint="default"/>
          <w:w w:val="105"/>
          <w:sz w:val="19"/>
          <w:szCs w:val="19"/>
        </w:rPr>
        <w:t>2</w:t>
      </w:r>
      <w:r>
        <w:rPr>
          <w:rFonts w:ascii="Calibri" w:hAnsi="Calibri" w:cs="Calibri" w:eastAsia="Calibri" w:hint="default"/>
          <w:sz w:val="19"/>
          <w:szCs w:val="19"/>
        </w:rPr>
      </w:r>
    </w:p>
    <w:p>
      <w:pPr>
        <w:spacing w:line="240" w:lineRule="auto" w:before="9"/>
        <w:rPr>
          <w:rFonts w:ascii="Calibri" w:hAnsi="Calibri" w:cs="Calibri" w:eastAsia="Calibri" w:hint="default"/>
          <w:sz w:val="20"/>
          <w:szCs w:val="20"/>
        </w:rPr>
      </w:pPr>
      <w:r>
        <w:rPr/>
        <w:br w:type="column"/>
      </w:r>
      <w:r>
        <w:rPr>
          <w:rFonts w:ascii="Calibri"/>
          <w:sz w:val="20"/>
        </w:rPr>
      </w:r>
    </w:p>
    <w:p>
      <w:pPr>
        <w:spacing w:line="247" w:lineRule="exact" w:before="0"/>
        <w:ind w:left="1018" w:right="0" w:firstLine="0"/>
        <w:jc w:val="left"/>
        <w:rPr>
          <w:rFonts w:ascii="Calibri" w:hAnsi="Calibri" w:cs="Calibri" w:eastAsia="Calibri" w:hint="default"/>
          <w:sz w:val="19"/>
          <w:szCs w:val="19"/>
        </w:rPr>
      </w:pPr>
      <w:r>
        <w:rPr/>
        <w:pict>
          <v:group style="position:absolute;margin-left:377.023529pt;margin-top:6.04081pt;width:6pt;height:5.25pt;mso-position-horizontal-relative:page;mso-position-vertical-relative:paragraph;z-index:4168" coordorigin="7540,121" coordsize="120,105">
            <v:shape style="position:absolute;left:7540;top:121;width:120;height:105" coordorigin="7540,121" coordsize="120,105" path="m7540,225l7660,225,7660,121,7540,121,7540,225xe" filled="true" fillcolor="#4f81bc" stroked="false">
              <v:path arrowok="t"/>
              <v:fill type="solid"/>
            </v:shape>
            <w10:wrap type="none"/>
          </v:group>
        </w:pict>
      </w:r>
      <w:r>
        <w:rPr>
          <w:rFonts w:ascii="宋体" w:hAnsi="宋体" w:cs="宋体" w:eastAsia="宋体" w:hint="default"/>
          <w:w w:val="105"/>
          <w:sz w:val="19"/>
          <w:szCs w:val="19"/>
        </w:rPr>
        <w:t>本科及以上</w:t>
      </w:r>
      <w:r>
        <w:rPr>
          <w:rFonts w:ascii="宋体" w:hAnsi="宋体" w:cs="宋体" w:eastAsia="宋体" w:hint="default"/>
          <w:spacing w:val="-64"/>
          <w:w w:val="105"/>
          <w:sz w:val="19"/>
          <w:szCs w:val="19"/>
        </w:rPr>
        <w:t> </w:t>
      </w:r>
      <w:r>
        <w:rPr>
          <w:rFonts w:ascii="Calibri" w:hAnsi="Calibri" w:cs="Calibri" w:eastAsia="Calibri" w:hint="default"/>
          <w:spacing w:val="2"/>
          <w:w w:val="105"/>
          <w:sz w:val="19"/>
          <w:szCs w:val="19"/>
        </w:rPr>
        <w:t>15.50%</w:t>
      </w:r>
      <w:r>
        <w:rPr>
          <w:rFonts w:ascii="Calibri" w:hAnsi="Calibri" w:cs="Calibri" w:eastAsia="Calibri" w:hint="default"/>
          <w:spacing w:val="2"/>
          <w:sz w:val="19"/>
          <w:szCs w:val="19"/>
        </w:rPr>
      </w:r>
    </w:p>
    <w:p>
      <w:pPr>
        <w:spacing w:line="222" w:lineRule="exact" w:before="0"/>
        <w:ind w:left="1018" w:right="0" w:firstLine="0"/>
        <w:jc w:val="left"/>
        <w:rPr>
          <w:rFonts w:ascii="Calibri" w:hAnsi="Calibri" w:cs="Calibri" w:eastAsia="Calibri" w:hint="default"/>
          <w:sz w:val="19"/>
          <w:szCs w:val="19"/>
        </w:rPr>
      </w:pPr>
      <w:r>
        <w:rPr/>
        <w:pict>
          <v:group style="position:absolute;margin-left:377.023529pt;margin-top:4.882288pt;width:6pt;height:5.25pt;mso-position-horizontal-relative:page;mso-position-vertical-relative:paragraph;z-index:4192" coordorigin="7540,98" coordsize="120,105">
            <v:shape style="position:absolute;left:7540;top:98;width:120;height:105" coordorigin="7540,98" coordsize="120,105" path="m7540,202l7660,202,7660,98,7540,98,7540,202xe" filled="true" fillcolor="#c0504d" stroked="false">
              <v:path arrowok="t"/>
              <v:fill type="solid"/>
            </v:shape>
            <w10:wrap type="none"/>
          </v:group>
        </w:pict>
      </w:r>
      <w:r>
        <w:rPr>
          <w:rFonts w:ascii="宋体" w:hAnsi="宋体" w:cs="宋体" w:eastAsia="宋体" w:hint="default"/>
          <w:w w:val="105"/>
          <w:sz w:val="19"/>
          <w:szCs w:val="19"/>
        </w:rPr>
        <w:t>大专</w:t>
      </w:r>
      <w:r>
        <w:rPr>
          <w:rFonts w:ascii="宋体" w:hAnsi="宋体" w:cs="宋体" w:eastAsia="宋体" w:hint="default"/>
          <w:spacing w:val="-66"/>
          <w:w w:val="105"/>
          <w:sz w:val="19"/>
          <w:szCs w:val="19"/>
        </w:rPr>
        <w:t> </w:t>
      </w:r>
      <w:r>
        <w:rPr>
          <w:rFonts w:ascii="Calibri" w:hAnsi="Calibri" w:cs="Calibri" w:eastAsia="Calibri" w:hint="default"/>
          <w:spacing w:val="2"/>
          <w:w w:val="105"/>
          <w:sz w:val="19"/>
          <w:szCs w:val="19"/>
        </w:rPr>
        <w:t>21.70%</w:t>
      </w:r>
      <w:r>
        <w:rPr>
          <w:rFonts w:ascii="Calibri" w:hAnsi="Calibri" w:cs="Calibri" w:eastAsia="Calibri" w:hint="default"/>
          <w:spacing w:val="2"/>
          <w:sz w:val="19"/>
          <w:szCs w:val="19"/>
        </w:rPr>
      </w:r>
    </w:p>
    <w:p>
      <w:pPr>
        <w:spacing w:line="222" w:lineRule="exact" w:before="0"/>
        <w:ind w:left="1018" w:right="0" w:firstLine="0"/>
        <w:jc w:val="left"/>
        <w:rPr>
          <w:rFonts w:ascii="Calibri" w:hAnsi="Calibri" w:cs="Calibri" w:eastAsia="Calibri" w:hint="default"/>
          <w:sz w:val="19"/>
          <w:szCs w:val="19"/>
        </w:rPr>
      </w:pPr>
      <w:r>
        <w:rPr/>
        <w:pict>
          <v:group style="position:absolute;margin-left:377.023529pt;margin-top:4.259767pt;width:6pt;height:6pt;mso-position-horizontal-relative:page;mso-position-vertical-relative:paragraph;z-index:4216" coordorigin="7540,85" coordsize="120,120">
            <v:shape style="position:absolute;left:7540;top:85;width:120;height:120" coordorigin="7540,85" coordsize="120,120" path="m7540,205l7660,205,7660,85,7540,85,7540,205xe" filled="true" fillcolor="#9bba58" stroked="false">
              <v:path arrowok="t"/>
              <v:fill type="solid"/>
            </v:shape>
            <w10:wrap type="none"/>
          </v:group>
        </w:pict>
      </w:r>
      <w:r>
        <w:rPr>
          <w:rFonts w:ascii="宋体" w:hAnsi="宋体" w:cs="宋体" w:eastAsia="宋体" w:hint="default"/>
          <w:w w:val="105"/>
          <w:sz w:val="19"/>
          <w:szCs w:val="19"/>
        </w:rPr>
        <w:t>中专</w:t>
      </w:r>
      <w:r>
        <w:rPr>
          <w:rFonts w:ascii="宋体" w:hAnsi="宋体" w:cs="宋体" w:eastAsia="宋体" w:hint="default"/>
          <w:spacing w:val="-68"/>
          <w:w w:val="105"/>
          <w:sz w:val="19"/>
          <w:szCs w:val="19"/>
        </w:rPr>
        <w:t> </w:t>
      </w:r>
      <w:r>
        <w:rPr>
          <w:rFonts w:ascii="Calibri" w:hAnsi="Calibri" w:cs="Calibri" w:eastAsia="Calibri" w:hint="default"/>
          <w:spacing w:val="2"/>
          <w:w w:val="105"/>
          <w:sz w:val="19"/>
          <w:szCs w:val="19"/>
        </w:rPr>
        <w:t>8.80%</w:t>
      </w:r>
      <w:r>
        <w:rPr>
          <w:rFonts w:ascii="Calibri" w:hAnsi="Calibri" w:cs="Calibri" w:eastAsia="Calibri" w:hint="default"/>
          <w:spacing w:val="2"/>
          <w:sz w:val="19"/>
          <w:szCs w:val="19"/>
        </w:rPr>
      </w:r>
    </w:p>
    <w:p>
      <w:pPr>
        <w:spacing w:line="222" w:lineRule="exact" w:before="0"/>
        <w:ind w:left="1018" w:right="0" w:firstLine="0"/>
        <w:jc w:val="left"/>
        <w:rPr>
          <w:rFonts w:ascii="Calibri" w:hAnsi="Calibri" w:cs="Calibri" w:eastAsia="Calibri" w:hint="default"/>
          <w:sz w:val="19"/>
          <w:szCs w:val="19"/>
        </w:rPr>
      </w:pPr>
      <w:r>
        <w:rPr/>
        <w:pict>
          <v:group style="position:absolute;margin-left:377.023529pt;margin-top:4.384273pt;width:6pt;height:6pt;mso-position-horizontal-relative:page;mso-position-vertical-relative:paragraph;z-index:4240" coordorigin="7540,88" coordsize="120,120">
            <v:shape style="position:absolute;left:7540;top:88;width:120;height:120" coordorigin="7540,88" coordsize="120,120" path="m7540,207l7660,207,7660,88,7540,88,7540,207xe" filled="true" fillcolor="#8063a1" stroked="false">
              <v:path arrowok="t"/>
              <v:fill type="solid"/>
            </v:shape>
            <w10:wrap type="none"/>
          </v:group>
        </w:pict>
      </w:r>
      <w:r>
        <w:rPr>
          <w:rFonts w:ascii="宋体" w:hAnsi="宋体" w:cs="宋体" w:eastAsia="宋体" w:hint="default"/>
          <w:w w:val="105"/>
          <w:sz w:val="19"/>
          <w:szCs w:val="19"/>
        </w:rPr>
        <w:t>高中</w:t>
      </w:r>
      <w:r>
        <w:rPr>
          <w:rFonts w:ascii="宋体" w:hAnsi="宋体" w:cs="宋体" w:eastAsia="宋体" w:hint="default"/>
          <w:spacing w:val="-66"/>
          <w:w w:val="105"/>
          <w:sz w:val="19"/>
          <w:szCs w:val="19"/>
        </w:rPr>
        <w:t> </w:t>
      </w:r>
      <w:r>
        <w:rPr>
          <w:rFonts w:ascii="Calibri" w:hAnsi="Calibri" w:cs="Calibri" w:eastAsia="Calibri" w:hint="default"/>
          <w:spacing w:val="2"/>
          <w:w w:val="105"/>
          <w:sz w:val="19"/>
          <w:szCs w:val="19"/>
        </w:rPr>
        <w:t>27.30%</w:t>
      </w:r>
      <w:r>
        <w:rPr>
          <w:rFonts w:ascii="Calibri" w:hAnsi="Calibri" w:cs="Calibri" w:eastAsia="Calibri" w:hint="default"/>
          <w:spacing w:val="2"/>
          <w:sz w:val="19"/>
          <w:szCs w:val="19"/>
        </w:rPr>
      </w:r>
    </w:p>
    <w:p>
      <w:pPr>
        <w:spacing w:line="247" w:lineRule="exact" w:before="0"/>
        <w:ind w:left="1018" w:right="0" w:firstLine="0"/>
        <w:jc w:val="left"/>
        <w:rPr>
          <w:rFonts w:ascii="Calibri" w:hAnsi="Calibri" w:cs="Calibri" w:eastAsia="Calibri" w:hint="default"/>
          <w:sz w:val="19"/>
          <w:szCs w:val="19"/>
        </w:rPr>
      </w:pPr>
      <w:r>
        <w:rPr/>
        <w:pict>
          <v:group style="position:absolute;margin-left:377.023529pt;margin-top:4.508778pt;width:6pt;height:5.25pt;mso-position-horizontal-relative:page;mso-position-vertical-relative:paragraph;z-index:4264" coordorigin="7540,90" coordsize="120,105">
            <v:shape style="position:absolute;left:7540;top:90;width:120;height:105" coordorigin="7540,90" coordsize="120,105" path="m7540,195l7660,195,7660,90,7540,90,7540,195xe" filled="true" fillcolor="#4aacc5" stroked="false">
              <v:path arrowok="t"/>
              <v:fill type="solid"/>
            </v:shape>
            <w10:wrap type="none"/>
          </v:group>
        </w:pict>
      </w:r>
      <w:r>
        <w:rPr>
          <w:rFonts w:ascii="宋体" w:hAnsi="宋体" w:cs="宋体" w:eastAsia="宋体" w:hint="default"/>
          <w:w w:val="105"/>
          <w:sz w:val="19"/>
          <w:szCs w:val="19"/>
        </w:rPr>
        <w:t>高中以下</w:t>
      </w:r>
      <w:r>
        <w:rPr>
          <w:rFonts w:ascii="宋体" w:hAnsi="宋体" w:cs="宋体" w:eastAsia="宋体" w:hint="default"/>
          <w:spacing w:val="-75"/>
          <w:w w:val="105"/>
          <w:sz w:val="19"/>
          <w:szCs w:val="19"/>
        </w:rPr>
        <w:t> </w:t>
      </w:r>
      <w:r>
        <w:rPr>
          <w:rFonts w:ascii="Calibri" w:hAnsi="Calibri" w:cs="Calibri" w:eastAsia="Calibri" w:hint="default"/>
          <w:spacing w:val="2"/>
          <w:w w:val="105"/>
          <w:sz w:val="19"/>
          <w:szCs w:val="19"/>
        </w:rPr>
        <w:t>26.70%</w:t>
      </w:r>
      <w:r>
        <w:rPr>
          <w:rFonts w:ascii="Calibri" w:hAnsi="Calibri" w:cs="Calibri" w:eastAsia="Calibri" w:hint="default"/>
          <w:spacing w:val="2"/>
          <w:sz w:val="19"/>
          <w:szCs w:val="19"/>
        </w:rPr>
      </w:r>
    </w:p>
    <w:p>
      <w:pPr>
        <w:spacing w:after="0" w:line="247" w:lineRule="exact"/>
        <w:jc w:val="left"/>
        <w:rPr>
          <w:rFonts w:ascii="Calibri" w:hAnsi="Calibri" w:cs="Calibri" w:eastAsia="Calibri" w:hint="default"/>
          <w:sz w:val="19"/>
          <w:szCs w:val="19"/>
        </w:rPr>
        <w:sectPr>
          <w:type w:val="continuous"/>
          <w:pgSz w:w="11910" w:h="16840"/>
          <w:pgMar w:top="1580" w:bottom="760" w:left="1160" w:right="0"/>
          <w:cols w:num="2" w:equalWidth="0">
            <w:col w:w="2752" w:space="2783"/>
            <w:col w:w="5215"/>
          </w:cols>
        </w:sectPr>
      </w:pPr>
    </w:p>
    <w:p>
      <w:pPr>
        <w:spacing w:line="240" w:lineRule="auto" w:before="0"/>
        <w:rPr>
          <w:rFonts w:ascii="Calibri" w:hAnsi="Calibri" w:cs="Calibri" w:eastAsia="Calibri" w:hint="default"/>
          <w:sz w:val="20"/>
          <w:szCs w:val="20"/>
        </w:rPr>
      </w:pPr>
    </w:p>
    <w:p>
      <w:pPr>
        <w:spacing w:line="240" w:lineRule="auto" w:before="2"/>
        <w:rPr>
          <w:rFonts w:ascii="Calibri" w:hAnsi="Calibri" w:cs="Calibri" w:eastAsia="Calibri" w:hint="default"/>
          <w:sz w:val="24"/>
          <w:szCs w:val="24"/>
        </w:rPr>
      </w:pPr>
    </w:p>
    <w:p>
      <w:pPr>
        <w:pStyle w:val="BodyText"/>
        <w:spacing w:line="273" w:lineRule="auto" w:before="35"/>
        <w:ind w:left="144" w:right="1188" w:firstLine="420"/>
        <w:jc w:val="both"/>
      </w:pPr>
      <w:r>
        <w:rPr/>
        <w:t>四、</w:t>
      </w:r>
      <w:r>
        <w:rPr>
          <w:spacing w:val="8"/>
        </w:rPr>
        <w:t> </w:t>
      </w:r>
      <w:r>
        <w:rPr>
          <w:spacing w:val="-9"/>
        </w:rPr>
        <w:t>员工薪酬政策：遵守《劳动法》、《劳动合同法》、《社会保险法》等适用法律法规规章规定，</w:t>
      </w:r>
      <w:r>
        <w:rPr/>
        <w:t> </w:t>
      </w:r>
      <w:r>
        <w:rPr>
          <w:spacing w:val="-1"/>
        </w:rPr>
        <w:t>维护员工薪酬、社会保险统筹、带薪休假等合法权益，建立健全相关薪酬制度，以公司增利为前提，以</w:t>
      </w:r>
      <w:r>
        <w:rPr>
          <w:spacing w:val="-103"/>
        </w:rPr>
        <w:t> </w:t>
      </w:r>
      <w:r>
        <w:rPr>
          <w:spacing w:val="-103"/>
        </w:rPr>
      </w:r>
      <w:r>
        <w:rPr>
          <w:spacing w:val="-1"/>
        </w:rPr>
        <w:t>现有员工薪酬总额为基础，以兼顾公司与员工利益为导向，随着公司收入和盈利的提升，逐步提高员工</w:t>
      </w:r>
      <w:r>
        <w:rPr>
          <w:spacing w:val="-102"/>
        </w:rPr>
        <w:t> </w:t>
      </w:r>
      <w:r>
        <w:rPr>
          <w:spacing w:val="-102"/>
        </w:rPr>
      </w:r>
      <w:r>
        <w:rPr/>
        <w:t>薪酬总水平，让员工能够分享公司发展成长的经营成果。</w:t>
      </w:r>
    </w:p>
    <w:p>
      <w:pPr>
        <w:pStyle w:val="BodyText"/>
        <w:spacing w:line="240" w:lineRule="auto" w:before="163"/>
        <w:ind w:left="564" w:right="1066"/>
        <w:jc w:val="left"/>
      </w:pPr>
      <w:r>
        <w:rPr/>
        <w:t>五、</w:t>
      </w:r>
      <w:r>
        <w:rPr>
          <w:spacing w:val="55"/>
        </w:rPr>
        <w:t> </w:t>
      </w:r>
      <w:r>
        <w:rPr/>
        <w:t>员工培训计划：围绕公司发展战略、经营目标、依法合规运作、塑造职业观念、提高执行与</w:t>
      </w:r>
    </w:p>
    <w:p>
      <w:pPr>
        <w:spacing w:after="0" w:line="240" w:lineRule="auto"/>
        <w:jc w:val="left"/>
        <w:sectPr>
          <w:type w:val="continuous"/>
          <w:pgSz w:w="11910" w:h="16840"/>
          <w:pgMar w:top="1580" w:bottom="76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066"/>
        <w:jc w:val="left"/>
      </w:pPr>
      <w:r>
        <w:rPr>
          <w:spacing w:val="-4"/>
        </w:rPr>
        <w:t>操作能力、团结互助等科目，组织员工培训，以法律法规、公司制度、工作规程、岗位职责、文明道德、</w:t>
      </w:r>
      <w:r>
        <w:rPr>
          <w:spacing w:val="-68"/>
        </w:rPr>
        <w:t> </w:t>
      </w:r>
      <w:r>
        <w:rPr>
          <w:spacing w:val="-68"/>
        </w:rPr>
      </w:r>
      <w:r>
        <w:rPr/>
        <w:t>经营与管理情况、安全保障、技能技巧、先进实践、案例经典等为培训教材和内容，采取组织与自学、 课堂与现场、理论与实际等结合方式，以公司、分</w:t>
      </w:r>
      <w:r>
        <w:rPr>
          <w:rFonts w:ascii="宋体" w:hAnsi="宋体" w:cs="宋体" w:eastAsia="宋体" w:hint="default"/>
        </w:rPr>
        <w:t>(</w:t>
      </w:r>
      <w:r>
        <w:rPr/>
        <w:t>子</w:t>
      </w:r>
      <w:r>
        <w:rPr>
          <w:rFonts w:ascii="宋体" w:hAnsi="宋体" w:cs="宋体" w:eastAsia="宋体" w:hint="default"/>
        </w:rPr>
        <w:t>)</w:t>
      </w:r>
      <w:r>
        <w:rPr/>
        <w:t>公司、部室班组为单位，利用讲座、考试、各类 活动、公司报刊、网络、广播、字幕等形式，面向不同岗位、不同专业、不同责任的员工，在年度内得 到一次以上的培训。</w:t>
      </w:r>
    </w:p>
    <w:p>
      <w:pPr>
        <w:pStyle w:val="BodyText"/>
        <w:spacing w:line="273" w:lineRule="auto" w:before="163"/>
        <w:ind w:left="144" w:right="1176" w:firstLine="420"/>
        <w:jc w:val="left"/>
      </w:pPr>
      <w:r>
        <w:rPr/>
        <w:t>六、 公司承担费用的离退休职工人数：报告期内，公司承担着 </w:t>
      </w:r>
      <w:r>
        <w:rPr>
          <w:rFonts w:ascii="宋体" w:hAnsi="宋体" w:cs="宋体" w:eastAsia="宋体" w:hint="default"/>
        </w:rPr>
        <w:t>645</w:t>
      </w:r>
      <w:r>
        <w:rPr>
          <w:rFonts w:ascii="宋体" w:hAnsi="宋体" w:cs="宋体" w:eastAsia="宋体" w:hint="default"/>
          <w:spacing w:val="-44"/>
        </w:rPr>
        <w:t> </w:t>
      </w:r>
      <w:r>
        <w:rPr/>
        <w:t>名退休人员原有的书报、液化 汽、交通、住房等补贴，承担着</w:t>
      </w:r>
      <w:r>
        <w:rPr>
          <w:spacing w:val="-64"/>
        </w:rPr>
        <w:t> </w:t>
      </w:r>
      <w:r>
        <w:rPr>
          <w:rFonts w:ascii="宋体" w:hAnsi="宋体" w:cs="宋体" w:eastAsia="宋体" w:hint="default"/>
        </w:rPr>
        <w:t>19</w:t>
      </w:r>
      <w:r>
        <w:rPr>
          <w:rFonts w:ascii="宋体" w:hAnsi="宋体" w:cs="宋体" w:eastAsia="宋体" w:hint="default"/>
          <w:spacing w:val="-65"/>
        </w:rPr>
        <w:t> </w:t>
      </w:r>
      <w:r>
        <w:rPr/>
        <w:t>名内退、离岗退养人员的退养费等费用，承担着</w:t>
      </w:r>
      <w:r>
        <w:rPr>
          <w:spacing w:val="-64"/>
        </w:rPr>
        <w:t> </w:t>
      </w:r>
      <w:r>
        <w:rPr>
          <w:rFonts w:ascii="宋体" w:hAnsi="宋体" w:cs="宋体" w:eastAsia="宋体" w:hint="default"/>
        </w:rPr>
        <w:t>37</w:t>
      </w:r>
      <w:r>
        <w:rPr>
          <w:rFonts w:ascii="宋体" w:hAnsi="宋体" w:cs="宋体" w:eastAsia="宋体" w:hint="default"/>
          <w:spacing w:val="-64"/>
        </w:rPr>
        <w:t> </w:t>
      </w:r>
      <w:r>
        <w:rPr/>
        <w:t>名承诺等退、离</w:t>
      </w:r>
    </w:p>
    <w:p>
      <w:pPr>
        <w:pStyle w:val="BodyText"/>
        <w:spacing w:line="240" w:lineRule="auto"/>
        <w:ind w:left="144" w:right="1066"/>
        <w:jc w:val="left"/>
      </w:pPr>
      <w:r>
        <w:rPr/>
        <w:t>岗退养人员的非个人负担的社会保障等费用，承担着</w:t>
      </w:r>
      <w:r>
        <w:rPr>
          <w:spacing w:val="-53"/>
        </w:rPr>
        <w:t> </w:t>
      </w:r>
      <w:r>
        <w:rPr>
          <w:rFonts w:ascii="宋体" w:hAnsi="宋体" w:cs="宋体" w:eastAsia="宋体" w:hint="default"/>
        </w:rPr>
        <w:t>250</w:t>
      </w:r>
      <w:r>
        <w:rPr>
          <w:rFonts w:ascii="宋体" w:hAnsi="宋体" w:cs="宋体" w:eastAsia="宋体" w:hint="default"/>
          <w:spacing w:val="-53"/>
        </w:rPr>
        <w:t> </w:t>
      </w:r>
      <w:r>
        <w:rPr/>
        <w:t>名提前离岗人员的生活费等费用。</w:t>
      </w:r>
    </w:p>
    <w:p>
      <w:pPr>
        <w:spacing w:line="240" w:lineRule="auto" w:before="0"/>
        <w:rPr>
          <w:rFonts w:ascii="宋体" w:hAnsi="宋体" w:cs="宋体" w:eastAsia="宋体" w:hint="default"/>
          <w:sz w:val="20"/>
          <w:szCs w:val="20"/>
        </w:rPr>
      </w:pPr>
    </w:p>
    <w:p>
      <w:pPr>
        <w:pStyle w:val="Heading1"/>
        <w:spacing w:line="240" w:lineRule="auto" w:before="154"/>
        <w:ind w:left="125" w:right="1170"/>
        <w:jc w:val="center"/>
        <w:rPr>
          <w:b w:val="0"/>
          <w:bCs w:val="0"/>
        </w:rPr>
      </w:pPr>
      <w:r>
        <w:rPr/>
        <w:t>第八章</w:t>
      </w:r>
      <w:r>
        <w:rPr>
          <w:spacing w:val="-5"/>
        </w:rPr>
        <w:t> </w:t>
      </w:r>
      <w:r>
        <w:rPr/>
        <w:t>公司治理</w:t>
      </w:r>
      <w:r>
        <w:rPr>
          <w:b w:val="0"/>
          <w:bCs w:val="0"/>
        </w:rPr>
      </w:r>
    </w:p>
    <w:p>
      <w:pPr>
        <w:spacing w:line="470" w:lineRule="atLeast" w:before="255"/>
        <w:ind w:left="564" w:right="7841" w:firstLine="2"/>
        <w:jc w:val="left"/>
        <w:rPr>
          <w:rFonts w:ascii="宋体" w:hAnsi="宋体" w:cs="宋体" w:eastAsia="宋体" w:hint="default"/>
          <w:sz w:val="21"/>
          <w:szCs w:val="21"/>
        </w:rPr>
      </w:pPr>
      <w:r>
        <w:rPr>
          <w:rFonts w:ascii="宋体" w:hAnsi="宋体" w:cs="宋体" w:eastAsia="宋体" w:hint="default"/>
          <w:b/>
          <w:bCs/>
          <w:sz w:val="21"/>
          <w:szCs w:val="21"/>
        </w:rPr>
        <w:t>一、公司治理的基本状况</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基本状况</w:t>
      </w:r>
    </w:p>
    <w:p>
      <w:pPr>
        <w:pStyle w:val="BodyText"/>
        <w:spacing w:line="273" w:lineRule="auto" w:before="37"/>
        <w:ind w:left="144" w:right="1186" w:firstLine="420"/>
        <w:jc w:val="both"/>
      </w:pPr>
      <w:r>
        <w:rPr>
          <w:spacing w:val="-1"/>
        </w:rPr>
        <w:t>依据有关法律、行政法规、部门规章和规范性文件的要求，公司建立起治理结构并持续完善且规范</w:t>
      </w:r>
      <w:r>
        <w:rPr/>
        <w:t> </w:t>
      </w:r>
      <w:r>
        <w:rPr>
          <w:spacing w:val="-1"/>
        </w:rPr>
        <w:t>运作。公司的“三会一层”各司其职，协调运转，有效制衡；公司董事、监事、高级管理人员及各位员</w:t>
      </w:r>
      <w:r>
        <w:rPr>
          <w:spacing w:val="-100"/>
        </w:rPr>
        <w:t> </w:t>
      </w:r>
      <w:r>
        <w:rPr>
          <w:spacing w:val="-100"/>
        </w:rPr>
      </w:r>
      <w:r>
        <w:rPr>
          <w:spacing w:val="-1"/>
        </w:rPr>
        <w:t>工的行为和各控股公司、分公司、职能部门的业务规程，受到以公司章程为根本的制度体系的约束。本</w:t>
      </w:r>
      <w:r>
        <w:rPr>
          <w:spacing w:val="-100"/>
        </w:rPr>
        <w:t> </w:t>
      </w:r>
      <w:r>
        <w:rPr>
          <w:spacing w:val="-100"/>
        </w:rPr>
      </w:r>
      <w:r>
        <w:rPr>
          <w:spacing w:val="-1"/>
        </w:rPr>
        <w:t>公司治理的有效性在于：规范控股股东、实际控制人及其关联方的行为，确保所有股东，特别是中小股</w:t>
      </w:r>
      <w:r>
        <w:rPr>
          <w:spacing w:val="-99"/>
        </w:rPr>
        <w:t> </w:t>
      </w:r>
      <w:r>
        <w:rPr>
          <w:spacing w:val="-99"/>
        </w:rPr>
      </w:r>
      <w:r>
        <w:rPr>
          <w:spacing w:val="-2"/>
        </w:rPr>
        <w:t>东享有平等地位，充分行使权利；明确“三会一层”的职责并得到切实执行；合理保证公司经营管理合</w:t>
      </w:r>
      <w:r>
        <w:rPr>
          <w:spacing w:val="-61"/>
        </w:rPr>
        <w:t> </w:t>
      </w:r>
      <w:r>
        <w:rPr>
          <w:spacing w:val="-61"/>
        </w:rPr>
      </w:r>
      <w:r>
        <w:rPr>
          <w:spacing w:val="-1"/>
        </w:rPr>
        <w:t>法合规、资产安全、财务报告及相关信息真实完整，提高经营效率和效果，促进公司实现发展战略，促</w:t>
      </w:r>
      <w:r>
        <w:rPr>
          <w:spacing w:val="-103"/>
        </w:rPr>
        <w:t> </w:t>
      </w:r>
      <w:r>
        <w:rPr>
          <w:spacing w:val="-103"/>
        </w:rPr>
      </w:r>
      <w:r>
        <w:rPr>
          <w:spacing w:val="-1"/>
        </w:rPr>
        <w:t>进财务管理、重大投资、关联交易、子公司管控和其他内部治理工作的深入，促进健全内部约束机制和</w:t>
      </w:r>
      <w:r>
        <w:rPr>
          <w:spacing w:val="-100"/>
        </w:rPr>
        <w:t> </w:t>
      </w:r>
      <w:r>
        <w:rPr>
          <w:spacing w:val="-100"/>
        </w:rPr>
      </w:r>
      <w:r>
        <w:rPr>
          <w:spacing w:val="-1"/>
        </w:rPr>
        <w:t>责任追究机制，促进完善信息披露与增加透明度，促进持续尊重债权人、职工、消费者、供应商、社区</w:t>
      </w:r>
      <w:r>
        <w:rPr>
          <w:spacing w:val="-102"/>
        </w:rPr>
        <w:t> </w:t>
      </w:r>
      <w:r>
        <w:rPr>
          <w:spacing w:val="-102"/>
        </w:rPr>
      </w:r>
      <w:r>
        <w:rPr/>
        <w:t>等利益相关者的合法权利，促进持续关注环境保护、公益事业等社会责任。</w:t>
      </w:r>
    </w:p>
    <w:p>
      <w:pPr>
        <w:pStyle w:val="BodyText"/>
        <w:spacing w:line="273" w:lineRule="auto"/>
        <w:ind w:left="144" w:right="1079" w:firstLine="420"/>
        <w:jc w:val="left"/>
      </w:pPr>
      <w:r>
        <w:rPr/>
        <w:t>报告期内建立或修订的公司治理制度有《公司内部控制制度</w:t>
      </w:r>
      <w:r>
        <w:rPr>
          <w:rFonts w:ascii="宋体" w:hAnsi="宋体" w:cs="宋体" w:eastAsia="宋体" w:hint="default"/>
        </w:rPr>
        <w:t>(2014</w:t>
      </w:r>
      <w:r>
        <w:rPr>
          <w:rFonts w:ascii="宋体" w:hAnsi="宋体" w:cs="宋体" w:eastAsia="宋体" w:hint="default"/>
          <w:spacing w:val="-46"/>
        </w:rPr>
        <w:t> </w:t>
      </w:r>
      <w:r>
        <w:rPr/>
        <w:t>年</w:t>
      </w:r>
      <w:r>
        <w:rPr>
          <w:spacing w:val="-48"/>
        </w:rPr>
        <w:t> </w:t>
      </w:r>
      <w:r>
        <w:rPr>
          <w:rFonts w:ascii="宋体" w:hAnsi="宋体" w:cs="宋体" w:eastAsia="宋体" w:hint="default"/>
          <w:spacing w:val="-1"/>
        </w:rPr>
        <w:t>12</w:t>
      </w:r>
      <w:r>
        <w:rPr>
          <w:rFonts w:ascii="宋体" w:hAnsi="宋体" w:cs="宋体" w:eastAsia="宋体" w:hint="default"/>
          <w:spacing w:val="-46"/>
        </w:rPr>
        <w:t> </w:t>
      </w:r>
      <w:r>
        <w:rPr>
          <w:spacing w:val="-17"/>
        </w:rPr>
        <w:t>月修定</w:t>
      </w:r>
      <w:r>
        <w:rPr>
          <w:rFonts w:ascii="宋体" w:hAnsi="宋体" w:cs="宋体" w:eastAsia="宋体" w:hint="default"/>
          <w:spacing w:val="-17"/>
        </w:rPr>
        <w:t>)</w:t>
      </w:r>
      <w:r>
        <w:rPr>
          <w:spacing w:val="-17"/>
        </w:rPr>
        <w:t>》、《公司对外担保</w:t>
      </w:r>
      <w:r>
        <w:rPr/>
        <w:t> 管理办法</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spacing w:val="-1"/>
        </w:rPr>
        <w:t>12</w:t>
      </w:r>
      <w:r>
        <w:rPr>
          <w:rFonts w:ascii="宋体" w:hAnsi="宋体" w:cs="宋体" w:eastAsia="宋体" w:hint="default"/>
          <w:spacing w:val="-49"/>
        </w:rPr>
        <w:t> </w:t>
      </w:r>
      <w:r>
        <w:rPr>
          <w:spacing w:val="-10"/>
        </w:rPr>
        <w:t>月修定</w:t>
      </w:r>
      <w:r>
        <w:rPr>
          <w:rFonts w:ascii="宋体" w:hAnsi="宋体" w:cs="宋体" w:eastAsia="宋体" w:hint="default"/>
          <w:spacing w:val="-10"/>
        </w:rPr>
        <w:t>)</w:t>
      </w:r>
      <w:r>
        <w:rPr>
          <w:spacing w:val="-10"/>
        </w:rPr>
        <w:t>》、《公司投资者关系管理制度</w:t>
      </w:r>
      <w:r>
        <w:rPr>
          <w:rFonts w:ascii="宋体" w:hAnsi="宋体" w:cs="宋体" w:eastAsia="宋体" w:hint="default"/>
          <w:spacing w:val="-10"/>
        </w:rPr>
        <w:t>(2014</w:t>
      </w:r>
      <w:r>
        <w:rPr>
          <w:rFonts w:ascii="宋体" w:hAnsi="宋体" w:cs="宋体" w:eastAsia="宋体" w:hint="default"/>
          <w:spacing w:val="-50"/>
        </w:rPr>
        <w:t> </w:t>
      </w:r>
      <w:r>
        <w:rPr/>
        <w:t>年</w:t>
      </w:r>
      <w:r>
        <w:rPr>
          <w:spacing w:val="-50"/>
        </w:rPr>
        <w:t> </w:t>
      </w:r>
      <w:r>
        <w:rPr>
          <w:rFonts w:ascii="宋体" w:hAnsi="宋体" w:cs="宋体" w:eastAsia="宋体" w:hint="default"/>
          <w:spacing w:val="-1"/>
        </w:rPr>
        <w:t>12</w:t>
      </w:r>
      <w:r>
        <w:rPr>
          <w:rFonts w:ascii="宋体" w:hAnsi="宋体" w:cs="宋体" w:eastAsia="宋体" w:hint="default"/>
          <w:spacing w:val="-49"/>
        </w:rPr>
        <w:t> </w:t>
      </w:r>
      <w:r>
        <w:rPr>
          <w:spacing w:val="-3"/>
        </w:rPr>
        <w:t>月修定</w:t>
      </w:r>
      <w:r>
        <w:rPr>
          <w:rFonts w:ascii="宋体" w:hAnsi="宋体" w:cs="宋体" w:eastAsia="宋体" w:hint="default"/>
          <w:spacing w:val="-3"/>
        </w:rPr>
        <w:t>)</w:t>
      </w:r>
      <w:r>
        <w:rPr>
          <w:spacing w:val="-3"/>
        </w:rPr>
        <w:t>》及财务、企划、人事、</w:t>
      </w:r>
      <w:r>
        <w:rPr/>
        <w:t> 公文、采购、行政等业务审批流程。</w:t>
      </w:r>
    </w:p>
    <w:p>
      <w:pPr>
        <w:pStyle w:val="BodyText"/>
        <w:spacing w:line="240" w:lineRule="auto"/>
        <w:ind w:left="564" w:right="1066"/>
        <w:jc w:val="left"/>
      </w:pPr>
      <w:r>
        <w:rPr/>
        <w:t>公司治理与《公司法》和证监会相关规定的要求不存在差异。</w:t>
      </w:r>
    </w:p>
    <w:p>
      <w:pPr>
        <w:spacing w:line="240" w:lineRule="auto" w:before="10"/>
        <w:rPr>
          <w:rFonts w:ascii="宋体" w:hAnsi="宋体" w:cs="宋体" w:eastAsia="宋体" w:hint="default"/>
          <w:sz w:val="14"/>
          <w:szCs w:val="14"/>
        </w:rPr>
      </w:pPr>
    </w:p>
    <w:p>
      <w:pPr>
        <w:pStyle w:val="BodyText"/>
        <w:spacing w:line="273" w:lineRule="auto" w:before="0"/>
        <w:ind w:left="564" w:right="1173"/>
        <w:jc w:val="left"/>
      </w:pPr>
      <w:r>
        <w:rPr>
          <w:rFonts w:ascii="宋体" w:hAnsi="宋体" w:cs="宋体" w:eastAsia="宋体" w:hint="default"/>
        </w:rPr>
        <w:t>(</w:t>
      </w:r>
      <w:r>
        <w:rPr/>
        <w:t>二</w:t>
      </w:r>
      <w:r>
        <w:rPr>
          <w:rFonts w:ascii="宋体" w:hAnsi="宋体" w:cs="宋体" w:eastAsia="宋体" w:hint="default"/>
        </w:rPr>
        <w:t>)</w:t>
      </w:r>
      <w:r>
        <w:rPr/>
        <w:t>公司治理专项活动开展情况以及内幕信息知情人登记管理制度的制定、实施情况 本公司的治理专项活动始于 </w:t>
      </w:r>
      <w:r>
        <w:rPr>
          <w:rFonts w:ascii="宋体" w:hAnsi="宋体" w:cs="宋体" w:eastAsia="宋体" w:hint="default"/>
        </w:rPr>
        <w:t>2007</w:t>
      </w:r>
      <w:r>
        <w:rPr>
          <w:rFonts w:ascii="宋体" w:hAnsi="宋体" w:cs="宋体" w:eastAsia="宋体" w:hint="default"/>
          <w:spacing w:val="-41"/>
        </w:rPr>
        <w:t> </w:t>
      </w:r>
      <w:r>
        <w:rPr/>
        <w:t>年，按照证监会及其派出机构河北证监局和深交所关于开展加强</w:t>
      </w:r>
    </w:p>
    <w:p>
      <w:pPr>
        <w:pStyle w:val="BodyText"/>
        <w:spacing w:line="273" w:lineRule="auto"/>
        <w:ind w:left="144" w:right="1066"/>
        <w:jc w:val="left"/>
      </w:pPr>
      <w:r>
        <w:rPr>
          <w:spacing w:val="-3"/>
        </w:rPr>
        <w:t>上市公司治理专项活动的有关文件要求，于当年完成所承诺的整改计划。</w:t>
      </w:r>
      <w:r>
        <w:rPr>
          <w:rFonts w:ascii="宋体" w:hAnsi="宋体" w:cs="宋体" w:eastAsia="宋体" w:hint="default"/>
          <w:spacing w:val="-3"/>
        </w:rPr>
        <w:t>2008</w:t>
      </w:r>
      <w:r>
        <w:rPr>
          <w:rFonts w:ascii="宋体" w:hAnsi="宋体" w:cs="宋体" w:eastAsia="宋体" w:hint="default"/>
          <w:spacing w:val="-47"/>
        </w:rPr>
        <w:t> </w:t>
      </w:r>
      <w:r>
        <w:rPr/>
        <w:t>年公司治理以防控大股东</w:t>
      </w:r>
      <w:r>
        <w:rPr>
          <w:spacing w:val="-95"/>
        </w:rPr>
        <w:t> </w:t>
      </w:r>
      <w:r>
        <w:rPr>
          <w:spacing w:val="-95"/>
        </w:rPr>
      </w:r>
      <w:r>
        <w:rPr>
          <w:spacing w:val="-10"/>
        </w:rPr>
        <w:t>占用资金、敏感信息处理及披露等治理事项为重点，对《公司章程》、《董事会议事规则》、《信息披露事</w:t>
      </w:r>
      <w:r>
        <w:rPr>
          <w:spacing w:val="-98"/>
        </w:rPr>
        <w:t> </w:t>
      </w:r>
      <w:r>
        <w:rPr>
          <w:spacing w:val="-98"/>
        </w:rPr>
      </w:r>
      <w:r>
        <w:rPr>
          <w:spacing w:val="-8"/>
        </w:rPr>
        <w:t>务管理制度》、《募集资金使用管理办法》等制度作出修订，规定“占用即冻结”，进一步明确公司董事、</w:t>
      </w:r>
      <w:r>
        <w:rPr>
          <w:spacing w:val="-89"/>
        </w:rPr>
        <w:t> </w:t>
      </w:r>
      <w:r>
        <w:rPr>
          <w:spacing w:val="-89"/>
        </w:rPr>
      </w:r>
      <w:r>
        <w:rPr/>
        <w:t>监事、高级管理人员对维护公司资金和财产安全负有的法定义务。</w:t>
      </w:r>
      <w:r>
        <w:rPr>
          <w:rFonts w:ascii="宋体" w:hAnsi="宋体" w:cs="宋体" w:eastAsia="宋体" w:hint="default"/>
        </w:rPr>
        <w:t>2009</w:t>
      </w:r>
      <w:r>
        <w:rPr>
          <w:rFonts w:ascii="宋体" w:hAnsi="宋体" w:cs="宋体" w:eastAsia="宋体" w:hint="default"/>
          <w:spacing w:val="-50"/>
        </w:rPr>
        <w:t> </w:t>
      </w:r>
      <w:r>
        <w:rPr/>
        <w:t>年公司对自</w:t>
      </w:r>
      <w:r>
        <w:rPr>
          <w:spacing w:val="-50"/>
        </w:rPr>
        <w:t> </w:t>
      </w:r>
      <w:r>
        <w:rPr>
          <w:rFonts w:ascii="宋体" w:hAnsi="宋体" w:cs="宋体" w:eastAsia="宋体" w:hint="default"/>
        </w:rPr>
        <w:t>2007</w:t>
      </w:r>
      <w:r>
        <w:rPr>
          <w:rFonts w:ascii="宋体" w:hAnsi="宋体" w:cs="宋体" w:eastAsia="宋体" w:hint="default"/>
          <w:spacing w:val="-49"/>
        </w:rPr>
        <w:t> </w:t>
      </w:r>
      <w:r>
        <w:rPr/>
        <w:t>年以来的两年 多的治理专项活动进行回顾，开展自查，所承诺的整改事项已经按计划在限期内完成，重点关注的规范 事项得到完善，公司试行年报编制、审议和披露期间的保密规定，加强对外部单位报送信息的管理；实 行独立董事年报工作制度和审计委员会年报工作规程。</w:t>
      </w:r>
      <w:r>
        <w:rPr>
          <w:rFonts w:ascii="宋体" w:hAnsi="宋体" w:cs="宋体" w:eastAsia="宋体" w:hint="default"/>
        </w:rPr>
        <w:t>2010</w:t>
      </w:r>
      <w:r>
        <w:rPr>
          <w:rFonts w:ascii="宋体" w:hAnsi="宋体" w:cs="宋体" w:eastAsia="宋体" w:hint="default"/>
          <w:spacing w:val="-65"/>
        </w:rPr>
        <w:t> </w:t>
      </w:r>
      <w:r>
        <w:rPr>
          <w:spacing w:val="-3"/>
        </w:rPr>
        <w:t>年公司对董事会年报工作规程作出修订，对</w:t>
      </w:r>
      <w:r>
        <w:rPr/>
        <w:t> 信息披露事务管理制度作出修订，增加有关年报信息披露重大差错责任追究的相关内容，明确重大差错 </w:t>
      </w:r>
      <w:r>
        <w:rPr>
          <w:spacing w:val="-3"/>
        </w:rPr>
        <w:t>的情形及事项、追究措施和处理方式。</w:t>
      </w:r>
      <w:r>
        <w:rPr>
          <w:rFonts w:ascii="宋体" w:hAnsi="宋体" w:cs="宋体" w:eastAsia="宋体" w:hint="default"/>
          <w:spacing w:val="-3"/>
        </w:rPr>
        <w:t>2011</w:t>
      </w:r>
      <w:r>
        <w:rPr>
          <w:rFonts w:ascii="宋体" w:hAnsi="宋体" w:cs="宋体" w:eastAsia="宋体" w:hint="default"/>
          <w:spacing w:val="-62"/>
        </w:rPr>
        <w:t> </w:t>
      </w:r>
      <w:r>
        <w:rPr/>
        <w:t>年公司修订了财务报告内控制度，按照国务院办公厅转发证 监会、公安部、监察部、国资委、预防腐败局《关于依法打击和防控资本市场内幕交易的意见》</w:t>
      </w:r>
      <w:r>
        <w:rPr>
          <w:rFonts w:ascii="宋体" w:hAnsi="宋体" w:cs="宋体" w:eastAsia="宋体" w:hint="default"/>
        </w:rPr>
        <w:t>(</w:t>
      </w:r>
      <w:r>
        <w:rPr/>
        <w:t>国办</w:t>
      </w:r>
      <w:r>
        <w:rPr>
          <w:spacing w:val="-41"/>
        </w:rPr>
        <w:t> </w:t>
      </w:r>
      <w:r>
        <w:rPr/>
        <w:t>发</w:t>
      </w:r>
      <w:r>
        <w:rPr>
          <w:rFonts w:ascii="宋体" w:hAnsi="宋体" w:cs="宋体" w:eastAsia="宋体" w:hint="default"/>
        </w:rPr>
        <w:t>[2010]55</w:t>
      </w:r>
      <w:r>
        <w:rPr>
          <w:rFonts w:ascii="宋体" w:hAnsi="宋体" w:cs="宋体" w:eastAsia="宋体" w:hint="default"/>
          <w:spacing w:val="-63"/>
        </w:rPr>
        <w:t> </w:t>
      </w:r>
      <w:r>
        <w:rPr/>
        <w:t>号</w:t>
      </w:r>
      <w:r>
        <w:rPr>
          <w:rFonts w:ascii="宋体" w:hAnsi="宋体" w:cs="宋体" w:eastAsia="宋体" w:hint="default"/>
        </w:rPr>
        <w:t>)</w:t>
      </w:r>
      <w:r>
        <w:rPr/>
        <w:t>及证监会</w:t>
      </w:r>
      <w:r>
        <w:rPr>
          <w:rFonts w:ascii="宋体" w:hAnsi="宋体" w:cs="宋体" w:eastAsia="宋体" w:hint="default"/>
        </w:rPr>
        <w:t>[2010]37</w:t>
      </w:r>
      <w:r>
        <w:rPr>
          <w:rFonts w:ascii="宋体" w:hAnsi="宋体" w:cs="宋体" w:eastAsia="宋体" w:hint="default"/>
          <w:spacing w:val="-62"/>
        </w:rPr>
        <w:t> </w:t>
      </w:r>
      <w:r>
        <w:rPr/>
        <w:t>号公告和深交所《主板上市公司规范运作指引》的规定，对《公司内 </w:t>
      </w:r>
      <w:r>
        <w:rPr>
          <w:spacing w:val="-4"/>
        </w:rPr>
        <w:t>幕信息保密与管理制度》进行修订。</w:t>
      </w:r>
      <w:r>
        <w:rPr>
          <w:rFonts w:ascii="宋体" w:hAnsi="宋体" w:cs="宋体" w:eastAsia="宋体" w:hint="default"/>
          <w:spacing w:val="-4"/>
        </w:rPr>
        <w:t>2012</w:t>
      </w:r>
      <w:r>
        <w:rPr>
          <w:rFonts w:ascii="宋体" w:hAnsi="宋体" w:cs="宋体" w:eastAsia="宋体" w:hint="default"/>
          <w:spacing w:val="-56"/>
        </w:rPr>
        <w:t> </w:t>
      </w:r>
      <w:r>
        <w:rPr/>
        <w:t>年公司依据中国证监会《关于进一步落实上市公司现金分红有 关事项的通知》要求，修订公司章程利润分配条款，规范现金分红。</w:t>
      </w:r>
    </w:p>
    <w:p>
      <w:pPr>
        <w:pStyle w:val="BodyText"/>
        <w:spacing w:line="240" w:lineRule="auto"/>
        <w:ind w:left="564" w:right="1066"/>
        <w:jc w:val="left"/>
      </w:pPr>
      <w:r>
        <w:rPr/>
        <w:t>报告期内，公司继续推进治理工作，依据内控基本规范及配套指引，制定实施方案，进一步深入开</w:t>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824" w:right="418" w:hanging="421"/>
        <w:jc w:val="left"/>
      </w:pPr>
      <w:r>
        <w:rPr/>
        <w:t>展内控体系建设。有关公司内控建设事项见本年报第九章内部控制的相关内容。 </w:t>
      </w:r>
      <w:r>
        <w:rPr>
          <w:spacing w:val="-2"/>
        </w:rPr>
        <w:t>依据证监会公告《关于上市公司建立内幕信息知情人登记管理制度的规定》，公司第五届董事会于</w:t>
      </w:r>
    </w:p>
    <w:p>
      <w:pPr>
        <w:pStyle w:val="BodyText"/>
        <w:spacing w:line="273" w:lineRule="auto"/>
        <w:ind w:right="1188"/>
        <w:jc w:val="both"/>
      </w:pPr>
      <w:r>
        <w:rPr>
          <w:rFonts w:ascii="宋体" w:hAnsi="宋体" w:cs="宋体" w:eastAsia="宋体" w:hint="default"/>
        </w:rPr>
        <w:t>2011</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29</w:t>
      </w:r>
      <w:r>
        <w:rPr>
          <w:rFonts w:ascii="宋体" w:hAnsi="宋体" w:cs="宋体" w:eastAsia="宋体" w:hint="default"/>
          <w:spacing w:val="-49"/>
        </w:rPr>
        <w:t> </w:t>
      </w:r>
      <w:r>
        <w:rPr>
          <w:spacing w:val="-3"/>
        </w:rPr>
        <w:t>日召开临时会议，对《公司内幕信息保密与管理制度》进行修订，增加内幕信息知情人</w:t>
      </w:r>
      <w:r>
        <w:rPr/>
        <w:t> </w:t>
      </w:r>
      <w:r>
        <w:rPr>
          <w:spacing w:val="-1"/>
        </w:rPr>
        <w:t>登记的内容、办法、责任、格式，考核内容、标准等，健全完善了内幕信息知情人登记管理制度。该制</w:t>
      </w:r>
      <w:r>
        <w:rPr/>
        <w:t> 度在报告期得到有效执行，在 </w:t>
      </w:r>
      <w:r>
        <w:rPr>
          <w:rFonts w:ascii="宋体" w:hAnsi="宋体" w:cs="宋体" w:eastAsia="宋体" w:hint="default"/>
        </w:rPr>
        <w:t>2014</w:t>
      </w:r>
      <w:r>
        <w:rPr>
          <w:rFonts w:ascii="宋体" w:hAnsi="宋体" w:cs="宋体" w:eastAsia="宋体" w:hint="default"/>
          <w:spacing w:val="-41"/>
        </w:rPr>
        <w:t> </w:t>
      </w:r>
      <w:r>
        <w:rPr/>
        <w:t>年重组筹划开展、定期报告编制等内幕信息形成、传递、披露过程 中对知情人进行登记报备。</w:t>
      </w:r>
    </w:p>
    <w:p>
      <w:pPr>
        <w:pStyle w:val="BodyText"/>
        <w:spacing w:line="240" w:lineRule="auto"/>
        <w:ind w:left="824" w:right="418"/>
        <w:jc w:val="left"/>
      </w:pPr>
      <w:r>
        <w:rPr/>
        <w:t>公司治理专项活动开展情况及内幕信息知情人登记管理制度制定情况的临时公告的相关查询索引</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7231"/>
        <w:gridCol w:w="2694"/>
      </w:tblGrid>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或有编号</w:t>
            </w:r>
            <w:r>
              <w:rPr>
                <w:rFonts w:ascii="宋体" w:hAnsi="宋体" w:cs="宋体" w:eastAsia="宋体" w:hint="default"/>
                <w:sz w:val="18"/>
                <w:szCs w:val="18"/>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37">
              <w:r>
                <w:rPr>
                  <w:rFonts w:ascii="宋体" w:hAnsi="宋体" w:cs="宋体" w:eastAsia="宋体" w:hint="default"/>
                  <w:sz w:val="18"/>
                  <w:szCs w:val="18"/>
                </w:rPr>
                <w:t>茂业物流：开展加强治理专项活动自查报告及整改计划的公告</w:t>
              </w:r>
            </w:hyperlink>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2007-19)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2007-06-27</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38">
              <w:r>
                <w:rPr>
                  <w:rFonts w:ascii="宋体" w:hAnsi="宋体" w:cs="宋体" w:eastAsia="宋体" w:hint="default"/>
                  <w:sz w:val="18"/>
                  <w:szCs w:val="18"/>
                </w:rPr>
                <w:t>茂业物流：开展加强治理专项活动的整改报告</w:t>
              </w:r>
            </w:hyperlink>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2007-11-01</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39">
              <w:r>
                <w:rPr>
                  <w:rFonts w:ascii="宋体" w:hAnsi="宋体" w:cs="宋体" w:eastAsia="宋体" w:hint="default"/>
                  <w:sz w:val="18"/>
                  <w:szCs w:val="18"/>
                </w:rPr>
                <w:t>茂业物流：关于治理整改报告中所列事项的整改情况说明</w:t>
              </w:r>
            </w:hyperlink>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0"/>
              <w:jc w:val="right"/>
              <w:rPr>
                <w:rFonts w:ascii="宋体" w:hAnsi="宋体" w:cs="宋体" w:eastAsia="宋体" w:hint="default"/>
                <w:sz w:val="18"/>
                <w:szCs w:val="18"/>
              </w:rPr>
            </w:pPr>
            <w:r>
              <w:rPr>
                <w:rFonts w:ascii="宋体"/>
                <w:sz w:val="18"/>
              </w:rPr>
              <w:t>2008-07-29</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40">
              <w:r>
                <w:rPr>
                  <w:rFonts w:ascii="宋体" w:hAnsi="宋体" w:cs="宋体" w:eastAsia="宋体" w:hint="default"/>
                  <w:sz w:val="18"/>
                  <w:szCs w:val="18"/>
                </w:rPr>
                <w:t>茂业物流：第四届董事会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hyperlink>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2008-19)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2008-11-29</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茂业物流：第四届董事会</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年第二次会议决议公告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2010-03)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2010-03-05</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2011-02)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0"/>
              <w:jc w:val="right"/>
              <w:rPr>
                <w:rFonts w:ascii="宋体" w:hAnsi="宋体" w:cs="宋体" w:eastAsia="宋体" w:hint="default"/>
                <w:sz w:val="18"/>
                <w:szCs w:val="18"/>
              </w:rPr>
            </w:pPr>
            <w:r>
              <w:rPr>
                <w:rFonts w:ascii="宋体"/>
                <w:sz w:val="18"/>
              </w:rPr>
              <w:t>2011-03-01</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年第七次会议决议公告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2011-27)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2011-12-30</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茂业物流：内部控制规范实施工作方案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2012-04-20</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年第四次会议决议公告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2012-35)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0"/>
              <w:jc w:val="right"/>
              <w:rPr>
                <w:rFonts w:ascii="宋体" w:hAnsi="宋体" w:cs="宋体" w:eastAsia="宋体" w:hint="default"/>
                <w:sz w:val="18"/>
                <w:szCs w:val="18"/>
              </w:rPr>
            </w:pPr>
            <w:r>
              <w:rPr>
                <w:rFonts w:ascii="宋体"/>
                <w:sz w:val="18"/>
              </w:rPr>
              <w:t>2012-07-27</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年内部控制规范实施工作进展情况报告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2013-02-26</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茂业物流：内部控制规范实施工作方案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年修订</w:t>
            </w:r>
            <w:r>
              <w:rPr>
                <w:rFonts w:ascii="宋体" w:hAnsi="宋体" w:cs="宋体" w:eastAsia="宋体" w:hint="default"/>
                <w:sz w:val="18"/>
                <w:szCs w:val="18"/>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right"/>
              <w:rPr>
                <w:rFonts w:ascii="宋体" w:hAnsi="宋体" w:cs="宋体" w:eastAsia="宋体" w:hint="default"/>
                <w:sz w:val="18"/>
                <w:szCs w:val="18"/>
              </w:rPr>
            </w:pPr>
            <w:r>
              <w:rPr>
                <w:rFonts w:ascii="宋体"/>
                <w:sz w:val="18"/>
              </w:rPr>
              <w:t>2013-02-26</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年内部控制实施工作进展情况报告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0"/>
              <w:jc w:val="right"/>
              <w:rPr>
                <w:rFonts w:ascii="宋体" w:hAnsi="宋体" w:cs="宋体" w:eastAsia="宋体" w:hint="default"/>
                <w:sz w:val="18"/>
                <w:szCs w:val="18"/>
              </w:rPr>
            </w:pPr>
            <w:r>
              <w:rPr>
                <w:rFonts w:ascii="宋体"/>
                <w:sz w:val="18"/>
              </w:rPr>
              <w:t>2014-02-26</w:t>
            </w:r>
          </w:p>
        </w:tc>
      </w:tr>
    </w:tbl>
    <w:p>
      <w:pPr>
        <w:spacing w:line="240" w:lineRule="auto" w:before="1"/>
        <w:rPr>
          <w:rFonts w:ascii="宋体" w:hAnsi="宋体" w:cs="宋体" w:eastAsia="宋体" w:hint="default"/>
          <w:sz w:val="20"/>
          <w:szCs w:val="20"/>
        </w:rPr>
      </w:pPr>
    </w:p>
    <w:p>
      <w:pPr>
        <w:spacing w:line="273" w:lineRule="auto" w:before="35"/>
        <w:ind w:left="824" w:right="4340" w:firstLine="2"/>
        <w:jc w:val="left"/>
        <w:rPr>
          <w:rFonts w:ascii="宋体" w:hAnsi="宋体" w:cs="宋体" w:eastAsia="宋体" w:hint="default"/>
          <w:sz w:val="21"/>
          <w:szCs w:val="21"/>
        </w:rPr>
      </w:pPr>
      <w:r>
        <w:rPr>
          <w:rFonts w:ascii="宋体" w:hAnsi="宋体" w:cs="宋体" w:eastAsia="宋体" w:hint="default"/>
          <w:b/>
          <w:bCs/>
          <w:sz w:val="21"/>
          <w:szCs w:val="21"/>
        </w:rPr>
        <w:t>二、报告期内召开的年度股东大会和临时股东大会的有关情况</w:t>
      </w:r>
      <w:r>
        <w:rPr>
          <w:rFonts w:ascii="宋体" w:hAnsi="宋体" w:cs="宋体" w:eastAsia="宋体" w:hint="default"/>
          <w:b/>
          <w:bCs/>
          <w:w w:val="99"/>
          <w:sz w:val="21"/>
          <w:szCs w:val="21"/>
        </w:rPr>
        <w:t> </w:t>
      </w:r>
      <w:r>
        <w:rPr>
          <w:rFonts w:ascii="宋体" w:hAnsi="宋体" w:cs="宋体" w:eastAsia="宋体" w:hint="default"/>
          <w:sz w:val="21"/>
          <w:szCs w:val="21"/>
        </w:rPr>
        <w:t>报告期内，公司召开了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次年度股东大会，</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次临时股东大会。</w:t>
      </w:r>
    </w:p>
    <w:p>
      <w:pPr>
        <w:pStyle w:val="BodyText"/>
        <w:spacing w:line="240" w:lineRule="auto" w:before="70"/>
        <w:ind w:left="824" w:right="5945"/>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本报告期年度股东大会情况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4"/>
        <w:gridCol w:w="992"/>
        <w:gridCol w:w="1560"/>
        <w:gridCol w:w="5103"/>
        <w:gridCol w:w="142"/>
        <w:gridCol w:w="1134"/>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6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决议情况</w:t>
            </w:r>
          </w:p>
        </w:tc>
      </w:tr>
      <w:tr>
        <w:trPr>
          <w:trHeight w:val="117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年度 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3</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w:t>
            </w:r>
            <w:r>
              <w:rPr>
                <w:rFonts w:ascii="宋体" w:hAnsi="宋体" w:cs="宋体" w:eastAsia="宋体" w:hint="default"/>
                <w:spacing w:val="-32"/>
                <w:sz w:val="18"/>
                <w:szCs w:val="18"/>
              </w:rPr>
              <w:t> </w:t>
            </w:r>
            <w:r>
              <w:rPr>
                <w:rFonts w:ascii="宋体" w:hAnsi="宋体" w:cs="宋体" w:eastAsia="宋体" w:hint="default"/>
                <w:sz w:val="18"/>
                <w:szCs w:val="18"/>
              </w:rPr>
              <w:t>2013</w:t>
            </w:r>
            <w:r>
              <w:rPr>
                <w:rFonts w:ascii="宋体" w:hAnsi="宋体" w:cs="宋体" w:eastAsia="宋体" w:hint="default"/>
                <w:spacing w:val="-30"/>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w:t>
            </w:r>
            <w:r>
              <w:rPr>
                <w:rFonts w:ascii="宋体" w:hAnsi="宋体" w:cs="宋体" w:eastAsia="宋体" w:hint="default"/>
                <w:spacing w:val="-32"/>
                <w:sz w:val="18"/>
                <w:szCs w:val="18"/>
              </w:rPr>
              <w:t> </w:t>
            </w:r>
            <w:r>
              <w:rPr>
                <w:rFonts w:ascii="宋体" w:hAnsi="宋体" w:cs="宋体" w:eastAsia="宋体" w:hint="default"/>
                <w:sz w:val="18"/>
                <w:szCs w:val="18"/>
              </w:rPr>
              <w:t>2013</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《公</w:t>
            </w:r>
          </w:p>
          <w:p>
            <w:pPr>
              <w:pStyle w:val="TableParagraph"/>
              <w:spacing w:line="233" w:lineRule="exact"/>
              <w:ind w:left="101"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36"/>
                <w:sz w:val="18"/>
                <w:szCs w:val="18"/>
              </w:rPr>
              <w:t> </w:t>
            </w: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年总</w:t>
            </w:r>
            <w:r>
              <w:rPr>
                <w:rFonts w:ascii="宋体" w:hAnsi="宋体" w:cs="宋体" w:eastAsia="宋体" w:hint="default"/>
                <w:spacing w:val="1"/>
                <w:sz w:val="18"/>
                <w:szCs w:val="18"/>
              </w:rPr>
              <w:t>裁</w:t>
            </w: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度财务报告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宋体" w:hAnsi="宋体" w:cs="宋体" w:eastAsia="宋体" w:hint="default"/>
                <w:sz w:val="18"/>
                <w:szCs w:val="18"/>
              </w:rPr>
              <w:t>2013</w:t>
            </w:r>
            <w:r>
              <w:rPr>
                <w:rFonts w:ascii="宋体" w:hAnsi="宋体" w:cs="宋体" w:eastAsia="宋体" w:hint="default"/>
                <w:spacing w:val="-35"/>
                <w:sz w:val="18"/>
                <w:szCs w:val="18"/>
              </w:rPr>
              <w:t> </w:t>
            </w:r>
            <w:r>
              <w:rPr>
                <w:rFonts w:ascii="宋体" w:hAnsi="宋体" w:cs="宋体" w:eastAsia="宋体" w:hint="default"/>
                <w:sz w:val="18"/>
                <w:szCs w:val="18"/>
              </w:rPr>
              <w:t>年度利润</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分配预案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《公司续聘会计师事务所的议案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《公司</w:t>
            </w:r>
            <w:r>
              <w:rPr>
                <w:rFonts w:ascii="宋体" w:hAnsi="宋体" w:cs="宋体" w:eastAsia="宋体" w:hint="default"/>
                <w:spacing w:val="-17"/>
                <w:sz w:val="18"/>
                <w:szCs w:val="18"/>
              </w:rPr>
              <w:t> </w:t>
            </w:r>
            <w:r>
              <w:rPr>
                <w:rFonts w:ascii="宋体" w:hAnsi="宋体" w:cs="宋体" w:eastAsia="宋体" w:hint="default"/>
                <w:sz w:val="18"/>
                <w:szCs w:val="18"/>
              </w:rPr>
              <w:t>2013</w:t>
            </w:r>
            <w:r>
              <w:rPr>
                <w:rFonts w:ascii="宋体" w:hAnsi="宋体" w:cs="宋体" w:eastAsia="宋体" w:hint="default"/>
                <w:spacing w:val="-17"/>
                <w:sz w:val="18"/>
                <w:szCs w:val="18"/>
              </w:rPr>
              <w:t> </w:t>
            </w:r>
            <w:r>
              <w:rPr>
                <w:rFonts w:ascii="宋体" w:hAnsi="宋体" w:cs="宋体" w:eastAsia="宋体" w:hint="default"/>
                <w:sz w:val="18"/>
                <w:szCs w:val="18"/>
              </w:rPr>
              <w:t>年年度报告正文及 摘要</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8</w:t>
            </w:r>
            <w:r>
              <w:rPr>
                <w:rFonts w:ascii="宋体" w:hAnsi="宋体" w:cs="宋体" w:eastAsia="宋体" w:hint="default"/>
                <w:sz w:val="18"/>
                <w:szCs w:val="18"/>
              </w:rPr>
              <w:t>《补选康树佳为公司股东代表监事的议案</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pacing w:val="-9"/>
                <w:sz w:val="18"/>
                <w:szCs w:val="18"/>
              </w:rPr>
              <w:t>9</w:t>
            </w:r>
            <w:r>
              <w:rPr>
                <w:rFonts w:ascii="宋体" w:hAnsi="宋体" w:cs="宋体" w:eastAsia="宋体" w:hint="default"/>
                <w:sz w:val="18"/>
                <w:szCs w:val="18"/>
              </w:rPr>
              <w:t>《公司吸收合并全资子公司 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22"/>
                <w:sz w:val="18"/>
                <w:szCs w:val="18"/>
              </w:rPr>
              <w:t> </w:t>
            </w:r>
            <w:r>
              <w:rPr>
                <w:rFonts w:ascii="宋体" w:hAnsi="宋体" w:cs="宋体" w:eastAsia="宋体" w:hint="default"/>
                <w:sz w:val="18"/>
                <w:szCs w:val="18"/>
              </w:rPr>
              <w:t>项议题获得 决议通过</w:t>
            </w:r>
          </w:p>
        </w:tc>
      </w:tr>
      <w:tr>
        <w:trPr>
          <w:trHeight w:val="322" w:hRule="exact"/>
        </w:trPr>
        <w:tc>
          <w:tcPr>
            <w:tcW w:w="1986"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会议决议披露索引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5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3" w:hRule="exact"/>
        </w:trPr>
        <w:tc>
          <w:tcPr>
            <w:tcW w:w="1986" w:type="dxa"/>
            <w:gridSpan w:val="2"/>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5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sz w:val="18"/>
              </w:rPr>
              <w:t>2014-03-20</w:t>
            </w:r>
          </w:p>
        </w:tc>
      </w:tr>
    </w:tbl>
    <w:p>
      <w:pPr>
        <w:spacing w:line="240" w:lineRule="auto" w:before="0"/>
        <w:rPr>
          <w:rFonts w:ascii="宋体" w:hAnsi="宋体" w:cs="宋体" w:eastAsia="宋体" w:hint="default"/>
          <w:sz w:val="20"/>
          <w:szCs w:val="20"/>
        </w:rPr>
      </w:pPr>
    </w:p>
    <w:p>
      <w:pPr>
        <w:pStyle w:val="BodyText"/>
        <w:spacing w:line="240" w:lineRule="auto" w:before="35"/>
        <w:ind w:left="824" w:right="594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本报告期临时股东大会情况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36"/>
        <w:gridCol w:w="1277"/>
        <w:gridCol w:w="6662"/>
        <w:gridCol w:w="851"/>
      </w:tblGrid>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5"/>
              <w:jc w:val="left"/>
              <w:rPr>
                <w:rFonts w:ascii="宋体" w:hAnsi="宋体" w:cs="宋体" w:eastAsia="宋体" w:hint="default"/>
                <w:sz w:val="18"/>
                <w:szCs w:val="18"/>
              </w:rPr>
            </w:pPr>
            <w:r>
              <w:rPr>
                <w:rFonts w:ascii="宋体" w:hAnsi="宋体" w:cs="宋体" w:eastAsia="宋体" w:hint="default"/>
                <w:spacing w:val="30"/>
                <w:sz w:val="18"/>
                <w:szCs w:val="18"/>
              </w:rPr>
              <w:t>决议情</w:t>
            </w:r>
            <w:r>
              <w:rPr>
                <w:rFonts w:ascii="宋体" w:hAnsi="宋体" w:cs="宋体" w:eastAsia="宋体" w:hint="default"/>
                <w:spacing w:val="-44"/>
                <w:sz w:val="18"/>
                <w:szCs w:val="18"/>
              </w:rPr>
              <w:t> </w:t>
            </w:r>
            <w:r>
              <w:rPr>
                <w:rFonts w:ascii="宋体" w:hAnsi="宋体" w:cs="宋体" w:eastAsia="宋体" w:hint="default"/>
                <w:sz w:val="18"/>
                <w:szCs w:val="18"/>
              </w:rPr>
              <w:t>况</w:t>
            </w:r>
          </w:p>
        </w:tc>
      </w:tr>
      <w:tr>
        <w:trPr>
          <w:trHeight w:val="23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37" w:lineRule="auto"/>
              <w:ind w:left="103" w:right="48"/>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pacing w:val="27"/>
                <w:sz w:val="18"/>
                <w:szCs w:val="18"/>
              </w:rPr>
              <w:t>年第</w:t>
            </w:r>
            <w:r>
              <w:rPr>
                <w:rFonts w:ascii="宋体" w:hAnsi="宋体" w:cs="宋体" w:eastAsia="宋体" w:hint="default"/>
                <w:spacing w:val="-36"/>
                <w:sz w:val="18"/>
                <w:szCs w:val="18"/>
              </w:rPr>
              <w:t> </w:t>
            </w:r>
            <w:r>
              <w:rPr>
                <w:rFonts w:ascii="宋体" w:hAnsi="宋体" w:cs="宋体" w:eastAsia="宋体" w:hint="default"/>
                <w:spacing w:val="4"/>
                <w:sz w:val="18"/>
                <w:szCs w:val="18"/>
              </w:rPr>
              <w:t>一次临时股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0"/>
                <w:sz w:val="18"/>
                <w:szCs w:val="18"/>
              </w:rPr>
              <w:t>现场：</w:t>
            </w:r>
            <w:r>
              <w:rPr>
                <w:rFonts w:ascii="宋体" w:hAnsi="宋体" w:cs="宋体" w:eastAsia="宋体" w:hint="default"/>
                <w:spacing w:val="-10"/>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5"/>
              <w:ind w:left="101"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《关于公司本次发行股份及支付现金购买资产并向特定对象募集配套资金暨重大</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4"/>
                <w:sz w:val="18"/>
                <w:szCs w:val="18"/>
              </w:rPr>
              <w:t>资产重组符合相关法律、法规规定的议案》、</w:t>
            </w:r>
            <w:r>
              <w:rPr>
                <w:rFonts w:ascii="宋体" w:hAnsi="宋体" w:cs="宋体" w:eastAsia="宋体" w:hint="default"/>
                <w:spacing w:val="-4"/>
                <w:sz w:val="18"/>
                <w:szCs w:val="18"/>
              </w:rPr>
              <w:t>2</w:t>
            </w:r>
            <w:r>
              <w:rPr>
                <w:rFonts w:ascii="宋体" w:hAnsi="宋体" w:cs="宋体" w:eastAsia="宋体" w:hint="default"/>
                <w:spacing w:val="-4"/>
                <w:sz w:val="18"/>
                <w:szCs w:val="18"/>
              </w:rPr>
              <w:t>《关于公司本次发行股份及支付现金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购买资产并向特定对象募集配套资金暨重大资产重组的议案》：</w:t>
            </w:r>
            <w:r>
              <w:rPr>
                <w:rFonts w:ascii="宋体" w:hAnsi="宋体" w:cs="宋体" w:eastAsia="宋体" w:hint="default"/>
                <w:spacing w:val="-4"/>
                <w:sz w:val="18"/>
                <w:szCs w:val="18"/>
              </w:rPr>
              <w:t>(1)</w:t>
            </w:r>
            <w:r>
              <w:rPr>
                <w:rFonts w:ascii="宋体" w:hAnsi="宋体" w:cs="宋体" w:eastAsia="宋体" w:hint="default"/>
                <w:spacing w:val="-4"/>
                <w:sz w:val="18"/>
                <w:szCs w:val="18"/>
              </w:rPr>
              <w:t>基本情况、交易</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标的及交易对方；</w:t>
            </w:r>
            <w:r>
              <w:rPr>
                <w:rFonts w:ascii="宋体" w:hAnsi="宋体" w:cs="宋体" w:eastAsia="宋体" w:hint="default"/>
                <w:spacing w:val="-4"/>
                <w:sz w:val="18"/>
                <w:szCs w:val="18"/>
              </w:rPr>
              <w:t>(2)</w:t>
            </w:r>
            <w:r>
              <w:rPr>
                <w:rFonts w:ascii="宋体" w:hAnsi="宋体" w:cs="宋体" w:eastAsia="宋体" w:hint="default"/>
                <w:spacing w:val="-4"/>
                <w:sz w:val="18"/>
                <w:szCs w:val="18"/>
              </w:rPr>
              <w:t>标的资产的交易价格及定价依据；</w:t>
            </w:r>
            <w:r>
              <w:rPr>
                <w:rFonts w:ascii="宋体" w:hAnsi="宋体" w:cs="宋体" w:eastAsia="宋体" w:hint="default"/>
                <w:spacing w:val="-4"/>
                <w:sz w:val="18"/>
                <w:szCs w:val="18"/>
              </w:rPr>
              <w:t>(3)</w:t>
            </w:r>
            <w:r>
              <w:rPr>
                <w:rFonts w:ascii="宋体" w:hAnsi="宋体" w:cs="宋体" w:eastAsia="宋体" w:hint="default"/>
                <w:spacing w:val="-4"/>
                <w:sz w:val="18"/>
                <w:szCs w:val="18"/>
              </w:rPr>
              <w:t>发行股票的种类和面值；</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z w:val="18"/>
                <w:szCs w:val="18"/>
              </w:rPr>
              <w:t>发行方式及发行对象；</w:t>
            </w:r>
            <w:r>
              <w:rPr>
                <w:rFonts w:ascii="宋体" w:hAnsi="宋体" w:cs="宋体" w:eastAsia="宋体" w:hint="default"/>
                <w:sz w:val="18"/>
                <w:szCs w:val="18"/>
              </w:rPr>
              <w:t>(5)</w:t>
            </w:r>
            <w:r>
              <w:rPr>
                <w:rFonts w:ascii="宋体" w:hAnsi="宋体" w:cs="宋体" w:eastAsia="宋体" w:hint="default"/>
                <w:sz w:val="18"/>
                <w:szCs w:val="18"/>
              </w:rPr>
              <w:t>发行股份的定价基准日和发行价格；</w:t>
            </w:r>
            <w:r>
              <w:rPr>
                <w:rFonts w:ascii="宋体" w:hAnsi="宋体" w:cs="宋体" w:eastAsia="宋体" w:hint="default"/>
                <w:sz w:val="18"/>
                <w:szCs w:val="18"/>
              </w:rPr>
              <w:t>(6)</w:t>
            </w:r>
            <w:r>
              <w:rPr>
                <w:rFonts w:ascii="宋体" w:hAnsi="宋体" w:cs="宋体" w:eastAsia="宋体" w:hint="default"/>
                <w:sz w:val="18"/>
                <w:szCs w:val="18"/>
              </w:rPr>
              <w:t>本次发行股</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份的数量；</w:t>
            </w:r>
            <w:r>
              <w:rPr>
                <w:rFonts w:ascii="宋体" w:hAnsi="宋体" w:cs="宋体" w:eastAsia="宋体" w:hint="default"/>
                <w:sz w:val="18"/>
                <w:szCs w:val="18"/>
              </w:rPr>
              <w:t>(7)</w:t>
            </w:r>
            <w:r>
              <w:rPr>
                <w:rFonts w:ascii="宋体" w:hAnsi="宋体" w:cs="宋体" w:eastAsia="宋体" w:hint="default"/>
                <w:sz w:val="18"/>
                <w:szCs w:val="18"/>
              </w:rPr>
              <w:t>本次发行股份限售期；</w:t>
            </w:r>
            <w:r>
              <w:rPr>
                <w:rFonts w:ascii="宋体" w:hAnsi="宋体" w:cs="宋体" w:eastAsia="宋体" w:hint="default"/>
                <w:sz w:val="18"/>
                <w:szCs w:val="18"/>
              </w:rPr>
              <w:t>(8)</w:t>
            </w:r>
            <w:r>
              <w:rPr>
                <w:rFonts w:ascii="宋体" w:hAnsi="宋体" w:cs="宋体" w:eastAsia="宋体" w:hint="default"/>
                <w:sz w:val="18"/>
                <w:szCs w:val="18"/>
              </w:rPr>
              <w:t>本次交易中的现金支付；</w:t>
            </w:r>
            <w:r>
              <w:rPr>
                <w:rFonts w:ascii="宋体" w:hAnsi="宋体" w:cs="宋体" w:eastAsia="宋体" w:hint="default"/>
                <w:sz w:val="18"/>
                <w:szCs w:val="18"/>
              </w:rPr>
              <w:t>(9)</w:t>
            </w:r>
            <w:r>
              <w:rPr>
                <w:rFonts w:ascii="宋体" w:hAnsi="宋体" w:cs="宋体" w:eastAsia="宋体" w:hint="default"/>
                <w:sz w:val="18"/>
                <w:szCs w:val="18"/>
              </w:rPr>
              <w:t>标的公司评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估基准日前未分配利润的归属；</w:t>
            </w:r>
            <w:r>
              <w:rPr>
                <w:rFonts w:ascii="宋体" w:hAnsi="宋体" w:cs="宋体" w:eastAsia="宋体" w:hint="default"/>
                <w:sz w:val="18"/>
                <w:szCs w:val="18"/>
              </w:rPr>
              <w:t>(10)</w:t>
            </w:r>
            <w:r>
              <w:rPr>
                <w:rFonts w:ascii="宋体" w:hAnsi="宋体" w:cs="宋体" w:eastAsia="宋体" w:hint="default"/>
                <w:sz w:val="18"/>
                <w:szCs w:val="18"/>
              </w:rPr>
              <w:t>过渡期标的资产损益的处理；</w:t>
            </w:r>
            <w:r>
              <w:rPr>
                <w:rFonts w:ascii="宋体" w:hAnsi="宋体" w:cs="宋体" w:eastAsia="宋体" w:hint="default"/>
                <w:sz w:val="18"/>
                <w:szCs w:val="18"/>
              </w:rPr>
              <w:t>(11)</w:t>
            </w:r>
            <w:r>
              <w:rPr>
                <w:rFonts w:ascii="宋体" w:hAnsi="宋体" w:cs="宋体" w:eastAsia="宋体" w:hint="default"/>
                <w:sz w:val="18"/>
                <w:szCs w:val="18"/>
              </w:rPr>
              <w:t>滚存未分配 利润的处理；</w:t>
            </w:r>
            <w:r>
              <w:rPr>
                <w:rFonts w:ascii="宋体" w:hAnsi="宋体" w:cs="宋体" w:eastAsia="宋体" w:hint="default"/>
                <w:sz w:val="18"/>
                <w:szCs w:val="18"/>
              </w:rPr>
              <w:t>(12)</w:t>
            </w:r>
            <w:r>
              <w:rPr>
                <w:rFonts w:ascii="宋体" w:hAnsi="宋体" w:cs="宋体" w:eastAsia="宋体" w:hint="default"/>
                <w:sz w:val="18"/>
                <w:szCs w:val="18"/>
              </w:rPr>
              <w:t>募集的配套资金用途；</w:t>
            </w:r>
            <w:r>
              <w:rPr>
                <w:rFonts w:ascii="宋体" w:hAnsi="宋体" w:cs="宋体" w:eastAsia="宋体" w:hint="default"/>
                <w:sz w:val="18"/>
                <w:szCs w:val="18"/>
              </w:rPr>
              <w:t>(13)</w:t>
            </w:r>
            <w:r>
              <w:rPr>
                <w:rFonts w:ascii="宋体" w:hAnsi="宋体" w:cs="宋体" w:eastAsia="宋体" w:hint="default"/>
                <w:sz w:val="18"/>
                <w:szCs w:val="18"/>
              </w:rPr>
              <w:t>本次交易决议的有效期；</w:t>
            </w:r>
            <w:r>
              <w:rPr>
                <w:rFonts w:ascii="宋体" w:hAnsi="宋体" w:cs="宋体" w:eastAsia="宋体" w:hint="default"/>
                <w:sz w:val="18"/>
                <w:szCs w:val="18"/>
              </w:rPr>
              <w:t>(14)</w:t>
            </w:r>
            <w:r>
              <w:rPr>
                <w:rFonts w:ascii="宋体" w:hAnsi="宋体" w:cs="宋体" w:eastAsia="宋体" w:hint="default"/>
                <w:sz w:val="18"/>
                <w:szCs w:val="18"/>
              </w:rPr>
              <w:t>相关资 产办理权属转移的合同义务和违约责任。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3" w:right="55"/>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项议</w:t>
            </w:r>
            <w:r>
              <w:rPr>
                <w:rFonts w:ascii="宋体" w:hAnsi="宋体" w:cs="宋体" w:eastAsia="宋体" w:hint="default"/>
                <w:spacing w:val="2"/>
                <w:sz w:val="18"/>
                <w:szCs w:val="18"/>
              </w:rPr>
              <w:t> </w:t>
            </w:r>
            <w:r>
              <w:rPr>
                <w:rFonts w:ascii="宋体" w:hAnsi="宋体" w:cs="宋体" w:eastAsia="宋体" w:hint="default"/>
                <w:spacing w:val="30"/>
                <w:sz w:val="18"/>
                <w:szCs w:val="18"/>
              </w:rPr>
              <w:t>案包括</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pacing w:val="23"/>
                <w:sz w:val="18"/>
                <w:szCs w:val="18"/>
              </w:rPr>
              <w:t>议案</w:t>
            </w:r>
            <w:r>
              <w:rPr>
                <w:rFonts w:ascii="宋体" w:hAnsi="宋体" w:cs="宋体" w:eastAsia="宋体" w:hint="default"/>
                <w:spacing w:val="-44"/>
                <w:sz w:val="18"/>
                <w:szCs w:val="18"/>
              </w:rPr>
              <w:t> </w:t>
            </w:r>
            <w:r>
              <w:rPr>
                <w:rFonts w:ascii="宋体" w:hAnsi="宋体" w:cs="宋体" w:eastAsia="宋体" w:hint="default"/>
                <w:sz w:val="18"/>
                <w:szCs w:val="18"/>
              </w:rPr>
            </w:r>
          </w:p>
          <w:p>
            <w:pPr>
              <w:pStyle w:val="TableParagraph"/>
              <w:spacing w:line="237" w:lineRule="auto" w:before="1"/>
              <w:ind w:left="103" w:right="55"/>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个 </w:t>
            </w:r>
            <w:r>
              <w:rPr>
                <w:rFonts w:ascii="宋体" w:hAnsi="宋体" w:cs="宋体" w:eastAsia="宋体" w:hint="default"/>
                <w:spacing w:val="30"/>
                <w:sz w:val="18"/>
                <w:szCs w:val="18"/>
              </w:rPr>
              <w:t>子议案</w:t>
            </w:r>
            <w:r>
              <w:rPr>
                <w:rFonts w:ascii="宋体" w:hAnsi="宋体" w:cs="宋体" w:eastAsia="宋体" w:hint="default"/>
                <w:spacing w:val="-44"/>
                <w:sz w:val="18"/>
                <w:szCs w:val="18"/>
              </w:rPr>
              <w:t> </w:t>
            </w:r>
            <w:r>
              <w:rPr>
                <w:rFonts w:ascii="宋体" w:hAnsi="宋体" w:cs="宋体" w:eastAsia="宋体" w:hint="default"/>
                <w:spacing w:val="30"/>
                <w:sz w:val="18"/>
                <w:szCs w:val="18"/>
              </w:rPr>
              <w:t>获得决</w:t>
            </w:r>
            <w:r>
              <w:rPr>
                <w:rFonts w:ascii="宋体" w:hAnsi="宋体" w:cs="宋体" w:eastAsia="宋体" w:hint="default"/>
                <w:spacing w:val="-44"/>
                <w:sz w:val="18"/>
                <w:szCs w:val="18"/>
              </w:rPr>
              <w:t> </w:t>
            </w:r>
            <w:r>
              <w:rPr>
                <w:rFonts w:ascii="宋体" w:hAnsi="宋体" w:cs="宋体" w:eastAsia="宋体" w:hint="default"/>
                <w:sz w:val="18"/>
                <w:szCs w:val="18"/>
              </w:rPr>
              <w:t>议通过</w:t>
            </w:r>
          </w:p>
        </w:tc>
      </w:tr>
    </w:tbl>
    <w:p>
      <w:pPr>
        <w:spacing w:after="0" w:line="237" w:lineRule="auto"/>
        <w:jc w:val="both"/>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136"/>
        <w:gridCol w:w="1277"/>
        <w:gridCol w:w="566"/>
        <w:gridCol w:w="5812"/>
        <w:gridCol w:w="283"/>
        <w:gridCol w:w="851"/>
      </w:tblGrid>
      <w:tr>
        <w:trPr>
          <w:trHeight w:val="32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7" w:lineRule="auto"/>
              <w:ind w:left="103" w:right="48"/>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pacing w:val="27"/>
                <w:sz w:val="18"/>
                <w:szCs w:val="18"/>
              </w:rPr>
              <w:t>年第</w:t>
            </w:r>
            <w:r>
              <w:rPr>
                <w:rFonts w:ascii="宋体" w:hAnsi="宋体" w:cs="宋体" w:eastAsia="宋体" w:hint="default"/>
                <w:spacing w:val="-36"/>
                <w:sz w:val="18"/>
                <w:szCs w:val="18"/>
              </w:rPr>
              <w:t> </w:t>
            </w:r>
            <w:r>
              <w:rPr>
                <w:rFonts w:ascii="宋体" w:hAnsi="宋体" w:cs="宋体" w:eastAsia="宋体" w:hint="default"/>
                <w:spacing w:val="4"/>
                <w:sz w:val="18"/>
                <w:szCs w:val="18"/>
              </w:rPr>
              <w:t>一次临时股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0"/>
                <w:sz w:val="18"/>
                <w:szCs w:val="18"/>
              </w:rPr>
              <w:t>现场：</w:t>
            </w:r>
            <w:r>
              <w:rPr>
                <w:rFonts w:ascii="宋体" w:hAnsi="宋体" w:cs="宋体" w:eastAsia="宋体" w:hint="default"/>
                <w:spacing w:val="-10"/>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80"/>
              <w:ind w:left="101" w:right="12"/>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《关于</w:t>
            </w:r>
            <w:r>
              <w:rPr>
                <w:rFonts w:ascii="宋体" w:hAnsi="宋体" w:cs="宋体" w:eastAsia="宋体" w:hint="default"/>
                <w:sz w:val="18"/>
                <w:szCs w:val="18"/>
              </w:rPr>
              <w:t>&lt;</w:t>
            </w:r>
            <w:r>
              <w:rPr>
                <w:rFonts w:ascii="宋体" w:hAnsi="宋体" w:cs="宋体" w:eastAsia="宋体" w:hint="default"/>
                <w:sz w:val="18"/>
                <w:szCs w:val="18"/>
              </w:rPr>
              <w:t>茂业物流股份有限公司发行股份及支付现金购买资产并向特定对象募集配 </w:t>
            </w:r>
            <w:r>
              <w:rPr>
                <w:rFonts w:ascii="宋体" w:hAnsi="宋体" w:cs="宋体" w:eastAsia="宋体" w:hint="default"/>
                <w:spacing w:val="-2"/>
                <w:sz w:val="18"/>
                <w:szCs w:val="18"/>
              </w:rPr>
              <w:t>套资金报告书</w:t>
            </w:r>
            <w:r>
              <w:rPr>
                <w:rFonts w:ascii="宋体" w:hAnsi="宋体" w:cs="宋体" w:eastAsia="宋体" w:hint="default"/>
                <w:spacing w:val="-2"/>
                <w:sz w:val="18"/>
                <w:szCs w:val="18"/>
              </w:rPr>
              <w:t>(</w:t>
            </w:r>
            <w:r>
              <w:rPr>
                <w:rFonts w:ascii="宋体" w:hAnsi="宋体" w:cs="宋体" w:eastAsia="宋体" w:hint="default"/>
                <w:spacing w:val="-2"/>
                <w:sz w:val="18"/>
                <w:szCs w:val="18"/>
              </w:rPr>
              <w:t>草案</w:t>
            </w:r>
            <w:r>
              <w:rPr>
                <w:rFonts w:ascii="宋体" w:hAnsi="宋体" w:cs="宋体" w:eastAsia="宋体" w:hint="default"/>
                <w:spacing w:val="-2"/>
                <w:sz w:val="18"/>
                <w:szCs w:val="18"/>
              </w:rPr>
              <w:t>)&gt;</w:t>
            </w:r>
            <w:r>
              <w:rPr>
                <w:rFonts w:ascii="宋体" w:hAnsi="宋体" w:cs="宋体" w:eastAsia="宋体" w:hint="default"/>
                <w:spacing w:val="-2"/>
                <w:sz w:val="18"/>
                <w:szCs w:val="18"/>
              </w:rPr>
              <w:t>及摘要的议案》、</w:t>
            </w:r>
            <w:r>
              <w:rPr>
                <w:rFonts w:ascii="宋体" w:hAnsi="宋体" w:cs="宋体" w:eastAsia="宋体" w:hint="default"/>
                <w:spacing w:val="-2"/>
                <w:sz w:val="18"/>
                <w:szCs w:val="18"/>
              </w:rPr>
              <w:t>4</w:t>
            </w:r>
            <w:r>
              <w:rPr>
                <w:rFonts w:ascii="宋体" w:hAnsi="宋体" w:cs="宋体" w:eastAsia="宋体" w:hint="default"/>
                <w:spacing w:val="-2"/>
                <w:sz w:val="18"/>
                <w:szCs w:val="18"/>
              </w:rPr>
              <w:t>《关于公司本次发行股份及支付现金购买</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4"/>
                <w:sz w:val="18"/>
                <w:szCs w:val="18"/>
              </w:rPr>
              <w:t>资产并向特定对象募集配套资金暨重大资产重组不构成关联交易的议案》、</w:t>
            </w:r>
            <w:r>
              <w:rPr>
                <w:rFonts w:ascii="宋体" w:hAnsi="宋体" w:cs="宋体" w:eastAsia="宋体" w:hint="default"/>
                <w:spacing w:val="-4"/>
                <w:sz w:val="18"/>
                <w:szCs w:val="18"/>
              </w:rPr>
              <w:t>5</w:t>
            </w:r>
            <w:r>
              <w:rPr>
                <w:rFonts w:ascii="宋体" w:hAnsi="宋体" w:cs="宋体" w:eastAsia="宋体" w:hint="default"/>
                <w:spacing w:val="-4"/>
                <w:sz w:val="18"/>
                <w:szCs w:val="18"/>
              </w:rPr>
              <w:t>《关于</w:t>
            </w:r>
            <w:r>
              <w:rPr>
                <w:rFonts w:ascii="宋体" w:hAnsi="宋体" w:cs="宋体" w:eastAsia="宋体" w:hint="default"/>
                <w:spacing w:val="-66"/>
                <w:sz w:val="18"/>
                <w:szCs w:val="18"/>
              </w:rPr>
              <w:t> </w:t>
            </w:r>
            <w:r>
              <w:rPr>
                <w:rFonts w:ascii="宋体" w:hAnsi="宋体" w:cs="宋体" w:eastAsia="宋体" w:hint="default"/>
                <w:spacing w:val="-8"/>
                <w:sz w:val="18"/>
                <w:szCs w:val="18"/>
              </w:rPr>
              <w:t>批准本次重组相关审计报告、备考盈利预测审核报告及资产评估报告的议案》、</w:t>
            </w:r>
            <w:r>
              <w:rPr>
                <w:rFonts w:ascii="宋体" w:hAnsi="宋体" w:cs="宋体" w:eastAsia="宋体" w:hint="default"/>
                <w:spacing w:val="-8"/>
                <w:sz w:val="18"/>
                <w:szCs w:val="18"/>
              </w:rPr>
              <w:t>6</w:t>
            </w:r>
            <w:r>
              <w:rPr>
                <w:rFonts w:ascii="宋体" w:hAnsi="宋体" w:cs="宋体" w:eastAsia="宋体" w:hint="default"/>
                <w:spacing w:val="-8"/>
                <w:sz w:val="18"/>
                <w:szCs w:val="18"/>
              </w:rPr>
              <w:t>《关</w:t>
            </w:r>
            <w:r>
              <w:rPr>
                <w:rFonts w:ascii="宋体" w:hAnsi="宋体" w:cs="宋体" w:eastAsia="宋体" w:hint="default"/>
                <w:sz w:val="18"/>
                <w:szCs w:val="18"/>
              </w:rPr>
              <w:t> </w:t>
            </w:r>
            <w:r>
              <w:rPr>
                <w:rFonts w:ascii="宋体" w:hAnsi="宋体" w:cs="宋体" w:eastAsia="宋体" w:hint="default"/>
                <w:spacing w:val="3"/>
                <w:sz w:val="18"/>
                <w:szCs w:val="18"/>
              </w:rPr>
              <w:t>于公司与相关交易对方签署附生效条件的</w:t>
            </w:r>
            <w:r>
              <w:rPr>
                <w:rFonts w:ascii="宋体" w:hAnsi="宋体" w:cs="宋体" w:eastAsia="宋体" w:hint="default"/>
                <w:spacing w:val="3"/>
                <w:sz w:val="18"/>
                <w:szCs w:val="18"/>
              </w:rPr>
              <w:t>&lt;</w:t>
            </w:r>
            <w:r>
              <w:rPr>
                <w:rFonts w:ascii="宋体" w:hAnsi="宋体" w:cs="宋体" w:eastAsia="宋体" w:hint="default"/>
                <w:spacing w:val="3"/>
                <w:sz w:val="18"/>
                <w:szCs w:val="18"/>
              </w:rPr>
              <w:t>发行股份及支付现金购买资产协议</w:t>
            </w:r>
            <w:r>
              <w:rPr>
                <w:rFonts w:ascii="宋体" w:hAnsi="宋体" w:cs="宋体" w:eastAsia="宋体" w:hint="default"/>
                <w:spacing w:val="3"/>
                <w:sz w:val="18"/>
                <w:szCs w:val="18"/>
              </w:rPr>
              <w:t>&gt;</w:t>
            </w:r>
            <w:r>
              <w:rPr>
                <w:rFonts w:ascii="宋体" w:hAnsi="宋体" w:cs="宋体" w:eastAsia="宋体" w:hint="default"/>
                <w:spacing w:val="3"/>
                <w:sz w:val="18"/>
                <w:szCs w:val="18"/>
              </w:rPr>
              <w:t>的</w:t>
            </w:r>
            <w:r>
              <w:rPr>
                <w:rFonts w:ascii="宋体" w:hAnsi="宋体" w:cs="宋体" w:eastAsia="宋体" w:hint="default"/>
                <w:spacing w:val="-72"/>
                <w:sz w:val="18"/>
                <w:szCs w:val="18"/>
              </w:rPr>
              <w:t> </w:t>
            </w:r>
            <w:r>
              <w:rPr>
                <w:rFonts w:ascii="宋体" w:hAnsi="宋体" w:cs="宋体" w:eastAsia="宋体" w:hint="default"/>
                <w:spacing w:val="1"/>
                <w:sz w:val="18"/>
                <w:szCs w:val="18"/>
              </w:rPr>
              <w:t>议案》、</w:t>
            </w:r>
            <w:r>
              <w:rPr>
                <w:rFonts w:ascii="宋体" w:hAnsi="宋体" w:cs="宋体" w:eastAsia="宋体" w:hint="default"/>
                <w:spacing w:val="1"/>
                <w:sz w:val="18"/>
                <w:szCs w:val="18"/>
              </w:rPr>
              <w:t>7</w:t>
            </w:r>
            <w:r>
              <w:rPr>
                <w:rFonts w:ascii="宋体" w:hAnsi="宋体" w:cs="宋体" w:eastAsia="宋体" w:hint="default"/>
                <w:spacing w:val="1"/>
                <w:sz w:val="18"/>
                <w:szCs w:val="18"/>
              </w:rPr>
              <w:t>《关于公司与相关交易对方签署附生效条件的</w:t>
            </w:r>
            <w:r>
              <w:rPr>
                <w:rFonts w:ascii="宋体" w:hAnsi="宋体" w:cs="宋体" w:eastAsia="宋体" w:hint="default"/>
                <w:spacing w:val="1"/>
                <w:sz w:val="18"/>
                <w:szCs w:val="18"/>
              </w:rPr>
              <w:t>&lt;</w:t>
            </w:r>
            <w:r>
              <w:rPr>
                <w:rFonts w:ascii="宋体" w:hAnsi="宋体" w:cs="宋体" w:eastAsia="宋体" w:hint="default"/>
                <w:spacing w:val="1"/>
                <w:sz w:val="18"/>
                <w:szCs w:val="18"/>
              </w:rPr>
              <w:t>盈利预测补偿协议</w:t>
            </w:r>
            <w:r>
              <w:rPr>
                <w:rFonts w:ascii="宋体" w:hAnsi="宋体" w:cs="宋体" w:eastAsia="宋体" w:hint="default"/>
                <w:spacing w:val="1"/>
                <w:sz w:val="18"/>
                <w:szCs w:val="18"/>
              </w:rPr>
              <w:t>&gt;</w:t>
            </w:r>
            <w:r>
              <w:rPr>
                <w:rFonts w:ascii="宋体" w:hAnsi="宋体" w:cs="宋体" w:eastAsia="宋体" w:hint="default"/>
                <w:spacing w:val="1"/>
                <w:sz w:val="18"/>
                <w:szCs w:val="18"/>
              </w:rPr>
              <w:t>的议</w:t>
            </w:r>
            <w:r>
              <w:rPr>
                <w:rFonts w:ascii="宋体" w:hAnsi="宋体" w:cs="宋体" w:eastAsia="宋体" w:hint="default"/>
                <w:spacing w:val="3"/>
                <w:sz w:val="18"/>
                <w:szCs w:val="18"/>
              </w:rPr>
              <w:t> </w:t>
            </w:r>
            <w:r>
              <w:rPr>
                <w:rFonts w:ascii="宋体" w:hAnsi="宋体" w:cs="宋体" w:eastAsia="宋体" w:hint="default"/>
                <w:spacing w:val="-2"/>
                <w:sz w:val="18"/>
                <w:szCs w:val="18"/>
              </w:rPr>
              <w:t>案》、</w:t>
            </w:r>
            <w:r>
              <w:rPr>
                <w:rFonts w:ascii="宋体" w:hAnsi="宋体" w:cs="宋体" w:eastAsia="宋体" w:hint="default"/>
                <w:spacing w:val="-2"/>
                <w:sz w:val="18"/>
                <w:szCs w:val="18"/>
              </w:rPr>
              <w:t>8</w:t>
            </w:r>
            <w:r>
              <w:rPr>
                <w:rFonts w:ascii="宋体" w:hAnsi="宋体" w:cs="宋体" w:eastAsia="宋体" w:hint="default"/>
                <w:spacing w:val="-2"/>
                <w:sz w:val="18"/>
                <w:szCs w:val="18"/>
              </w:rPr>
              <w:t>《关于公司与上海峰幽投资管理中心（普通合伙）签署附条件生效的</w:t>
            </w:r>
            <w:r>
              <w:rPr>
                <w:rFonts w:ascii="宋体" w:hAnsi="宋体" w:cs="宋体" w:eastAsia="宋体" w:hint="default"/>
                <w:spacing w:val="-2"/>
                <w:sz w:val="18"/>
                <w:szCs w:val="18"/>
              </w:rPr>
              <w:t>&lt;</w:t>
            </w:r>
            <w:r>
              <w:rPr>
                <w:rFonts w:ascii="宋体" w:hAnsi="宋体" w:cs="宋体" w:eastAsia="宋体" w:hint="default"/>
                <w:spacing w:val="-2"/>
                <w:sz w:val="18"/>
                <w:szCs w:val="18"/>
              </w:rPr>
              <w:t>非公</w:t>
            </w:r>
            <w:r>
              <w:rPr>
                <w:rFonts w:ascii="宋体" w:hAnsi="宋体" w:cs="宋体" w:eastAsia="宋体" w:hint="default"/>
                <w:spacing w:val="-56"/>
                <w:sz w:val="18"/>
                <w:szCs w:val="18"/>
              </w:rPr>
              <w:t> </w:t>
            </w:r>
            <w:r>
              <w:rPr>
                <w:rFonts w:ascii="宋体" w:hAnsi="宋体" w:cs="宋体" w:eastAsia="宋体" w:hint="default"/>
                <w:spacing w:val="-2"/>
                <w:sz w:val="18"/>
                <w:szCs w:val="18"/>
              </w:rPr>
              <w:t>开发行股份认购协议</w:t>
            </w:r>
            <w:r>
              <w:rPr>
                <w:rFonts w:ascii="宋体" w:hAnsi="宋体" w:cs="宋体" w:eastAsia="宋体" w:hint="default"/>
                <w:spacing w:val="-2"/>
                <w:sz w:val="18"/>
                <w:szCs w:val="18"/>
              </w:rPr>
              <w:t>&gt;</w:t>
            </w:r>
            <w:r>
              <w:rPr>
                <w:rFonts w:ascii="宋体" w:hAnsi="宋体" w:cs="宋体" w:eastAsia="宋体" w:hint="default"/>
                <w:spacing w:val="-2"/>
                <w:sz w:val="18"/>
                <w:szCs w:val="18"/>
              </w:rPr>
              <w:t>的议案》、</w:t>
            </w:r>
            <w:r>
              <w:rPr>
                <w:rFonts w:ascii="宋体" w:hAnsi="宋体" w:cs="宋体" w:eastAsia="宋体" w:hint="default"/>
                <w:spacing w:val="-2"/>
                <w:sz w:val="18"/>
                <w:szCs w:val="18"/>
              </w:rPr>
              <w:t>9</w:t>
            </w:r>
            <w:r>
              <w:rPr>
                <w:rFonts w:ascii="宋体" w:hAnsi="宋体" w:cs="宋体" w:eastAsia="宋体" w:hint="default"/>
                <w:spacing w:val="-2"/>
                <w:sz w:val="18"/>
                <w:szCs w:val="18"/>
              </w:rPr>
              <w:t>《关于本次发行股份及支付现金购买资产并向特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定对象募集配套资金暨重大资产重组符合</w:t>
            </w:r>
            <w:r>
              <w:rPr>
                <w:rFonts w:ascii="宋体" w:hAnsi="宋体" w:cs="宋体" w:eastAsia="宋体" w:hint="default"/>
                <w:spacing w:val="3"/>
                <w:sz w:val="18"/>
                <w:szCs w:val="18"/>
              </w:rPr>
              <w:t>&lt;</w:t>
            </w:r>
            <w:r>
              <w:rPr>
                <w:rFonts w:ascii="宋体" w:hAnsi="宋体" w:cs="宋体" w:eastAsia="宋体" w:hint="default"/>
                <w:spacing w:val="3"/>
                <w:sz w:val="18"/>
                <w:szCs w:val="18"/>
              </w:rPr>
              <w:t>上市公司重大资产重组管理办法</w:t>
            </w:r>
            <w:r>
              <w:rPr>
                <w:rFonts w:ascii="宋体" w:hAnsi="宋体" w:cs="宋体" w:eastAsia="宋体" w:hint="default"/>
                <w:spacing w:val="3"/>
                <w:sz w:val="18"/>
                <w:szCs w:val="18"/>
              </w:rPr>
              <w:t>&gt;</w:t>
            </w:r>
            <w:r>
              <w:rPr>
                <w:rFonts w:ascii="宋体" w:hAnsi="宋体" w:cs="宋体" w:eastAsia="宋体" w:hint="default"/>
                <w:spacing w:val="3"/>
                <w:sz w:val="18"/>
                <w:szCs w:val="18"/>
              </w:rPr>
              <w:t>第四</w:t>
            </w:r>
            <w:r>
              <w:rPr>
                <w:rFonts w:ascii="宋体" w:hAnsi="宋体" w:cs="宋体" w:eastAsia="宋体" w:hint="default"/>
                <w:spacing w:val="-70"/>
                <w:sz w:val="18"/>
                <w:szCs w:val="18"/>
              </w:rPr>
              <w:t> </w:t>
            </w:r>
            <w:r>
              <w:rPr>
                <w:rFonts w:ascii="宋体" w:hAnsi="宋体" w:cs="宋体" w:eastAsia="宋体" w:hint="default"/>
                <w:spacing w:val="-5"/>
                <w:sz w:val="18"/>
                <w:szCs w:val="18"/>
              </w:rPr>
              <w:t>十二条第二款规定的议案》、</w:t>
            </w:r>
            <w:r>
              <w:rPr>
                <w:rFonts w:ascii="宋体" w:hAnsi="宋体" w:cs="宋体" w:eastAsia="宋体" w:hint="default"/>
                <w:spacing w:val="-5"/>
                <w:sz w:val="18"/>
                <w:szCs w:val="18"/>
              </w:rPr>
              <w:t>10</w:t>
            </w:r>
            <w:r>
              <w:rPr>
                <w:rFonts w:ascii="宋体" w:hAnsi="宋体" w:cs="宋体" w:eastAsia="宋体" w:hint="default"/>
                <w:spacing w:val="-5"/>
                <w:sz w:val="18"/>
                <w:szCs w:val="18"/>
              </w:rPr>
              <w:t>《公司未来三年（</w:t>
            </w:r>
            <w:r>
              <w:rPr>
                <w:rFonts w:ascii="宋体" w:hAnsi="宋体" w:cs="宋体" w:eastAsia="宋体" w:hint="default"/>
                <w:spacing w:val="-5"/>
                <w:sz w:val="18"/>
                <w:szCs w:val="18"/>
              </w:rPr>
              <w:t>2014-2016</w:t>
            </w:r>
            <w:r>
              <w:rPr>
                <w:rFonts w:ascii="宋体" w:hAnsi="宋体" w:cs="宋体" w:eastAsia="宋体" w:hint="default"/>
                <w:spacing w:val="-44"/>
                <w:sz w:val="18"/>
                <w:szCs w:val="18"/>
              </w:rPr>
              <w:t> </w:t>
            </w:r>
            <w:r>
              <w:rPr>
                <w:rFonts w:ascii="宋体" w:hAnsi="宋体" w:cs="宋体" w:eastAsia="宋体" w:hint="default"/>
                <w:spacing w:val="-2"/>
                <w:sz w:val="18"/>
                <w:szCs w:val="18"/>
              </w:rPr>
              <w:t>年）股东回报规划的议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案》、</w:t>
            </w:r>
            <w:r>
              <w:rPr>
                <w:rFonts w:ascii="宋体" w:hAnsi="宋体" w:cs="宋体" w:eastAsia="宋体" w:hint="default"/>
                <w:spacing w:val="-2"/>
                <w:sz w:val="18"/>
                <w:szCs w:val="18"/>
              </w:rPr>
              <w:t>11</w:t>
            </w:r>
            <w:r>
              <w:rPr>
                <w:rFonts w:ascii="宋体" w:hAnsi="宋体" w:cs="宋体" w:eastAsia="宋体" w:hint="default"/>
                <w:spacing w:val="-2"/>
                <w:sz w:val="18"/>
                <w:szCs w:val="18"/>
              </w:rPr>
              <w:t>《关于本次发行股份及支付现金购买资产并向特定对象募集配套资金暨重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大资产重组符合</w:t>
            </w:r>
            <w:r>
              <w:rPr>
                <w:rFonts w:ascii="宋体" w:hAnsi="宋体" w:cs="宋体" w:eastAsia="宋体" w:hint="default"/>
                <w:spacing w:val="3"/>
                <w:sz w:val="18"/>
                <w:szCs w:val="18"/>
              </w:rPr>
              <w:t>&lt;</w:t>
            </w:r>
            <w:r>
              <w:rPr>
                <w:rFonts w:ascii="宋体" w:hAnsi="宋体" w:cs="宋体" w:eastAsia="宋体" w:hint="default"/>
                <w:spacing w:val="3"/>
                <w:sz w:val="18"/>
                <w:szCs w:val="18"/>
              </w:rPr>
              <w:t>关于规范上市公司重大资产重组若干问题的规定</w:t>
            </w:r>
            <w:r>
              <w:rPr>
                <w:rFonts w:ascii="宋体" w:hAnsi="宋体" w:cs="宋体" w:eastAsia="宋体" w:hint="default"/>
                <w:spacing w:val="3"/>
                <w:sz w:val="18"/>
                <w:szCs w:val="18"/>
              </w:rPr>
              <w:t>&gt;</w:t>
            </w:r>
            <w:r>
              <w:rPr>
                <w:rFonts w:ascii="宋体" w:hAnsi="宋体" w:cs="宋体" w:eastAsia="宋体" w:hint="default"/>
                <w:spacing w:val="3"/>
                <w:sz w:val="18"/>
                <w:szCs w:val="18"/>
              </w:rPr>
              <w:t>第四条规定的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议案》、</w:t>
            </w:r>
            <w:r>
              <w:rPr>
                <w:rFonts w:ascii="宋体" w:hAnsi="宋体" w:cs="宋体" w:eastAsia="宋体" w:hint="default"/>
                <w:spacing w:val="-8"/>
                <w:sz w:val="18"/>
                <w:szCs w:val="18"/>
              </w:rPr>
              <w:t>12</w:t>
            </w:r>
            <w:r>
              <w:rPr>
                <w:rFonts w:ascii="宋体" w:hAnsi="宋体" w:cs="宋体" w:eastAsia="宋体" w:hint="default"/>
                <w:spacing w:val="-8"/>
                <w:sz w:val="18"/>
                <w:szCs w:val="18"/>
              </w:rPr>
              <w:t>《关于提请股东大会授权董事会办理本次重大资产重组相关事宜的议案》。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37" w:lineRule="auto"/>
              <w:ind w:left="103" w:right="55"/>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项议</w:t>
            </w:r>
            <w:r>
              <w:rPr>
                <w:rFonts w:ascii="宋体" w:hAnsi="宋体" w:cs="宋体" w:eastAsia="宋体" w:hint="default"/>
                <w:spacing w:val="2"/>
                <w:sz w:val="18"/>
                <w:szCs w:val="18"/>
              </w:rPr>
              <w:t> </w:t>
            </w:r>
            <w:r>
              <w:rPr>
                <w:rFonts w:ascii="宋体" w:hAnsi="宋体" w:cs="宋体" w:eastAsia="宋体" w:hint="default"/>
                <w:spacing w:val="30"/>
                <w:sz w:val="18"/>
                <w:szCs w:val="18"/>
              </w:rPr>
              <w:t>案包括</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pacing w:val="23"/>
                <w:sz w:val="18"/>
                <w:szCs w:val="18"/>
              </w:rPr>
              <w:t>议案</w:t>
            </w:r>
            <w:r>
              <w:rPr>
                <w:rFonts w:ascii="宋体" w:hAnsi="宋体" w:cs="宋体" w:eastAsia="宋体" w:hint="default"/>
                <w:spacing w:val="-44"/>
                <w:sz w:val="18"/>
                <w:szCs w:val="18"/>
              </w:rPr>
              <w:t> </w:t>
            </w:r>
            <w:r>
              <w:rPr>
                <w:rFonts w:ascii="宋体" w:hAnsi="宋体" w:cs="宋体" w:eastAsia="宋体" w:hint="default"/>
                <w:sz w:val="18"/>
                <w:szCs w:val="18"/>
              </w:rPr>
            </w:r>
          </w:p>
          <w:p>
            <w:pPr>
              <w:pStyle w:val="TableParagraph"/>
              <w:spacing w:line="237" w:lineRule="auto" w:before="1"/>
              <w:ind w:left="103" w:right="55"/>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个 </w:t>
            </w:r>
            <w:r>
              <w:rPr>
                <w:rFonts w:ascii="宋体" w:hAnsi="宋体" w:cs="宋体" w:eastAsia="宋体" w:hint="default"/>
                <w:spacing w:val="30"/>
                <w:sz w:val="18"/>
                <w:szCs w:val="18"/>
              </w:rPr>
              <w:t>子议案</w:t>
            </w:r>
            <w:r>
              <w:rPr>
                <w:rFonts w:ascii="宋体" w:hAnsi="宋体" w:cs="宋体" w:eastAsia="宋体" w:hint="default"/>
                <w:spacing w:val="-44"/>
                <w:sz w:val="18"/>
                <w:szCs w:val="18"/>
              </w:rPr>
              <w:t> </w:t>
            </w:r>
            <w:r>
              <w:rPr>
                <w:rFonts w:ascii="宋体" w:hAnsi="宋体" w:cs="宋体" w:eastAsia="宋体" w:hint="default"/>
                <w:spacing w:val="30"/>
                <w:sz w:val="18"/>
                <w:szCs w:val="18"/>
              </w:rPr>
              <w:t>获得决</w:t>
            </w:r>
            <w:r>
              <w:rPr>
                <w:rFonts w:ascii="宋体" w:hAnsi="宋体" w:cs="宋体" w:eastAsia="宋体" w:hint="default"/>
                <w:spacing w:val="-44"/>
                <w:sz w:val="18"/>
                <w:szCs w:val="18"/>
              </w:rPr>
              <w:t> </w:t>
            </w:r>
            <w:r>
              <w:rPr>
                <w:rFonts w:ascii="宋体" w:hAnsi="宋体" w:cs="宋体" w:eastAsia="宋体" w:hint="default"/>
                <w:sz w:val="18"/>
                <w:szCs w:val="18"/>
              </w:rPr>
              <w:t>议通过</w:t>
            </w:r>
          </w:p>
        </w:tc>
      </w:tr>
      <w:tr>
        <w:trPr>
          <w:trHeight w:val="3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会议决议披</w:t>
            </w:r>
            <w:r>
              <w:rPr>
                <w:rFonts w:ascii="宋体" w:hAnsi="宋体" w:cs="宋体" w:eastAsia="宋体" w:hint="default"/>
                <w:sz w:val="18"/>
                <w:szCs w:val="18"/>
              </w:rPr>
              <w:t> 露索引</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533" w:hRule="exact"/>
        </w:trPr>
        <w:tc>
          <w:tcPr>
            <w:tcW w:w="1136" w:type="dxa"/>
            <w:vMerge/>
            <w:tcBorders>
              <w:left w:val="single" w:sz="4" w:space="0" w:color="000000"/>
              <w:bottom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103"/>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2014</w:t>
            </w:r>
            <w:r>
              <w:rPr>
                <w:rFonts w:ascii="宋体" w:hAnsi="宋体" w:cs="宋体" w:eastAsia="宋体" w:hint="default"/>
                <w:spacing w:val="9"/>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2014-60) </w:t>
            </w:r>
            <w:r>
              <w:rPr>
                <w:rFonts w:ascii="宋体" w:hAnsi="宋体" w:cs="宋体" w:eastAsia="宋体" w:hint="default"/>
                <w:sz w:val="18"/>
                <w:szCs w:val="18"/>
              </w:rPr>
              <w:t>和《公司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年第一次临时股东大会中小股东表决情况说明》</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sz w:val="18"/>
              </w:rPr>
              <w:t>2014-09-10</w:t>
            </w:r>
          </w:p>
        </w:tc>
      </w:tr>
    </w:tbl>
    <w:p>
      <w:pPr>
        <w:spacing w:line="240" w:lineRule="auto" w:before="12"/>
        <w:rPr>
          <w:rFonts w:ascii="宋体" w:hAnsi="宋体" w:cs="宋体" w:eastAsia="宋体" w:hint="default"/>
          <w:sz w:val="19"/>
          <w:szCs w:val="19"/>
        </w:rPr>
      </w:pPr>
    </w:p>
    <w:p>
      <w:pPr>
        <w:pStyle w:val="BodyText"/>
        <w:tabs>
          <w:tab w:pos="6810" w:val="left" w:leader="none"/>
        </w:tabs>
        <w:spacing w:line="240" w:lineRule="auto" w:before="35"/>
        <w:ind w:left="824" w:right="41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表决权恢复的优先股股东请求召开临时股东大会：□适用</w:t>
        <w:tab/>
        <w:t>√不适用</w:t>
      </w:r>
    </w:p>
    <w:p>
      <w:pPr>
        <w:spacing w:line="240" w:lineRule="auto" w:before="10"/>
        <w:rPr>
          <w:rFonts w:ascii="宋体" w:hAnsi="宋体" w:cs="宋体" w:eastAsia="宋体" w:hint="default"/>
          <w:sz w:val="14"/>
          <w:szCs w:val="14"/>
        </w:rPr>
      </w:pPr>
    </w:p>
    <w:p>
      <w:pPr>
        <w:spacing w:line="273" w:lineRule="auto" w:before="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三、报告期内独立董事履行职责的情况</w:t>
      </w:r>
      <w:r>
        <w:rPr>
          <w:rFonts w:ascii="宋体" w:hAnsi="宋体" w:cs="宋体" w:eastAsia="宋体" w:hint="default"/>
          <w:b/>
          <w:bCs/>
          <w:w w:val="99"/>
          <w:sz w:val="21"/>
          <w:szCs w:val="21"/>
        </w:rPr>
        <w:t> </w:t>
      </w:r>
      <w:r>
        <w:rPr>
          <w:rFonts w:ascii="宋体" w:hAnsi="宋体" w:cs="宋体" w:eastAsia="宋体" w:hint="default"/>
          <w:spacing w:val="-1"/>
          <w:sz w:val="21"/>
          <w:szCs w:val="21"/>
        </w:rPr>
        <w:t>为保障独立董事履职，公司建立健全相关工作制度。公司独立董事能够认真履行职责，对公司重大</w:t>
      </w:r>
    </w:p>
    <w:p>
      <w:pPr>
        <w:pStyle w:val="BodyText"/>
        <w:spacing w:line="273" w:lineRule="auto"/>
        <w:ind w:right="1177"/>
        <w:jc w:val="left"/>
      </w:pPr>
      <w:r>
        <w:rPr>
          <w:spacing w:val="-1"/>
        </w:rPr>
        <w:t>决策、重大资产重组、高层人员选聘、制度建设、完善内部控制、信息披露、利润分配发表意见，向公</w:t>
      </w:r>
      <w:r>
        <w:rPr/>
        <w:t> 司</w:t>
      </w:r>
      <w:r>
        <w:rPr>
          <w:spacing w:val="-54"/>
        </w:rPr>
        <w:t> </w:t>
      </w:r>
      <w:r>
        <w:rPr>
          <w:rFonts w:ascii="宋体" w:hAnsi="宋体" w:cs="宋体" w:eastAsia="宋体" w:hint="default"/>
        </w:rPr>
        <w:t>2013</w:t>
      </w:r>
      <w:r>
        <w:rPr>
          <w:rFonts w:ascii="宋体" w:hAnsi="宋体" w:cs="宋体" w:eastAsia="宋体" w:hint="default"/>
          <w:spacing w:val="-53"/>
        </w:rPr>
        <w:t> </w:t>
      </w:r>
      <w:r>
        <w:rPr/>
        <w:t>年度股东大会述职，在公司治理、规范运作方面发挥了重要作用。</w:t>
      </w:r>
    </w:p>
    <w:p>
      <w:pPr>
        <w:pStyle w:val="BodyText"/>
        <w:spacing w:line="273" w:lineRule="auto" w:before="163"/>
        <w:ind w:right="1175" w:firstLine="420"/>
        <w:jc w:val="left"/>
      </w:pPr>
      <w:r>
        <w:rPr>
          <w:rFonts w:ascii="宋体" w:hAnsi="宋体" w:cs="宋体" w:eastAsia="宋体" w:hint="default"/>
        </w:rPr>
        <w:t>(</w:t>
      </w:r>
      <w:r>
        <w:rPr/>
        <w:t>一</w:t>
      </w:r>
      <w:r>
        <w:rPr>
          <w:rFonts w:ascii="宋体" w:hAnsi="宋体" w:cs="宋体" w:eastAsia="宋体" w:hint="default"/>
        </w:rPr>
        <w:t>)</w:t>
      </w:r>
      <w:r>
        <w:rPr/>
        <w:t>参加会议情况。报告期公司召开了</w:t>
      </w:r>
      <w:r>
        <w:rPr>
          <w:spacing w:val="-50"/>
        </w:rPr>
        <w:t> </w:t>
      </w:r>
      <w:r>
        <w:rPr>
          <w:rFonts w:ascii="宋体" w:hAnsi="宋体" w:cs="宋体" w:eastAsia="宋体" w:hint="default"/>
        </w:rPr>
        <w:t>7</w:t>
      </w:r>
      <w:r>
        <w:rPr>
          <w:rFonts w:ascii="宋体" w:hAnsi="宋体" w:cs="宋体" w:eastAsia="宋体" w:hint="default"/>
          <w:spacing w:val="-49"/>
        </w:rPr>
        <w:t> </w:t>
      </w:r>
      <w:r>
        <w:rPr/>
        <w:t>次董事会、</w:t>
      </w:r>
      <w:r>
        <w:rPr>
          <w:rFonts w:ascii="宋体" w:hAnsi="宋体" w:cs="宋体" w:eastAsia="宋体" w:hint="default"/>
        </w:rPr>
        <w:t>3</w:t>
      </w:r>
      <w:r>
        <w:rPr>
          <w:rFonts w:ascii="宋体" w:hAnsi="宋体" w:cs="宋体" w:eastAsia="宋体" w:hint="default"/>
          <w:spacing w:val="-49"/>
        </w:rPr>
        <w:t> </w:t>
      </w:r>
      <w:r>
        <w:rPr/>
        <w:t>次股东大会，独立董事出席公司董事会、股 东大会及发表相关意见、建议情况见下表</w:t>
      </w:r>
    </w:p>
    <w:tbl>
      <w:tblPr>
        <w:tblW w:w="0" w:type="auto"/>
        <w:jc w:val="left"/>
        <w:tblInd w:w="115" w:type="dxa"/>
        <w:tblLayout w:type="fixed"/>
        <w:tblCellMar>
          <w:top w:w="0" w:type="dxa"/>
          <w:left w:w="0" w:type="dxa"/>
          <w:bottom w:w="0" w:type="dxa"/>
          <w:right w:w="0" w:type="dxa"/>
        </w:tblCellMar>
        <w:tblLook w:val="01E0"/>
      </w:tblPr>
      <w:tblGrid>
        <w:gridCol w:w="3396"/>
        <w:gridCol w:w="786"/>
        <w:gridCol w:w="781"/>
        <w:gridCol w:w="782"/>
        <w:gridCol w:w="712"/>
        <w:gridCol w:w="773"/>
        <w:gridCol w:w="754"/>
        <w:gridCol w:w="1090"/>
        <w:gridCol w:w="851"/>
      </w:tblGrid>
      <w:tr>
        <w:trPr>
          <w:trHeight w:val="406" w:hRule="exact"/>
        </w:trPr>
        <w:tc>
          <w:tcPr>
            <w:tcW w:w="3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6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73" w:right="0"/>
              <w:jc w:val="left"/>
              <w:rPr>
                <w:rFonts w:ascii="宋体" w:hAnsi="宋体" w:cs="宋体" w:eastAsia="宋体" w:hint="default"/>
                <w:sz w:val="18"/>
                <w:szCs w:val="18"/>
              </w:rPr>
            </w:pPr>
            <w:r>
              <w:rPr>
                <w:rFonts w:ascii="宋体" w:hAnsi="宋体" w:cs="宋体" w:eastAsia="宋体" w:hint="default"/>
                <w:sz w:val="18"/>
                <w:szCs w:val="18"/>
              </w:rPr>
              <w:t>独立董事出席董事会方式、次数</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103" w:right="197"/>
              <w:jc w:val="both"/>
              <w:rPr>
                <w:rFonts w:ascii="宋体" w:hAnsi="宋体" w:cs="宋体" w:eastAsia="宋体" w:hint="default"/>
                <w:sz w:val="18"/>
                <w:szCs w:val="18"/>
              </w:rPr>
            </w:pPr>
            <w:r>
              <w:rPr>
                <w:rFonts w:ascii="宋体" w:hAnsi="宋体" w:cs="宋体" w:eastAsia="宋体" w:hint="default"/>
                <w:sz w:val="18"/>
                <w:szCs w:val="18"/>
              </w:rPr>
              <w:t>出席股 东大会 的次数</w:t>
            </w:r>
          </w:p>
        </w:tc>
      </w:tr>
      <w:tr>
        <w:trPr>
          <w:trHeight w:val="322" w:hRule="exact"/>
        </w:trPr>
        <w:tc>
          <w:tcPr>
            <w:tcW w:w="3396" w:type="dxa"/>
            <w:vMerge/>
            <w:tcBorders>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Style w:val="TableParagraph"/>
              <w:spacing w:line="237" w:lineRule="auto" w:before="59"/>
              <w:ind w:left="101" w:right="132"/>
              <w:jc w:val="both"/>
              <w:rPr>
                <w:rFonts w:ascii="宋体" w:hAnsi="宋体" w:cs="宋体" w:eastAsia="宋体" w:hint="default"/>
                <w:sz w:val="18"/>
                <w:szCs w:val="18"/>
              </w:rPr>
            </w:pPr>
            <w:r>
              <w:rPr>
                <w:rFonts w:ascii="宋体" w:hAnsi="宋体" w:cs="宋体" w:eastAsia="宋体" w:hint="default"/>
                <w:sz w:val="18"/>
                <w:szCs w:val="18"/>
              </w:rPr>
              <w:t>报告期 应参会 次数</w:t>
            </w:r>
          </w:p>
        </w:tc>
        <w:tc>
          <w:tcPr>
            <w:tcW w:w="1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现场结合视频</w:t>
            </w:r>
          </w:p>
        </w:tc>
        <w:tc>
          <w:tcPr>
            <w:tcW w:w="7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委托</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缺席</w:t>
            </w:r>
          </w:p>
        </w:tc>
        <w:tc>
          <w:tcPr>
            <w:tcW w:w="1090" w:type="dxa"/>
            <w:vMerge w:val="restart"/>
            <w:tcBorders>
              <w:top w:val="single" w:sz="4" w:space="0" w:color="000000"/>
              <w:left w:val="single" w:sz="4" w:space="0" w:color="000000"/>
              <w:right w:val="single" w:sz="4" w:space="0" w:color="000000"/>
            </w:tcBorders>
          </w:tcPr>
          <w:p>
            <w:pPr>
              <w:pStyle w:val="TableParagraph"/>
              <w:spacing w:line="237" w:lineRule="auto" w:before="59"/>
              <w:ind w:left="101" w:right="257"/>
              <w:jc w:val="both"/>
              <w:rPr>
                <w:rFonts w:ascii="宋体" w:hAnsi="宋体" w:cs="宋体" w:eastAsia="宋体" w:hint="default"/>
                <w:sz w:val="18"/>
                <w:szCs w:val="18"/>
              </w:rPr>
            </w:pPr>
            <w:r>
              <w:rPr>
                <w:rFonts w:ascii="宋体" w:hAnsi="宋体" w:cs="宋体" w:eastAsia="宋体" w:hint="default"/>
                <w:sz w:val="18"/>
                <w:szCs w:val="18"/>
              </w:rPr>
              <w:t>是否连续 两次未亲 自参会</w:t>
            </w:r>
          </w:p>
        </w:tc>
        <w:tc>
          <w:tcPr>
            <w:tcW w:w="851" w:type="dxa"/>
            <w:vMerge/>
            <w:tcBorders>
              <w:left w:val="single" w:sz="4" w:space="0" w:color="000000"/>
              <w:right w:val="single" w:sz="4" w:space="0" w:color="000000"/>
            </w:tcBorders>
          </w:tcPr>
          <w:p>
            <w:pPr/>
          </w:p>
        </w:tc>
      </w:tr>
      <w:tr>
        <w:trPr>
          <w:trHeight w:val="563" w:hRule="exact"/>
        </w:trPr>
        <w:tc>
          <w:tcPr>
            <w:tcW w:w="3396"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现场</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视频</w:t>
            </w:r>
          </w:p>
        </w:tc>
        <w:tc>
          <w:tcPr>
            <w:tcW w:w="71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王国文</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柳木华</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5"/>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323"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姜大鸣</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78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35"/>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8"/>
                <w:szCs w:val="18"/>
              </w:rPr>
            </w:pPr>
            <w:r>
              <w:rPr>
                <w:rFonts w:ascii="宋体"/>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独立董事提出异议的事项及内容</w:t>
            </w:r>
          </w:p>
        </w:tc>
        <w:tc>
          <w:tcPr>
            <w:tcW w:w="65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对董事会审议事项未提出过异议。</w:t>
            </w:r>
          </w:p>
        </w:tc>
      </w:tr>
      <w:tr>
        <w:trPr>
          <w:trHeight w:val="323"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独立董事对公司的有关建议是否被采纳</w:t>
            </w:r>
          </w:p>
        </w:tc>
        <w:tc>
          <w:tcPr>
            <w:tcW w:w="65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采纳了“</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年度公司适度现金分红”的建议。</w:t>
            </w:r>
          </w:p>
        </w:tc>
      </w:tr>
    </w:tbl>
    <w:p>
      <w:pPr>
        <w:spacing w:line="240" w:lineRule="auto" w:before="10"/>
        <w:rPr>
          <w:rFonts w:ascii="宋体" w:hAnsi="宋体" w:cs="宋体" w:eastAsia="宋体" w:hint="default"/>
          <w:sz w:val="21"/>
          <w:szCs w:val="21"/>
        </w:rPr>
      </w:pPr>
    </w:p>
    <w:p>
      <w:pPr>
        <w:pStyle w:val="BodyText"/>
        <w:spacing w:line="273" w:lineRule="auto" w:before="35"/>
        <w:ind w:right="1189" w:firstLine="420"/>
        <w:jc w:val="both"/>
      </w:pPr>
      <w:r>
        <w:rPr>
          <w:rFonts w:ascii="宋体" w:hAnsi="宋体" w:cs="宋体" w:eastAsia="宋体" w:hint="default"/>
        </w:rPr>
        <w:t>(</w:t>
      </w:r>
      <w:r>
        <w:rPr/>
        <w:t>二</w:t>
      </w:r>
      <w:r>
        <w:rPr>
          <w:rFonts w:ascii="宋体" w:hAnsi="宋体" w:cs="宋体" w:eastAsia="宋体" w:hint="default"/>
        </w:rPr>
        <w:t>)</w:t>
      </w:r>
      <w:r>
        <w:rPr/>
        <w:t>工作情况。在 </w:t>
      </w:r>
      <w:r>
        <w:rPr>
          <w:rFonts w:ascii="宋体" w:hAnsi="宋体" w:cs="宋体" w:eastAsia="宋体" w:hint="default"/>
        </w:rPr>
        <w:t>2013</w:t>
      </w:r>
      <w:r>
        <w:rPr>
          <w:rFonts w:ascii="宋体" w:hAnsi="宋体" w:cs="宋体" w:eastAsia="宋体" w:hint="default"/>
          <w:spacing w:val="-42"/>
        </w:rPr>
        <w:t> </w:t>
      </w:r>
      <w:r>
        <w:rPr/>
        <w:t>年年报编制过程中，独立董事听取或阅读公司管理层有关上年经营、财务 </w:t>
      </w:r>
      <w:r>
        <w:rPr>
          <w:spacing w:val="-1"/>
        </w:rPr>
        <w:t>状况和重大事项的汇报，审阅公司财务提交的年度审计工作安排，到公司实地考察。报告期内公司独立</w:t>
      </w:r>
      <w:r>
        <w:rPr>
          <w:spacing w:val="-102"/>
        </w:rPr>
        <w:t> </w:t>
      </w:r>
      <w:r>
        <w:rPr>
          <w:spacing w:val="-102"/>
        </w:rPr>
      </w:r>
      <w:r>
        <w:rPr/>
        <w:t>董事发表独立意见的时间、事项以及意见类型见下表</w:t>
      </w:r>
    </w:p>
    <w:p>
      <w:pPr>
        <w:spacing w:line="240" w:lineRule="auto" w:before="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412"/>
        <w:gridCol w:w="5103"/>
        <w:gridCol w:w="2410"/>
      </w:tblGrid>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0"/>
              <w:jc w:val="right"/>
              <w:rPr>
                <w:rFonts w:ascii="宋体" w:hAnsi="宋体" w:cs="宋体" w:eastAsia="宋体" w:hint="default"/>
                <w:sz w:val="18"/>
                <w:szCs w:val="18"/>
              </w:rPr>
            </w:pPr>
            <w:r>
              <w:rPr>
                <w:rFonts w:ascii="宋体" w:hAnsi="宋体" w:cs="宋体" w:eastAsia="宋体" w:hint="default"/>
                <w:sz w:val="18"/>
                <w:szCs w:val="18"/>
              </w:rPr>
              <w:t>发表时间</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涉及事项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33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关于公司购买商业银行保本类型理财产品的意见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年度实施现金分红的意见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建议分红</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年度现金分红预案的意见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关于秦皇岛茂业</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年末资产减值测试的意见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年资金占用、对外担保情况的专项说明及独立意见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合法合规</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年内部控制自我评价报告的独立意见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聘任公司高级管理人员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after="0" w:line="240" w:lineRule="auto"/>
        <w:jc w:val="center"/>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412"/>
        <w:gridCol w:w="5103"/>
        <w:gridCol w:w="2410"/>
      </w:tblGrid>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聘任公司高级管理人员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合法合规</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pacing w:val="-4"/>
                <w:sz w:val="18"/>
                <w:szCs w:val="18"/>
              </w:rPr>
              <w:t>2014</w:t>
            </w:r>
            <w:r>
              <w:rPr>
                <w:rFonts w:ascii="宋体" w:hAnsi="宋体" w:cs="宋体" w:eastAsia="宋体" w:hint="default"/>
                <w:spacing w:val="-4"/>
                <w:sz w:val="18"/>
                <w:szCs w:val="18"/>
              </w:rPr>
              <w:t>年中期资金占用、对外担保情况的专项说明及独立意见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合法合规</w:t>
            </w:r>
          </w:p>
        </w:tc>
      </w:tr>
    </w:tbl>
    <w:p>
      <w:pPr>
        <w:spacing w:line="240" w:lineRule="auto" w:before="1"/>
        <w:rPr>
          <w:rFonts w:ascii="宋体" w:hAnsi="宋体" w:cs="宋体" w:eastAsia="宋体" w:hint="default"/>
          <w:sz w:val="20"/>
          <w:szCs w:val="20"/>
        </w:rPr>
      </w:pPr>
    </w:p>
    <w:p>
      <w:pPr>
        <w:pStyle w:val="BodyText"/>
        <w:spacing w:line="273" w:lineRule="auto" w:before="35"/>
        <w:ind w:left="824" w:right="1173"/>
        <w:jc w:val="left"/>
      </w:pPr>
      <w:r>
        <w:rPr/>
        <w:t>四、董事会下设专门委员会在报告期内履行职责时所提出的重要意见和建议 公司审计委员会对会计师事务所就公司 </w:t>
      </w:r>
      <w:r>
        <w:rPr>
          <w:rFonts w:ascii="宋体" w:hAnsi="宋体" w:cs="宋体" w:eastAsia="宋体" w:hint="default"/>
        </w:rPr>
        <w:t>2013</w:t>
      </w:r>
      <w:r>
        <w:rPr>
          <w:rFonts w:ascii="宋体" w:hAnsi="宋体" w:cs="宋体" w:eastAsia="宋体" w:hint="default"/>
          <w:spacing w:val="-41"/>
        </w:rPr>
        <w:t> </w:t>
      </w:r>
      <w:r>
        <w:rPr/>
        <w:t>年度的财务报告出具标准无保留意见的审计报告没有</w:t>
      </w:r>
    </w:p>
    <w:p>
      <w:pPr>
        <w:pStyle w:val="BodyText"/>
        <w:spacing w:line="273" w:lineRule="auto"/>
        <w:ind w:left="824" w:right="1175" w:hanging="421"/>
        <w:jc w:val="left"/>
      </w:pPr>
      <w:r>
        <w:rPr/>
        <w:t>异议。提议续聘中兴华会计师事务所为公司</w:t>
      </w:r>
      <w:r>
        <w:rPr>
          <w:spacing w:val="-53"/>
        </w:rPr>
        <w:t> </w:t>
      </w:r>
      <w:r>
        <w:rPr>
          <w:rFonts w:ascii="宋体" w:hAnsi="宋体" w:cs="宋体" w:eastAsia="宋体" w:hint="default"/>
        </w:rPr>
        <w:t>2014</w:t>
      </w:r>
      <w:r>
        <w:rPr>
          <w:rFonts w:ascii="宋体" w:hAnsi="宋体" w:cs="宋体" w:eastAsia="宋体" w:hint="default"/>
          <w:spacing w:val="-53"/>
        </w:rPr>
        <w:t> </w:t>
      </w:r>
      <w:r>
        <w:rPr/>
        <w:t>年度审计机构。 </w:t>
      </w:r>
      <w:r>
        <w:rPr>
          <w:spacing w:val="-1"/>
        </w:rPr>
        <w:t>公司薪酬委员会认为：公司董事、监事的津贴符合公司股东大会批准的方案规定，高管人员的薪酬</w:t>
      </w:r>
    </w:p>
    <w:p>
      <w:pPr>
        <w:pStyle w:val="BodyText"/>
        <w:spacing w:line="240" w:lineRule="auto"/>
        <w:ind w:right="0"/>
        <w:jc w:val="both"/>
      </w:pPr>
      <w:r>
        <w:rPr/>
        <w:t>符合公司董事会的薪酬意见规定。</w:t>
      </w:r>
    </w:p>
    <w:p>
      <w:pPr>
        <w:spacing w:line="240" w:lineRule="auto" w:before="10"/>
        <w:rPr>
          <w:rFonts w:ascii="宋体" w:hAnsi="宋体" w:cs="宋体" w:eastAsia="宋体" w:hint="default"/>
          <w:sz w:val="14"/>
          <w:szCs w:val="14"/>
        </w:rPr>
      </w:pPr>
    </w:p>
    <w:p>
      <w:pPr>
        <w:pStyle w:val="BodyText"/>
        <w:spacing w:line="273" w:lineRule="auto" w:before="0"/>
        <w:ind w:right="1187" w:firstLine="420"/>
        <w:jc w:val="both"/>
      </w:pPr>
      <w:r>
        <w:rPr>
          <w:spacing w:val="-5"/>
        </w:rPr>
        <w:t>五、公司监事会对报告期内的监督事项无异议。公司第六届监事会</w:t>
      </w:r>
      <w:r>
        <w:rPr>
          <w:spacing w:val="-49"/>
        </w:rPr>
        <w:t> </w:t>
      </w:r>
      <w:r>
        <w:rPr>
          <w:rFonts w:ascii="宋体" w:hAnsi="宋体" w:cs="宋体" w:eastAsia="宋体" w:hint="default"/>
        </w:rPr>
        <w:t>2015</w:t>
      </w:r>
      <w:r>
        <w:rPr>
          <w:rFonts w:ascii="宋体" w:hAnsi="宋体" w:cs="宋体" w:eastAsia="宋体" w:hint="default"/>
          <w:spacing w:val="-48"/>
        </w:rPr>
        <w:t> </w:t>
      </w:r>
      <w:r>
        <w:rPr>
          <w:spacing w:val="-7"/>
        </w:rPr>
        <w:t>年第一次会议对《公司</w:t>
      </w:r>
      <w:r>
        <w:rPr>
          <w:spacing w:val="-49"/>
        </w:rPr>
        <w:t> </w:t>
      </w:r>
      <w:r>
        <w:rPr>
          <w:rFonts w:ascii="宋体" w:hAnsi="宋体" w:cs="宋体" w:eastAsia="宋体" w:hint="default"/>
        </w:rPr>
        <w:t>2014 </w:t>
      </w:r>
      <w:r>
        <w:rPr>
          <w:spacing w:val="-1"/>
        </w:rPr>
        <w:t>年内部控制自我评价报告》出具了审核意见，认为：公司建立健全各项制度，公司治理结构完善，内部</w:t>
      </w:r>
      <w:r>
        <w:rPr/>
        <w:t> 控制有效，报告符合公司现状，对报告没有异议。</w:t>
      </w:r>
    </w:p>
    <w:p>
      <w:pPr>
        <w:pStyle w:val="BodyText"/>
        <w:spacing w:line="273" w:lineRule="auto" w:before="163"/>
        <w:ind w:left="824" w:right="1175"/>
        <w:jc w:val="left"/>
      </w:pPr>
      <w:r>
        <w:rPr/>
        <w:t>六、公司相对于控股股东在业务、人员、资产、机构、财务等方面的独立完整情况 </w:t>
      </w:r>
      <w:r>
        <w:rPr>
          <w:spacing w:val="-1"/>
        </w:rPr>
        <w:t>公司与控股股东在业务、人员、资产、机构、财务等方面完全分开，具有独立完整的业务及自主经</w:t>
      </w:r>
    </w:p>
    <w:p>
      <w:pPr>
        <w:pStyle w:val="BodyText"/>
        <w:spacing w:line="240" w:lineRule="auto"/>
        <w:ind w:right="0"/>
        <w:jc w:val="both"/>
      </w:pPr>
      <w:r>
        <w:rPr/>
        <w:t>营能力。</w:t>
      </w:r>
    </w:p>
    <w:p>
      <w:pPr>
        <w:spacing w:line="240" w:lineRule="auto" w:before="10"/>
        <w:rPr>
          <w:rFonts w:ascii="宋体" w:hAnsi="宋体" w:cs="宋体" w:eastAsia="宋体" w:hint="default"/>
          <w:sz w:val="14"/>
          <w:szCs w:val="14"/>
        </w:rPr>
      </w:pPr>
    </w:p>
    <w:p>
      <w:pPr>
        <w:pStyle w:val="BodyText"/>
        <w:spacing w:line="273" w:lineRule="auto" w:before="0"/>
        <w:ind w:left="824" w:right="1175"/>
        <w:jc w:val="left"/>
      </w:pPr>
      <w:r>
        <w:rPr/>
        <w:t>七、同业竞争情况 公司位于秦皇岛市的百货门店与秦皇岛茂业百货</w:t>
      </w:r>
      <w:r>
        <w:rPr>
          <w:rFonts w:ascii="宋体" w:hAnsi="宋体" w:cs="宋体" w:eastAsia="宋体" w:hint="default"/>
        </w:rPr>
        <w:t>(</w:t>
      </w:r>
      <w:r>
        <w:rPr/>
        <w:t>原金都店</w:t>
      </w:r>
      <w:r>
        <w:rPr>
          <w:rFonts w:ascii="宋体" w:hAnsi="宋体" w:cs="宋体" w:eastAsia="宋体" w:hint="default"/>
        </w:rPr>
        <w:t>)</w:t>
      </w:r>
      <w:r>
        <w:rPr/>
        <w:t>存在的同业竞争，已于 </w:t>
      </w:r>
      <w:r>
        <w:rPr>
          <w:rFonts w:ascii="宋体" w:hAnsi="宋体" w:cs="宋体" w:eastAsia="宋体" w:hint="default"/>
        </w:rPr>
        <w:t>2012</w:t>
      </w:r>
      <w:r>
        <w:rPr>
          <w:rFonts w:ascii="宋体" w:hAnsi="宋体" w:cs="宋体" w:eastAsia="宋体" w:hint="default"/>
          <w:spacing w:val="-43"/>
        </w:rPr>
        <w:t> </w:t>
      </w:r>
      <w:r>
        <w:rPr/>
        <w:t>年通过公</w:t>
      </w:r>
    </w:p>
    <w:p>
      <w:pPr>
        <w:pStyle w:val="BodyText"/>
        <w:spacing w:line="273" w:lineRule="auto"/>
        <w:ind w:right="1188"/>
        <w:jc w:val="both"/>
      </w:pPr>
      <w:r>
        <w:rPr/>
        <w:t>司发行股份购买资产暨关联交易得到解决。在 </w:t>
      </w:r>
      <w:r>
        <w:rPr>
          <w:rFonts w:ascii="宋体" w:hAnsi="宋体" w:cs="宋体" w:eastAsia="宋体" w:hint="default"/>
        </w:rPr>
        <w:t>2012</w:t>
      </w:r>
      <w:r>
        <w:rPr>
          <w:rFonts w:ascii="宋体" w:hAnsi="宋体" w:cs="宋体" w:eastAsia="宋体" w:hint="default"/>
          <w:spacing w:val="-41"/>
        </w:rPr>
        <w:t> </w:t>
      </w:r>
      <w:r>
        <w:rPr/>
        <w:t>年重组中公司实际控制人就进一步解决同业竞争的 承诺已在本年报第五章第四节“承诺及履行情况”中予以说明。</w:t>
      </w:r>
    </w:p>
    <w:p>
      <w:pPr>
        <w:pStyle w:val="BodyText"/>
        <w:spacing w:line="273" w:lineRule="auto" w:before="163"/>
        <w:ind w:left="824" w:right="1175"/>
        <w:jc w:val="left"/>
      </w:pPr>
      <w:r>
        <w:rPr/>
        <w:t>八、高级管理人员的考评及激励情况 </w:t>
      </w:r>
      <w:r>
        <w:rPr>
          <w:spacing w:val="-1"/>
        </w:rPr>
        <w:t>董事会根据公司经营工作开展及经营目标实现情况考评经理层，公司总裁代表经理层向董事会报告</w:t>
      </w:r>
    </w:p>
    <w:p>
      <w:pPr>
        <w:pStyle w:val="BodyText"/>
        <w:spacing w:line="273" w:lineRule="auto"/>
        <w:ind w:right="1188"/>
        <w:jc w:val="both"/>
      </w:pPr>
      <w:r>
        <w:rPr/>
        <w:t>工作情况，公司董事会对经理层 </w:t>
      </w:r>
      <w:r>
        <w:rPr>
          <w:rFonts w:ascii="宋体" w:hAnsi="宋体" w:cs="宋体" w:eastAsia="宋体" w:hint="default"/>
        </w:rPr>
        <w:t>2014</w:t>
      </w:r>
      <w:r>
        <w:rPr>
          <w:rFonts w:ascii="宋体" w:hAnsi="宋体" w:cs="宋体" w:eastAsia="宋体" w:hint="default"/>
          <w:spacing w:val="-42"/>
        </w:rPr>
        <w:t> </w:t>
      </w:r>
      <w:r>
        <w:rPr/>
        <w:t>年度的工作予以肯定。公司董事会建立起基本薪酬加绩效薪酬、 </w:t>
      </w:r>
      <w:r>
        <w:rPr>
          <w:spacing w:val="-1"/>
        </w:rPr>
        <w:t>绩效薪酬与年度经营业绩挂钩的激励制度，并按制度实施。公司将借鉴其他上市公司的成功经验，结合</w:t>
      </w:r>
      <w:r>
        <w:rPr>
          <w:spacing w:val="-102"/>
        </w:rPr>
        <w:t> </w:t>
      </w:r>
      <w:r>
        <w:rPr>
          <w:spacing w:val="-102"/>
        </w:rPr>
      </w:r>
      <w:r>
        <w:rPr/>
        <w:t>公司实际情况，继续完善激励机制。</w:t>
      </w:r>
    </w:p>
    <w:p>
      <w:pPr>
        <w:spacing w:line="240" w:lineRule="auto" w:before="7"/>
        <w:rPr>
          <w:rFonts w:ascii="宋体" w:hAnsi="宋体" w:cs="宋体" w:eastAsia="宋体" w:hint="default"/>
          <w:sz w:val="29"/>
          <w:szCs w:val="29"/>
        </w:rPr>
      </w:pPr>
    </w:p>
    <w:p>
      <w:pPr>
        <w:pStyle w:val="Heading1"/>
        <w:spacing w:line="240" w:lineRule="auto"/>
        <w:ind w:right="785"/>
        <w:jc w:val="center"/>
        <w:rPr>
          <w:b w:val="0"/>
          <w:bCs w:val="0"/>
        </w:rPr>
      </w:pPr>
      <w:r>
        <w:rPr/>
        <w:t>第九章</w:t>
      </w:r>
      <w:r>
        <w:rPr>
          <w:spacing w:val="-5"/>
        </w:rPr>
        <w:t> </w:t>
      </w:r>
      <w:r>
        <w:rPr/>
        <w:t>内部控制</w:t>
      </w:r>
      <w:r>
        <w:rPr>
          <w:b w:val="0"/>
          <w:bCs w:val="0"/>
        </w:rPr>
      </w:r>
    </w:p>
    <w:p>
      <w:pPr>
        <w:spacing w:line="240" w:lineRule="auto" w:before="5"/>
        <w:rPr>
          <w:rFonts w:ascii="宋体" w:hAnsi="宋体" w:cs="宋体" w:eastAsia="宋体" w:hint="default"/>
          <w:b/>
          <w:bCs/>
          <w:sz w:val="34"/>
          <w:szCs w:val="34"/>
        </w:rPr>
      </w:pPr>
    </w:p>
    <w:p>
      <w:pPr>
        <w:pStyle w:val="BodyText"/>
        <w:spacing w:line="240" w:lineRule="auto" w:before="0"/>
        <w:ind w:left="824" w:right="5945"/>
        <w:jc w:val="left"/>
      </w:pPr>
      <w:r>
        <w:rPr/>
        <w:t>一、内部控制建设情况</w:t>
      </w:r>
    </w:p>
    <w:p>
      <w:pPr>
        <w:pStyle w:val="BodyText"/>
        <w:spacing w:line="273" w:lineRule="auto" w:before="37"/>
        <w:ind w:right="418" w:firstLine="420"/>
        <w:jc w:val="left"/>
      </w:pPr>
      <w:r>
        <w:rPr/>
        <w:t>依据财政部办公厅财会办</w:t>
      </w:r>
      <w:r>
        <w:rPr>
          <w:rFonts w:ascii="宋体" w:hAnsi="宋体" w:cs="宋体" w:eastAsia="宋体" w:hint="default"/>
        </w:rPr>
        <w:t>[2012]30</w:t>
      </w:r>
      <w:r>
        <w:rPr>
          <w:rFonts w:ascii="宋体" w:hAnsi="宋体" w:cs="宋体" w:eastAsia="宋体" w:hint="default"/>
          <w:spacing w:val="-50"/>
        </w:rPr>
        <w:t> </w:t>
      </w:r>
      <w:r>
        <w:rPr/>
        <w:t>号文件《关于</w:t>
      </w:r>
      <w:r>
        <w:rPr>
          <w:spacing w:val="-50"/>
        </w:rPr>
        <w:t> </w:t>
      </w:r>
      <w:r>
        <w:rPr>
          <w:rFonts w:ascii="宋体" w:hAnsi="宋体" w:cs="宋体" w:eastAsia="宋体" w:hint="default"/>
        </w:rPr>
        <w:t>2012</w:t>
      </w:r>
      <w:r>
        <w:rPr>
          <w:rFonts w:ascii="宋体" w:hAnsi="宋体" w:cs="宋体" w:eastAsia="宋体" w:hint="default"/>
          <w:spacing w:val="-49"/>
        </w:rPr>
        <w:t> </w:t>
      </w:r>
      <w:r>
        <w:rPr/>
        <w:t>年主板上市公司分类分批实施企业内部控制 </w:t>
      </w:r>
      <w:r>
        <w:rPr>
          <w:spacing w:val="-4"/>
        </w:rPr>
        <w:t>规范体系的通知》、中国证监会河北监管局冀证监发</w:t>
      </w:r>
      <w:r>
        <w:rPr>
          <w:rFonts w:ascii="宋体" w:hAnsi="宋体" w:cs="宋体" w:eastAsia="宋体" w:hint="default"/>
          <w:spacing w:val="-4"/>
        </w:rPr>
        <w:t>[2012]92</w:t>
      </w:r>
      <w:r>
        <w:rPr>
          <w:rFonts w:ascii="宋体" w:hAnsi="宋体" w:cs="宋体" w:eastAsia="宋体" w:hint="default"/>
          <w:spacing w:val="-27"/>
        </w:rPr>
        <w:t> </w:t>
      </w:r>
      <w:r>
        <w:rPr>
          <w:spacing w:val="-1"/>
        </w:rPr>
        <w:t>号《关于辖区公司进一步做好内部控制规</w:t>
      </w:r>
      <w:r>
        <w:rPr>
          <w:spacing w:val="-84"/>
        </w:rPr>
        <w:t> </w:t>
      </w:r>
      <w:r>
        <w:rPr>
          <w:spacing w:val="-84"/>
        </w:rPr>
      </w:r>
      <w:r>
        <w:rPr>
          <w:spacing w:val="-4"/>
        </w:rPr>
        <w:t>范体系实施工作的通知》要求，为了动员公司全体员工参与内控建设，确保公司内控体系建设落到实处、</w:t>
      </w:r>
      <w:r>
        <w:rPr>
          <w:spacing w:val="-68"/>
        </w:rPr>
        <w:t> </w:t>
      </w:r>
      <w:r>
        <w:rPr>
          <w:spacing w:val="-68"/>
        </w:rPr>
      </w:r>
      <w:r>
        <w:rPr/>
        <w:t>取得实效、有效施行，公司第五届董事会 </w:t>
      </w:r>
      <w:r>
        <w:rPr>
          <w:rFonts w:ascii="宋体" w:hAnsi="宋体" w:cs="宋体" w:eastAsia="宋体" w:hint="default"/>
        </w:rPr>
        <w:t>2013</w:t>
      </w:r>
      <w:r>
        <w:rPr>
          <w:rFonts w:ascii="宋体" w:hAnsi="宋体" w:cs="宋体" w:eastAsia="宋体" w:hint="default"/>
          <w:spacing w:val="-39"/>
        </w:rPr>
        <w:t> </w:t>
      </w:r>
      <w:r>
        <w:rPr/>
        <w:t>年第一次会议对《公司内部控制规范实施工作方案》相</w:t>
      </w:r>
    </w:p>
    <w:p>
      <w:pPr>
        <w:pStyle w:val="BodyText"/>
        <w:spacing w:line="240" w:lineRule="auto"/>
        <w:ind w:right="0"/>
        <w:jc w:val="both"/>
      </w:pPr>
      <w:r>
        <w:rPr/>
        <w:t>关工作进度时间节点作出调整：将内部控制建设工作计划完成时间由</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5"/>
        </w:rPr>
        <w:t> </w:t>
      </w:r>
      <w:r>
        <w:rPr>
          <w:spacing w:val="-4"/>
        </w:rPr>
        <w:t>月中旬，调整为</w:t>
      </w:r>
      <w:r>
        <w:rPr>
          <w:spacing w:val="-56"/>
        </w:rPr>
        <w:t> </w:t>
      </w:r>
      <w:r>
        <w:rPr>
          <w:rFonts w:ascii="宋体" w:hAnsi="宋体" w:cs="宋体" w:eastAsia="宋体" w:hint="default"/>
        </w:rPr>
        <w:t>2014</w:t>
      </w:r>
      <w:r>
        <w:rPr>
          <w:rFonts w:ascii="宋体" w:hAnsi="宋体" w:cs="宋体" w:eastAsia="宋体" w:hint="default"/>
          <w:spacing w:val="-56"/>
        </w:rPr>
        <w:t> </w:t>
      </w:r>
      <w:r>
        <w:rPr/>
        <w:t>年</w:t>
      </w:r>
    </w:p>
    <w:p>
      <w:pPr>
        <w:pStyle w:val="BodyText"/>
        <w:spacing w:line="240" w:lineRule="auto" w:before="37"/>
        <w:ind w:right="0"/>
        <w:jc w:val="both"/>
      </w:pPr>
      <w:r>
        <w:rPr>
          <w:rFonts w:ascii="宋体" w:hAnsi="宋体" w:cs="宋体" w:eastAsia="宋体" w:hint="default"/>
        </w:rPr>
        <w:t>6</w:t>
      </w:r>
      <w:r>
        <w:rPr>
          <w:rFonts w:ascii="宋体" w:hAnsi="宋体" w:cs="宋体" w:eastAsia="宋体" w:hint="default"/>
          <w:spacing w:val="-55"/>
        </w:rPr>
        <w:t> </w:t>
      </w:r>
      <w:r>
        <w:rPr/>
        <w:t>月；将内部控制自我评价工作计划完成时间由</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spacing w:val="-5"/>
        </w:rPr>
        <w:t>月下旬，调整为</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spacing w:val="-5"/>
        </w:rPr>
        <w:t>月；将内部控制审</w:t>
      </w:r>
    </w:p>
    <w:p>
      <w:pPr>
        <w:pStyle w:val="BodyText"/>
        <w:spacing w:line="273" w:lineRule="auto" w:before="37"/>
        <w:ind w:right="1187"/>
        <w:jc w:val="both"/>
      </w:pPr>
      <w:r>
        <w:rPr/>
        <w:t>计工作计划完成时间由</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spacing w:val="-3"/>
        </w:rPr>
        <w:t>月下旬，调整为</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月。按照调整后的内控建设工作进度，</w:t>
      </w:r>
      <w:r>
        <w:rPr>
          <w:rFonts w:ascii="宋体" w:hAnsi="宋体" w:cs="宋体" w:eastAsia="宋体" w:hint="default"/>
        </w:rPr>
        <w:t>2013 </w:t>
      </w:r>
      <w:r>
        <w:rPr>
          <w:spacing w:val="-1"/>
        </w:rPr>
        <w:t>年公司完成比对确定内控缺陷试点</w:t>
      </w:r>
      <w:r>
        <w:rPr>
          <w:rFonts w:ascii="宋体" w:hAnsi="宋体" w:cs="宋体" w:eastAsia="宋体" w:hint="default"/>
          <w:spacing w:val="-1"/>
        </w:rPr>
        <w:t>(</w:t>
      </w:r>
      <w:r>
        <w:rPr>
          <w:spacing w:val="-1"/>
        </w:rPr>
        <w:t>没有重大缺陷</w:t>
      </w:r>
      <w:r>
        <w:rPr>
          <w:rFonts w:ascii="宋体" w:hAnsi="宋体" w:cs="宋体" w:eastAsia="宋体" w:hint="default"/>
          <w:spacing w:val="-1"/>
        </w:rPr>
        <w:t>)</w:t>
      </w:r>
      <w:r>
        <w:rPr>
          <w:spacing w:val="-1"/>
        </w:rPr>
        <w:t>，在财务系统、主要子公司试点的基础上全面推开比</w:t>
      </w:r>
      <w:r>
        <w:rPr>
          <w:spacing w:val="-102"/>
        </w:rPr>
        <w:t> </w:t>
      </w:r>
      <w:r>
        <w:rPr>
          <w:spacing w:val="-102"/>
        </w:rPr>
      </w:r>
      <w:r>
        <w:rPr>
          <w:spacing w:val="-2"/>
        </w:rPr>
        <w:t>对确定内控缺陷工作，形成整改意见建议；</w:t>
      </w:r>
      <w:r>
        <w:rPr>
          <w:rFonts w:ascii="宋体" w:hAnsi="宋体" w:cs="宋体" w:eastAsia="宋体" w:hint="default"/>
          <w:spacing w:val="-2"/>
        </w:rPr>
        <w:t>2014</w:t>
      </w:r>
      <w:r>
        <w:rPr>
          <w:rFonts w:ascii="宋体" w:hAnsi="宋体" w:cs="宋体" w:eastAsia="宋体" w:hint="default"/>
          <w:spacing w:val="-53"/>
        </w:rPr>
        <w:t> </w:t>
      </w:r>
      <w:r>
        <w:rPr>
          <w:spacing w:val="-2"/>
        </w:rPr>
        <w:t>年根据整改意见建议，公司制定整改方案，明确工作安</w:t>
      </w:r>
      <w:r>
        <w:rPr/>
        <w:t> </w:t>
      </w:r>
      <w:r>
        <w:rPr>
          <w:spacing w:val="-1"/>
        </w:rPr>
        <w:t>排、内容、目标、要求、措施、职责，落实整改方案，检查整改效果。报告期公司拟订内控自我评价办</w:t>
      </w:r>
      <w:r>
        <w:rPr>
          <w:spacing w:val="-99"/>
        </w:rPr>
        <w:t> </w:t>
      </w:r>
      <w:r>
        <w:rPr>
          <w:spacing w:val="-99"/>
        </w:rPr>
      </w:r>
      <w:r>
        <w:rPr/>
        <w:t>法和缺陷认定标准，组织实施内控评价，聘请公司年审会计师事务所对公司进行内控审计。</w:t>
      </w:r>
    </w:p>
    <w:p>
      <w:pPr>
        <w:pStyle w:val="BodyText"/>
        <w:spacing w:line="273" w:lineRule="auto" w:before="163"/>
        <w:ind w:left="824" w:right="1175"/>
        <w:jc w:val="left"/>
      </w:pPr>
      <w:r>
        <w:rPr/>
        <w:t>二、公司董事会关于内部控制责任的声明 </w:t>
      </w:r>
      <w:r>
        <w:rPr>
          <w:spacing w:val="-1"/>
        </w:rPr>
        <w:t>本公司董事会将切实承担起建立健全公司内部控制及其有效运行的全面责任，对公司内控制度的制</w:t>
      </w:r>
    </w:p>
    <w:p>
      <w:pPr>
        <w:spacing w:after="0" w:line="273"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89"/>
        <w:jc w:val="both"/>
      </w:pPr>
      <w:r>
        <w:rPr>
          <w:spacing w:val="-1"/>
        </w:rPr>
        <w:t>定和有效执行负责。公司将按照企业内部控制基本规范、企业内部控制配套指引等文件要求，继续建立</w:t>
      </w:r>
      <w:r>
        <w:rPr>
          <w:spacing w:val="-102"/>
        </w:rPr>
        <w:t> </w:t>
      </w:r>
      <w:r>
        <w:rPr>
          <w:spacing w:val="-102"/>
        </w:rPr>
      </w:r>
      <w:r>
        <w:rPr/>
        <w:t>健全、充实完善公司的内部控制，并使之得到贯彻落实。</w:t>
      </w:r>
    </w:p>
    <w:p>
      <w:pPr>
        <w:pStyle w:val="BodyText"/>
        <w:spacing w:line="273" w:lineRule="auto" w:before="163"/>
        <w:ind w:left="824" w:right="418"/>
        <w:jc w:val="left"/>
      </w:pPr>
      <w:r>
        <w:rPr/>
        <w:t>三、建立财务报告内部控制的依据 </w:t>
      </w:r>
      <w:r>
        <w:rPr>
          <w:spacing w:val="-11"/>
        </w:rPr>
        <w:t>公司建立财务报告内部控制的依据：《中华人民共和国会计法》、《企业内部控制基本规范》、《企业</w:t>
      </w:r>
    </w:p>
    <w:p>
      <w:pPr>
        <w:pStyle w:val="BodyText"/>
        <w:spacing w:line="273" w:lineRule="auto" w:before="8"/>
        <w:ind w:right="1187"/>
        <w:jc w:val="both"/>
      </w:pPr>
      <w:r>
        <w:rPr>
          <w:spacing w:val="-19"/>
        </w:rPr>
        <w:t>内部控制应用指引》、《企业财务报告条例》、《企业财务通则》、《企业会计准则》、《上市公司信息披露管</w:t>
      </w:r>
      <w:r>
        <w:rPr>
          <w:spacing w:val="-61"/>
        </w:rPr>
        <w:t> </w:t>
      </w:r>
      <w:r>
        <w:rPr>
          <w:spacing w:val="-61"/>
        </w:rPr>
      </w:r>
      <w:r>
        <w:rPr>
          <w:spacing w:val="-9"/>
        </w:rPr>
        <w:t>理办法》、《公开发行证券的公司信息披露编报规则第</w:t>
      </w:r>
      <w:r>
        <w:rPr>
          <w:spacing w:val="-41"/>
        </w:rPr>
        <w:t> </w:t>
      </w:r>
      <w:r>
        <w:rPr>
          <w:rFonts w:ascii="宋体" w:hAnsi="宋体" w:cs="宋体" w:eastAsia="宋体" w:hint="default"/>
        </w:rPr>
        <w:t>15</w:t>
      </w:r>
      <w:r>
        <w:rPr>
          <w:rFonts w:ascii="宋体" w:hAnsi="宋体" w:cs="宋体" w:eastAsia="宋体" w:hint="default"/>
          <w:spacing w:val="-41"/>
        </w:rPr>
        <w:t> </w:t>
      </w:r>
      <w:r>
        <w:rPr>
          <w:spacing w:val="-1"/>
        </w:rPr>
        <w:t>号——财务报告的一般规定</w:t>
      </w:r>
      <w:r>
        <w:rPr>
          <w:rFonts w:ascii="宋体" w:hAnsi="宋体" w:cs="宋体" w:eastAsia="宋体" w:hint="default"/>
          <w:spacing w:val="-1"/>
        </w:rPr>
        <w:t>(2014</w:t>
      </w:r>
      <w:r>
        <w:rPr>
          <w:rFonts w:ascii="宋体" w:hAnsi="宋体" w:cs="宋体" w:eastAsia="宋体" w:hint="default"/>
          <w:spacing w:val="-41"/>
        </w:rPr>
        <w:t> </w:t>
      </w:r>
      <w:r>
        <w:rPr>
          <w:spacing w:val="-1"/>
        </w:rPr>
        <w:t>年修订</w:t>
      </w:r>
      <w:r>
        <w:rPr>
          <w:rFonts w:ascii="宋体" w:hAnsi="宋体" w:cs="宋体" w:eastAsia="宋体" w:hint="default"/>
          <w:spacing w:val="-1"/>
        </w:rPr>
        <w:t>)</w:t>
      </w:r>
      <w:r>
        <w:rPr>
          <w:spacing w:val="-1"/>
        </w:rPr>
        <w:t>》及</w:t>
      </w:r>
      <w:r>
        <w:rPr/>
        <w:t> 深圳证券交易所关于财务报告披露的相关备忘录等。</w:t>
      </w:r>
    </w:p>
    <w:p>
      <w:pPr>
        <w:pStyle w:val="BodyText"/>
        <w:spacing w:line="240" w:lineRule="auto" w:before="163"/>
        <w:ind w:left="824" w:right="5945"/>
        <w:jc w:val="left"/>
      </w:pPr>
      <w:r>
        <w:rPr/>
        <w:t>四、内部控制评价报告</w:t>
      </w:r>
    </w:p>
    <w:p>
      <w:pPr>
        <w:pStyle w:val="BodyText"/>
        <w:spacing w:line="240" w:lineRule="auto" w:before="37"/>
        <w:ind w:left="824" w:right="418"/>
        <w:jc w:val="left"/>
      </w:pPr>
      <w:r>
        <w:rPr/>
        <w:t>本公司按照证监会《公开发行证券的公司信息披露编报规则第 </w:t>
      </w:r>
      <w:r>
        <w:rPr>
          <w:rFonts w:ascii="宋体" w:hAnsi="宋体" w:cs="宋体" w:eastAsia="宋体" w:hint="default"/>
        </w:rPr>
        <w:t>21</w:t>
      </w:r>
      <w:r>
        <w:rPr>
          <w:rFonts w:ascii="宋体" w:hAnsi="宋体" w:cs="宋体" w:eastAsia="宋体" w:hint="default"/>
          <w:spacing w:val="-42"/>
        </w:rPr>
        <w:t> </w:t>
      </w:r>
      <w:r>
        <w:rPr/>
        <w:t>号——年度内部控制评价报告的</w:t>
      </w:r>
    </w:p>
    <w:p>
      <w:pPr>
        <w:pStyle w:val="BodyText"/>
        <w:spacing w:line="273" w:lineRule="auto" w:before="37"/>
        <w:ind w:right="1189"/>
        <w:jc w:val="both"/>
      </w:pPr>
      <w:r>
        <w:rPr/>
        <w:t>一般规定》编制的公司 </w:t>
      </w:r>
      <w:r>
        <w:rPr>
          <w:rFonts w:ascii="宋体" w:hAnsi="宋体" w:cs="宋体" w:eastAsia="宋体" w:hint="default"/>
        </w:rPr>
        <w:t>2014</w:t>
      </w:r>
      <w:r>
        <w:rPr>
          <w:rFonts w:ascii="宋体" w:hAnsi="宋体" w:cs="宋体" w:eastAsia="宋体" w:hint="default"/>
          <w:spacing w:val="-42"/>
        </w:rPr>
        <w:t> </w:t>
      </w:r>
      <w:r>
        <w:rPr/>
        <w:t>年度内部控制自我评价报告，经公司董事会审议通过、公司监事会和独立 董事发表赞成意见，与本年报同日刊载于巨潮资讯网。报告期内未发现内部控制重大缺陷。</w:t>
      </w:r>
    </w:p>
    <w:p>
      <w:pPr>
        <w:pStyle w:val="BodyText"/>
        <w:spacing w:line="240" w:lineRule="auto" w:before="163"/>
        <w:ind w:left="824" w:right="5945"/>
        <w:jc w:val="left"/>
      </w:pPr>
      <w:r>
        <w:rPr/>
        <w:t>五、内部控制审计报告</w:t>
      </w:r>
    </w:p>
    <w:p>
      <w:pPr>
        <w:pStyle w:val="BodyText"/>
        <w:spacing w:line="273" w:lineRule="auto" w:before="37"/>
        <w:ind w:right="1170" w:firstLine="420"/>
        <w:jc w:val="left"/>
      </w:pPr>
      <w:r>
        <w:rPr>
          <w:spacing w:val="-3"/>
        </w:rPr>
        <w:t>按照《公司内部控制规范实施工作方案》</w:t>
      </w:r>
      <w:r>
        <w:rPr>
          <w:rFonts w:ascii="宋体" w:hAnsi="宋体" w:cs="宋体" w:eastAsia="宋体" w:hint="default"/>
          <w:spacing w:val="-3"/>
        </w:rPr>
        <w:t>(2013</w:t>
      </w:r>
      <w:r>
        <w:rPr>
          <w:rFonts w:ascii="宋体" w:hAnsi="宋体" w:cs="宋体" w:eastAsia="宋体" w:hint="default"/>
          <w:spacing w:val="-74"/>
        </w:rPr>
        <w:t> </w:t>
      </w:r>
      <w:r>
        <w:rPr/>
        <w:t>年修订</w:t>
      </w:r>
      <w:r>
        <w:rPr>
          <w:rFonts w:ascii="宋体" w:hAnsi="宋体" w:cs="宋体" w:eastAsia="宋体" w:hint="default"/>
        </w:rPr>
        <w:t>)</w:t>
      </w:r>
      <w:r>
        <w:rPr/>
        <w:t>的要求，报告期内公司聘请会计师事务所对 内部控制进行审计，中兴华出具了内部控制审计报告，有关情况见下表。</w:t>
      </w:r>
    </w:p>
    <w:tbl>
      <w:tblPr>
        <w:tblW w:w="0" w:type="auto"/>
        <w:jc w:val="left"/>
        <w:tblInd w:w="115" w:type="dxa"/>
        <w:tblLayout w:type="fixed"/>
        <w:tblCellMar>
          <w:top w:w="0" w:type="dxa"/>
          <w:left w:w="0" w:type="dxa"/>
          <w:bottom w:w="0" w:type="dxa"/>
          <w:right w:w="0" w:type="dxa"/>
        </w:tblCellMar>
        <w:tblLook w:val="01E0"/>
      </w:tblPr>
      <w:tblGrid>
        <w:gridCol w:w="2694"/>
        <w:gridCol w:w="7231"/>
      </w:tblGrid>
      <w:tr>
        <w:trPr>
          <w:trHeight w:val="550" w:hRule="exact"/>
        </w:trPr>
        <w:tc>
          <w:tcPr>
            <w:tcW w:w="9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22"/>
              <w:jc w:val="left"/>
              <w:rPr>
                <w:rFonts w:ascii="宋体" w:hAnsi="宋体" w:cs="宋体" w:eastAsia="宋体" w:hint="default"/>
                <w:sz w:val="18"/>
                <w:szCs w:val="18"/>
              </w:rPr>
            </w:pPr>
            <w:r>
              <w:rPr>
                <w:rFonts w:ascii="宋体" w:hAnsi="宋体" w:cs="宋体" w:eastAsia="宋体" w:hint="default"/>
                <w:sz w:val="18"/>
                <w:szCs w:val="18"/>
              </w:rPr>
              <w:t>我们认为，茂业物流于</w:t>
            </w:r>
            <w:r>
              <w:rPr>
                <w:rFonts w:ascii="宋体" w:hAnsi="宋体" w:cs="宋体" w:eastAsia="宋体" w:hint="default"/>
                <w:spacing w:val="-36"/>
                <w:sz w:val="18"/>
                <w:szCs w:val="18"/>
              </w:rPr>
              <w:t> </w:t>
            </w: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31</w:t>
            </w:r>
            <w:r>
              <w:rPr>
                <w:rFonts w:ascii="宋体" w:hAnsi="宋体" w:cs="宋体" w:eastAsia="宋体" w:hint="default"/>
                <w:spacing w:val="-36"/>
                <w:sz w:val="18"/>
                <w:szCs w:val="18"/>
              </w:rPr>
              <w:t> </w:t>
            </w:r>
            <w:r>
              <w:rPr>
                <w:rFonts w:ascii="宋体" w:hAnsi="宋体" w:cs="宋体" w:eastAsia="宋体" w:hint="default"/>
                <w:sz w:val="18"/>
                <w:szCs w:val="18"/>
              </w:rPr>
              <w:t>日按照《企业内部控制基本规范》和相关规定在所有重大方面保持了有效的财务报告 内部控制。</w:t>
            </w:r>
          </w:p>
        </w:tc>
      </w:tr>
      <w:tr>
        <w:trPr>
          <w:trHeight w:val="41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3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指定网站名称：巨潮资讯网，标题：茂业物流股份有限公司内部控制审计报告</w:t>
            </w:r>
          </w:p>
        </w:tc>
      </w:tr>
    </w:tbl>
    <w:p>
      <w:pPr>
        <w:spacing w:line="240" w:lineRule="auto" w:before="10"/>
        <w:rPr>
          <w:rFonts w:ascii="宋体" w:hAnsi="宋体" w:cs="宋体" w:eastAsia="宋体" w:hint="default"/>
          <w:sz w:val="21"/>
          <w:szCs w:val="21"/>
        </w:rPr>
      </w:pPr>
    </w:p>
    <w:p>
      <w:pPr>
        <w:pStyle w:val="BodyText"/>
        <w:tabs>
          <w:tab w:pos="9014" w:val="left" w:leader="none"/>
        </w:tabs>
        <w:spacing w:line="240" w:lineRule="auto" w:before="35"/>
        <w:ind w:left="824" w:right="418"/>
        <w:jc w:val="left"/>
      </w:pPr>
      <w:r>
        <w:rPr/>
        <w:t>会计师事务所出具的内部控制审计报告与董事会的自我评价报告意见是否一致： √ 是</w:t>
        <w:tab/>
      </w:r>
      <w:r>
        <w:rPr>
          <w:rFonts w:ascii="Arial" w:hAnsi="Arial" w:cs="Arial" w:eastAsia="Arial" w:hint="default"/>
        </w:rPr>
        <w:t>□  </w:t>
      </w:r>
      <w:r>
        <w:rPr>
          <w:rFonts w:ascii="Arial" w:hAnsi="Arial" w:cs="Arial" w:eastAsia="Arial" w:hint="default"/>
          <w:spacing w:val="13"/>
        </w:rPr>
        <w:t> </w:t>
      </w:r>
      <w:r>
        <w:rPr/>
        <w:t>否</w:t>
      </w:r>
    </w:p>
    <w:p>
      <w:pPr>
        <w:pStyle w:val="BodyText"/>
        <w:spacing w:line="240" w:lineRule="auto" w:before="178"/>
        <w:ind w:left="824" w:right="418"/>
        <w:jc w:val="left"/>
      </w:pPr>
      <w:r>
        <w:rPr/>
        <w:t>六、公司年度报告重大差错责任追究制度的建立与执行情况</w:t>
      </w:r>
    </w:p>
    <w:p>
      <w:pPr>
        <w:pStyle w:val="BodyText"/>
        <w:spacing w:line="273" w:lineRule="auto" w:before="37"/>
        <w:ind w:right="1149" w:firstLine="420"/>
        <w:jc w:val="both"/>
      </w:pPr>
      <w:r>
        <w:rPr/>
        <w:t>公司第四届董事会 </w:t>
      </w:r>
      <w:r>
        <w:rPr>
          <w:rFonts w:ascii="宋体" w:hAnsi="宋体" w:cs="宋体" w:eastAsia="宋体" w:hint="default"/>
        </w:rPr>
        <w:t>2010</w:t>
      </w:r>
      <w:r>
        <w:rPr>
          <w:rFonts w:ascii="宋体" w:hAnsi="宋体" w:cs="宋体" w:eastAsia="宋体" w:hint="default"/>
          <w:spacing w:val="-83"/>
        </w:rPr>
        <w:t> </w:t>
      </w:r>
      <w:r>
        <w:rPr>
          <w:spacing w:val="-4"/>
        </w:rPr>
        <w:t>年第二次会议审议通过了《关于修订公司信息披露事务管理制度的议案》，</w:t>
      </w:r>
      <w:r>
        <w:rPr/>
        <w:t> </w:t>
      </w:r>
      <w:r>
        <w:rPr>
          <w:spacing w:val="-1"/>
        </w:rPr>
        <w:t>增加了第九十六、九十七、九十八条等有关年度报告信息披露重大差错责任追究的内容，就年报信息披</w:t>
      </w:r>
      <w:r>
        <w:rPr>
          <w:spacing w:val="-102"/>
        </w:rPr>
        <w:t> </w:t>
      </w:r>
      <w:r>
        <w:rPr>
          <w:spacing w:val="-102"/>
        </w:rPr>
      </w:r>
      <w:r>
        <w:rPr>
          <w:spacing w:val="-1"/>
        </w:rPr>
        <w:t>露重大差错的情形及事项、追究责任的措施和采取的处理方式作出明确规定。修订后的《公司信息披露</w:t>
      </w:r>
      <w:r>
        <w:rPr>
          <w:spacing w:val="-101"/>
        </w:rPr>
        <w:t> </w:t>
      </w:r>
      <w:r>
        <w:rPr>
          <w:spacing w:val="-101"/>
        </w:rPr>
      </w:r>
      <w:r>
        <w:rPr/>
        <w:t>事务管理制度》</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rFonts w:ascii="宋体" w:hAnsi="宋体" w:cs="宋体" w:eastAsia="宋体" w:hint="default"/>
        </w:rPr>
        <w:t>)</w:t>
      </w:r>
      <w:r>
        <w:rPr/>
        <w:t>已于</w:t>
      </w:r>
      <w:r>
        <w:rPr>
          <w:spacing w:val="-55"/>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日在巨潮资讯网上公布。</w:t>
      </w:r>
    </w:p>
    <w:p>
      <w:pPr>
        <w:pStyle w:val="BodyText"/>
        <w:spacing w:line="240" w:lineRule="auto"/>
        <w:ind w:left="824" w:right="418"/>
        <w:jc w:val="left"/>
      </w:pPr>
      <w:r>
        <w:rPr/>
        <w:t>报告期内公司年报未发生重大会计差错更正、重大遗漏信息补充以及业绩预告修正等情况。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5"/>
        <w:ind w:right="785"/>
        <w:jc w:val="center"/>
        <w:rPr>
          <w:b w:val="0"/>
          <w:bCs w:val="0"/>
        </w:rPr>
      </w:pPr>
      <w:r>
        <w:rPr/>
        <w:t>第十章</w:t>
      </w:r>
      <w:r>
        <w:rPr>
          <w:spacing w:val="-5"/>
        </w:rPr>
        <w:t> </w:t>
      </w:r>
      <w:r>
        <w:rPr/>
        <w:t>财务报告</w:t>
      </w:r>
      <w:r>
        <w:rPr>
          <w:b w:val="0"/>
          <w:bCs w:val="0"/>
        </w:rPr>
      </w:r>
    </w:p>
    <w:p>
      <w:pPr>
        <w:spacing w:line="240" w:lineRule="auto" w:before="4"/>
        <w:rPr>
          <w:rFonts w:ascii="宋体" w:hAnsi="宋体" w:cs="宋体" w:eastAsia="宋体" w:hint="default"/>
          <w:b/>
          <w:bCs/>
          <w:sz w:val="26"/>
          <w:szCs w:val="26"/>
        </w:rPr>
      </w:pPr>
    </w:p>
    <w:p>
      <w:pPr>
        <w:pStyle w:val="Heading2"/>
        <w:spacing w:line="240" w:lineRule="auto" w:before="0"/>
        <w:ind w:left="404" w:right="5945"/>
        <w:jc w:val="left"/>
        <w:rPr>
          <w:b w:val="0"/>
          <w:bCs w:val="0"/>
        </w:rPr>
      </w:pPr>
      <w:r>
        <w:rPr/>
        <w:t>审计报告</w:t>
      </w:r>
      <w:r>
        <w:rPr>
          <w:b w:val="0"/>
          <w:bCs w:val="0"/>
        </w:rPr>
      </w:r>
    </w:p>
    <w:p>
      <w:pPr>
        <w:spacing w:line="240" w:lineRule="auto" w:before="1"/>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4983"/>
        <w:gridCol w:w="4942"/>
      </w:tblGrid>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BJ01-017</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王青、聂捷慧</w:t>
            </w:r>
          </w:p>
        </w:tc>
      </w:tr>
    </w:tbl>
    <w:p>
      <w:pPr>
        <w:spacing w:after="0" w:line="240" w:lineRule="auto"/>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5"/>
        <w:ind w:left="125" w:right="1170" w:firstLine="0"/>
        <w:jc w:val="center"/>
        <w:rPr>
          <w:rFonts w:ascii="宋体" w:hAnsi="宋体" w:cs="宋体" w:eastAsia="宋体" w:hint="default"/>
          <w:sz w:val="28"/>
          <w:szCs w:val="28"/>
        </w:rPr>
      </w:pPr>
      <w:r>
        <w:rPr>
          <w:rFonts w:ascii="宋体" w:hAnsi="宋体" w:cs="宋体" w:eastAsia="宋体" w:hint="default"/>
          <w:b/>
          <w:bCs/>
          <w:sz w:val="28"/>
          <w:szCs w:val="28"/>
        </w:rPr>
        <w:t>审计报告正文</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spacing w:line="240" w:lineRule="auto" w:before="35"/>
        <w:ind w:left="144" w:right="1066"/>
        <w:jc w:val="left"/>
      </w:pPr>
      <w:r>
        <w:rPr/>
        <w:t>茂业物流股份有限公司全体股东：</w:t>
      </w:r>
    </w:p>
    <w:p>
      <w:pPr>
        <w:spacing w:line="240" w:lineRule="auto" w:before="10"/>
        <w:rPr>
          <w:rFonts w:ascii="宋体" w:hAnsi="宋体" w:cs="宋体" w:eastAsia="宋体" w:hint="default"/>
          <w:sz w:val="14"/>
          <w:szCs w:val="14"/>
        </w:rPr>
      </w:pPr>
    </w:p>
    <w:p>
      <w:pPr>
        <w:pStyle w:val="BodyText"/>
        <w:spacing w:line="240" w:lineRule="auto" w:before="0"/>
        <w:ind w:left="564" w:right="1066"/>
        <w:jc w:val="left"/>
      </w:pPr>
      <w:r>
        <w:rPr/>
        <w:t>我们审计了后附的茂业物流股份有限公司（以下简称“茂业物流</w:t>
      </w:r>
      <w:r>
        <w:rPr>
          <w:spacing w:val="-105"/>
        </w:rPr>
        <w:t>”</w:t>
      </w:r>
      <w:r>
        <w:rPr/>
        <w:t>）</w:t>
      </w:r>
      <w:r>
        <w:rPr>
          <w:spacing w:val="-2"/>
        </w:rPr>
        <w:t>财</w:t>
      </w:r>
      <w:r>
        <w:rPr/>
        <w:t>务报表，包括</w:t>
      </w:r>
      <w:r>
        <w:rPr>
          <w:spacing w:val="-36"/>
        </w:rPr>
        <w:t> </w:t>
      </w:r>
      <w:r>
        <w:rPr>
          <w:rFonts w:ascii="宋体" w:hAnsi="宋体" w:cs="宋体" w:eastAsia="宋体" w:hint="default"/>
        </w:rPr>
        <w:t>2014</w:t>
      </w:r>
      <w:r>
        <w:rPr>
          <w:rFonts w:ascii="宋体" w:hAnsi="宋体" w:cs="宋体" w:eastAsia="宋体" w:hint="default"/>
          <w:spacing w:val="-36"/>
        </w:rPr>
        <w:t> </w:t>
      </w:r>
      <w:r>
        <w:rPr/>
        <w:t>年</w:t>
      </w:r>
      <w:r>
        <w:rPr>
          <w:spacing w:val="-37"/>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35"/>
        </w:rPr>
        <w:t> </w:t>
      </w:r>
      <w:r>
        <w:rPr/>
        <w:t>月</w:t>
      </w:r>
    </w:p>
    <w:p>
      <w:pPr>
        <w:pStyle w:val="BodyText"/>
        <w:spacing w:line="273" w:lineRule="auto" w:before="37"/>
        <w:ind w:left="144" w:right="1175"/>
        <w:jc w:val="left"/>
      </w:pPr>
      <w:r>
        <w:rPr>
          <w:rFonts w:ascii="宋体" w:hAnsi="宋体" w:cs="宋体" w:eastAsia="宋体" w:hint="default"/>
        </w:rPr>
        <w:t>31 </w:t>
      </w:r>
      <w:r>
        <w:rPr/>
        <w:t>日的合并及母公司资产负债表、</w:t>
      </w:r>
      <w:r>
        <w:rPr>
          <w:rFonts w:ascii="宋体" w:hAnsi="宋体" w:cs="宋体" w:eastAsia="宋体" w:hint="default"/>
        </w:rPr>
        <w:t>2014</w:t>
      </w:r>
      <w:r>
        <w:rPr>
          <w:rFonts w:ascii="宋体" w:hAnsi="宋体" w:cs="宋体" w:eastAsia="宋体" w:hint="default"/>
          <w:spacing w:val="-43"/>
        </w:rPr>
        <w:t> </w:t>
      </w:r>
      <w:r>
        <w:rPr/>
        <w:t>年度的合并及母公司利润表、合并及母公司现金流量表和合并 及母公司所有者权益变动表以及财务报表附注。</w:t>
      </w:r>
    </w:p>
    <w:p>
      <w:pPr>
        <w:spacing w:line="468" w:lineRule="exact" w:before="34"/>
        <w:ind w:left="564" w:right="1066"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4"/>
          <w:sz w:val="21"/>
          <w:szCs w:val="21"/>
        </w:rPr>
        <w:t>编制和公允列报财务报表是茂业物流管理层的责任，这种责任包括：（</w:t>
      </w:r>
      <w:r>
        <w:rPr>
          <w:rFonts w:ascii="宋体" w:hAnsi="宋体" w:cs="宋体" w:eastAsia="宋体" w:hint="default"/>
          <w:spacing w:val="-4"/>
          <w:sz w:val="21"/>
          <w:szCs w:val="21"/>
        </w:rPr>
        <w:t>1</w:t>
      </w:r>
      <w:r>
        <w:rPr>
          <w:rFonts w:ascii="宋体" w:hAnsi="宋体" w:cs="宋体" w:eastAsia="宋体" w:hint="default"/>
          <w:spacing w:val="-4"/>
          <w:sz w:val="21"/>
          <w:szCs w:val="21"/>
        </w:rPr>
        <w:t>）按照企业会计准则的规定</w:t>
      </w:r>
    </w:p>
    <w:p>
      <w:pPr>
        <w:pStyle w:val="BodyText"/>
        <w:spacing w:line="248" w:lineRule="exact" w:before="0"/>
        <w:ind w:left="144" w:right="1066"/>
        <w:jc w:val="left"/>
      </w:pPr>
      <w:r>
        <w:rPr/>
        <w:t>编制财务报表</w:t>
      </w:r>
      <w:r>
        <w:rPr>
          <w:spacing w:val="-9"/>
        </w:rPr>
        <w:t>，</w:t>
      </w:r>
      <w:r>
        <w:rPr/>
        <w:t>并使其实现公允反映</w:t>
      </w:r>
      <w:r>
        <w:rPr>
          <w:spacing w:val="-113"/>
        </w:rPr>
        <w:t>；</w:t>
      </w:r>
      <w:r>
        <w:rPr/>
        <w:t>（</w:t>
      </w:r>
      <w:r>
        <w:rPr>
          <w:rFonts w:ascii="宋体" w:hAnsi="宋体" w:cs="宋体" w:eastAsia="宋体" w:hint="default"/>
        </w:rPr>
        <w:t>2</w:t>
      </w:r>
      <w:r>
        <w:rPr>
          <w:spacing w:val="-8"/>
        </w:rPr>
        <w:t>）</w:t>
      </w:r>
      <w:r>
        <w:rPr>
          <w:spacing w:val="-2"/>
        </w:rPr>
        <w:t>设</w:t>
      </w:r>
      <w:r>
        <w:rPr/>
        <w:t>计</w:t>
      </w:r>
      <w:r>
        <w:rPr>
          <w:spacing w:val="-8"/>
        </w:rPr>
        <w:t>、</w:t>
      </w:r>
      <w:r>
        <w:rPr/>
        <w:t>执行</w:t>
      </w:r>
      <w:r>
        <w:rPr>
          <w:spacing w:val="-2"/>
        </w:rPr>
        <w:t>和</w:t>
      </w:r>
      <w:r>
        <w:rPr/>
        <w:t>维护必要的内部控制</w:t>
      </w:r>
      <w:r>
        <w:rPr>
          <w:spacing w:val="-9"/>
        </w:rPr>
        <w:t>，</w:t>
      </w:r>
      <w:r>
        <w:rPr/>
        <w:t>以使财务报表不存</w:t>
      </w:r>
      <w:r>
        <w:rPr>
          <w:spacing w:val="1"/>
        </w:rPr>
        <w:t>在</w:t>
      </w:r>
      <w:r>
        <w:rPr/>
        <w:t>由</w:t>
      </w:r>
    </w:p>
    <w:p>
      <w:pPr>
        <w:spacing w:line="408" w:lineRule="auto" w:before="37"/>
        <w:ind w:left="567" w:right="7432" w:hanging="423"/>
        <w:jc w:val="left"/>
        <w:rPr>
          <w:rFonts w:ascii="宋体" w:hAnsi="宋体" w:cs="宋体" w:eastAsia="宋体" w:hint="default"/>
          <w:sz w:val="21"/>
          <w:szCs w:val="21"/>
        </w:rPr>
      </w:pPr>
      <w:r>
        <w:rPr>
          <w:rFonts w:ascii="宋体" w:hAnsi="宋体" w:cs="宋体" w:eastAsia="宋体" w:hint="default"/>
          <w:sz w:val="21"/>
          <w:szCs w:val="21"/>
        </w:rPr>
        <w:t>于舞弊或错误而导致的重大错报。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46"/>
        <w:ind w:left="144" w:right="1188" w:firstLine="420"/>
        <w:jc w:val="both"/>
      </w:pPr>
      <w:r>
        <w:rPr>
          <w:spacing w:val="-1"/>
        </w:rPr>
        <w:t>我们的责任是在执行审计工作的基础上对财务报表发表审计意见。我们按照中国注册会计师审计准</w:t>
      </w:r>
      <w:r>
        <w:rPr/>
        <w:t> </w:t>
      </w:r>
      <w:r>
        <w:rPr>
          <w:spacing w:val="-1"/>
        </w:rPr>
        <w:t>则的规定执行了审计工作。中国注册会计师审计准则要求我们遵守中国注册会计师职业道德守则，计划</w:t>
      </w:r>
      <w:r>
        <w:rPr>
          <w:spacing w:val="-100"/>
        </w:rPr>
        <w:t> </w:t>
      </w:r>
      <w:r>
        <w:rPr>
          <w:spacing w:val="-100"/>
        </w:rPr>
      </w:r>
      <w:r>
        <w:rPr/>
        <w:t>和执行审计工作以对财务报表是否不存在重大错报获取合理保证。</w:t>
      </w:r>
    </w:p>
    <w:p>
      <w:pPr>
        <w:pStyle w:val="BodyText"/>
        <w:spacing w:line="273" w:lineRule="auto" w:before="163"/>
        <w:ind w:left="144" w:right="1149" w:firstLine="420"/>
        <w:jc w:val="both"/>
      </w:pPr>
      <w:r>
        <w:rPr>
          <w:spacing w:val="-1"/>
        </w:rPr>
        <w:t>审计工作涉及实施审计程序，以获取有关财务报表金额和披露的审计证据。选择的审计程序取决于</w:t>
      </w:r>
      <w:r>
        <w:rPr/>
        <w:t> 注册会计师的判断，包括对由于舞弊或错误导致的财务报表重大错报风险的评估。在进行风险评估时， </w:t>
      </w:r>
      <w:r>
        <w:rPr>
          <w:spacing w:val="-1"/>
        </w:rPr>
        <w:t>注册会计师考虑与财务报表编制和公允列报相关的内部控制，以设计恰当的审计程序，但目的并非对内</w:t>
      </w:r>
      <w:r>
        <w:rPr>
          <w:spacing w:val="-100"/>
        </w:rPr>
        <w:t> </w:t>
      </w:r>
      <w:r>
        <w:rPr>
          <w:spacing w:val="-100"/>
        </w:rPr>
      </w:r>
      <w:r>
        <w:rPr>
          <w:spacing w:val="3"/>
        </w:rPr>
        <w:t>部控制的有效性发表意见。审计工作还包括评价管理层选用会计政策的适当性和作出会计估计的合理</w:t>
      </w:r>
      <w:r>
        <w:rPr>
          <w:spacing w:val="-95"/>
        </w:rPr>
        <w:t> </w:t>
      </w:r>
      <w:r>
        <w:rPr>
          <w:spacing w:val="-95"/>
        </w:rPr>
      </w:r>
      <w:r>
        <w:rPr/>
        <w:t>性，以及评价财务报表的总体列报。</w:t>
      </w:r>
    </w:p>
    <w:p>
      <w:pPr>
        <w:pStyle w:val="BodyText"/>
        <w:spacing w:line="408" w:lineRule="auto" w:before="163"/>
        <w:ind w:left="567" w:right="2812"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73" w:lineRule="auto" w:before="46"/>
        <w:ind w:left="144" w:right="1187" w:firstLine="420"/>
        <w:jc w:val="both"/>
      </w:pPr>
      <w:r>
        <w:rPr>
          <w:spacing w:val="-1"/>
        </w:rPr>
        <w:t>我们认为，茂业物流财务报表在所有重大方面按照企业会计准则的规定编制，公允反映了茂业物流</w:t>
      </w:r>
      <w:r>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日的合并及母公司财务状况以及</w:t>
      </w:r>
      <w:r>
        <w:rPr>
          <w:spacing w:val="-53"/>
        </w:rPr>
        <w:t> </w:t>
      </w:r>
      <w:r>
        <w:rPr>
          <w:rFonts w:ascii="宋体" w:hAnsi="宋体" w:cs="宋体" w:eastAsia="宋体" w:hint="default"/>
        </w:rPr>
        <w:t>2014</w:t>
      </w:r>
      <w:r>
        <w:rPr>
          <w:rFonts w:ascii="宋体" w:hAnsi="宋体" w:cs="宋体" w:eastAsia="宋体" w:hint="default"/>
          <w:spacing w:val="-54"/>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tabs>
          <w:tab w:pos="6235" w:val="left" w:leader="none"/>
        </w:tabs>
        <w:spacing w:line="544" w:lineRule="auto" w:before="0"/>
        <w:ind w:left="2980" w:right="2200" w:hanging="1050"/>
        <w:jc w:val="left"/>
      </w:pPr>
      <w:r>
        <w:rPr/>
        <w:t>中兴华会计师事务所（特殊普通合伙）</w:t>
        <w:tab/>
        <w:t>中国注册会计师：王青 中国·北京</w:t>
        <w:tab/>
        <w:t>中国注册会计师：聂捷慧</w:t>
      </w:r>
    </w:p>
    <w:p>
      <w:pPr>
        <w:pStyle w:val="BodyText"/>
        <w:spacing w:line="240" w:lineRule="auto" w:before="4"/>
        <w:ind w:left="7667" w:right="1066"/>
        <w:jc w:val="left"/>
      </w:pPr>
      <w:r>
        <w:rPr/>
        <w:t>二○一五年三月五日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left="144" w:right="1066"/>
        <w:jc w:val="left"/>
        <w:rPr>
          <w:b w:val="0"/>
          <w:bCs w:val="0"/>
        </w:rPr>
      </w:pPr>
      <w:r>
        <w:rPr/>
        <w:t>财务报表</w:t>
      </w:r>
      <w:r>
        <w:rPr>
          <w:b w:val="0"/>
          <w:bCs w:val="0"/>
        </w:rPr>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b/>
          <w:bCs/>
          <w:sz w:val="17"/>
          <w:szCs w:val="17"/>
        </w:rPr>
      </w:pPr>
    </w:p>
    <w:p>
      <w:pPr>
        <w:spacing w:line="273" w:lineRule="auto" w:before="35"/>
        <w:ind w:left="404" w:right="8646" w:firstLine="0"/>
        <w:jc w:val="left"/>
        <w:rPr>
          <w:rFonts w:ascii="宋体" w:hAnsi="宋体" w:cs="宋体" w:eastAsia="宋体" w:hint="default"/>
          <w:sz w:val="21"/>
          <w:szCs w:val="21"/>
        </w:rPr>
      </w:pPr>
      <w:r>
        <w:rPr/>
        <w:pict>
          <v:group style="position:absolute;margin-left:81.120003pt;margin-top:15.843697pt;width:73.8pt;height:.1pt;mso-position-horizontal-relative:page;mso-position-vertical-relative:paragraph;z-index:-758200" coordorigin="1622,317" coordsize="1476,2">
            <v:shape style="position:absolute;left:1622;top:317;width:1476;height:2" coordorigin="1622,317" coordsize="1476,0" path="m1622,317l3098,317e" filled="false" stroked="true" strokeweight=".54pt" strokecolor="#000000">
              <v:path arrowok="t"/>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p>
      <w:pPr>
        <w:pStyle w:val="BodyText"/>
        <w:tabs>
          <w:tab w:pos="7945" w:val="left" w:leader="none"/>
        </w:tabs>
        <w:spacing w:line="240" w:lineRule="auto" w:before="70"/>
        <w:ind w:right="418"/>
        <w:jc w:val="left"/>
      </w:pPr>
      <w:r>
        <w:rPr>
          <w:spacing w:val="-2"/>
        </w:rPr>
        <w:t>编制单位：茂业物流股份有限公司</w:t>
        <w:tab/>
      </w:r>
      <w:r>
        <w:rPr>
          <w:spacing w:val="-3"/>
        </w:rPr>
        <w:t>金额单位：人民币元</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255"/>
        <w:gridCol w:w="1700"/>
        <w:gridCol w:w="1984"/>
        <w:gridCol w:w="1986"/>
      </w:tblGrid>
      <w:tr>
        <w:trPr>
          <w:trHeight w:val="35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0"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0"/>
              <w:jc w:val="right"/>
              <w:rPr>
                <w:rFonts w:ascii="宋体" w:hAnsi="宋体" w:cs="宋体" w:eastAsia="宋体" w:hint="default"/>
                <w:sz w:val="18"/>
                <w:szCs w:val="18"/>
              </w:rPr>
            </w:pPr>
            <w:r>
              <w:rPr>
                <w:rFonts w:ascii="宋体"/>
                <w:sz w:val="18"/>
              </w:rPr>
              <w:t>283,120,467.94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
              <w:jc w:val="right"/>
              <w:rPr>
                <w:rFonts w:ascii="宋体" w:hAnsi="宋体" w:cs="宋体" w:eastAsia="宋体" w:hint="default"/>
                <w:sz w:val="18"/>
                <w:szCs w:val="18"/>
              </w:rPr>
            </w:pPr>
            <w:r>
              <w:rPr>
                <w:rFonts w:ascii="宋体"/>
                <w:sz w:val="18"/>
              </w:rPr>
              <w:t>190,356,057.52</w:t>
            </w:r>
          </w:p>
        </w:tc>
      </w:tr>
      <w:tr>
        <w:trPr>
          <w:trHeight w:val="280"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1,180,045.12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714,787.23</w:t>
            </w:r>
          </w:p>
        </w:tc>
      </w:tr>
      <w:tr>
        <w:trPr>
          <w:trHeight w:val="280"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116,087,550.64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37,666,261.85</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17,491,670.82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4,587,659.51</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6,288,595.00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3,099,867.64</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512,165,719.97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656,591,122.75</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50,882,631.86</w:t>
            </w: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18"/>
                <w:szCs w:val="18"/>
              </w:rPr>
            </w:pPr>
            <w:r>
              <w:rPr>
                <w:rFonts w:ascii="宋体"/>
                <w:sz w:val="18"/>
              </w:rPr>
              <w:t>987,216,681.35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宋体"/>
                <w:sz w:val="18"/>
              </w:rPr>
              <w:t>893,015,756.50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5,000,000.00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5,000,000.00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249,497,186.82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259,498,304.46</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659,097,934.86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492,203,337.46</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5,304,092.03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2,775,870.59</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84,640,660.05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46,319,096.02</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744,562,994.84</w:t>
            </w: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63,294,959.66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16,033,443.10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11,107,014.85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6,358,427.40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1,011,142.27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1,011,142.27</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1,823,515,985.38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829,199,621.30</w:t>
            </w:r>
          </w:p>
        </w:tc>
      </w:tr>
      <w:tr>
        <w:trPr>
          <w:trHeight w:val="335"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2,810,732,666.73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1,722,215,377.80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255"/>
        <w:gridCol w:w="1700"/>
        <w:gridCol w:w="1984"/>
        <w:gridCol w:w="1986"/>
      </w:tblGrid>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以公允价值计量且其变动计入当期损益的金融负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296,195,572.40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218,146,204.11</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248,605,394.05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273,207,456.49</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15,867,759.55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12,324,200.15</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43,794,681.19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-33,337,914.66</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874,026.67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874,026.67</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86,979,138.51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73,640,454.08</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692,316,572.37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544,854,426.84</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2,148,699.80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2,919,119.93</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2,733,196.00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4,003,627.00</w:t>
            </w: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2,227,162.48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2,561,231.58</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7,109,058.28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9,483,978.51</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1"/>
              <w:jc w:val="right"/>
              <w:rPr>
                <w:rFonts w:ascii="宋体" w:hAnsi="宋体" w:cs="宋体" w:eastAsia="宋体" w:hint="default"/>
                <w:sz w:val="18"/>
                <w:szCs w:val="18"/>
              </w:rPr>
            </w:pPr>
            <w:r>
              <w:rPr>
                <w:rFonts w:ascii="宋体"/>
                <w:sz w:val="18"/>
              </w:rPr>
              <w:t>699,425,630.65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554,338,405.35</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621,826,786.00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445,521,564.00</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0"/>
              <w:jc w:val="right"/>
              <w:rPr>
                <w:rFonts w:ascii="宋体" w:hAnsi="宋体" w:cs="宋体" w:eastAsia="宋体" w:hint="default"/>
                <w:sz w:val="18"/>
                <w:szCs w:val="18"/>
              </w:rPr>
            </w:pPr>
            <w:r>
              <w:rPr>
                <w:rFonts w:ascii="宋体"/>
                <w:sz w:val="18"/>
              </w:rPr>
              <w:t>1,104,618,007.62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
              <w:jc w:val="right"/>
              <w:rPr>
                <w:rFonts w:ascii="宋体" w:hAnsi="宋体" w:cs="宋体" w:eastAsia="宋体" w:hint="default"/>
                <w:sz w:val="18"/>
                <w:szCs w:val="18"/>
              </w:rPr>
            </w:pPr>
            <w:r>
              <w:rPr>
                <w:rFonts w:ascii="宋体"/>
                <w:sz w:val="18"/>
              </w:rPr>
              <w:t>417,459,829.28</w:t>
            </w:r>
          </w:p>
        </w:tc>
      </w:tr>
      <w:tr>
        <w:trPr>
          <w:trHeight w:val="306"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48,351,946.52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38,476,426.68</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331,973,909.93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261,806,090.50</w:t>
            </w:r>
          </w:p>
        </w:tc>
      </w:tr>
      <w:tr>
        <w:trPr>
          <w:trHeight w:val="320"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2,106,770,650.07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1,163,263,910.46</w:t>
            </w:r>
          </w:p>
        </w:tc>
      </w:tr>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4,536,386.01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4,613,061.99</w:t>
            </w:r>
          </w:p>
        </w:tc>
      </w:tr>
    </w:tbl>
    <w:p>
      <w:pPr>
        <w:spacing w:after="0" w:line="220" w:lineRule="exact"/>
        <w:jc w:val="right"/>
        <w:rPr>
          <w:rFonts w:ascii="宋体" w:hAnsi="宋体" w:cs="宋体" w:eastAsia="宋体" w:hint="default"/>
          <w:sz w:val="18"/>
          <w:szCs w:val="18"/>
        </w:rPr>
        <w:sectPr>
          <w:footerReference w:type="default" r:id="rId41"/>
          <w:pgSz w:w="11910" w:h="16840"/>
          <w:pgMar w:footer="1219" w:header="883" w:top="1140" w:bottom="15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255"/>
        <w:gridCol w:w="1700"/>
        <w:gridCol w:w="1984"/>
        <w:gridCol w:w="1986"/>
      </w:tblGrid>
      <w:tr>
        <w:trPr>
          <w:trHeight w:val="27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2,111,307,036.08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1,167,876,972.45</w:t>
            </w:r>
          </w:p>
        </w:tc>
      </w:tr>
      <w:tr>
        <w:trPr>
          <w:trHeight w:val="32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2,810,732,666.73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1,722,215,377.80</w:t>
            </w:r>
          </w:p>
        </w:tc>
      </w:tr>
    </w:tbl>
    <w:p>
      <w:pPr>
        <w:spacing w:line="240" w:lineRule="auto" w:before="7"/>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863"/>
        <w:gridCol w:w="1818"/>
        <w:gridCol w:w="1274"/>
        <w:gridCol w:w="1984"/>
        <w:gridCol w:w="1986"/>
      </w:tblGrid>
      <w:tr>
        <w:trPr>
          <w:trHeight w:val="968"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t>：刘宏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z w:val="21"/>
                <w:szCs w:val="21"/>
                <w:u w:val="single" w:color="000000"/>
              </w:rPr>
              <w:t>母公司资产负债表</w:t>
            </w:r>
            <w:r>
              <w:rPr>
                <w:rFonts w:ascii="宋体" w:hAnsi="宋体" w:cs="宋体" w:eastAsia="宋体" w:hint="default"/>
                <w:b/>
                <w:bCs/>
                <w:sz w:val="21"/>
                <w:szCs w:val="21"/>
              </w:rPr>
            </w:r>
            <w:r>
              <w:rPr>
                <w:rFonts w:ascii="宋体" w:hAnsi="宋体" w:cs="宋体" w:eastAsia="宋体" w:hint="default"/>
                <w:sz w:val="21"/>
                <w:szCs w:val="21"/>
              </w:rPr>
            </w:r>
          </w:p>
        </w:tc>
        <w:tc>
          <w:tcPr>
            <w:tcW w:w="30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b/>
                <w:bCs/>
                <w:sz w:val="18"/>
                <w:szCs w:val="18"/>
              </w:rPr>
              <w:t>主管会计工作负责人</w:t>
            </w:r>
            <w:r>
              <w:rPr>
                <w:rFonts w:ascii="宋体" w:hAnsi="宋体" w:cs="宋体" w:eastAsia="宋体" w:hint="default"/>
                <w:sz w:val="18"/>
                <w:szCs w:val="18"/>
              </w:rPr>
              <w:t>：王歌</w:t>
            </w:r>
          </w:p>
        </w:tc>
        <w:tc>
          <w:tcPr>
            <w:tcW w:w="3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630" w:right="0"/>
              <w:jc w:val="left"/>
              <w:rPr>
                <w:rFonts w:ascii="宋体" w:hAnsi="宋体" w:cs="宋体" w:eastAsia="宋体" w:hint="default"/>
                <w:sz w:val="18"/>
                <w:szCs w:val="18"/>
              </w:rPr>
            </w:pPr>
            <w:r>
              <w:rPr>
                <w:rFonts w:ascii="宋体" w:hAnsi="宋体" w:cs="宋体" w:eastAsia="宋体" w:hint="default"/>
                <w:b/>
                <w:bCs/>
                <w:sz w:val="18"/>
                <w:szCs w:val="18"/>
              </w:rPr>
              <w:t>会计机构负责人</w:t>
            </w:r>
            <w:r>
              <w:rPr>
                <w:rFonts w:ascii="宋体" w:hAnsi="宋体" w:cs="宋体" w:eastAsia="宋体" w:hint="default"/>
                <w:sz w:val="18"/>
                <w:szCs w:val="18"/>
              </w:rPr>
              <w:t>：张雷</w:t>
            </w:r>
          </w:p>
        </w:tc>
      </w:tr>
      <w:tr>
        <w:trPr>
          <w:trHeight w:val="318" w:hRule="exact"/>
        </w:trPr>
        <w:tc>
          <w:tcPr>
            <w:tcW w:w="2863" w:type="dxa"/>
            <w:tcBorders>
              <w:top w:val="nil" w:sz="6" w:space="0" w:color="auto"/>
              <w:left w:val="nil" w:sz="6" w:space="0" w:color="auto"/>
              <w:bottom w:val="single" w:sz="4" w:space="0" w:color="000000"/>
              <w:right w:val="nil" w:sz="6" w:space="0" w:color="auto"/>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3092" w:type="dxa"/>
            <w:gridSpan w:val="2"/>
            <w:tcBorders>
              <w:top w:val="nil" w:sz="6" w:space="0" w:color="auto"/>
              <w:left w:val="nil" w:sz="6" w:space="0" w:color="auto"/>
              <w:bottom w:val="single" w:sz="4" w:space="0" w:color="000000"/>
              <w:right w:val="nil" w:sz="6" w:space="0" w:color="auto"/>
            </w:tcBorders>
          </w:tcPr>
          <w:p>
            <w:pPr/>
          </w:p>
        </w:tc>
        <w:tc>
          <w:tcPr>
            <w:tcW w:w="3970" w:type="dxa"/>
            <w:gridSpan w:val="2"/>
            <w:tcBorders>
              <w:top w:val="nil" w:sz="6" w:space="0" w:color="auto"/>
              <w:left w:val="nil" w:sz="6" w:space="0" w:color="auto"/>
              <w:bottom w:val="single" w:sz="4" w:space="0" w:color="000000"/>
              <w:right w:val="nil" w:sz="6" w:space="0" w:color="auto"/>
            </w:tcBorders>
          </w:tcPr>
          <w:p>
            <w:pPr>
              <w:pStyle w:val="TableParagraph"/>
              <w:spacing w:line="261" w:lineRule="exact"/>
              <w:ind w:left="1520" w:right="0"/>
              <w:jc w:val="left"/>
              <w:rPr>
                <w:rFonts w:ascii="宋体" w:hAnsi="宋体" w:cs="宋体" w:eastAsia="宋体" w:hint="default"/>
                <w:sz w:val="21"/>
                <w:szCs w:val="21"/>
              </w:rPr>
            </w:pPr>
            <w:r>
              <w:rPr>
                <w:rFonts w:ascii="宋体" w:hAnsi="宋体" w:cs="宋体" w:eastAsia="宋体" w:hint="default"/>
                <w:sz w:val="21"/>
                <w:szCs w:val="21"/>
              </w:rPr>
              <w:t>金额单位：人民币元</w:t>
            </w: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341"/>
              <w:jc w:val="right"/>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119,438,282.30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121,058,137.65</w:t>
            </w:r>
          </w:p>
        </w:tc>
      </w:tr>
      <w:tr>
        <w:trPr>
          <w:trHeight w:val="329" w:hRule="exact"/>
        </w:trPr>
        <w:tc>
          <w:tcPr>
            <w:tcW w:w="4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821,508.73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576,969.96</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263,055,007.61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195,218,221.16</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21,231,559.37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26,356,044.14</w:t>
            </w: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40,357,789.65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55,676,384.09</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444,904,147.66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398,885,757.00</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5,000,000.00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5,000,000.00</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1,706,024,359.84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828,024,359.84</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155,235,320.25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162,425,382.43</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5,228,549.83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2,775,870.59</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35,399,703.61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46,128,446.02</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7,902,732.93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6,364,125.76</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2,979,895.71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4,961,353.80</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98,000.00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98,000.00</w:t>
            </w:r>
          </w:p>
        </w:tc>
      </w:tr>
      <w:tr>
        <w:trPr>
          <w:trHeight w:val="329"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1,917,868,562.17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1,055,777,538.44</w:t>
            </w:r>
          </w:p>
        </w:tc>
      </w:tr>
      <w:tr>
        <w:trPr>
          <w:trHeight w:val="330" w:hRule="exact"/>
        </w:trPr>
        <w:tc>
          <w:tcPr>
            <w:tcW w:w="2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18"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2,362,772,709.83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1,454,663,295.44</w:t>
            </w:r>
          </w:p>
        </w:tc>
      </w:tr>
    </w:tbl>
    <w:p>
      <w:pPr>
        <w:spacing w:after="0" w:line="240" w:lineRule="auto"/>
        <w:jc w:val="right"/>
        <w:rPr>
          <w:rFonts w:ascii="宋体" w:hAnsi="宋体" w:cs="宋体" w:eastAsia="宋体" w:hint="default"/>
          <w:sz w:val="18"/>
          <w:szCs w:val="18"/>
        </w:rPr>
        <w:sectPr>
          <w:footerReference w:type="default" r:id="rId42"/>
          <w:pgSz w:w="11910" w:h="16840"/>
          <w:pgMar w:footer="1219" w:header="883" w:top="1140" w:bottom="1400" w:left="900" w:right="0"/>
          <w:pgNumType w:start="51"/>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81"/>
        <w:gridCol w:w="1274"/>
        <w:gridCol w:w="1984"/>
        <w:gridCol w:w="1986"/>
      </w:tblGrid>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93,825,046.59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105,750,708.56</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183,160,003.25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250,023,467.66</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6,621,039.69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6,445,097.58</w:t>
            </w:r>
          </w:p>
        </w:tc>
      </w:tr>
      <w:tr>
        <w:trPr>
          <w:trHeight w:val="33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9,112,160.48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9,654,644.82</w:t>
            </w:r>
          </w:p>
        </w:tc>
      </w:tr>
      <w:tr>
        <w:trPr>
          <w:trHeight w:val="278"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874,026.67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874,026.67</w:t>
            </w:r>
          </w:p>
        </w:tc>
      </w:tr>
      <w:tr>
        <w:trPr>
          <w:trHeight w:val="29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1"/>
              <w:jc w:val="right"/>
              <w:rPr>
                <w:rFonts w:ascii="宋体" w:hAnsi="宋体" w:cs="宋体" w:eastAsia="宋体" w:hint="default"/>
                <w:sz w:val="18"/>
                <w:szCs w:val="18"/>
              </w:rPr>
            </w:pPr>
            <w:r>
              <w:rPr>
                <w:rFonts w:ascii="宋体"/>
                <w:sz w:val="18"/>
              </w:rPr>
              <w:t>263,193,358.88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193,336,559.02</w:t>
            </w:r>
          </w:p>
        </w:tc>
      </w:tr>
      <w:tr>
        <w:trPr>
          <w:trHeight w:val="294"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1"/>
              <w:jc w:val="right"/>
              <w:rPr>
                <w:rFonts w:ascii="宋体" w:hAnsi="宋体" w:cs="宋体" w:eastAsia="宋体" w:hint="default"/>
                <w:sz w:val="18"/>
                <w:szCs w:val="18"/>
              </w:rPr>
            </w:pPr>
            <w:r>
              <w:rPr>
                <w:rFonts w:ascii="宋体"/>
                <w:sz w:val="18"/>
              </w:rPr>
              <w:t>556,785,635.56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566,084,504.31</w:t>
            </w:r>
          </w:p>
        </w:tc>
      </w:tr>
      <w:tr>
        <w:trPr>
          <w:trHeight w:val="28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2,148,699.80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2,919,119.93</w:t>
            </w:r>
          </w:p>
        </w:tc>
      </w:tr>
      <w:tr>
        <w:trPr>
          <w:trHeight w:val="27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174,354.00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1,444,785.00</w:t>
            </w:r>
          </w:p>
        </w:tc>
      </w:tr>
      <w:tr>
        <w:trPr>
          <w:trHeight w:val="29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2,323,053.80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4,363,904.93</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559,108,689.36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570,448,409.24</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621,826,786.00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445,521,564.00</w:t>
            </w:r>
          </w:p>
        </w:tc>
      </w:tr>
      <w:tr>
        <w:trPr>
          <w:trHeight w:val="28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1,142,736,251.72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455,578,073.38</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39,100,982.75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-16,884,751.18</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1,803,664,020.47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884,214,886.20</w:t>
            </w:r>
          </w:p>
        </w:tc>
      </w:tr>
      <w:tr>
        <w:trPr>
          <w:trHeight w:val="32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2,362,772,709.83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1,454,663,295.44</w:t>
            </w:r>
          </w:p>
        </w:tc>
      </w:tr>
    </w:tbl>
    <w:p>
      <w:pPr>
        <w:spacing w:line="240" w:lineRule="auto" w:before="7"/>
        <w:rPr>
          <w:rFonts w:ascii="Times New Roman" w:hAnsi="Times New Roman" w:cs="Times New Roman" w:eastAsia="Times New Roman" w:hint="default"/>
          <w:sz w:val="10"/>
          <w:szCs w:val="10"/>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after="0"/>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r>
        <w:rPr/>
        <w:pict>
          <v:group style="position:absolute;margin-left:258.040009pt;margin-top:374.359985pt;width:110.6pt;height:11.65pt;mso-position-horizontal-relative:page;mso-position-vertical-relative:page;z-index:-758152" coordorigin="5161,7487" coordsize="2212,233">
            <v:shape style="position:absolute;left:5161;top:7487;width:2212;height:233" coordorigin="5161,7487" coordsize="2212,233" path="m5161,7720l7372,7720,7372,7487,5161,7487,5161,7720xe" filled="true" fillcolor="#ffffff" stroked="false">
              <v:path arrowok="t"/>
              <v:fill type="solid"/>
            </v:shape>
            <w10:wrap type="none"/>
          </v:group>
        </w:pict>
      </w:r>
    </w:p>
    <w:p>
      <w:pPr>
        <w:spacing w:line="273" w:lineRule="auto" w:before="35"/>
        <w:ind w:left="404" w:right="8856" w:firstLine="0"/>
        <w:jc w:val="left"/>
        <w:rPr>
          <w:rFonts w:ascii="宋体" w:hAnsi="宋体" w:cs="宋体" w:eastAsia="宋体" w:hint="default"/>
          <w:sz w:val="21"/>
          <w:szCs w:val="21"/>
        </w:rPr>
      </w:pPr>
      <w:r>
        <w:rPr/>
        <w:pict>
          <v:group style="position:absolute;margin-left:81.120003pt;margin-top:15.843697pt;width:52.7pt;height:.1pt;mso-position-horizontal-relative:page;mso-position-vertical-relative:paragraph;z-index:-758176" coordorigin="1622,317" coordsize="1054,2">
            <v:shape style="position:absolute;left:1622;top:317;width:1054;height:2" coordorigin="1622,317" coordsize="1054,0" path="m1622,317l2676,317e" filled="false" stroked="true" strokeweight=".54pt" strokecolor="#000000">
              <v:path arrowok="t"/>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w:t>
      </w:r>
    </w:p>
    <w:p>
      <w:pPr>
        <w:pStyle w:val="BodyText"/>
        <w:tabs>
          <w:tab w:pos="7648" w:val="left" w:leader="none"/>
        </w:tabs>
        <w:spacing w:line="240" w:lineRule="auto"/>
        <w:ind w:right="418"/>
        <w:jc w:val="left"/>
      </w:pPr>
      <w:r>
        <w:rPr/>
        <w:t>编制单位：茂业物流股份有限公司</w:t>
        <w:tab/>
        <w:t>金额单位：人民币元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113"/>
        <w:gridCol w:w="2268"/>
        <w:gridCol w:w="1842"/>
        <w:gridCol w:w="1702"/>
      </w:tblGrid>
      <w:tr>
        <w:trPr>
          <w:trHeight w:val="3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9"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22"/>
              <w:jc w:val="right"/>
              <w:rPr>
                <w:rFonts w:ascii="宋体" w:hAnsi="宋体" w:cs="宋体" w:eastAsia="宋体" w:hint="default"/>
                <w:sz w:val="18"/>
                <w:szCs w:val="18"/>
              </w:rPr>
            </w:pPr>
            <w:r>
              <w:rPr>
                <w:rFonts w:ascii="宋体"/>
                <w:sz w:val="18"/>
              </w:rPr>
              <w:t>1,920,004,834.55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23"/>
              <w:jc w:val="right"/>
              <w:rPr>
                <w:rFonts w:ascii="宋体" w:hAnsi="宋体" w:cs="宋体" w:eastAsia="宋体" w:hint="default"/>
                <w:sz w:val="18"/>
                <w:szCs w:val="18"/>
              </w:rPr>
            </w:pPr>
            <w:r>
              <w:rPr>
                <w:rFonts w:ascii="宋体"/>
                <w:sz w:val="18"/>
              </w:rPr>
              <w:t>2,106,355,242.42</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5"/>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1,920,004,834.55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2,106,355,242.42</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1,773,359,640.68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1,959,481,393.22</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55"/>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1,506,494,963.64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1,717,478,823.55</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37,491,789.88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41,304,565.88</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140,700,644.19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142,030,655.30</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65,858,824.65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56,732,174.06</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-1,277,871.32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443,123.99</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24,091,289.64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1,492,050.44</w:t>
            </w:r>
          </w:p>
        </w:tc>
      </w:tr>
      <w:tr>
        <w:trPr>
          <w:trHeight w:val="247" w:hRule="exact"/>
        </w:trPr>
        <w:tc>
          <w:tcPr>
            <w:tcW w:w="4113" w:type="dxa"/>
            <w:tcBorders>
              <w:top w:val="single" w:sz="4" w:space="0" w:color="000000"/>
              <w:left w:val="single" w:sz="4" w:space="0" w:color="000000"/>
              <w:bottom w:val="single" w:sz="4" w:space="0" w:color="000000"/>
              <w:right w:val="single" w:sz="9" w:space="0" w:color="FFFFFF"/>
            </w:tcBorders>
          </w:tcPr>
          <w:p>
            <w:pPr>
              <w:pStyle w:val="TableParagraph"/>
              <w:spacing w:line="208" w:lineRule="exact"/>
              <w:ind w:right="111"/>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268" w:type="dxa"/>
            <w:tcBorders>
              <w:top w:val="single" w:sz="4" w:space="0" w:color="000000"/>
              <w:left w:val="single" w:sz="9" w:space="0" w:color="FFFFFF"/>
              <w:bottom w:val="single" w:sz="4" w:space="0" w:color="000000"/>
              <w:right w:val="single" w:sz="4" w:space="0" w:color="000000"/>
            </w:tcBorders>
          </w:tcPr>
          <w:p>
            <w:pPr>
              <w:pStyle w:val="TableParagraph"/>
              <w:tabs>
                <w:tab w:pos="694" w:val="left" w:leader="none"/>
              </w:tabs>
              <w:spacing w:line="210" w:lineRule="exact"/>
              <w:ind w:left="-137" w:right="611"/>
              <w:jc w:val="right"/>
              <w:rPr>
                <w:rFonts w:ascii="宋体" w:hAnsi="宋体" w:cs="宋体" w:eastAsia="宋体" w:hint="default"/>
                <w:sz w:val="18"/>
                <w:szCs w:val="18"/>
              </w:rPr>
            </w:pPr>
            <w:r>
              <w:rPr>
                <w:rFonts w:ascii="宋体" w:hAnsi="宋体" w:cs="宋体" w:eastAsia="宋体" w:hint="default"/>
                <w:sz w:val="18"/>
                <w:szCs w:val="18"/>
              </w:rPr>
              <w:t>）</w:t>
              <w:tab/>
              <w:t>五、注释</w:t>
            </w:r>
            <w:r>
              <w:rPr>
                <w:rFonts w:ascii="宋体" w:hAnsi="宋体" w:cs="宋体" w:eastAsia="宋体" w:hint="default"/>
                <w:spacing w:val="-46"/>
                <w:sz w:val="18"/>
                <w:szCs w:val="18"/>
              </w:rPr>
              <w:t> </w:t>
            </w:r>
            <w:r>
              <w:rPr>
                <w:rFonts w:ascii="宋体" w:hAnsi="宋体" w:cs="宋体" w:eastAsia="宋体" w:hint="default"/>
                <w:sz w:val="18"/>
                <w:szCs w:val="18"/>
              </w:rPr>
              <w:t>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465,257.89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-58,654.30</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764,657.53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500,000.00</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8"/>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147,875,109.29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147,315,194.90</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3,050,531.38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824,526.65</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186,226.65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1,471.15</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2,324,632.62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8,099,861.89</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846,398.22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6,518,753.74</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148,601,008.05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140,039,859.66</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11"/>
              <w:jc w:val="righ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49,922,485.60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47,274,718.25</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98,678,522.45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92,765,141.41</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98,755,198.43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92,903,757.45</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-76,675.98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-138,616.04</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8"/>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重新计量设定受益计划净负债或净资产的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权益法下在被投资单位不能重分类进损益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的其他综合收益中享有的份额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权益法下在被投资单位以后将重分类进损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持有至到期投资重分类为可供出售金融资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98,678,522.45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92,765,141.41</w:t>
            </w:r>
          </w:p>
        </w:tc>
      </w:tr>
    </w:tbl>
    <w:p>
      <w:pPr>
        <w:spacing w:after="0" w:line="210" w:lineRule="exact"/>
        <w:jc w:val="right"/>
        <w:rPr>
          <w:rFonts w:ascii="宋体" w:hAnsi="宋体" w:cs="宋体" w:eastAsia="宋体" w:hint="default"/>
          <w:sz w:val="18"/>
          <w:szCs w:val="18"/>
        </w:rPr>
        <w:sectPr>
          <w:pgSz w:w="11910" w:h="16840"/>
          <w:pgMar w:header="883" w:footer="1219" w:top="1140" w:bottom="1480" w:left="900" w:right="0"/>
        </w:sectPr>
      </w:pPr>
    </w:p>
    <w:p>
      <w:pPr>
        <w:spacing w:line="240" w:lineRule="auto" w:before="6"/>
        <w:rPr>
          <w:rFonts w:ascii="Times New Roman" w:hAnsi="Times New Roman" w:cs="Times New Roman" w:eastAsia="Times New Roman" w:hint="default"/>
          <w:sz w:val="24"/>
          <w:szCs w:val="24"/>
        </w:rPr>
      </w:pPr>
      <w:r>
        <w:rPr/>
        <w:pict>
          <v:group style="position:absolute;margin-left:258.040009pt;margin-top:336.319977pt;width:110.6pt;height:11.7pt;mso-position-horizontal-relative:page;mso-position-vertical-relative:page;z-index:-758128" coordorigin="5161,6726" coordsize="2212,234">
            <v:shape style="position:absolute;left:5161;top:6726;width:2212;height:234" coordorigin="5161,6726" coordsize="2212,234" path="m5161,6960l7372,6960,7372,6726,5161,6726,5161,6960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4113"/>
        <w:gridCol w:w="2268"/>
        <w:gridCol w:w="1842"/>
        <w:gridCol w:w="1702"/>
      </w:tblGrid>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sz w:val="18"/>
              </w:rPr>
              <w:t>98,755,198.43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92,903,757.45</w:t>
            </w:r>
          </w:p>
        </w:tc>
      </w:tr>
      <w:tr>
        <w:trPr>
          <w:trHeight w:val="247"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-76,675.98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-138,616.04</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0.2146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0.2085</w:t>
            </w:r>
          </w:p>
        </w:tc>
      </w:tr>
      <w:tr>
        <w:trPr>
          <w:trHeight w:val="248"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0.2146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0.2085</w:t>
            </w:r>
          </w:p>
        </w:tc>
      </w:tr>
    </w:tbl>
    <w:p>
      <w:pPr>
        <w:spacing w:line="240" w:lineRule="auto" w:before="8"/>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728"/>
        <w:gridCol w:w="1385"/>
        <w:gridCol w:w="2268"/>
        <w:gridCol w:w="1842"/>
        <w:gridCol w:w="1702"/>
      </w:tblGrid>
      <w:tr>
        <w:trPr>
          <w:trHeight w:val="969"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t>：刘宏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4"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z w:val="21"/>
                <w:szCs w:val="21"/>
                <w:u w:val="single" w:color="000000"/>
              </w:rPr>
              <w:t>母公司利润表</w:t>
            </w:r>
            <w:r>
              <w:rPr>
                <w:rFonts w:ascii="宋体" w:hAnsi="宋体" w:cs="宋体" w:eastAsia="宋体" w:hint="default"/>
                <w:b/>
                <w:bCs/>
                <w:sz w:val="21"/>
                <w:szCs w:val="21"/>
              </w:rPr>
            </w:r>
            <w:r>
              <w:rPr>
                <w:rFonts w:ascii="宋体" w:hAnsi="宋体" w:cs="宋体" w:eastAsia="宋体" w:hint="default"/>
                <w:sz w:val="21"/>
                <w:szCs w:val="21"/>
              </w:rPr>
            </w: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710" w:right="0"/>
              <w:jc w:val="left"/>
              <w:rPr>
                <w:rFonts w:ascii="宋体" w:hAnsi="宋体" w:cs="宋体" w:eastAsia="宋体" w:hint="default"/>
                <w:sz w:val="18"/>
                <w:szCs w:val="18"/>
              </w:rPr>
            </w:pPr>
            <w:r>
              <w:rPr>
                <w:rFonts w:ascii="宋体" w:hAnsi="宋体" w:cs="宋体" w:eastAsia="宋体" w:hint="default"/>
                <w:b/>
                <w:bCs/>
                <w:sz w:val="18"/>
                <w:szCs w:val="18"/>
              </w:rPr>
              <w:t>主管会计工作负责人</w:t>
            </w:r>
            <w:r>
              <w:rPr>
                <w:rFonts w:ascii="宋体" w:hAnsi="宋体" w:cs="宋体" w:eastAsia="宋体" w:hint="default"/>
                <w:sz w:val="18"/>
                <w:szCs w:val="18"/>
              </w:rPr>
              <w:t>：王歌</w:t>
            </w:r>
          </w:p>
        </w:tc>
        <w:tc>
          <w:tcPr>
            <w:tcW w:w="3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203" w:right="0"/>
              <w:jc w:val="left"/>
              <w:rPr>
                <w:rFonts w:ascii="宋体" w:hAnsi="宋体" w:cs="宋体" w:eastAsia="宋体" w:hint="default"/>
                <w:sz w:val="18"/>
                <w:szCs w:val="18"/>
              </w:rPr>
            </w:pPr>
            <w:r>
              <w:rPr>
                <w:rFonts w:ascii="宋体" w:hAnsi="宋体" w:cs="宋体" w:eastAsia="宋体" w:hint="default"/>
                <w:b/>
                <w:bCs/>
                <w:sz w:val="18"/>
                <w:szCs w:val="18"/>
              </w:rPr>
              <w:t>会计机构负责人</w:t>
            </w:r>
            <w:r>
              <w:rPr>
                <w:rFonts w:ascii="宋体" w:hAnsi="宋体" w:cs="宋体" w:eastAsia="宋体" w:hint="default"/>
                <w:sz w:val="18"/>
                <w:szCs w:val="18"/>
              </w:rPr>
              <w:t>：张雷</w:t>
            </w:r>
          </w:p>
        </w:tc>
      </w:tr>
      <w:tr>
        <w:trPr>
          <w:trHeight w:val="318" w:hRule="exact"/>
        </w:trPr>
        <w:tc>
          <w:tcPr>
            <w:tcW w:w="2728" w:type="dxa"/>
            <w:tcBorders>
              <w:top w:val="nil" w:sz="6" w:space="0" w:color="auto"/>
              <w:left w:val="nil" w:sz="6" w:space="0" w:color="auto"/>
              <w:bottom w:val="single" w:sz="4" w:space="0" w:color="000000"/>
              <w:right w:val="nil" w:sz="6" w:space="0" w:color="auto"/>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w:t>
            </w:r>
          </w:p>
        </w:tc>
        <w:tc>
          <w:tcPr>
            <w:tcW w:w="3653" w:type="dxa"/>
            <w:gridSpan w:val="2"/>
            <w:tcBorders>
              <w:top w:val="nil" w:sz="6" w:space="0" w:color="auto"/>
              <w:left w:val="nil" w:sz="6" w:space="0" w:color="auto"/>
              <w:bottom w:val="single" w:sz="4" w:space="0" w:color="000000"/>
              <w:right w:val="nil" w:sz="6" w:space="0" w:color="auto"/>
            </w:tcBorders>
          </w:tcPr>
          <w:p>
            <w:pPr/>
          </w:p>
        </w:tc>
        <w:tc>
          <w:tcPr>
            <w:tcW w:w="3544" w:type="dxa"/>
            <w:gridSpan w:val="2"/>
            <w:tcBorders>
              <w:top w:val="nil" w:sz="6" w:space="0" w:color="auto"/>
              <w:left w:val="nil" w:sz="6" w:space="0" w:color="auto"/>
              <w:bottom w:val="single" w:sz="4" w:space="0" w:color="000000"/>
              <w:right w:val="nil" w:sz="6" w:space="0" w:color="auto"/>
            </w:tcBorders>
          </w:tcPr>
          <w:p>
            <w:pPr>
              <w:pStyle w:val="TableParagraph"/>
              <w:spacing w:line="261" w:lineRule="exact"/>
              <w:ind w:left="1199" w:right="0"/>
              <w:jc w:val="left"/>
              <w:rPr>
                <w:rFonts w:ascii="宋体" w:hAnsi="宋体" w:cs="宋体" w:eastAsia="宋体" w:hint="default"/>
                <w:sz w:val="21"/>
                <w:szCs w:val="21"/>
              </w:rPr>
            </w:pPr>
            <w:r>
              <w:rPr>
                <w:rFonts w:ascii="宋体" w:hAnsi="宋体" w:cs="宋体" w:eastAsia="宋体" w:hint="default"/>
                <w:sz w:val="21"/>
                <w:szCs w:val="21"/>
              </w:rPr>
              <w:t>金额单位：人民币元</w:t>
            </w:r>
          </w:p>
        </w:tc>
      </w:tr>
      <w:tr>
        <w:trPr>
          <w:trHeight w:val="403"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89"/>
              <w:jc w:val="right"/>
              <w:rPr>
                <w:rFonts w:ascii="宋体" w:hAnsi="宋体" w:cs="宋体" w:eastAsia="宋体" w:hint="default"/>
                <w:sz w:val="18"/>
                <w:szCs w:val="18"/>
              </w:rPr>
            </w:pPr>
            <w:r>
              <w:rPr>
                <w:rFonts w:ascii="宋体" w:hAnsi="宋体" w:cs="宋体" w:eastAsia="宋体" w:hint="default"/>
                <w:sz w:val="18"/>
                <w:szCs w:val="18"/>
              </w:rPr>
              <w:t>项目</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11"/>
              <w:jc w:val="right"/>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1,161,720,641.81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1,230,508,727.28</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11"/>
              <w:jc w:val="right"/>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912,098,346.40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994,222,259.39</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16,980,665.51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17,431,944.93</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83,608,711.87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96,108,811.84</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30,042,263.11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24,009,107.14</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-12,755,221.00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-9,271,917.98</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80,505.91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-24,754.00</w:t>
            </w:r>
          </w:p>
        </w:tc>
      </w:tr>
      <w:tr>
        <w:trPr>
          <w:trHeight w:val="312" w:hRule="exact"/>
        </w:trPr>
        <w:tc>
          <w:tcPr>
            <w:tcW w:w="4113" w:type="dxa"/>
            <w:gridSpan w:val="2"/>
            <w:tcBorders>
              <w:top w:val="single" w:sz="4" w:space="0" w:color="000000"/>
              <w:left w:val="single" w:sz="4" w:space="0" w:color="000000"/>
              <w:bottom w:val="single" w:sz="4" w:space="0" w:color="000000"/>
              <w:right w:val="single" w:sz="9" w:space="0" w:color="FFFFFF"/>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2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
              <w:jc w:val="right"/>
              <w:rPr>
                <w:rFonts w:ascii="宋体" w:hAnsi="宋体" w:cs="宋体" w:eastAsia="宋体" w:hint="default"/>
                <w:sz w:val="18"/>
                <w:szCs w:val="18"/>
              </w:rPr>
            </w:pPr>
            <w:r>
              <w:rPr>
                <w:rFonts w:ascii="宋体" w:hAnsi="宋体" w:cs="宋体" w:eastAsia="宋体" w:hint="default"/>
                <w:sz w:val="18"/>
                <w:szCs w:val="18"/>
              </w:rPr>
              <w:t>投资收益（损失以“－”</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11"/>
              <w:jc w:val="right"/>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-25,253,487.56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-3,360,574.52</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
              <w:jc w:val="right"/>
              <w:rPr>
                <w:rFonts w:ascii="宋体" w:hAnsi="宋体" w:cs="宋体" w:eastAsia="宋体" w:hint="default"/>
                <w:sz w:val="18"/>
                <w:szCs w:val="18"/>
              </w:rPr>
            </w:pPr>
            <w:r>
              <w:rPr>
                <w:rFonts w:ascii="宋体" w:hAnsi="宋体" w:cs="宋体" w:eastAsia="宋体" w:hint="default"/>
                <w:sz w:val="18"/>
                <w:szCs w:val="18"/>
              </w:rPr>
              <w:t>其中：对联营企业和合营</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企业的投资收益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2" w:right="-1"/>
              <w:jc w:val="left"/>
              <w:rPr>
                <w:rFonts w:ascii="宋体" w:hAnsi="宋体" w:cs="宋体" w:eastAsia="宋体" w:hint="default"/>
                <w:sz w:val="18"/>
                <w:szCs w:val="18"/>
              </w:rPr>
            </w:pPr>
            <w:r>
              <w:rPr>
                <w:rFonts w:ascii="宋体" w:hAnsi="宋体" w:cs="宋体" w:eastAsia="宋体" w:hint="default"/>
                <w:sz w:val="18"/>
                <w:szCs w:val="18"/>
              </w:rPr>
              <w:t>二、营业利润（亏损以“－”号填</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106,411,882.45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104,672,701.44</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1,430,094.40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475,623.12</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其中：非流动资产处置利</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r>
              <w:rPr>
                <w:rFonts w:ascii="宋体" w:hAnsi="宋体" w:cs="宋体" w:eastAsia="宋体" w:hint="default"/>
                <w:sz w:val="18"/>
                <w:szCs w:val="18"/>
              </w:rPr>
              <w:t>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178,698.43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6,495,288.18</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33,961.92</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2" w:right="-1"/>
              <w:jc w:val="left"/>
              <w:rPr>
                <w:rFonts w:ascii="宋体" w:hAnsi="宋体" w:cs="宋体" w:eastAsia="宋体" w:hint="default"/>
                <w:sz w:val="18"/>
                <w:szCs w:val="18"/>
              </w:rPr>
            </w:pPr>
            <w:r>
              <w:rPr>
                <w:rFonts w:ascii="宋体" w:hAnsi="宋体" w:cs="宋体" w:eastAsia="宋体" w:hint="default"/>
                <w:sz w:val="18"/>
                <w:szCs w:val="18"/>
              </w:rPr>
              <w:t>三、利润总额（亏损总额以“－”</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107,663,278.42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98,653,036.38</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32,965,685.33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29,001,427.41</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2" w:right="-1"/>
              <w:jc w:val="left"/>
              <w:rPr>
                <w:rFonts w:ascii="宋体" w:hAnsi="宋体" w:cs="宋体" w:eastAsia="宋体" w:hint="default"/>
                <w:sz w:val="18"/>
                <w:szCs w:val="18"/>
              </w:rPr>
            </w:pPr>
            <w:r>
              <w:rPr>
                <w:rFonts w:ascii="宋体" w:hAnsi="宋体" w:cs="宋体" w:eastAsia="宋体" w:hint="default"/>
                <w:sz w:val="18"/>
                <w:szCs w:val="18"/>
              </w:rPr>
              <w:t>四、净利润（净亏损以“－”号填</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74,697,593.09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69,651,608.97</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74,697,593.09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宋体" w:hAnsi="宋体" w:cs="宋体" w:eastAsia="宋体" w:hint="default"/>
                <w:sz w:val="18"/>
                <w:szCs w:val="18"/>
              </w:rPr>
            </w:pPr>
            <w:r>
              <w:rPr>
                <w:rFonts w:ascii="宋体"/>
                <w:sz w:val="18"/>
              </w:rPr>
              <w:t>69,651,608.97</w:t>
            </w:r>
          </w:p>
        </w:tc>
      </w:tr>
      <w:tr>
        <w:trPr>
          <w:trHeight w:val="312" w:hRule="exact"/>
        </w:trPr>
        <w:tc>
          <w:tcPr>
            <w:tcW w:w="4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62"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负债或净资产的</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562" w:right="-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的其他综合收益中享有的份额</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宋体" w:hAnsi="宋体" w:cs="宋体" w:eastAsia="宋体" w:hint="default"/>
                <w:sz w:val="18"/>
                <w:szCs w:val="18"/>
              </w:rPr>
              <w:t>能重分类进损益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62"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后将重分类进损</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62" w:right="-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w:t>
            </w:r>
          </w:p>
        </w:tc>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74,697,593.09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69,651,608.97</w:t>
            </w: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8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0.1623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0.1563</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113"/>
        <w:gridCol w:w="2268"/>
        <w:gridCol w:w="1842"/>
        <w:gridCol w:w="1702"/>
      </w:tblGrid>
      <w:tr>
        <w:trPr>
          <w:trHeight w:val="31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0.1623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0.1563</w:t>
            </w:r>
          </w:p>
        </w:tc>
      </w:tr>
    </w:tbl>
    <w:p>
      <w:pPr>
        <w:spacing w:line="240" w:lineRule="auto" w:before="7"/>
        <w:rPr>
          <w:rFonts w:ascii="Times New Roman" w:hAnsi="Times New Roman" w:cs="Times New Roman" w:eastAsia="Times New Roman" w:hint="default"/>
          <w:sz w:val="10"/>
          <w:szCs w:val="10"/>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2"/>
        <w:rPr>
          <w:rFonts w:ascii="宋体" w:hAnsi="宋体" w:cs="宋体" w:eastAsia="宋体" w:hint="default"/>
          <w:sz w:val="26"/>
          <w:szCs w:val="26"/>
        </w:rPr>
      </w:pPr>
    </w:p>
    <w:p>
      <w:pPr>
        <w:spacing w:before="0"/>
        <w:ind w:left="404" w:right="594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u w:val="single" w:color="000000"/>
        </w:rPr>
        <w:t>合并现金流量表</w:t>
      </w:r>
      <w:r>
        <w:rPr>
          <w:rFonts w:ascii="宋体" w:hAnsi="宋体" w:cs="宋体" w:eastAsia="宋体" w:hint="default"/>
          <w:b/>
          <w:bCs/>
          <w:sz w:val="21"/>
          <w:szCs w:val="21"/>
        </w:rPr>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w:t>
      </w:r>
    </w:p>
    <w:p>
      <w:pPr>
        <w:pStyle w:val="BodyText"/>
        <w:tabs>
          <w:tab w:pos="7648" w:val="left" w:leader="none"/>
        </w:tabs>
        <w:spacing w:line="240" w:lineRule="auto" w:before="60"/>
        <w:ind w:right="418"/>
        <w:jc w:val="left"/>
      </w:pPr>
      <w:r>
        <w:rPr/>
        <w:t>编制单位：茂业物流股份有限公司</w:t>
        <w:tab/>
        <w:t>金额单位：人民币元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681"/>
        <w:gridCol w:w="1559"/>
        <w:gridCol w:w="1844"/>
        <w:gridCol w:w="1842"/>
      </w:tblGrid>
      <w:tr>
        <w:trPr>
          <w:trHeight w:val="377"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1,850,626,779.14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2,084,278,322.02</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pacing w:val="4"/>
                <w:sz w:val="18"/>
                <w:szCs w:val="18"/>
              </w:rPr>
              <w:t>处置以公允价值计量且其变动计入当期损益的金融资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产净增加额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18,025,977.12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6,564,334.98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1,868,652,756.26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2,090,842,657.00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1,392,732,118.82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1,698,087,077.90</w:t>
            </w:r>
          </w:p>
        </w:tc>
      </w:tr>
      <w:tr>
        <w:trPr>
          <w:trHeight w:val="284"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89,563,691.67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84,841,233.20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110,911,909.95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119,729,248.99</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80,049,191.80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65,771,271.56</w:t>
            </w: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1,673,256,912.24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1,968,428,831.65</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195,395,844.02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122,413,825.35</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70,000,000.00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1,179,287.67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500,000.00</w:t>
            </w:r>
          </w:p>
        </w:tc>
      </w:tr>
      <w:tr>
        <w:trPr>
          <w:trHeight w:val="476"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200,250.00</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11,813,767.50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82,993,055.17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700,250.00</w:t>
            </w: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163,215,094.77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53,990,742.88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134,064,793.78</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297,279,888.55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53,990,742.88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-214,286,833.38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-53,290,492.88</w:t>
            </w:r>
          </w:p>
        </w:tc>
      </w:tr>
    </w:tbl>
    <w:p>
      <w:pPr>
        <w:spacing w:after="0" w:line="225" w:lineRule="exact"/>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4681"/>
        <w:gridCol w:w="1559"/>
        <w:gridCol w:w="1844"/>
        <w:gridCol w:w="1842"/>
      </w:tblGrid>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129,724,499.34</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6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129,724,499.34</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164,000,000.00</w:t>
            </w: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18,069,099.56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13,232,733.18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6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18,069,099.56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177,232,733.18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111,655,399.78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-177,232,733.18</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92,764,410.42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-108,109,400.71</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190,356,057.52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298,465,458.23</w:t>
            </w:r>
          </w:p>
        </w:tc>
      </w:tr>
      <w:tr>
        <w:trPr>
          <w:trHeight w:val="28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283,120,467.94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190,356,057.52</w:t>
            </w:r>
          </w:p>
        </w:tc>
      </w:tr>
    </w:tbl>
    <w:p>
      <w:pPr>
        <w:spacing w:line="240" w:lineRule="auto" w:before="4"/>
        <w:rPr>
          <w:rFonts w:ascii="宋体" w:hAnsi="宋体" w:cs="宋体" w:eastAsia="宋体" w:hint="default"/>
          <w:sz w:val="9"/>
          <w:szCs w:val="9"/>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2"/>
        <w:rPr>
          <w:rFonts w:ascii="宋体" w:hAnsi="宋体" w:cs="宋体" w:eastAsia="宋体" w:hint="default"/>
          <w:sz w:val="26"/>
          <w:szCs w:val="26"/>
        </w:rPr>
      </w:pPr>
    </w:p>
    <w:p>
      <w:pPr>
        <w:tabs>
          <w:tab w:pos="7605" w:val="left" w:leader="none"/>
        </w:tabs>
        <w:spacing w:before="0"/>
        <w:ind w:left="404" w:right="41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w:t>
        <w:tab/>
        <w:t>金额单位：人民币元</w:t>
      </w:r>
    </w:p>
    <w:tbl>
      <w:tblPr>
        <w:tblW w:w="0" w:type="auto"/>
        <w:jc w:val="left"/>
        <w:tblInd w:w="115" w:type="dxa"/>
        <w:tblLayout w:type="fixed"/>
        <w:tblCellMar>
          <w:top w:w="0" w:type="dxa"/>
          <w:left w:w="0" w:type="dxa"/>
          <w:bottom w:w="0" w:type="dxa"/>
          <w:right w:w="0" w:type="dxa"/>
        </w:tblCellMar>
        <w:tblLook w:val="01E0"/>
      </w:tblPr>
      <w:tblGrid>
        <w:gridCol w:w="4821"/>
        <w:gridCol w:w="1276"/>
        <w:gridCol w:w="1986"/>
        <w:gridCol w:w="1842"/>
      </w:tblGrid>
      <w:tr>
        <w:trPr>
          <w:trHeight w:val="318" w:hRule="exact"/>
        </w:trPr>
        <w:tc>
          <w:tcPr>
            <w:tcW w:w="4821" w:type="dxa"/>
            <w:tcBorders>
              <w:top w:val="single" w:sz="16"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1,094,857,177.40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1,212,870,449.61</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72,956,388.80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2,844,296.09</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1,167,813,566.20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1,215,714,745.70</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917,668,567.93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981,629,343.85</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49,580,270.78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44,294,357.67</w:t>
            </w: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53,557,063.92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63,556,163.16</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113,928,260.33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50,110,115.24</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1,134,734,162.96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1,139,589,979.92</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33,079,403.24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76,124,765.78</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500,000.00</w:t>
            </w:r>
          </w:p>
        </w:tc>
      </w:tr>
      <w:tr>
        <w:trPr>
          <w:trHeight w:val="478"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0"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处置固定资产、无形资产和其他长期资产收回的现金净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200,250.00</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500,000.00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700,250.00</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12,789,864.59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49,034,848.97</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134,064,793.78</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146,854,658.37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49,034,848.97</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-146,354,658.37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-48,334,598.97</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129,724,499.34</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4821"/>
        <w:gridCol w:w="1276"/>
        <w:gridCol w:w="1986"/>
        <w:gridCol w:w="1842"/>
      </w:tblGrid>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129,724,499.34</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105,000,000.00</w:t>
            </w:r>
          </w:p>
        </w:tc>
      </w:tr>
      <w:tr>
        <w:trPr>
          <w:trHeight w:val="28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18,069,099.56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12,684,555.26</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18,069,099.56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117,684,555.26</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111,655,399.78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-117,684,555.26</w:t>
            </w: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-1,619,855.35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-89,894,388.45</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121,058,137.65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210,952,526.10</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119,438,282.30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121,058,137.65</w:t>
            </w:r>
          </w:p>
        </w:tc>
      </w:tr>
    </w:tbl>
    <w:p>
      <w:pPr>
        <w:spacing w:line="240" w:lineRule="auto" w:before="4"/>
        <w:rPr>
          <w:rFonts w:ascii="宋体" w:hAnsi="宋体" w:cs="宋体" w:eastAsia="宋体" w:hint="default"/>
          <w:sz w:val="9"/>
          <w:szCs w:val="9"/>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326" w:lineRule="auto" w:before="127"/>
        <w:ind w:left="404" w:right="6849"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z w:val="21"/>
          <w:szCs w:val="21"/>
          <w:u w:val="single" w:color="000000"/>
        </w:rPr>
        <w:t>合并所有者权益变动表</w:t>
      </w:r>
      <w:r>
        <w:rPr>
          <w:rFonts w:ascii="宋体" w:hAnsi="宋体" w:cs="宋体" w:eastAsia="宋体" w:hint="default"/>
          <w:b/>
          <w:bCs/>
          <w:sz w:val="21"/>
          <w:szCs w:val="21"/>
        </w:rPr>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年度） 编制单位：茂业物流股份有限公司</w:t>
      </w:r>
    </w:p>
    <w:p>
      <w:pPr>
        <w:pStyle w:val="BodyText"/>
        <w:tabs>
          <w:tab w:pos="7647" w:val="left" w:leader="none"/>
        </w:tabs>
        <w:spacing w:line="236" w:lineRule="exact" w:before="0"/>
        <w:ind w:right="418"/>
        <w:jc w:val="left"/>
      </w:pPr>
      <w:r>
        <w:rPr/>
        <w:t>本期金额</w:t>
        <w:tab/>
        <w:t>金额单位：人民币元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58"/>
        <w:gridCol w:w="1121"/>
        <w:gridCol w:w="1275"/>
        <w:gridCol w:w="427"/>
        <w:gridCol w:w="426"/>
        <w:gridCol w:w="1032"/>
        <w:gridCol w:w="474"/>
        <w:gridCol w:w="1091"/>
        <w:gridCol w:w="955"/>
        <w:gridCol w:w="1266"/>
      </w:tblGrid>
      <w:tr>
        <w:trPr>
          <w:trHeight w:val="322" w:hRule="exact"/>
        </w:trPr>
        <w:tc>
          <w:tcPr>
            <w:tcW w:w="1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06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3" w:hRule="exact"/>
        </w:trPr>
        <w:tc>
          <w:tcPr>
            <w:tcW w:w="1858" w:type="dxa"/>
            <w:vMerge/>
            <w:tcBorders>
              <w:left w:val="single" w:sz="4" w:space="0" w:color="000000"/>
              <w:right w:val="single" w:sz="4" w:space="0" w:color="000000"/>
            </w:tcBorders>
          </w:tcPr>
          <w:p>
            <w:pPr/>
          </w:p>
        </w:tc>
        <w:tc>
          <w:tcPr>
            <w:tcW w:w="5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2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01" w:right="20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356" w:right="26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0" w:hRule="exact"/>
        </w:trPr>
        <w:tc>
          <w:tcPr>
            <w:tcW w:w="1858"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68" w:right="-23" w:hanging="46"/>
              <w:jc w:val="left"/>
              <w:rPr>
                <w:rFonts w:ascii="宋体" w:hAnsi="宋体" w:cs="宋体" w:eastAsia="宋体" w:hint="default"/>
                <w:sz w:val="18"/>
                <w:szCs w:val="18"/>
              </w:rPr>
            </w:pPr>
            <w:r>
              <w:rPr>
                <w:rFonts w:ascii="宋体" w:hAnsi="宋体" w:cs="宋体" w:eastAsia="宋体" w:hint="default"/>
                <w:spacing w:val="-4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存股</w:t>
            </w:r>
            <w:r>
              <w:rPr>
                <w:rFonts w:ascii="宋体" w:hAnsi="宋体" w:cs="宋体" w:eastAsia="宋体" w:hint="default"/>
                <w:sz w:val="18"/>
                <w:szCs w:val="18"/>
              </w:rPr>
            </w:r>
          </w:p>
        </w:tc>
        <w:tc>
          <w:tcPr>
            <w:tcW w:w="426"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49"/>
              <w:ind w:left="60" w:right="68"/>
              <w:jc w:val="left"/>
              <w:rPr>
                <w:rFonts w:ascii="宋体" w:hAnsi="宋体" w:cs="宋体" w:eastAsia="宋体" w:hint="default"/>
                <w:sz w:val="18"/>
                <w:szCs w:val="18"/>
              </w:rPr>
            </w:pPr>
            <w:r>
              <w:rPr>
                <w:rFonts w:ascii="宋体" w:hAnsi="宋体" w:cs="宋体" w:eastAsia="宋体" w:hint="default"/>
                <w:spacing w:val="-41"/>
                <w:sz w:val="18"/>
                <w:szCs w:val="18"/>
              </w:rPr>
              <w:t>专项 储备</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40" w:lineRule="auto"/>
              <w:ind w:left="51" w:right="50"/>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55"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Calibri" w:hAnsi="Calibri" w:cs="Calibri" w:eastAsia="Calibri" w:hint="default"/>
                <w:sz w:val="15"/>
                <w:szCs w:val="15"/>
              </w:rPr>
            </w:pPr>
            <w:r>
              <w:rPr>
                <w:rFonts w:ascii="Calibri"/>
                <w:spacing w:val="-1"/>
                <w:sz w:val="15"/>
              </w:rPr>
              <w:t>445,521,564.00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3" w:right="0"/>
              <w:jc w:val="left"/>
              <w:rPr>
                <w:rFonts w:ascii="Calibri" w:hAnsi="Calibri" w:cs="Calibri" w:eastAsia="Calibri" w:hint="default"/>
                <w:sz w:val="15"/>
                <w:szCs w:val="15"/>
              </w:rPr>
            </w:pPr>
            <w:r>
              <w:rPr>
                <w:rFonts w:ascii="Calibri"/>
                <w:sz w:val="15"/>
              </w:rPr>
              <w:t>417,459,829.28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2"/>
                <w:sz w:val="15"/>
              </w:rPr>
              <w:t>38,476,426.68</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261,806,090.50</w:t>
            </w:r>
            <w:r>
              <w:rPr>
                <w:rFonts w:ascii="Calibri"/>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4,613,061.99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Calibri" w:hAnsi="Calibri" w:cs="Calibri" w:eastAsia="Calibri" w:hint="default"/>
                <w:sz w:val="15"/>
                <w:szCs w:val="15"/>
              </w:rPr>
            </w:pPr>
            <w:r>
              <w:rPr>
                <w:rFonts w:ascii="Calibri"/>
                <w:spacing w:val="-2"/>
                <w:sz w:val="15"/>
              </w:rPr>
              <w:t>1,167,876,972.45</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Calibri" w:hAnsi="Calibri" w:cs="Calibri" w:eastAsia="Calibri" w:hint="default"/>
                <w:sz w:val="15"/>
                <w:szCs w:val="15"/>
              </w:rPr>
            </w:pPr>
            <w:r>
              <w:rPr>
                <w:rFonts w:ascii="Calibri"/>
                <w:spacing w:val="-1"/>
                <w:sz w:val="15"/>
              </w:rPr>
              <w:t>445,521,564.00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3" w:right="0"/>
              <w:jc w:val="left"/>
              <w:rPr>
                <w:rFonts w:ascii="Calibri" w:hAnsi="Calibri" w:cs="Calibri" w:eastAsia="Calibri" w:hint="default"/>
                <w:sz w:val="15"/>
                <w:szCs w:val="15"/>
              </w:rPr>
            </w:pPr>
            <w:r>
              <w:rPr>
                <w:rFonts w:ascii="Calibri"/>
                <w:sz w:val="15"/>
              </w:rPr>
              <w:t>417,459,829.28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2"/>
                <w:sz w:val="15"/>
              </w:rPr>
              <w:t>38,476,426.68</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261,806,090.50</w:t>
            </w:r>
            <w:r>
              <w:rPr>
                <w:rFonts w:ascii="Calibri"/>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4,613,061.99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Calibri" w:hAnsi="Calibri" w:cs="Calibri" w:eastAsia="Calibri" w:hint="default"/>
                <w:sz w:val="15"/>
                <w:szCs w:val="15"/>
              </w:rPr>
            </w:pPr>
            <w:r>
              <w:rPr>
                <w:rFonts w:ascii="Calibri"/>
                <w:spacing w:val="-2"/>
                <w:sz w:val="15"/>
              </w:rPr>
              <w:t>1,167,876,972.45</w:t>
            </w:r>
          </w:p>
        </w:tc>
      </w:tr>
      <w:tr>
        <w:trPr>
          <w:trHeight w:val="47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176,305,222.00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97" w:right="0"/>
              <w:jc w:val="left"/>
              <w:rPr>
                <w:rFonts w:ascii="Calibri" w:hAnsi="Calibri" w:cs="Calibri" w:eastAsia="Calibri" w:hint="default"/>
                <w:sz w:val="15"/>
                <w:szCs w:val="15"/>
              </w:rPr>
            </w:pPr>
            <w:r>
              <w:rPr>
                <w:rFonts w:ascii="Calibri"/>
                <w:sz w:val="15"/>
              </w:rPr>
              <w:t>687,158,178.34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9,875,519.84</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70,167,819.43</w:t>
            </w:r>
            <w:r>
              <w:rPr>
                <w:rFonts w:ascii="Calibri"/>
                <w:sz w:val="15"/>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Calibri" w:hAnsi="Calibri" w:cs="Calibri" w:eastAsia="Calibri" w:hint="default"/>
                <w:sz w:val="15"/>
                <w:szCs w:val="15"/>
              </w:rPr>
            </w:pPr>
            <w:r>
              <w:rPr>
                <w:rFonts w:ascii="宋体"/>
                <w:spacing w:val="-1"/>
                <w:sz w:val="15"/>
              </w:rPr>
              <w:t>-</w:t>
            </w:r>
            <w:r>
              <w:rPr>
                <w:rFonts w:ascii="Calibri"/>
                <w:spacing w:val="-1"/>
                <w:sz w:val="15"/>
              </w:rPr>
              <w:t>76,675.98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spacing w:val="-1"/>
                <w:sz w:val="15"/>
              </w:rPr>
              <w:t>943,430,063.63</w:t>
            </w:r>
            <w:r>
              <w:rPr>
                <w:rFonts w:ascii="Calibri"/>
                <w:sz w:val="15"/>
              </w:rPr>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98,755,198.43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Calibri" w:hAnsi="Calibri" w:cs="Calibri" w:eastAsia="Calibri" w:hint="default"/>
                <w:sz w:val="15"/>
                <w:szCs w:val="15"/>
              </w:rPr>
            </w:pPr>
            <w:r>
              <w:rPr>
                <w:rFonts w:ascii="宋体"/>
                <w:spacing w:val="-1"/>
                <w:sz w:val="15"/>
              </w:rPr>
              <w:t>-</w:t>
            </w:r>
            <w:r>
              <w:rPr>
                <w:rFonts w:ascii="Calibri"/>
                <w:spacing w:val="-1"/>
                <w:sz w:val="15"/>
              </w:rPr>
              <w:t>76,675.98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Calibri" w:hAnsi="Calibri" w:cs="Calibri" w:eastAsia="Calibri" w:hint="default"/>
                <w:sz w:val="15"/>
                <w:szCs w:val="15"/>
              </w:rPr>
            </w:pPr>
            <w:r>
              <w:rPr>
                <w:rFonts w:ascii="Calibri"/>
                <w:spacing w:val="-1"/>
                <w:sz w:val="15"/>
              </w:rPr>
              <w:t>98,678,522.45</w:t>
            </w:r>
            <w:r>
              <w:rPr>
                <w:rFonts w:ascii="Calibri"/>
                <w:sz w:val="15"/>
              </w:rPr>
            </w:r>
          </w:p>
        </w:tc>
      </w:tr>
      <w:tr>
        <w:trPr>
          <w:trHeight w:val="47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所有者投入和减少</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spacing w:val="-1"/>
                <w:sz w:val="15"/>
              </w:rPr>
              <w:t>176,305,222.00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97" w:right="0"/>
              <w:jc w:val="left"/>
              <w:rPr>
                <w:rFonts w:ascii="Calibri" w:hAnsi="Calibri" w:cs="Calibri" w:eastAsia="Calibri" w:hint="default"/>
                <w:sz w:val="15"/>
                <w:szCs w:val="15"/>
              </w:rPr>
            </w:pPr>
            <w:r>
              <w:rPr>
                <w:rFonts w:ascii="Calibri"/>
                <w:sz w:val="15"/>
              </w:rPr>
              <w:t>687,158,178.34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Calibri" w:hAnsi="Calibri" w:cs="Calibri" w:eastAsia="Calibri" w:hint="default"/>
                <w:sz w:val="15"/>
                <w:szCs w:val="15"/>
              </w:rPr>
            </w:pPr>
            <w:r>
              <w:rPr>
                <w:rFonts w:ascii="Calibri"/>
                <w:spacing w:val="-1"/>
                <w:sz w:val="15"/>
              </w:rPr>
              <w:t>863,463,400.34</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Calibri" w:hAnsi="Calibri" w:cs="Calibri" w:eastAsia="Calibri" w:hint="default"/>
                <w:sz w:val="15"/>
                <w:szCs w:val="15"/>
              </w:rPr>
            </w:pPr>
            <w:r>
              <w:rPr>
                <w:rFonts w:ascii="Calibri"/>
                <w:spacing w:val="-1"/>
                <w:sz w:val="15"/>
              </w:rPr>
              <w:t>176,305,222.00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7" w:right="0"/>
              <w:jc w:val="left"/>
              <w:rPr>
                <w:rFonts w:ascii="Calibri" w:hAnsi="Calibri" w:cs="Calibri" w:eastAsia="Calibri" w:hint="default"/>
                <w:sz w:val="15"/>
                <w:szCs w:val="15"/>
              </w:rPr>
            </w:pPr>
            <w:r>
              <w:rPr>
                <w:rFonts w:ascii="Calibri"/>
                <w:sz w:val="15"/>
              </w:rPr>
              <w:t>687,158,178.34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Calibri" w:hAnsi="Calibri" w:cs="Calibri" w:eastAsia="Calibri" w:hint="default"/>
                <w:sz w:val="15"/>
                <w:szCs w:val="15"/>
              </w:rPr>
            </w:pPr>
            <w:r>
              <w:rPr>
                <w:rFonts w:ascii="Calibri"/>
                <w:spacing w:val="-1"/>
                <w:sz w:val="15"/>
              </w:rPr>
              <w:t>863,463,400.34</w:t>
            </w:r>
          </w:p>
        </w:tc>
      </w:tr>
      <w:tr>
        <w:trPr>
          <w:trHeight w:val="47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其他权益工具持有者</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w:t>
            </w:r>
            <w:r>
              <w:rPr>
                <w:rFonts w:ascii="宋体" w:hAnsi="宋体" w:cs="宋体" w:eastAsia="宋体" w:hint="default"/>
                <w:sz w:val="18"/>
                <w:szCs w:val="18"/>
              </w:rPr>
              <w:t>股份支付计入所有者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9,875,519.84</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Calibri" w:hAnsi="Calibri" w:cs="Calibri" w:eastAsia="Calibri" w:hint="default"/>
                <w:sz w:val="15"/>
                <w:szCs w:val="15"/>
              </w:rPr>
            </w:pPr>
            <w:r>
              <w:rPr>
                <w:rFonts w:ascii="宋体"/>
                <w:spacing w:val="-2"/>
                <w:sz w:val="15"/>
              </w:rPr>
              <w:t>-</w:t>
            </w:r>
            <w:r>
              <w:rPr>
                <w:rFonts w:ascii="Calibri"/>
                <w:spacing w:val="-2"/>
                <w:sz w:val="15"/>
              </w:rPr>
              <w:t>28,587,379.00</w:t>
            </w:r>
            <w:r>
              <w:rPr>
                <w:rFonts w:ascii="Calibri"/>
                <w:sz w:val="15"/>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Calibri" w:hAnsi="Calibri" w:cs="Calibri" w:eastAsia="Calibri" w:hint="default"/>
                <w:sz w:val="15"/>
                <w:szCs w:val="15"/>
              </w:rPr>
            </w:pPr>
            <w:r>
              <w:rPr>
                <w:rFonts w:ascii="宋体"/>
                <w:spacing w:val="-1"/>
                <w:sz w:val="15"/>
              </w:rPr>
              <w:t>-</w:t>
            </w:r>
            <w:r>
              <w:rPr>
                <w:rFonts w:ascii="Calibri"/>
                <w:spacing w:val="-1"/>
                <w:sz w:val="15"/>
              </w:rPr>
              <w:t>18,711,859.16</w:t>
            </w: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9,875,519.84</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alibri" w:hAnsi="Calibri" w:cs="Calibri" w:eastAsia="Calibri" w:hint="default"/>
                <w:sz w:val="15"/>
                <w:szCs w:val="15"/>
              </w:rPr>
            </w:pPr>
            <w:r>
              <w:rPr>
                <w:rFonts w:ascii="宋体"/>
                <w:spacing w:val="-1"/>
                <w:sz w:val="15"/>
              </w:rPr>
              <w:t>-</w:t>
            </w:r>
            <w:r>
              <w:rPr>
                <w:rFonts w:ascii="Calibri"/>
                <w:spacing w:val="-1"/>
                <w:sz w:val="15"/>
              </w:rPr>
              <w:t>9,875,519.84</w:t>
            </w: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．对所有者</w:t>
            </w:r>
            <w:r>
              <w:rPr>
                <w:rFonts w:ascii="宋体" w:hAnsi="宋体" w:cs="宋体" w:eastAsia="宋体" w:hint="default"/>
                <w:spacing w:val="8"/>
                <w:sz w:val="18"/>
                <w:szCs w:val="18"/>
              </w:rPr>
              <w:t>(</w:t>
            </w:r>
            <w:r>
              <w:rPr>
                <w:rFonts w:ascii="宋体" w:hAnsi="宋体" w:cs="宋体" w:eastAsia="宋体" w:hint="default"/>
                <w:spacing w:val="8"/>
                <w:sz w:val="18"/>
                <w:szCs w:val="18"/>
              </w:rPr>
              <w:t>或股东</w:t>
            </w:r>
            <w:r>
              <w:rPr>
                <w:rFonts w:ascii="宋体" w:hAnsi="宋体" w:cs="宋体" w:eastAsia="宋体" w:hint="default"/>
                <w:spacing w:val="8"/>
                <w:sz w:val="18"/>
                <w:szCs w:val="18"/>
              </w:rPr>
              <w:t>)</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Calibri" w:hAnsi="Calibri" w:cs="Calibri" w:eastAsia="Calibri" w:hint="default"/>
                <w:sz w:val="15"/>
                <w:szCs w:val="15"/>
              </w:rPr>
            </w:pPr>
            <w:r>
              <w:rPr>
                <w:rFonts w:ascii="宋体"/>
                <w:spacing w:val="-1"/>
                <w:sz w:val="15"/>
              </w:rPr>
              <w:t>-</w:t>
            </w:r>
            <w:r>
              <w:rPr>
                <w:rFonts w:ascii="Calibri"/>
                <w:spacing w:val="-1"/>
                <w:sz w:val="15"/>
              </w:rPr>
              <w:t>18,711,859.16</w:t>
            </w: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Calibri" w:hAnsi="Calibri" w:cs="Calibri" w:eastAsia="Calibri" w:hint="default"/>
                <w:sz w:val="15"/>
                <w:szCs w:val="15"/>
              </w:rPr>
            </w:pPr>
            <w:r>
              <w:rPr>
                <w:rFonts w:ascii="宋体"/>
                <w:spacing w:val="-1"/>
                <w:sz w:val="15"/>
              </w:rPr>
              <w:t>-</w:t>
            </w:r>
            <w:r>
              <w:rPr>
                <w:rFonts w:ascii="Calibri"/>
                <w:spacing w:val="-1"/>
                <w:sz w:val="15"/>
              </w:rPr>
              <w:t>18,711,859.16</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所有者权益内部结</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6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858"/>
        <w:gridCol w:w="1121"/>
        <w:gridCol w:w="1275"/>
        <w:gridCol w:w="427"/>
        <w:gridCol w:w="426"/>
        <w:gridCol w:w="1032"/>
        <w:gridCol w:w="474"/>
        <w:gridCol w:w="1091"/>
        <w:gridCol w:w="955"/>
        <w:gridCol w:w="1266"/>
      </w:tblGrid>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4" w:right="0"/>
              <w:jc w:val="left"/>
              <w:rPr>
                <w:rFonts w:ascii="Calibri" w:hAnsi="Calibri" w:cs="Calibri" w:eastAsia="Calibri" w:hint="default"/>
                <w:sz w:val="15"/>
                <w:szCs w:val="15"/>
              </w:rPr>
            </w:pPr>
            <w:r>
              <w:rPr>
                <w:rFonts w:ascii="Calibri"/>
                <w:sz w:val="15"/>
              </w:rPr>
              <w:t>621,826,786.00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2" w:right="0"/>
              <w:jc w:val="left"/>
              <w:rPr>
                <w:rFonts w:ascii="Calibri" w:hAnsi="Calibri" w:cs="Calibri" w:eastAsia="Calibri" w:hint="default"/>
                <w:sz w:val="15"/>
                <w:szCs w:val="15"/>
              </w:rPr>
            </w:pPr>
            <w:r>
              <w:rPr>
                <w:rFonts w:ascii="Calibri"/>
                <w:sz w:val="15"/>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8" w:right="0"/>
              <w:jc w:val="left"/>
              <w:rPr>
                <w:rFonts w:ascii="Calibri" w:hAnsi="Calibri" w:cs="Calibri" w:eastAsia="Calibri" w:hint="default"/>
                <w:sz w:val="15"/>
                <w:szCs w:val="15"/>
              </w:rPr>
            </w:pPr>
            <w:r>
              <w:rPr>
                <w:rFonts w:ascii="Calibri"/>
                <w:sz w:val="15"/>
              </w:rPr>
              <w:t>48,351,946.52</w:t>
            </w:r>
          </w:p>
        </w:tc>
        <w:tc>
          <w:tcPr>
            <w:tcW w:w="4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left"/>
              <w:rPr>
                <w:rFonts w:ascii="Calibri" w:hAnsi="Calibri" w:cs="Calibri" w:eastAsia="Calibri" w:hint="default"/>
                <w:sz w:val="15"/>
                <w:szCs w:val="15"/>
              </w:rPr>
            </w:pPr>
            <w:r>
              <w:rPr>
                <w:rFonts w:ascii="Calibri"/>
                <w:sz w:val="15"/>
              </w:rPr>
              <w:t>331,973,909.93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6" w:right="0"/>
              <w:jc w:val="left"/>
              <w:rPr>
                <w:rFonts w:ascii="Calibri" w:hAnsi="Calibri" w:cs="Calibri" w:eastAsia="Calibri" w:hint="default"/>
                <w:sz w:val="15"/>
                <w:szCs w:val="15"/>
              </w:rPr>
            </w:pPr>
            <w:r>
              <w:rPr>
                <w:rFonts w:ascii="Calibri"/>
                <w:sz w:val="15"/>
              </w:rPr>
              <w:t>4,536,386.01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1" w:right="0"/>
              <w:jc w:val="left"/>
              <w:rPr>
                <w:rFonts w:ascii="Calibri" w:hAnsi="Calibri" w:cs="Calibri" w:eastAsia="Calibri" w:hint="default"/>
                <w:sz w:val="15"/>
                <w:szCs w:val="15"/>
              </w:rPr>
            </w:pPr>
            <w:r>
              <w:rPr>
                <w:rFonts w:ascii="Calibri"/>
                <w:sz w:val="15"/>
              </w:rPr>
              <w:t>2,111,307,036.08</w:t>
            </w:r>
          </w:p>
        </w:tc>
      </w:tr>
    </w:tbl>
    <w:p>
      <w:pPr>
        <w:spacing w:line="240" w:lineRule="auto" w:before="1"/>
        <w:rPr>
          <w:rFonts w:ascii="宋体" w:hAnsi="宋体" w:cs="宋体" w:eastAsia="宋体" w:hint="default"/>
          <w:sz w:val="8"/>
          <w:szCs w:val="8"/>
        </w:rPr>
      </w:pPr>
    </w:p>
    <w:p>
      <w:pPr>
        <w:pStyle w:val="BodyText"/>
        <w:tabs>
          <w:tab w:pos="7647" w:val="left" w:leader="none"/>
        </w:tabs>
        <w:spacing w:line="240" w:lineRule="auto" w:before="35"/>
        <w:ind w:right="418"/>
        <w:jc w:val="left"/>
      </w:pPr>
      <w:r>
        <w:rPr/>
        <w:t>上期金额</w:t>
        <w:tab/>
        <w:t>金额单位：人民币元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45"/>
        <w:gridCol w:w="1134"/>
        <w:gridCol w:w="1276"/>
        <w:gridCol w:w="426"/>
        <w:gridCol w:w="425"/>
        <w:gridCol w:w="1031"/>
        <w:gridCol w:w="476"/>
        <w:gridCol w:w="1106"/>
        <w:gridCol w:w="966"/>
        <w:gridCol w:w="1241"/>
      </w:tblGrid>
      <w:tr>
        <w:trPr>
          <w:trHeight w:val="322"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1845" w:type="dxa"/>
            <w:vMerge/>
            <w:tcBorders>
              <w:left w:val="single" w:sz="4" w:space="0" w:color="000000"/>
              <w:right w:val="single" w:sz="4" w:space="0" w:color="000000"/>
            </w:tcBorders>
          </w:tcPr>
          <w:p>
            <w:pPr/>
          </w:p>
        </w:tc>
        <w:tc>
          <w:tcPr>
            <w:tcW w:w="58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6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316" w:lineRule="auto"/>
              <w:ind w:left="207" w:right="20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316" w:lineRule="auto"/>
              <w:ind w:left="344" w:right="25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865" w:hRule="exact"/>
        </w:trPr>
        <w:tc>
          <w:tcPr>
            <w:tcW w:w="184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27"/>
              <w:ind w:left="65" w:right="-21" w:hanging="45"/>
              <w:jc w:val="left"/>
              <w:rPr>
                <w:rFonts w:ascii="宋体" w:hAnsi="宋体" w:cs="宋体" w:eastAsia="宋体" w:hint="default"/>
                <w:sz w:val="18"/>
                <w:szCs w:val="18"/>
              </w:rPr>
            </w:pPr>
            <w:r>
              <w:rPr>
                <w:rFonts w:ascii="宋体" w:hAnsi="宋体" w:cs="宋体" w:eastAsia="宋体" w:hint="default"/>
                <w:spacing w:val="-44"/>
                <w:sz w:val="18"/>
                <w:szCs w:val="18"/>
              </w:rPr>
              <w:t>减：库</w:t>
            </w:r>
            <w:r>
              <w:rPr>
                <w:rFonts w:ascii="宋体" w:hAnsi="宋体" w:cs="宋体" w:eastAsia="宋体" w:hint="default"/>
                <w:sz w:val="18"/>
                <w:szCs w:val="18"/>
              </w:rPr>
              <w:t> </w:t>
            </w:r>
            <w:r>
              <w:rPr>
                <w:rFonts w:ascii="宋体" w:hAnsi="宋体" w:cs="宋体" w:eastAsia="宋体" w:hint="default"/>
                <w:spacing w:val="-41"/>
                <w:sz w:val="18"/>
                <w:szCs w:val="18"/>
              </w:rPr>
              <w:t>存股</w:t>
            </w:r>
            <w:r>
              <w:rPr>
                <w:rFonts w:ascii="宋体" w:hAnsi="宋体" w:cs="宋体" w:eastAsia="宋体" w:hint="default"/>
                <w:sz w:val="18"/>
                <w:szCs w:val="18"/>
              </w:rPr>
            </w:r>
          </w:p>
        </w:tc>
        <w:tc>
          <w:tcPr>
            <w:tcW w:w="425"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127"/>
              <w:ind w:left="18"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52" w:right="5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66"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445,521,564.00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5" w:right="0"/>
              <w:jc w:val="left"/>
              <w:rPr>
                <w:rFonts w:ascii="Calibri" w:hAnsi="Calibri" w:cs="Calibri" w:eastAsia="Calibri" w:hint="default"/>
                <w:sz w:val="15"/>
                <w:szCs w:val="15"/>
              </w:rPr>
            </w:pPr>
            <w:r>
              <w:rPr>
                <w:rFonts w:ascii="Calibri"/>
                <w:sz w:val="15"/>
              </w:rPr>
              <w:t>417,459,829.28</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Calibri" w:hAnsi="Calibri" w:cs="Calibri" w:eastAsia="Calibri" w:hint="default"/>
                <w:sz w:val="15"/>
                <w:szCs w:val="15"/>
              </w:rPr>
            </w:pPr>
            <w:r>
              <w:rPr>
                <w:rFonts w:ascii="Calibri"/>
                <w:spacing w:val="-1"/>
                <w:sz w:val="15"/>
              </w:rPr>
              <w:t>29,186,050.93</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189,330,659.61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Calibri" w:hAnsi="Calibri" w:cs="Calibri" w:eastAsia="Calibri" w:hint="default"/>
                <w:sz w:val="15"/>
                <w:szCs w:val="15"/>
              </w:rPr>
            </w:pPr>
            <w:r>
              <w:rPr>
                <w:rFonts w:ascii="Calibri"/>
                <w:spacing w:val="-1"/>
                <w:sz w:val="15"/>
              </w:rPr>
              <w:t>4,751,678.03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5"/>
                <w:szCs w:val="15"/>
              </w:rPr>
            </w:pPr>
            <w:r>
              <w:rPr>
                <w:rFonts w:ascii="Calibri"/>
                <w:spacing w:val="-1"/>
                <w:sz w:val="15"/>
              </w:rPr>
              <w:t>1,086,249,781.85</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445,521,564.00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5" w:right="0"/>
              <w:jc w:val="left"/>
              <w:rPr>
                <w:rFonts w:ascii="Calibri" w:hAnsi="Calibri" w:cs="Calibri" w:eastAsia="Calibri" w:hint="default"/>
                <w:sz w:val="15"/>
                <w:szCs w:val="15"/>
              </w:rPr>
            </w:pPr>
            <w:r>
              <w:rPr>
                <w:rFonts w:ascii="Calibri"/>
                <w:sz w:val="15"/>
              </w:rPr>
              <w:t>417,459,829.28</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Calibri" w:hAnsi="Calibri" w:cs="Calibri" w:eastAsia="Calibri" w:hint="default"/>
                <w:sz w:val="15"/>
                <w:szCs w:val="15"/>
              </w:rPr>
            </w:pPr>
            <w:r>
              <w:rPr>
                <w:rFonts w:ascii="Calibri"/>
                <w:spacing w:val="-1"/>
                <w:sz w:val="15"/>
              </w:rPr>
              <w:t>29,186,050.93</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189,330,659.61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Calibri" w:hAnsi="Calibri" w:cs="Calibri" w:eastAsia="Calibri" w:hint="default"/>
                <w:sz w:val="15"/>
                <w:szCs w:val="15"/>
              </w:rPr>
            </w:pPr>
            <w:r>
              <w:rPr>
                <w:rFonts w:ascii="Calibri"/>
                <w:spacing w:val="-1"/>
                <w:sz w:val="15"/>
              </w:rPr>
              <w:t>4,751,678.03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1,086,249,781.85</w:t>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减少以“－”号填列</w:t>
            </w:r>
            <w:r>
              <w:rPr>
                <w:rFonts w:ascii="宋体" w:hAnsi="宋体" w:cs="宋体" w:eastAsia="宋体" w:hint="default"/>
                <w:spacing w:val="-15"/>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9,290,375.75</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spacing w:val="-1"/>
                <w:sz w:val="15"/>
              </w:rPr>
              <w:t>72,475,430.89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Calibri" w:hAnsi="Calibri" w:cs="Calibri" w:eastAsia="Calibri" w:hint="default"/>
                <w:sz w:val="15"/>
                <w:szCs w:val="15"/>
              </w:rPr>
            </w:pPr>
            <w:r>
              <w:rPr>
                <w:rFonts w:ascii="宋体"/>
                <w:spacing w:val="-1"/>
                <w:sz w:val="15"/>
              </w:rPr>
              <w:t>-</w:t>
            </w:r>
            <w:r>
              <w:rPr>
                <w:rFonts w:ascii="Calibri"/>
                <w:spacing w:val="-1"/>
                <w:sz w:val="15"/>
              </w:rPr>
              <w:t>138,616.04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Calibri" w:hAnsi="Calibri" w:cs="Calibri" w:eastAsia="Calibri" w:hint="default"/>
                <w:sz w:val="15"/>
                <w:szCs w:val="15"/>
              </w:rPr>
            </w:pPr>
            <w:r>
              <w:rPr>
                <w:rFonts w:ascii="Calibri"/>
                <w:spacing w:val="-1"/>
                <w:sz w:val="15"/>
              </w:rPr>
              <w:t>81,627,190.60</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Calibri" w:hAnsi="Calibri" w:cs="Calibri" w:eastAsia="Calibri" w:hint="default"/>
                <w:sz w:val="15"/>
                <w:szCs w:val="15"/>
              </w:rPr>
            </w:pPr>
            <w:r>
              <w:rPr>
                <w:rFonts w:ascii="Calibri"/>
                <w:spacing w:val="-1"/>
                <w:sz w:val="15"/>
              </w:rPr>
              <w:t>92,903,757.45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Calibri" w:hAnsi="Calibri" w:cs="Calibri" w:eastAsia="Calibri" w:hint="default"/>
                <w:sz w:val="15"/>
                <w:szCs w:val="15"/>
              </w:rPr>
            </w:pPr>
            <w:r>
              <w:rPr>
                <w:rFonts w:ascii="宋体"/>
                <w:spacing w:val="-1"/>
                <w:sz w:val="15"/>
              </w:rPr>
              <w:t>-</w:t>
            </w:r>
            <w:r>
              <w:rPr>
                <w:rFonts w:ascii="Calibri"/>
                <w:spacing w:val="-1"/>
                <w:sz w:val="15"/>
              </w:rPr>
              <w:t>138,616.04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Calibri" w:hAnsi="Calibri" w:cs="Calibri" w:eastAsia="Calibri" w:hint="default"/>
                <w:sz w:val="15"/>
                <w:szCs w:val="15"/>
              </w:rPr>
            </w:pPr>
            <w:r>
              <w:rPr>
                <w:rFonts w:ascii="Calibri"/>
                <w:spacing w:val="-1"/>
                <w:sz w:val="15"/>
              </w:rPr>
              <w:t>92,765,141.41</w:t>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r>
              <w:rPr>
                <w:rFonts w:ascii="宋体" w:hAnsi="宋体" w:cs="宋体" w:eastAsia="宋体" w:hint="default"/>
                <w:spacing w:val="-70"/>
                <w:sz w:val="18"/>
                <w:szCs w:val="18"/>
              </w:rPr>
              <w:t> </w:t>
            </w:r>
            <w:r>
              <w:rPr>
                <w:rFonts w:ascii="宋体" w:hAnsi="宋体" w:cs="宋体" w:eastAsia="宋体" w:hint="default"/>
                <w:spacing w:val="15"/>
                <w:sz w:val="18"/>
                <w:szCs w:val="18"/>
              </w:rPr>
              <w:t>所有者投入和减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．其他权益工具持有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．股份支付计入所有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Calibri" w:hAnsi="Calibri" w:cs="Calibri" w:eastAsia="Calibri" w:hint="default"/>
                <w:sz w:val="15"/>
                <w:szCs w:val="15"/>
              </w:rPr>
            </w:pPr>
            <w:r>
              <w:rPr>
                <w:rFonts w:ascii="Calibri"/>
                <w:spacing w:val="-1"/>
                <w:sz w:val="15"/>
              </w:rPr>
              <w:t>9,290,375.75</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Calibri" w:hAnsi="Calibri" w:cs="Calibri" w:eastAsia="Calibri" w:hint="default"/>
                <w:sz w:val="15"/>
                <w:szCs w:val="15"/>
              </w:rPr>
            </w:pPr>
            <w:r>
              <w:rPr>
                <w:rFonts w:ascii="宋体"/>
                <w:spacing w:val="-1"/>
                <w:sz w:val="15"/>
              </w:rPr>
              <w:t>-</w:t>
            </w:r>
            <w:r>
              <w:rPr>
                <w:rFonts w:ascii="Calibri"/>
                <w:spacing w:val="-1"/>
                <w:sz w:val="15"/>
              </w:rPr>
              <w:t>20,428,326.56</w:t>
            </w: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Calibri" w:hAnsi="Calibri" w:cs="Calibri" w:eastAsia="Calibri" w:hint="default"/>
                <w:sz w:val="15"/>
                <w:szCs w:val="15"/>
              </w:rPr>
            </w:pPr>
            <w:r>
              <w:rPr>
                <w:rFonts w:ascii="宋体"/>
                <w:spacing w:val="-1"/>
                <w:sz w:val="15"/>
              </w:rPr>
              <w:t>-</w:t>
            </w:r>
            <w:r>
              <w:rPr>
                <w:rFonts w:ascii="Calibri"/>
                <w:spacing w:val="-1"/>
                <w:sz w:val="15"/>
              </w:rPr>
              <w:t>11,137,950.81</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Calibri" w:hAnsi="Calibri" w:cs="Calibri" w:eastAsia="Calibri" w:hint="default"/>
                <w:sz w:val="15"/>
                <w:szCs w:val="15"/>
              </w:rPr>
            </w:pPr>
            <w:r>
              <w:rPr>
                <w:rFonts w:ascii="Calibri"/>
                <w:spacing w:val="-1"/>
                <w:sz w:val="15"/>
              </w:rPr>
              <w:t>9,290,375.75</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Calibri" w:hAnsi="Calibri" w:cs="Calibri" w:eastAsia="Calibri" w:hint="default"/>
                <w:sz w:val="15"/>
                <w:szCs w:val="15"/>
              </w:rPr>
            </w:pPr>
            <w:r>
              <w:rPr>
                <w:rFonts w:ascii="宋体"/>
                <w:spacing w:val="-1"/>
                <w:sz w:val="15"/>
              </w:rPr>
              <w:t>-</w:t>
            </w:r>
            <w:r>
              <w:rPr>
                <w:rFonts w:ascii="Calibri"/>
                <w:spacing w:val="-1"/>
                <w:sz w:val="15"/>
              </w:rPr>
              <w:t>9,290,375.75</w:t>
            </w: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w:t>
            </w:r>
            <w:r>
              <w:rPr>
                <w:rFonts w:ascii="宋体" w:hAnsi="宋体" w:cs="宋体" w:eastAsia="宋体" w:hint="default"/>
                <w:spacing w:val="6"/>
                <w:sz w:val="18"/>
                <w:szCs w:val="18"/>
              </w:rPr>
              <w:t>(</w:t>
            </w:r>
            <w:r>
              <w:rPr>
                <w:rFonts w:ascii="宋体" w:hAnsi="宋体" w:cs="宋体" w:eastAsia="宋体" w:hint="default"/>
                <w:spacing w:val="6"/>
                <w:sz w:val="18"/>
                <w:szCs w:val="18"/>
              </w:rPr>
              <w:t>或股东</w:t>
            </w:r>
            <w:r>
              <w:rPr>
                <w:rFonts w:ascii="宋体" w:hAnsi="宋体" w:cs="宋体" w:eastAsia="宋体" w:hint="default"/>
                <w:spacing w:val="6"/>
                <w:sz w:val="18"/>
                <w:szCs w:val="18"/>
              </w:rPr>
              <w:t>)</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Calibri" w:hAnsi="Calibri" w:cs="Calibri" w:eastAsia="Calibri" w:hint="default"/>
                <w:sz w:val="15"/>
                <w:szCs w:val="15"/>
              </w:rPr>
            </w:pPr>
            <w:r>
              <w:rPr>
                <w:rFonts w:ascii="宋体"/>
                <w:spacing w:val="-1"/>
                <w:sz w:val="15"/>
              </w:rPr>
              <w:t>-</w:t>
            </w:r>
            <w:r>
              <w:rPr>
                <w:rFonts w:ascii="Calibri"/>
                <w:spacing w:val="-1"/>
                <w:sz w:val="15"/>
              </w:rPr>
              <w:t>11,137,950.81</w:t>
            </w: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Calibri" w:hAnsi="Calibri" w:cs="Calibri" w:eastAsia="Calibri" w:hint="default"/>
                <w:sz w:val="15"/>
                <w:szCs w:val="15"/>
              </w:rPr>
            </w:pPr>
            <w:r>
              <w:rPr>
                <w:rFonts w:ascii="宋体"/>
                <w:spacing w:val="-1"/>
                <w:sz w:val="15"/>
              </w:rPr>
              <w:t>-</w:t>
            </w:r>
            <w:r>
              <w:rPr>
                <w:rFonts w:ascii="Calibri"/>
                <w:spacing w:val="-1"/>
                <w:sz w:val="15"/>
              </w:rPr>
              <w:t>11,137,950.81</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9"/>
                <w:sz w:val="18"/>
                <w:szCs w:val="18"/>
              </w:rPr>
              <w:t>四</w:t>
            </w:r>
            <w:r>
              <w:rPr>
                <w:rFonts w:ascii="宋体" w:hAnsi="宋体" w:cs="宋体" w:eastAsia="宋体" w:hint="default"/>
                <w:spacing w:val="9"/>
                <w:sz w:val="18"/>
                <w:szCs w:val="18"/>
              </w:rPr>
              <w:t>)</w:t>
            </w:r>
            <w:r>
              <w:rPr>
                <w:rFonts w:ascii="宋体" w:hAnsi="宋体" w:cs="宋体" w:eastAsia="宋体" w:hint="default"/>
                <w:spacing w:val="-70"/>
                <w:sz w:val="18"/>
                <w:szCs w:val="18"/>
              </w:rPr>
              <w:t> </w:t>
            </w:r>
            <w:r>
              <w:rPr>
                <w:rFonts w:ascii="宋体" w:hAnsi="宋体" w:cs="宋体" w:eastAsia="宋体" w:hint="default"/>
                <w:spacing w:val="15"/>
                <w:sz w:val="18"/>
                <w:szCs w:val="18"/>
              </w:rPr>
              <w:t>所有者权益内部</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．资本公积转增资本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4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845"/>
        <w:gridCol w:w="1134"/>
        <w:gridCol w:w="1276"/>
        <w:gridCol w:w="426"/>
        <w:gridCol w:w="425"/>
        <w:gridCol w:w="1031"/>
        <w:gridCol w:w="476"/>
        <w:gridCol w:w="1106"/>
        <w:gridCol w:w="966"/>
        <w:gridCol w:w="1241"/>
      </w:tblGrid>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2" w:right="0"/>
              <w:jc w:val="left"/>
              <w:rPr>
                <w:rFonts w:ascii="Calibri" w:hAnsi="Calibri" w:cs="Calibri" w:eastAsia="Calibri" w:hint="default"/>
                <w:sz w:val="15"/>
                <w:szCs w:val="15"/>
              </w:rPr>
            </w:pPr>
            <w:r>
              <w:rPr>
                <w:rFonts w:ascii="Calibri"/>
                <w:sz w:val="15"/>
              </w:rPr>
              <w:t>445,521,564.00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5" w:right="0"/>
              <w:jc w:val="left"/>
              <w:rPr>
                <w:rFonts w:ascii="Calibri" w:hAnsi="Calibri" w:cs="Calibri" w:eastAsia="Calibri" w:hint="default"/>
                <w:sz w:val="15"/>
                <w:szCs w:val="15"/>
              </w:rPr>
            </w:pPr>
            <w:r>
              <w:rPr>
                <w:rFonts w:ascii="Calibri"/>
                <w:sz w:val="15"/>
              </w:rPr>
              <w:t>417,459,829.28</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1" w:right="0"/>
              <w:jc w:val="left"/>
              <w:rPr>
                <w:rFonts w:ascii="Calibri" w:hAnsi="Calibri" w:cs="Calibri" w:eastAsia="Calibri" w:hint="default"/>
                <w:sz w:val="15"/>
                <w:szCs w:val="15"/>
              </w:rPr>
            </w:pPr>
            <w:r>
              <w:rPr>
                <w:rFonts w:ascii="Calibri"/>
                <w:sz w:val="15"/>
              </w:rPr>
              <w:t>38,476,426.68</w:t>
            </w:r>
          </w:p>
        </w:tc>
        <w:tc>
          <w:tcPr>
            <w:tcW w:w="47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3" w:right="0"/>
              <w:jc w:val="left"/>
              <w:rPr>
                <w:rFonts w:ascii="Calibri" w:hAnsi="Calibri" w:cs="Calibri" w:eastAsia="Calibri" w:hint="default"/>
                <w:sz w:val="15"/>
                <w:szCs w:val="15"/>
              </w:rPr>
            </w:pPr>
            <w:r>
              <w:rPr>
                <w:rFonts w:ascii="Calibri"/>
                <w:sz w:val="15"/>
              </w:rPr>
              <w:t>261,806,090.50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5" w:right="0"/>
              <w:jc w:val="left"/>
              <w:rPr>
                <w:rFonts w:ascii="Calibri" w:hAnsi="Calibri" w:cs="Calibri" w:eastAsia="Calibri" w:hint="default"/>
                <w:sz w:val="15"/>
                <w:szCs w:val="15"/>
              </w:rPr>
            </w:pPr>
            <w:r>
              <w:rPr>
                <w:rFonts w:ascii="Calibri"/>
                <w:sz w:val="15"/>
              </w:rPr>
              <w:t>4,613,061.99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7" w:right="0"/>
              <w:jc w:val="left"/>
              <w:rPr>
                <w:rFonts w:ascii="Calibri" w:hAnsi="Calibri" w:cs="Calibri" w:eastAsia="Calibri" w:hint="default"/>
                <w:sz w:val="15"/>
                <w:szCs w:val="15"/>
              </w:rPr>
            </w:pPr>
            <w:r>
              <w:rPr>
                <w:rFonts w:ascii="Calibri"/>
                <w:sz w:val="15"/>
              </w:rPr>
              <w:t>1,167,876,972.45</w:t>
            </w:r>
          </w:p>
        </w:tc>
      </w:tr>
    </w:tbl>
    <w:p>
      <w:pPr>
        <w:spacing w:line="240" w:lineRule="auto" w:before="5"/>
        <w:rPr>
          <w:rFonts w:ascii="宋体" w:hAnsi="宋体" w:cs="宋体" w:eastAsia="宋体" w:hint="default"/>
          <w:sz w:val="9"/>
          <w:szCs w:val="9"/>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11"/>
        <w:rPr>
          <w:rFonts w:ascii="宋体" w:hAnsi="宋体" w:cs="宋体" w:eastAsia="宋体" w:hint="default"/>
          <w:sz w:val="12"/>
          <w:szCs w:val="12"/>
        </w:rPr>
      </w:pPr>
    </w:p>
    <w:p>
      <w:pPr>
        <w:spacing w:line="470" w:lineRule="atLeast" w:before="0"/>
        <w:ind w:left="404" w:right="6637"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z w:val="21"/>
          <w:szCs w:val="21"/>
          <w:u w:val="single" w:color="000000"/>
        </w:rPr>
        <w:t>母公司所有者权益变动表</w:t>
      </w:r>
      <w:r>
        <w:rPr>
          <w:rFonts w:ascii="宋体" w:hAnsi="宋体" w:cs="宋体" w:eastAsia="宋体" w:hint="default"/>
          <w:b/>
          <w:bCs/>
          <w:sz w:val="21"/>
          <w:szCs w:val="21"/>
        </w:rPr>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 编制单位：茂业物流股份有限公司</w:t>
      </w:r>
    </w:p>
    <w:p>
      <w:pPr>
        <w:pStyle w:val="BodyText"/>
        <w:tabs>
          <w:tab w:pos="7647" w:val="left" w:leader="none"/>
        </w:tabs>
        <w:spacing w:line="240" w:lineRule="auto" w:before="37"/>
        <w:ind w:right="418"/>
        <w:jc w:val="left"/>
      </w:pPr>
      <w:r>
        <w:rPr/>
        <w:t>本期金额</w:t>
        <w:tab/>
        <w:t>金额单位：人民币元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12"/>
        <w:gridCol w:w="1416"/>
        <w:gridCol w:w="1419"/>
        <w:gridCol w:w="512"/>
        <w:gridCol w:w="517"/>
        <w:gridCol w:w="475"/>
        <w:gridCol w:w="533"/>
        <w:gridCol w:w="1223"/>
        <w:gridCol w:w="1417"/>
      </w:tblGrid>
      <w:tr>
        <w:trPr>
          <w:trHeight w:val="407"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1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814" w:hRule="exact"/>
        </w:trPr>
        <w:tc>
          <w:tcPr>
            <w:tcW w:w="2412"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0"/>
              <w:ind w:left="70" w:right="22" w:hanging="48"/>
              <w:jc w:val="left"/>
              <w:rPr>
                <w:rFonts w:ascii="宋体" w:hAnsi="宋体" w:cs="宋体" w:eastAsia="宋体" w:hint="default"/>
                <w:sz w:val="18"/>
                <w:szCs w:val="18"/>
              </w:rPr>
            </w:pPr>
            <w:r>
              <w:rPr>
                <w:rFonts w:ascii="宋体" w:hAnsi="宋体" w:cs="宋体" w:eastAsia="宋体" w:hint="default"/>
                <w:spacing w:val="-29"/>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73" w:right="7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0"/>
              <w:ind w:left="51" w:right="5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0"/>
              <w:ind w:left="80" w:right="8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445,521,564.00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1" w:right="0"/>
              <w:jc w:val="left"/>
              <w:rPr>
                <w:rFonts w:ascii="Calibri" w:hAnsi="Calibri" w:cs="Calibri" w:eastAsia="Calibri" w:hint="default"/>
                <w:sz w:val="16"/>
                <w:szCs w:val="16"/>
              </w:rPr>
            </w:pPr>
            <w:r>
              <w:rPr>
                <w:rFonts w:ascii="Calibri"/>
                <w:sz w:val="16"/>
              </w:rPr>
              <w:t>455,578,073.38</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Calibri" w:hAnsi="Calibri" w:cs="Calibri" w:eastAsia="Calibri" w:hint="default"/>
                <w:sz w:val="16"/>
                <w:szCs w:val="16"/>
              </w:rPr>
            </w:pPr>
            <w:r>
              <w:rPr>
                <w:rFonts w:ascii="宋体"/>
                <w:spacing w:val="-1"/>
                <w:sz w:val="16"/>
              </w:rPr>
              <w:t>-</w:t>
            </w:r>
            <w:r>
              <w:rPr>
                <w:rFonts w:ascii="Calibri"/>
                <w:spacing w:val="-1"/>
                <w:sz w:val="16"/>
              </w:rPr>
              <w:t>16,884,751.18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884,214,886.20</w:t>
            </w:r>
          </w:p>
        </w:tc>
      </w:tr>
      <w:tr>
        <w:trPr>
          <w:trHeight w:val="36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445,521,564.00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1" w:right="0"/>
              <w:jc w:val="left"/>
              <w:rPr>
                <w:rFonts w:ascii="Calibri" w:hAnsi="Calibri" w:cs="Calibri" w:eastAsia="Calibri" w:hint="default"/>
                <w:sz w:val="16"/>
                <w:szCs w:val="16"/>
              </w:rPr>
            </w:pPr>
            <w:r>
              <w:rPr>
                <w:rFonts w:ascii="Calibri"/>
                <w:sz w:val="16"/>
              </w:rPr>
              <w:t>455,578,073.38</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Calibri" w:hAnsi="Calibri" w:cs="Calibri" w:eastAsia="Calibri" w:hint="default"/>
                <w:sz w:val="16"/>
                <w:szCs w:val="16"/>
              </w:rPr>
            </w:pPr>
            <w:r>
              <w:rPr>
                <w:rFonts w:ascii="宋体"/>
                <w:spacing w:val="-1"/>
                <w:sz w:val="16"/>
              </w:rPr>
              <w:t>-</w:t>
            </w:r>
            <w:r>
              <w:rPr>
                <w:rFonts w:ascii="Calibri"/>
                <w:spacing w:val="-1"/>
                <w:sz w:val="16"/>
              </w:rPr>
              <w:t>16,884,751.18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884,214,886.20</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5"/>
                <w:sz w:val="18"/>
                <w:szCs w:val="18"/>
              </w:rPr>
              <w:t>、</w:t>
            </w:r>
            <w:r>
              <w:rPr>
                <w:rFonts w:ascii="宋体" w:hAnsi="宋体" w:cs="宋体" w:eastAsia="宋体" w:hint="default"/>
                <w:sz w:val="18"/>
                <w:szCs w:val="18"/>
              </w:rPr>
              <w:t>本期增减</w:t>
            </w:r>
            <w:r>
              <w:rPr>
                <w:rFonts w:ascii="宋体" w:hAnsi="宋体" w:cs="宋体" w:eastAsia="宋体" w:hint="default"/>
                <w:spacing w:val="-2"/>
                <w:sz w:val="18"/>
                <w:szCs w:val="18"/>
              </w:rPr>
              <w:t>变</w:t>
            </w:r>
            <w:r>
              <w:rPr>
                <w:rFonts w:ascii="宋体" w:hAnsi="宋体" w:cs="宋体" w:eastAsia="宋体" w:hint="default"/>
                <w:sz w:val="18"/>
                <w:szCs w:val="18"/>
              </w:rPr>
              <w:t>动金额</w:t>
            </w:r>
            <w:r>
              <w:rPr>
                <w:rFonts w:ascii="宋体" w:hAnsi="宋体" w:cs="宋体" w:eastAsia="宋体" w:hint="default"/>
                <w:sz w:val="18"/>
                <w:szCs w:val="18"/>
              </w:rPr>
              <w:t>(</w:t>
            </w:r>
            <w:r>
              <w:rPr>
                <w:rFonts w:ascii="宋体" w:hAnsi="宋体" w:cs="宋体" w:eastAsia="宋体" w:hint="default"/>
                <w:sz w:val="18"/>
                <w:szCs w:val="18"/>
              </w:rPr>
              <w:t>减少以</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Calibri" w:hAnsi="Calibri" w:cs="Calibri" w:eastAsia="Calibri" w:hint="default"/>
                <w:sz w:val="16"/>
                <w:szCs w:val="16"/>
              </w:rPr>
            </w:pPr>
            <w:r>
              <w:rPr>
                <w:rFonts w:ascii="Calibri"/>
                <w:spacing w:val="-1"/>
                <w:sz w:val="16"/>
              </w:rPr>
              <w:t>176,305,222.00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78" w:right="0"/>
              <w:jc w:val="left"/>
              <w:rPr>
                <w:rFonts w:ascii="Calibri" w:hAnsi="Calibri" w:cs="Calibri" w:eastAsia="Calibri" w:hint="default"/>
                <w:sz w:val="16"/>
                <w:szCs w:val="16"/>
              </w:rPr>
            </w:pPr>
            <w:r>
              <w:rPr>
                <w:rFonts w:ascii="Calibri"/>
                <w:sz w:val="16"/>
              </w:rPr>
              <w:t>687,158,178.34</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Calibri" w:hAnsi="Calibri" w:cs="Calibri" w:eastAsia="Calibri" w:hint="default"/>
                <w:sz w:val="16"/>
                <w:szCs w:val="16"/>
              </w:rPr>
            </w:pPr>
            <w:r>
              <w:rPr>
                <w:rFonts w:ascii="Calibri"/>
                <w:spacing w:val="-1"/>
                <w:sz w:val="16"/>
              </w:rPr>
              <w:t>55,985,733.93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Calibri" w:hAnsi="Calibri" w:cs="Calibri" w:eastAsia="Calibri" w:hint="default"/>
                <w:sz w:val="16"/>
                <w:szCs w:val="16"/>
              </w:rPr>
            </w:pPr>
            <w:r>
              <w:rPr>
                <w:rFonts w:ascii="Calibri"/>
                <w:spacing w:val="-1"/>
                <w:sz w:val="16"/>
              </w:rPr>
              <w:t>919,449,134.27</w:t>
            </w:r>
          </w:p>
        </w:tc>
      </w:tr>
      <w:tr>
        <w:trPr>
          <w:trHeight w:val="37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Calibri" w:hAnsi="Calibri" w:cs="Calibri" w:eastAsia="Calibri" w:hint="default"/>
                <w:sz w:val="16"/>
                <w:szCs w:val="16"/>
              </w:rPr>
            </w:pPr>
            <w:r>
              <w:rPr>
                <w:rFonts w:ascii="Calibri"/>
                <w:spacing w:val="-1"/>
                <w:sz w:val="16"/>
              </w:rPr>
              <w:t>74,697,593.09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Calibri" w:hAnsi="Calibri" w:cs="Calibri" w:eastAsia="Calibri" w:hint="default"/>
                <w:sz w:val="16"/>
                <w:szCs w:val="16"/>
              </w:rPr>
            </w:pPr>
            <w:r>
              <w:rPr>
                <w:rFonts w:ascii="Calibri"/>
                <w:spacing w:val="-1"/>
                <w:sz w:val="16"/>
              </w:rPr>
              <w:t>74,697,593.09</w:t>
            </w:r>
          </w:p>
        </w:tc>
      </w:tr>
      <w:tr>
        <w:trPr>
          <w:trHeight w:val="4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176,305,222.00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8" w:right="0"/>
              <w:jc w:val="left"/>
              <w:rPr>
                <w:rFonts w:ascii="Calibri" w:hAnsi="Calibri" w:cs="Calibri" w:eastAsia="Calibri" w:hint="default"/>
                <w:sz w:val="16"/>
                <w:szCs w:val="16"/>
              </w:rPr>
            </w:pPr>
            <w:r>
              <w:rPr>
                <w:rFonts w:ascii="Calibri"/>
                <w:sz w:val="16"/>
              </w:rPr>
              <w:t>687,158,178.34</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863,463,400.34</w:t>
            </w:r>
          </w:p>
        </w:tc>
      </w:tr>
      <w:tr>
        <w:trPr>
          <w:trHeight w:val="4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176,305,222.00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8" w:right="0"/>
              <w:jc w:val="left"/>
              <w:rPr>
                <w:rFonts w:ascii="Calibri" w:hAnsi="Calibri" w:cs="Calibri" w:eastAsia="Calibri" w:hint="default"/>
                <w:sz w:val="16"/>
                <w:szCs w:val="16"/>
              </w:rPr>
            </w:pPr>
            <w:r>
              <w:rPr>
                <w:rFonts w:ascii="Calibri"/>
                <w:sz w:val="16"/>
              </w:rPr>
              <w:t>687,158,178.34</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Calibri" w:hAnsi="Calibri" w:cs="Calibri" w:eastAsia="Calibri" w:hint="default"/>
                <w:sz w:val="16"/>
                <w:szCs w:val="16"/>
              </w:rPr>
            </w:pPr>
            <w:r>
              <w:rPr>
                <w:rFonts w:ascii="Calibri"/>
                <w:spacing w:val="-1"/>
                <w:sz w:val="16"/>
              </w:rPr>
              <w:t>863,463,400.34</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其他权益</w:t>
            </w:r>
            <w:r>
              <w:rPr>
                <w:rFonts w:ascii="宋体" w:hAnsi="宋体" w:cs="宋体" w:eastAsia="宋体" w:hint="default"/>
                <w:spacing w:val="-2"/>
                <w:sz w:val="18"/>
                <w:szCs w:val="18"/>
              </w:rPr>
              <w:t>工</w:t>
            </w:r>
            <w:r>
              <w:rPr>
                <w:rFonts w:ascii="宋体" w:hAnsi="宋体" w:cs="宋体" w:eastAsia="宋体" w:hint="default"/>
                <w:sz w:val="18"/>
                <w:szCs w:val="18"/>
              </w:rPr>
              <w:t>具持有者投入资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股份支付</w:t>
            </w:r>
            <w:r>
              <w:rPr>
                <w:rFonts w:ascii="宋体" w:hAnsi="宋体" w:cs="宋体" w:eastAsia="宋体" w:hint="default"/>
                <w:spacing w:val="-2"/>
                <w:sz w:val="18"/>
                <w:szCs w:val="18"/>
              </w:rPr>
              <w:t>计</w:t>
            </w:r>
            <w:r>
              <w:rPr>
                <w:rFonts w:ascii="宋体" w:hAnsi="宋体" w:cs="宋体" w:eastAsia="宋体" w:hint="default"/>
                <w:sz w:val="18"/>
                <w:szCs w:val="18"/>
              </w:rPr>
              <w:t>入所有者权益的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Calibri" w:hAnsi="Calibri" w:cs="Calibri" w:eastAsia="Calibri" w:hint="default"/>
                <w:sz w:val="16"/>
                <w:szCs w:val="16"/>
              </w:rPr>
            </w:pPr>
            <w:r>
              <w:rPr>
                <w:rFonts w:ascii="宋体"/>
                <w:spacing w:val="-1"/>
                <w:sz w:val="16"/>
              </w:rPr>
              <w:t>-</w:t>
            </w:r>
            <w:r>
              <w:rPr>
                <w:rFonts w:ascii="Calibri"/>
                <w:spacing w:val="-1"/>
                <w:sz w:val="16"/>
              </w:rPr>
              <w:t>18,711,859.16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Calibri" w:hAnsi="Calibri" w:cs="Calibri" w:eastAsia="Calibri" w:hint="default"/>
                <w:sz w:val="16"/>
                <w:szCs w:val="16"/>
              </w:rPr>
            </w:pPr>
            <w:r>
              <w:rPr>
                <w:rFonts w:ascii="宋体"/>
                <w:spacing w:val="-1"/>
                <w:sz w:val="16"/>
              </w:rPr>
              <w:t>-</w:t>
            </w:r>
            <w:r>
              <w:rPr>
                <w:rFonts w:ascii="Calibri"/>
                <w:spacing w:val="-1"/>
                <w:sz w:val="16"/>
              </w:rPr>
              <w:t>18,711,859.16</w:t>
            </w: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Calibri" w:hAnsi="Calibri" w:cs="Calibri" w:eastAsia="Calibri" w:hint="default"/>
                <w:sz w:val="16"/>
                <w:szCs w:val="16"/>
              </w:rPr>
            </w:pPr>
            <w:r>
              <w:rPr>
                <w:rFonts w:ascii="宋体"/>
                <w:spacing w:val="-1"/>
                <w:sz w:val="16"/>
              </w:rPr>
              <w:t>-</w:t>
            </w:r>
            <w:r>
              <w:rPr>
                <w:rFonts w:ascii="Calibri"/>
                <w:spacing w:val="-1"/>
                <w:sz w:val="16"/>
              </w:rPr>
              <w:t>18,711,859.16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Calibri" w:hAnsi="Calibri" w:cs="Calibri" w:eastAsia="Calibri" w:hint="default"/>
                <w:sz w:val="16"/>
                <w:szCs w:val="16"/>
              </w:rPr>
            </w:pPr>
            <w:r>
              <w:rPr>
                <w:rFonts w:ascii="宋体"/>
                <w:spacing w:val="-1"/>
                <w:sz w:val="16"/>
              </w:rPr>
              <w:t>-</w:t>
            </w:r>
            <w:r>
              <w:rPr>
                <w:rFonts w:ascii="Calibri"/>
                <w:spacing w:val="-1"/>
                <w:sz w:val="16"/>
              </w:rPr>
              <w:t>18,711,859.16</w:t>
            </w:r>
          </w:p>
        </w:tc>
      </w:tr>
      <w:tr>
        <w:trPr>
          <w:trHeight w:val="36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资本公积</w:t>
            </w:r>
            <w:r>
              <w:rPr>
                <w:rFonts w:ascii="宋体" w:hAnsi="宋体" w:cs="宋体" w:eastAsia="宋体" w:hint="default"/>
                <w:spacing w:val="-2"/>
                <w:sz w:val="18"/>
                <w:szCs w:val="18"/>
              </w:rPr>
              <w:t>转</w:t>
            </w:r>
            <w:r>
              <w:rPr>
                <w:rFonts w:ascii="宋体" w:hAnsi="宋体" w:cs="宋体" w:eastAsia="宋体" w:hint="default"/>
                <w:sz w:val="18"/>
                <w:szCs w:val="18"/>
              </w:rPr>
              <w:t>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盈余公积</w:t>
            </w:r>
            <w:r>
              <w:rPr>
                <w:rFonts w:ascii="宋体" w:hAnsi="宋体" w:cs="宋体" w:eastAsia="宋体" w:hint="default"/>
                <w:spacing w:val="-2"/>
                <w:sz w:val="18"/>
                <w:szCs w:val="18"/>
              </w:rPr>
              <w:t>转</w:t>
            </w:r>
            <w:r>
              <w:rPr>
                <w:rFonts w:ascii="宋体" w:hAnsi="宋体" w:cs="宋体" w:eastAsia="宋体" w:hint="default"/>
                <w:sz w:val="18"/>
                <w:szCs w:val="18"/>
              </w:rPr>
              <w:t>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412"/>
        <w:gridCol w:w="1416"/>
        <w:gridCol w:w="1419"/>
        <w:gridCol w:w="512"/>
        <w:gridCol w:w="517"/>
        <w:gridCol w:w="475"/>
        <w:gridCol w:w="533"/>
        <w:gridCol w:w="1223"/>
        <w:gridCol w:w="1417"/>
      </w:tblGrid>
      <w:tr>
        <w:trPr>
          <w:trHeight w:val="40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4" w:right="0"/>
              <w:jc w:val="left"/>
              <w:rPr>
                <w:rFonts w:ascii="Calibri" w:hAnsi="Calibri" w:cs="Calibri" w:eastAsia="Calibri" w:hint="default"/>
                <w:sz w:val="16"/>
                <w:szCs w:val="16"/>
              </w:rPr>
            </w:pPr>
            <w:r>
              <w:rPr>
                <w:rFonts w:ascii="Calibri"/>
                <w:sz w:val="16"/>
              </w:rPr>
              <w:t>621,826,786.00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7" w:right="0"/>
              <w:jc w:val="left"/>
              <w:rPr>
                <w:rFonts w:ascii="Calibri" w:hAnsi="Calibri" w:cs="Calibri" w:eastAsia="Calibri" w:hint="default"/>
                <w:sz w:val="16"/>
                <w:szCs w:val="16"/>
              </w:rPr>
            </w:pPr>
            <w:r>
              <w:rPr>
                <w:rFonts w:ascii="Calibri"/>
                <w:sz w:val="16"/>
              </w:rPr>
              <w:t>1,142,736,251.72</w:t>
            </w:r>
          </w:p>
        </w:tc>
        <w:tc>
          <w:tcPr>
            <w:tcW w:w="512" w:type="dxa"/>
            <w:tcBorders>
              <w:top w:val="single" w:sz="4" w:space="0" w:color="000000"/>
              <w:left w:val="single" w:sz="4" w:space="0" w:color="000000"/>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9" w:right="0"/>
              <w:jc w:val="left"/>
              <w:rPr>
                <w:rFonts w:ascii="Calibri" w:hAnsi="Calibri" w:cs="Calibri" w:eastAsia="Calibri" w:hint="default"/>
                <w:sz w:val="16"/>
                <w:szCs w:val="16"/>
              </w:rPr>
            </w:pPr>
            <w:r>
              <w:rPr>
                <w:rFonts w:ascii="Calibri"/>
                <w:sz w:val="16"/>
              </w:rPr>
              <w:t>39,100,982.75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5" w:right="0"/>
              <w:jc w:val="left"/>
              <w:rPr>
                <w:rFonts w:ascii="Calibri" w:hAnsi="Calibri" w:cs="Calibri" w:eastAsia="Calibri" w:hint="default"/>
                <w:sz w:val="16"/>
                <w:szCs w:val="16"/>
              </w:rPr>
            </w:pPr>
            <w:r>
              <w:rPr>
                <w:rFonts w:ascii="Calibri"/>
                <w:sz w:val="16"/>
              </w:rPr>
              <w:t>1,803,664,020.47</w:t>
            </w:r>
          </w:p>
        </w:tc>
      </w:tr>
    </w:tbl>
    <w:p>
      <w:pPr>
        <w:spacing w:line="240" w:lineRule="auto" w:before="1"/>
        <w:rPr>
          <w:rFonts w:ascii="宋体" w:hAnsi="宋体" w:cs="宋体" w:eastAsia="宋体" w:hint="default"/>
          <w:sz w:val="8"/>
          <w:szCs w:val="8"/>
        </w:rPr>
      </w:pPr>
    </w:p>
    <w:p>
      <w:pPr>
        <w:pStyle w:val="BodyText"/>
        <w:tabs>
          <w:tab w:pos="7647" w:val="left" w:leader="none"/>
        </w:tabs>
        <w:spacing w:line="240" w:lineRule="auto" w:before="35"/>
        <w:ind w:right="418"/>
        <w:jc w:val="left"/>
      </w:pPr>
      <w:r>
        <w:rPr/>
        <w:t>上期金额</w:t>
        <w:tab/>
        <w:t>金额单位：人民币元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12"/>
        <w:gridCol w:w="1416"/>
        <w:gridCol w:w="1419"/>
        <w:gridCol w:w="512"/>
        <w:gridCol w:w="530"/>
        <w:gridCol w:w="476"/>
        <w:gridCol w:w="532"/>
        <w:gridCol w:w="1210"/>
        <w:gridCol w:w="1417"/>
      </w:tblGrid>
      <w:tr>
        <w:trPr>
          <w:trHeight w:val="396"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1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795" w:hRule="exact"/>
        </w:trPr>
        <w:tc>
          <w:tcPr>
            <w:tcW w:w="2412"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70" w:right="22" w:hanging="48"/>
              <w:jc w:val="left"/>
              <w:rPr>
                <w:rFonts w:ascii="宋体" w:hAnsi="宋体" w:cs="宋体" w:eastAsia="宋体" w:hint="default"/>
                <w:sz w:val="18"/>
                <w:szCs w:val="18"/>
              </w:rPr>
            </w:pPr>
            <w:r>
              <w:rPr>
                <w:rFonts w:ascii="宋体" w:hAnsi="宋体" w:cs="宋体" w:eastAsia="宋体" w:hint="default"/>
                <w:spacing w:val="-29"/>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
              <w:ind w:left="80" w:right="7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52" w:right="5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80" w:right="8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6"/>
                <w:szCs w:val="16"/>
              </w:rPr>
            </w:pPr>
            <w:r>
              <w:rPr>
                <w:rFonts w:ascii="Calibri"/>
                <w:spacing w:val="-1"/>
                <w:sz w:val="16"/>
              </w:rPr>
              <w:t>445,521,564.00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1" w:right="0"/>
              <w:jc w:val="left"/>
              <w:rPr>
                <w:rFonts w:ascii="Calibri" w:hAnsi="Calibri" w:cs="Calibri" w:eastAsia="Calibri" w:hint="default"/>
                <w:sz w:val="16"/>
                <w:szCs w:val="16"/>
              </w:rPr>
            </w:pPr>
            <w:r>
              <w:rPr>
                <w:rFonts w:ascii="Calibri"/>
                <w:sz w:val="16"/>
              </w:rPr>
              <w:t>455,578,073.38</w:t>
            </w: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6"/>
                <w:szCs w:val="16"/>
              </w:rPr>
            </w:pPr>
            <w:r>
              <w:rPr>
                <w:rFonts w:ascii="宋体"/>
                <w:spacing w:val="-1"/>
                <w:sz w:val="16"/>
              </w:rPr>
              <w:t>-</w:t>
            </w:r>
            <w:r>
              <w:rPr>
                <w:rFonts w:ascii="Calibri"/>
                <w:spacing w:val="-1"/>
                <w:sz w:val="16"/>
              </w:rPr>
              <w:t>75,398,409.34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6"/>
                <w:szCs w:val="16"/>
              </w:rPr>
            </w:pPr>
            <w:r>
              <w:rPr>
                <w:rFonts w:ascii="Calibri"/>
                <w:spacing w:val="-1"/>
                <w:sz w:val="16"/>
              </w:rPr>
              <w:t>825,701,228.04</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Calibri" w:hAnsi="Calibri" w:cs="Calibri" w:eastAsia="Calibri" w:hint="default"/>
                <w:sz w:val="16"/>
                <w:szCs w:val="16"/>
              </w:rPr>
            </w:pPr>
            <w:r>
              <w:rPr>
                <w:rFonts w:ascii="Calibri"/>
                <w:spacing w:val="-1"/>
                <w:sz w:val="16"/>
              </w:rPr>
              <w:t>445,521,564.00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1" w:right="0"/>
              <w:jc w:val="left"/>
              <w:rPr>
                <w:rFonts w:ascii="Calibri" w:hAnsi="Calibri" w:cs="Calibri" w:eastAsia="Calibri" w:hint="default"/>
                <w:sz w:val="16"/>
                <w:szCs w:val="16"/>
              </w:rPr>
            </w:pPr>
            <w:r>
              <w:rPr>
                <w:rFonts w:ascii="Calibri"/>
                <w:sz w:val="16"/>
              </w:rPr>
              <w:t>455,578,073.38</w:t>
            </w: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Calibri" w:hAnsi="Calibri" w:cs="Calibri" w:eastAsia="Calibri" w:hint="default"/>
                <w:sz w:val="16"/>
                <w:szCs w:val="16"/>
              </w:rPr>
            </w:pPr>
            <w:r>
              <w:rPr>
                <w:rFonts w:ascii="宋体"/>
                <w:spacing w:val="-1"/>
                <w:sz w:val="16"/>
              </w:rPr>
              <w:t>-</w:t>
            </w:r>
            <w:r>
              <w:rPr>
                <w:rFonts w:ascii="Calibri"/>
                <w:spacing w:val="-1"/>
                <w:sz w:val="16"/>
              </w:rPr>
              <w:t>75,398,409.34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Calibri" w:hAnsi="Calibri" w:cs="Calibri" w:eastAsia="Calibri" w:hint="default"/>
                <w:sz w:val="16"/>
                <w:szCs w:val="16"/>
              </w:rPr>
            </w:pPr>
            <w:r>
              <w:rPr>
                <w:rFonts w:ascii="Calibri"/>
                <w:spacing w:val="-1"/>
                <w:sz w:val="16"/>
              </w:rPr>
              <w:t>825,701,228.04</w:t>
            </w:r>
          </w:p>
        </w:tc>
      </w:tr>
      <w:tr>
        <w:trPr>
          <w:trHeight w:val="62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r>
              <w:rPr>
                <w:rFonts w:ascii="宋体" w:hAnsi="宋体" w:cs="宋体" w:eastAsia="宋体" w:hint="default"/>
                <w:spacing w:val="-6"/>
                <w:sz w:val="18"/>
                <w:szCs w:val="18"/>
              </w:rPr>
              <w:t>(</w:t>
            </w:r>
            <w:r>
              <w:rPr>
                <w:rFonts w:ascii="宋体" w:hAnsi="宋体" w:cs="宋体" w:eastAsia="宋体" w:hint="default"/>
                <w:spacing w:val="-6"/>
                <w:sz w:val="18"/>
                <w:szCs w:val="18"/>
              </w:rPr>
              <w:t>减少以</w:t>
            </w:r>
            <w:r>
              <w:rPr>
                <w:rFonts w:ascii="宋体" w:hAnsi="宋体" w:cs="宋体" w:eastAsia="宋体" w:hint="default"/>
                <w:spacing w:val="-83"/>
                <w:sz w:val="18"/>
                <w:szCs w:val="18"/>
              </w:rPr>
              <w:t> </w:t>
            </w:r>
            <w:r>
              <w:rPr>
                <w:rFonts w:ascii="宋体" w:hAnsi="宋体" w:cs="宋体" w:eastAsia="宋体" w:hint="default"/>
                <w:sz w:val="18"/>
                <w:szCs w:val="18"/>
              </w:rPr>
              <w:t>“－”号填列</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16"/>
                <w:szCs w:val="16"/>
              </w:rPr>
            </w:pPr>
            <w:r>
              <w:rPr>
                <w:rFonts w:ascii="Calibri"/>
                <w:spacing w:val="-1"/>
                <w:sz w:val="16"/>
              </w:rPr>
              <w:t>58,513,658.16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16"/>
                <w:szCs w:val="16"/>
              </w:rPr>
            </w:pPr>
            <w:r>
              <w:rPr>
                <w:rFonts w:ascii="Calibri"/>
                <w:spacing w:val="-1"/>
                <w:sz w:val="16"/>
              </w:rPr>
              <w:t>58,513,658.16</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Calibri" w:hAnsi="Calibri" w:cs="Calibri" w:eastAsia="Calibri" w:hint="default"/>
                <w:sz w:val="16"/>
                <w:szCs w:val="16"/>
              </w:rPr>
            </w:pPr>
            <w:r>
              <w:rPr>
                <w:rFonts w:ascii="Calibri"/>
                <w:spacing w:val="-1"/>
                <w:sz w:val="16"/>
              </w:rPr>
              <w:t>69,651,608.97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Calibri" w:hAnsi="Calibri" w:cs="Calibri" w:eastAsia="Calibri" w:hint="default"/>
                <w:sz w:val="16"/>
                <w:szCs w:val="16"/>
              </w:rPr>
            </w:pPr>
            <w:r>
              <w:rPr>
                <w:rFonts w:ascii="Calibri"/>
                <w:spacing w:val="-1"/>
                <w:sz w:val="16"/>
              </w:rPr>
              <w:t>69,651,608.97</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其他权益</w:t>
            </w:r>
            <w:r>
              <w:rPr>
                <w:rFonts w:ascii="宋体" w:hAnsi="宋体" w:cs="宋体" w:eastAsia="宋体" w:hint="default"/>
                <w:spacing w:val="-2"/>
                <w:sz w:val="18"/>
                <w:szCs w:val="18"/>
              </w:rPr>
              <w:t>工</w:t>
            </w:r>
            <w:r>
              <w:rPr>
                <w:rFonts w:ascii="宋体" w:hAnsi="宋体" w:cs="宋体" w:eastAsia="宋体" w:hint="default"/>
                <w:sz w:val="18"/>
                <w:szCs w:val="18"/>
              </w:rPr>
              <w:t>具持有者投入资</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股份支付</w:t>
            </w:r>
            <w:r>
              <w:rPr>
                <w:rFonts w:ascii="宋体" w:hAnsi="宋体" w:cs="宋体" w:eastAsia="宋体" w:hint="default"/>
                <w:spacing w:val="-2"/>
                <w:sz w:val="18"/>
                <w:szCs w:val="18"/>
              </w:rPr>
              <w:t>计</w:t>
            </w:r>
            <w:r>
              <w:rPr>
                <w:rFonts w:ascii="宋体" w:hAnsi="宋体" w:cs="宋体" w:eastAsia="宋体" w:hint="default"/>
                <w:sz w:val="18"/>
                <w:szCs w:val="18"/>
              </w:rPr>
              <w:t>入所有者权益的</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Calibri" w:hAnsi="Calibri" w:cs="Calibri" w:eastAsia="Calibri" w:hint="default"/>
                <w:sz w:val="16"/>
                <w:szCs w:val="16"/>
              </w:rPr>
            </w:pPr>
            <w:r>
              <w:rPr>
                <w:rFonts w:ascii="宋体"/>
                <w:spacing w:val="-1"/>
                <w:sz w:val="16"/>
              </w:rPr>
              <w:t>-</w:t>
            </w:r>
            <w:r>
              <w:rPr>
                <w:rFonts w:ascii="Calibri"/>
                <w:spacing w:val="-1"/>
                <w:sz w:val="16"/>
              </w:rPr>
              <w:t>11,137,950.81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Calibri" w:hAnsi="Calibri" w:cs="Calibri" w:eastAsia="Calibri" w:hint="default"/>
                <w:sz w:val="16"/>
                <w:szCs w:val="16"/>
              </w:rPr>
            </w:pPr>
            <w:r>
              <w:rPr>
                <w:rFonts w:ascii="宋体"/>
                <w:spacing w:val="-1"/>
                <w:sz w:val="16"/>
              </w:rPr>
              <w:t>-</w:t>
            </w:r>
            <w:r>
              <w:rPr>
                <w:rFonts w:ascii="Calibri"/>
                <w:spacing w:val="-1"/>
                <w:sz w:val="16"/>
              </w:rPr>
              <w:t>11,137,950.81</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Calibri" w:hAnsi="Calibri" w:cs="Calibri" w:eastAsia="Calibri" w:hint="default"/>
                <w:sz w:val="16"/>
                <w:szCs w:val="16"/>
              </w:rPr>
            </w:pPr>
            <w:r>
              <w:rPr>
                <w:rFonts w:ascii="宋体"/>
                <w:spacing w:val="-1"/>
                <w:sz w:val="16"/>
              </w:rPr>
              <w:t>-</w:t>
            </w:r>
            <w:r>
              <w:rPr>
                <w:rFonts w:ascii="Calibri"/>
                <w:spacing w:val="-1"/>
                <w:sz w:val="16"/>
              </w:rPr>
              <w:t>11,137,950.81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Calibri" w:hAnsi="Calibri" w:cs="Calibri" w:eastAsia="Calibri" w:hint="default"/>
                <w:sz w:val="16"/>
                <w:szCs w:val="16"/>
              </w:rPr>
            </w:pPr>
            <w:r>
              <w:rPr>
                <w:rFonts w:ascii="宋体"/>
                <w:spacing w:val="-1"/>
                <w:sz w:val="16"/>
              </w:rPr>
              <w:t>-</w:t>
            </w:r>
            <w:r>
              <w:rPr>
                <w:rFonts w:ascii="Calibri"/>
                <w:spacing w:val="-1"/>
                <w:sz w:val="16"/>
              </w:rPr>
              <w:t>11,137,950.81</w:t>
            </w: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资本公积</w:t>
            </w:r>
            <w:r>
              <w:rPr>
                <w:rFonts w:ascii="宋体" w:hAnsi="宋体" w:cs="宋体" w:eastAsia="宋体" w:hint="default"/>
                <w:spacing w:val="-2"/>
                <w:sz w:val="18"/>
                <w:szCs w:val="18"/>
              </w:rPr>
              <w:t>转</w:t>
            </w:r>
            <w:r>
              <w:rPr>
                <w:rFonts w:ascii="宋体" w:hAnsi="宋体" w:cs="宋体" w:eastAsia="宋体" w:hint="default"/>
                <w:sz w:val="18"/>
                <w:szCs w:val="18"/>
              </w:rPr>
              <w:t>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盈余公积</w:t>
            </w:r>
            <w:r>
              <w:rPr>
                <w:rFonts w:ascii="宋体" w:hAnsi="宋体" w:cs="宋体" w:eastAsia="宋体" w:hint="default"/>
                <w:spacing w:val="-2"/>
                <w:sz w:val="18"/>
                <w:szCs w:val="18"/>
              </w:rPr>
              <w:t>转</w:t>
            </w:r>
            <w:r>
              <w:rPr>
                <w:rFonts w:ascii="宋体" w:hAnsi="宋体" w:cs="宋体" w:eastAsia="宋体" w:hint="default"/>
                <w:sz w:val="18"/>
                <w:szCs w:val="18"/>
              </w:rPr>
              <w:t>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Calibri" w:hAnsi="Calibri" w:cs="Calibri" w:eastAsia="Calibri" w:hint="default"/>
                <w:sz w:val="16"/>
                <w:szCs w:val="16"/>
              </w:rPr>
            </w:pPr>
            <w:r>
              <w:rPr>
                <w:rFonts w:ascii="Calibri"/>
                <w:spacing w:val="-1"/>
                <w:sz w:val="16"/>
              </w:rPr>
              <w:t>445,521,564.00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1" w:right="0"/>
              <w:jc w:val="left"/>
              <w:rPr>
                <w:rFonts w:ascii="Calibri" w:hAnsi="Calibri" w:cs="Calibri" w:eastAsia="Calibri" w:hint="default"/>
                <w:sz w:val="16"/>
                <w:szCs w:val="16"/>
              </w:rPr>
            </w:pPr>
            <w:r>
              <w:rPr>
                <w:rFonts w:ascii="Calibri"/>
                <w:sz w:val="16"/>
              </w:rPr>
              <w:t>455,578,073.38</w:t>
            </w:r>
          </w:p>
        </w:tc>
        <w:tc>
          <w:tcPr>
            <w:tcW w:w="5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Calibri" w:hAnsi="Calibri" w:cs="Calibri" w:eastAsia="Calibri" w:hint="default"/>
                <w:sz w:val="16"/>
                <w:szCs w:val="16"/>
              </w:rPr>
            </w:pPr>
            <w:r>
              <w:rPr>
                <w:rFonts w:ascii="宋体"/>
                <w:spacing w:val="-1"/>
                <w:sz w:val="16"/>
              </w:rPr>
              <w:t>-</w:t>
            </w:r>
            <w:r>
              <w:rPr>
                <w:rFonts w:ascii="Calibri"/>
                <w:spacing w:val="-1"/>
                <w:sz w:val="16"/>
              </w:rPr>
              <w:t>16,884,751.18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Calibri" w:hAnsi="Calibri" w:cs="Calibri" w:eastAsia="Calibri" w:hint="default"/>
                <w:sz w:val="16"/>
                <w:szCs w:val="16"/>
              </w:rPr>
            </w:pPr>
            <w:r>
              <w:rPr>
                <w:rFonts w:ascii="Calibri"/>
                <w:spacing w:val="-1"/>
                <w:sz w:val="16"/>
              </w:rPr>
              <w:t>884,214,886.20</w:t>
            </w:r>
          </w:p>
        </w:tc>
      </w:tr>
    </w:tbl>
    <w:p>
      <w:pPr>
        <w:spacing w:line="240" w:lineRule="auto" w:before="3"/>
        <w:rPr>
          <w:rFonts w:ascii="宋体" w:hAnsi="宋体" w:cs="宋体" w:eastAsia="宋体" w:hint="default"/>
          <w:sz w:val="21"/>
          <w:szCs w:val="21"/>
        </w:rPr>
      </w:pPr>
    </w:p>
    <w:p>
      <w:pPr>
        <w:tabs>
          <w:tab w:pos="3558" w:val="left" w:leader="none"/>
          <w:tab w:pos="7705" w:val="left" w:leader="none"/>
        </w:tabs>
        <w:spacing w:before="44"/>
        <w:ind w:left="404" w:right="41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sz w:val="18"/>
          <w:szCs w:val="18"/>
        </w:rPr>
        <w:t>主管会计工作负责人</w:t>
      </w:r>
      <w:r>
        <w:rPr>
          <w:rFonts w:ascii="宋体" w:hAnsi="宋体" w:cs="宋体" w:eastAsia="宋体" w:hint="default"/>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after="0"/>
        <w:jc w:val="left"/>
        <w:rPr>
          <w:rFonts w:ascii="宋体" w:hAnsi="宋体" w:cs="宋体" w:eastAsia="宋体" w:hint="default"/>
          <w:sz w:val="18"/>
          <w:szCs w:val="18"/>
        </w:rPr>
        <w:sectPr>
          <w:footerReference w:type="default" r:id="rId43"/>
          <w:pgSz w:w="11910" w:h="16840"/>
          <w:pgMar w:footer="1219" w:header="883" w:top="1140" w:bottom="1400" w:left="900" w:right="0"/>
        </w:sectPr>
      </w:pPr>
    </w:p>
    <w:p>
      <w:pPr>
        <w:spacing w:line="240" w:lineRule="auto" w:before="13"/>
        <w:rPr>
          <w:rFonts w:ascii="宋体" w:hAnsi="宋体" w:cs="宋体" w:eastAsia="宋体" w:hint="default"/>
          <w:sz w:val="26"/>
          <w:szCs w:val="26"/>
        </w:rPr>
      </w:pPr>
    </w:p>
    <w:p>
      <w:pPr>
        <w:pStyle w:val="Heading2"/>
        <w:spacing w:line="240" w:lineRule="auto"/>
        <w:ind w:right="1066"/>
        <w:jc w:val="left"/>
        <w:rPr>
          <w:b w:val="0"/>
          <w:bCs w:val="0"/>
        </w:rPr>
      </w:pPr>
      <w:r>
        <w:rPr/>
        <w:t>财务报表附注</w:t>
      </w:r>
      <w:r>
        <w:rPr>
          <w:b w:val="0"/>
          <w:bCs w:val="0"/>
        </w:rPr>
      </w:r>
    </w:p>
    <w:p>
      <w:pPr>
        <w:spacing w:line="240" w:lineRule="auto" w:before="11"/>
        <w:rPr>
          <w:rFonts w:ascii="宋体" w:hAnsi="宋体" w:cs="宋体" w:eastAsia="宋体" w:hint="default"/>
          <w:b/>
          <w:bCs/>
          <w:sz w:val="21"/>
          <w:szCs w:val="21"/>
        </w:rPr>
      </w:pPr>
    </w:p>
    <w:p>
      <w:pPr>
        <w:pStyle w:val="BodyText"/>
        <w:spacing w:line="460" w:lineRule="atLeast" w:before="0"/>
        <w:ind w:left="564" w:right="1066" w:firstLine="2"/>
        <w:jc w:val="left"/>
      </w:pPr>
      <w:r>
        <w:rPr>
          <w:rFonts w:ascii="宋体" w:hAnsi="宋体" w:cs="宋体" w:eastAsia="宋体" w:hint="default"/>
          <w:b/>
          <w:bCs/>
        </w:rPr>
        <w:t>一、公司基本情况</w:t>
      </w:r>
      <w:r>
        <w:rPr>
          <w:rFonts w:ascii="宋体" w:hAnsi="宋体" w:cs="宋体" w:eastAsia="宋体" w:hint="default"/>
          <w:b/>
          <w:bCs/>
          <w:w w:val="99"/>
        </w:rPr>
        <w:t> </w:t>
      </w:r>
      <w:r>
        <w:rPr>
          <w:spacing w:val="-13"/>
        </w:rPr>
        <w:t>茂业物流股份有限公司（原“秦皇岛渤海物流控股股份有限公司”、“秦皇岛华联商城股份有限公司”，</w:t>
      </w:r>
    </w:p>
    <w:p>
      <w:pPr>
        <w:pStyle w:val="BodyText"/>
        <w:spacing w:line="273" w:lineRule="auto" w:before="37"/>
        <w:ind w:left="144" w:right="1180"/>
        <w:jc w:val="left"/>
      </w:pPr>
      <w:r>
        <w:rPr>
          <w:spacing w:val="-4"/>
        </w:rPr>
        <w:t>以下简称“本公司”）系经河北省人民政府冀股办（</w:t>
      </w:r>
      <w:r>
        <w:rPr>
          <w:rFonts w:ascii="宋体" w:hAnsi="宋体" w:cs="宋体" w:eastAsia="宋体" w:hint="default"/>
          <w:spacing w:val="-4"/>
        </w:rPr>
        <w:t>1997</w:t>
      </w:r>
      <w:r>
        <w:rPr>
          <w:spacing w:val="-4"/>
        </w:rPr>
        <w:t>）</w:t>
      </w:r>
      <w:r>
        <w:rPr>
          <w:rFonts w:ascii="宋体" w:hAnsi="宋体" w:cs="宋体" w:eastAsia="宋体" w:hint="default"/>
          <w:spacing w:val="-4"/>
        </w:rPr>
        <w:t>18</w:t>
      </w:r>
      <w:r>
        <w:rPr>
          <w:rFonts w:ascii="宋体" w:hAnsi="宋体" w:cs="宋体" w:eastAsia="宋体" w:hint="default"/>
          <w:spacing w:val="-15"/>
        </w:rPr>
        <w:t> </w:t>
      </w:r>
      <w:r>
        <w:rPr>
          <w:spacing w:val="-1"/>
        </w:rPr>
        <w:t>号批复批准，由秦皇岛华联商厦股份有限</w:t>
      </w:r>
      <w:r>
        <w:rPr>
          <w:spacing w:val="-101"/>
        </w:rPr>
        <w:t> </w:t>
      </w:r>
      <w:r>
        <w:rPr>
          <w:spacing w:val="-101"/>
        </w:rPr>
      </w:r>
      <w:r>
        <w:rPr/>
        <w:t>公司和秦皇岛商城股份有限公司合并设立。</w:t>
      </w:r>
    </w:p>
    <w:p>
      <w:pPr>
        <w:pStyle w:val="BodyText"/>
        <w:spacing w:line="240" w:lineRule="auto" w:before="101"/>
        <w:ind w:left="564" w:right="1066"/>
        <w:jc w:val="left"/>
      </w:pPr>
      <w:r>
        <w:rPr>
          <w:spacing w:val="-3"/>
        </w:rPr>
        <w:t>经中国证券监督管理委员会证监发字（</w:t>
      </w:r>
      <w:r>
        <w:rPr>
          <w:rFonts w:ascii="宋体" w:hAnsi="宋体" w:cs="宋体" w:eastAsia="宋体" w:hint="default"/>
          <w:spacing w:val="-3"/>
        </w:rPr>
        <w:t>1997</w:t>
      </w:r>
      <w:r>
        <w:rPr>
          <w:spacing w:val="-3"/>
        </w:rPr>
        <w:t>）</w:t>
      </w:r>
      <w:r>
        <w:rPr>
          <w:rFonts w:ascii="宋体" w:hAnsi="宋体" w:cs="宋体" w:eastAsia="宋体" w:hint="default"/>
          <w:spacing w:val="-3"/>
        </w:rPr>
        <w:t>477</w:t>
      </w:r>
      <w:r>
        <w:rPr>
          <w:rFonts w:ascii="宋体" w:hAnsi="宋体" w:cs="宋体" w:eastAsia="宋体" w:hint="default"/>
          <w:spacing w:val="-50"/>
        </w:rPr>
        <w:t> </w:t>
      </w:r>
      <w:r>
        <w:rPr>
          <w:spacing w:val="-4"/>
        </w:rPr>
        <w:t>号批复批准，本公司于</w:t>
      </w:r>
      <w:r>
        <w:rPr>
          <w:spacing w:val="-50"/>
        </w:rPr>
        <w:t> </w:t>
      </w:r>
      <w:r>
        <w:rPr>
          <w:rFonts w:ascii="宋体" w:hAnsi="宋体" w:cs="宋体" w:eastAsia="宋体" w:hint="default"/>
        </w:rPr>
        <w:t>1997</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0"/>
        </w:rPr>
        <w:t> </w:t>
      </w:r>
      <w:r>
        <w:rPr/>
        <w:t>日在深圳</w:t>
      </w:r>
    </w:p>
    <w:p>
      <w:pPr>
        <w:pStyle w:val="BodyText"/>
        <w:spacing w:line="240" w:lineRule="auto" w:before="36"/>
        <w:ind w:left="144" w:right="1066"/>
        <w:jc w:val="left"/>
      </w:pPr>
      <w:r>
        <w:rPr/>
        <w:t>证券交易所上网发行人民币普通股</w:t>
      </w:r>
      <w:r>
        <w:rPr>
          <w:spacing w:val="-64"/>
        </w:rPr>
        <w:t> </w:t>
      </w:r>
      <w:r>
        <w:rPr>
          <w:rFonts w:ascii="宋体" w:hAnsi="宋体" w:cs="宋体" w:eastAsia="宋体" w:hint="default"/>
        </w:rPr>
        <w:t>3000</w:t>
      </w:r>
      <w:r>
        <w:rPr>
          <w:rFonts w:ascii="宋体" w:hAnsi="宋体" w:cs="宋体" w:eastAsia="宋体" w:hint="default"/>
          <w:spacing w:val="-64"/>
        </w:rPr>
        <w:t> </w:t>
      </w:r>
      <w:r>
        <w:rPr/>
        <w:t>万股，发行后股本</w:t>
      </w:r>
      <w:r>
        <w:rPr>
          <w:spacing w:val="-64"/>
        </w:rPr>
        <w:t> </w:t>
      </w:r>
      <w:r>
        <w:rPr>
          <w:rFonts w:ascii="宋体" w:hAnsi="宋体" w:cs="宋体" w:eastAsia="宋体" w:hint="default"/>
        </w:rPr>
        <w:t>11,005</w:t>
      </w:r>
      <w:r>
        <w:rPr>
          <w:rFonts w:ascii="宋体" w:hAnsi="宋体" w:cs="宋体" w:eastAsia="宋体" w:hint="default"/>
          <w:spacing w:val="-64"/>
        </w:rPr>
        <w:t> </w:t>
      </w:r>
      <w:r>
        <w:rPr/>
        <w:t>万股。后经送股、转增和配股，本公</w:t>
      </w:r>
    </w:p>
    <w:p>
      <w:pPr>
        <w:pStyle w:val="BodyText"/>
        <w:spacing w:line="273" w:lineRule="auto" w:before="37"/>
        <w:ind w:left="144" w:right="1187"/>
        <w:jc w:val="both"/>
      </w:pPr>
      <w:r>
        <w:rPr/>
        <w:t>司总股本增至</w:t>
      </w:r>
      <w:r>
        <w:rPr>
          <w:spacing w:val="-50"/>
        </w:rPr>
        <w:t> </w:t>
      </w:r>
      <w:r>
        <w:rPr>
          <w:rFonts w:ascii="宋体" w:hAnsi="宋体" w:cs="宋体" w:eastAsia="宋体" w:hint="default"/>
        </w:rPr>
        <w:t>338,707,568.00</w:t>
      </w:r>
      <w:r>
        <w:rPr>
          <w:rFonts w:ascii="宋体" w:hAnsi="宋体" w:cs="宋体" w:eastAsia="宋体" w:hint="default"/>
          <w:spacing w:val="-51"/>
        </w:rPr>
        <w:t> </w:t>
      </w:r>
      <w:r>
        <w:rPr>
          <w:spacing w:val="-6"/>
        </w:rPr>
        <w:t>元。</w:t>
      </w:r>
      <w:r>
        <w:rPr>
          <w:rFonts w:ascii="宋体" w:hAnsi="宋体" w:cs="宋体" w:eastAsia="宋体" w:hint="default"/>
          <w:spacing w:val="-6"/>
        </w:rPr>
        <w:t>2012</w:t>
      </w:r>
      <w:r>
        <w:rPr>
          <w:rFonts w:ascii="宋体" w:hAnsi="宋体" w:cs="宋体" w:eastAsia="宋体" w:hint="default"/>
          <w:spacing w:val="-50"/>
        </w:rPr>
        <w:t> </w:t>
      </w:r>
      <w:r>
        <w:rPr/>
        <w:t>年</w:t>
      </w:r>
      <w:r>
        <w:rPr>
          <w:spacing w:val="-51"/>
        </w:rPr>
        <w:t> </w:t>
      </w:r>
      <w:r>
        <w:rPr>
          <w:rFonts w:ascii="宋体" w:hAnsi="宋体" w:cs="宋体" w:eastAsia="宋体" w:hint="default"/>
        </w:rPr>
        <w:t>10</w:t>
      </w:r>
      <w:r>
        <w:rPr>
          <w:rFonts w:ascii="宋体" w:hAnsi="宋体" w:cs="宋体" w:eastAsia="宋体" w:hint="default"/>
          <w:spacing w:val="-50"/>
        </w:rPr>
        <w:t> </w:t>
      </w:r>
      <w:r>
        <w:rPr>
          <w:spacing w:val="-3"/>
        </w:rPr>
        <w:t>月，根据与第一大股东中兆投资管理有限公司签订的《非</w:t>
      </w:r>
      <w:r>
        <w:rPr/>
        <w:t> </w:t>
      </w:r>
      <w:r>
        <w:rPr>
          <w:spacing w:val="8"/>
        </w:rPr>
        <w:t>公开发行股份购买资产协议》以及《非公开发行股份购买资产之补偿协议》，公司向中兆投资增发</w:t>
      </w:r>
      <w:r>
        <w:rPr>
          <w:spacing w:val="-99"/>
        </w:rPr>
        <w:t> </w:t>
      </w:r>
      <w:r>
        <w:rPr>
          <w:spacing w:val="-99"/>
        </w:rPr>
      </w:r>
      <w:r>
        <w:rPr>
          <w:rFonts w:ascii="宋体" w:hAnsi="宋体" w:cs="宋体" w:eastAsia="宋体" w:hint="default"/>
        </w:rPr>
        <w:t>106,813,996</w:t>
      </w:r>
      <w:r>
        <w:rPr>
          <w:rFonts w:ascii="宋体" w:hAnsi="宋体" w:cs="宋体" w:eastAsia="宋体" w:hint="default"/>
          <w:spacing w:val="-58"/>
        </w:rPr>
        <w:t> </w:t>
      </w:r>
      <w:r>
        <w:rPr/>
        <w:t>股，本公司总股本增加至</w:t>
      </w:r>
      <w:r>
        <w:rPr>
          <w:spacing w:val="-58"/>
        </w:rPr>
        <w:t> </w:t>
      </w:r>
      <w:r>
        <w:rPr>
          <w:rFonts w:ascii="宋体" w:hAnsi="宋体" w:cs="宋体" w:eastAsia="宋体" w:hint="default"/>
        </w:rPr>
        <w:t>445,521,564.00</w:t>
      </w:r>
      <w:r>
        <w:rPr>
          <w:rFonts w:ascii="宋体" w:hAnsi="宋体" w:cs="宋体" w:eastAsia="宋体" w:hint="default"/>
          <w:spacing w:val="-57"/>
        </w:rPr>
        <w:t> </w:t>
      </w:r>
      <w:r>
        <w:rPr>
          <w:spacing w:val="-3"/>
        </w:rPr>
        <w:t>元。</w:t>
      </w:r>
      <w:r>
        <w:rPr>
          <w:rFonts w:ascii="宋体" w:hAnsi="宋体" w:cs="宋体" w:eastAsia="宋体" w:hint="default"/>
          <w:spacing w:val="-3"/>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月，根据本公司股东大会决议及 </w:t>
      </w:r>
      <w:r>
        <w:rPr>
          <w:spacing w:val="-3"/>
        </w:rPr>
        <w:t>中国证券监督管理委员会证监许可【</w:t>
      </w:r>
      <w:r>
        <w:rPr>
          <w:rFonts w:ascii="宋体" w:hAnsi="宋体" w:cs="宋体" w:eastAsia="宋体" w:hint="default"/>
          <w:spacing w:val="-3"/>
        </w:rPr>
        <w:t>2014</w:t>
      </w:r>
      <w:r>
        <w:rPr>
          <w:spacing w:val="-3"/>
        </w:rPr>
        <w:t>】</w:t>
      </w:r>
      <w:r>
        <w:rPr>
          <w:rFonts w:ascii="宋体" w:hAnsi="宋体" w:cs="宋体" w:eastAsia="宋体" w:hint="default"/>
          <w:spacing w:val="-3"/>
        </w:rPr>
        <w:t>1225</w:t>
      </w:r>
      <w:r>
        <w:rPr>
          <w:rFonts w:ascii="宋体" w:hAnsi="宋体" w:cs="宋体" w:eastAsia="宋体" w:hint="default"/>
          <w:spacing w:val="-69"/>
        </w:rPr>
        <w:t> </w:t>
      </w:r>
      <w:r>
        <w:rPr/>
        <w:t>号文《关于核准茂业物流股份有限公司向孝昌鹰溪谷投 </w:t>
      </w:r>
      <w:r>
        <w:rPr>
          <w:spacing w:val="-1"/>
        </w:rPr>
        <w:t>资中心（有限合伙）等发行股份购买资产并募集配套资金的批复》核准，本公司向孝昌鹰溪谷投资中心</w:t>
      </w:r>
    </w:p>
    <w:p>
      <w:pPr>
        <w:pStyle w:val="BodyText"/>
        <w:spacing w:line="240" w:lineRule="auto"/>
        <w:ind w:left="144" w:right="1066"/>
        <w:jc w:val="left"/>
      </w:pPr>
      <w:r>
        <w:rPr>
          <w:spacing w:val="-3"/>
        </w:rPr>
        <w:t>（有限合伙）发行</w:t>
      </w:r>
      <w:r>
        <w:rPr>
          <w:spacing w:val="-57"/>
        </w:rPr>
        <w:t> </w:t>
      </w:r>
      <w:r>
        <w:rPr>
          <w:rFonts w:ascii="宋体" w:hAnsi="宋体" w:cs="宋体" w:eastAsia="宋体" w:hint="default"/>
        </w:rPr>
        <w:t>148,360,844</w:t>
      </w:r>
      <w:r>
        <w:rPr>
          <w:rFonts w:ascii="宋体" w:hAnsi="宋体" w:cs="宋体" w:eastAsia="宋体" w:hint="default"/>
          <w:spacing w:val="-57"/>
        </w:rPr>
        <w:t> </w:t>
      </w:r>
      <w:r>
        <w:rPr/>
        <w:t>股股份、向北京博升优势科技发展有限公司发行</w:t>
      </w:r>
      <w:r>
        <w:rPr>
          <w:spacing w:val="-57"/>
        </w:rPr>
        <w:t> </w:t>
      </w:r>
      <w:r>
        <w:rPr>
          <w:rFonts w:ascii="宋体" w:hAnsi="宋体" w:cs="宋体" w:eastAsia="宋体" w:hint="default"/>
        </w:rPr>
        <w:t>1,498,595</w:t>
      </w:r>
      <w:r>
        <w:rPr>
          <w:rFonts w:ascii="宋体" w:hAnsi="宋体" w:cs="宋体" w:eastAsia="宋体" w:hint="default"/>
          <w:spacing w:val="-57"/>
        </w:rPr>
        <w:t> </w:t>
      </w:r>
      <w:r>
        <w:rPr/>
        <w:t>股股份购买</w:t>
      </w:r>
    </w:p>
    <w:p>
      <w:pPr>
        <w:pStyle w:val="BodyText"/>
        <w:spacing w:line="240" w:lineRule="auto" w:before="37"/>
        <w:ind w:left="144" w:right="1066"/>
        <w:jc w:val="left"/>
      </w:pPr>
      <w:r>
        <w:rPr/>
        <w:t>资产，向特定对象上海峰幽投资管理中心（普通合伙）非公开发行 </w:t>
      </w:r>
      <w:r>
        <w:rPr>
          <w:rFonts w:ascii="宋体" w:hAnsi="宋体" w:cs="宋体" w:eastAsia="宋体" w:hint="default"/>
        </w:rPr>
        <w:t>26,445,784</w:t>
      </w:r>
      <w:r>
        <w:rPr>
          <w:rFonts w:ascii="宋体" w:hAnsi="宋体" w:cs="宋体" w:eastAsia="宋体" w:hint="default"/>
          <w:spacing w:val="-40"/>
        </w:rPr>
        <w:t> </w:t>
      </w:r>
      <w:r>
        <w:rPr/>
        <w:t>股新股募集发行股份购</w:t>
      </w:r>
    </w:p>
    <w:p>
      <w:pPr>
        <w:pStyle w:val="BodyText"/>
        <w:spacing w:line="240" w:lineRule="auto" w:before="37"/>
        <w:ind w:left="144" w:right="1066"/>
        <w:jc w:val="left"/>
      </w:pPr>
      <w:r>
        <w:rPr/>
        <w:t>买资产的配套资金。本次股份发行完成后，本公司总股本变更为 </w:t>
      </w:r>
      <w:r>
        <w:rPr>
          <w:rFonts w:ascii="宋体" w:hAnsi="宋体" w:cs="宋体" w:eastAsia="宋体" w:hint="default"/>
        </w:rPr>
        <w:t>621,826,786</w:t>
      </w:r>
      <w:r>
        <w:rPr>
          <w:rFonts w:ascii="宋体" w:hAnsi="宋体" w:cs="宋体" w:eastAsia="宋体" w:hint="default"/>
          <w:spacing w:val="59"/>
        </w:rPr>
        <w:t> </w:t>
      </w:r>
      <w:r>
        <w:rPr/>
        <w:t>股。本公司股票代码：</w:t>
      </w:r>
    </w:p>
    <w:p>
      <w:pPr>
        <w:pStyle w:val="BodyText"/>
        <w:spacing w:line="273" w:lineRule="auto" w:before="37"/>
        <w:ind w:left="144" w:right="1066"/>
        <w:jc w:val="left"/>
      </w:pPr>
      <w:r>
        <w:rPr>
          <w:rFonts w:ascii="宋体" w:hAnsi="宋体" w:cs="宋体" w:eastAsia="宋体" w:hint="default"/>
        </w:rPr>
        <w:t>000889</w:t>
      </w:r>
      <w:r>
        <w:rPr/>
        <w:t>。法定代表人：刘宏，公司总部注册地址：河北省秦皇岛市河北大街中段</w:t>
      </w:r>
      <w:r>
        <w:rPr>
          <w:spacing w:val="-37"/>
        </w:rPr>
        <w:t> </w:t>
      </w:r>
      <w:r>
        <w:rPr>
          <w:rFonts w:ascii="宋体" w:hAnsi="宋体" w:cs="宋体" w:eastAsia="宋体" w:hint="default"/>
        </w:rPr>
        <w:t>146</w:t>
      </w:r>
      <w:r>
        <w:rPr>
          <w:rFonts w:ascii="宋体" w:hAnsi="宋体" w:cs="宋体" w:eastAsia="宋体" w:hint="default"/>
          <w:spacing w:val="-37"/>
        </w:rPr>
        <w:t> </w:t>
      </w:r>
      <w:r>
        <w:rPr/>
        <w:t>号</w:t>
      </w:r>
      <w:r>
        <w:rPr>
          <w:spacing w:val="-38"/>
        </w:rPr>
        <w:t> </w:t>
      </w:r>
      <w:r>
        <w:rPr>
          <w:rFonts w:ascii="宋体" w:hAnsi="宋体" w:cs="宋体" w:eastAsia="宋体" w:hint="default"/>
        </w:rPr>
        <w:t>26</w:t>
      </w:r>
      <w:r>
        <w:rPr>
          <w:rFonts w:ascii="宋体" w:hAnsi="宋体" w:cs="宋体" w:eastAsia="宋体" w:hint="default"/>
          <w:spacing w:val="-36"/>
        </w:rPr>
        <w:t> </w:t>
      </w:r>
      <w:r>
        <w:rPr/>
        <w:t>层。本公司 主要主要从事国内商业零售、批发、酒店业、物业管理、房地产开发、市场建设等业务，本公司经营范 围：普通货运（道路运输经营许可证有效期至</w:t>
      </w:r>
      <w:r>
        <w:rPr>
          <w:spacing w:val="-41"/>
        </w:rPr>
        <w:t> </w:t>
      </w: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6</w:t>
      </w:r>
      <w:r>
        <w:rPr>
          <w:rFonts w:ascii="宋体" w:hAnsi="宋体" w:cs="宋体" w:eastAsia="宋体" w:hint="default"/>
          <w:spacing w:val="-41"/>
        </w:rPr>
        <w:t> </w:t>
      </w:r>
      <w:r>
        <w:rPr/>
        <w:t>月</w:t>
      </w:r>
      <w:r>
        <w:rPr>
          <w:spacing w:val="-43"/>
        </w:rPr>
        <w:t> </w:t>
      </w:r>
      <w:r>
        <w:rPr>
          <w:rFonts w:ascii="宋体" w:hAnsi="宋体" w:cs="宋体" w:eastAsia="宋体" w:hint="default"/>
          <w:spacing w:val="-1"/>
        </w:rPr>
        <w:t>15</w:t>
      </w:r>
      <w:r>
        <w:rPr>
          <w:rFonts w:ascii="宋体" w:hAnsi="宋体" w:cs="宋体" w:eastAsia="宋体" w:hint="default"/>
          <w:spacing w:val="-41"/>
        </w:rPr>
        <w:t> </w:t>
      </w:r>
      <w:r>
        <w:rPr>
          <w:spacing w:val="-6"/>
        </w:rPr>
        <w:t>日）；纺织品、服装、鞋帽、日用品、化</w:t>
      </w:r>
      <w:r>
        <w:rPr/>
        <w:t> 妆品、首饰、工艺美术品、其它化工产品、有色金属、食用农产品、家庭用品、灯具、厨房及卫生间用 </w:t>
      </w:r>
      <w:r>
        <w:rPr>
          <w:spacing w:val="-4"/>
        </w:rPr>
        <w:t>具、电子产品、通讯终端设备、通讯交换设备、其它机械设备、计算机及软件、计算机辅助设备、家具、</w:t>
      </w:r>
      <w:r>
        <w:rPr>
          <w:spacing w:val="-68"/>
        </w:rPr>
        <w:t> </w:t>
      </w:r>
      <w:r>
        <w:rPr>
          <w:spacing w:val="-68"/>
        </w:rPr>
      </w:r>
      <w:r>
        <w:rPr/>
        <w:t>建材、家用电器、摩托车及汽车配件的销售；汽车装饰服务；仓储服务；货物进出口；以下范围限分支</w:t>
      </w:r>
      <w:r>
        <w:rPr/>
        <w:t> </w:t>
      </w:r>
      <w:r>
        <w:rPr>
          <w:spacing w:val="-2"/>
        </w:rPr>
        <w:t>机构经营：卷烟、雪茄烟的零售；预包装食品批发兼零售；音像制品零售（出租）；物业管理；制冷设</w:t>
      </w:r>
      <w:r>
        <w:rPr>
          <w:spacing w:val="-68"/>
        </w:rPr>
        <w:t> </w:t>
      </w:r>
      <w:r>
        <w:rPr>
          <w:spacing w:val="-68"/>
        </w:rPr>
      </w:r>
      <w:r>
        <w:rPr/>
        <w:t>备、消防设备的安装；清洁服务；场地、房屋租赁</w:t>
      </w:r>
      <w:r>
        <w:rPr>
          <w:rFonts w:ascii="宋体" w:hAnsi="宋体" w:cs="宋体" w:eastAsia="宋体" w:hint="default"/>
        </w:rPr>
        <w:t>**</w:t>
      </w:r>
      <w:r>
        <w:rPr/>
        <w:t>（依法须经批准的项目经相关部门批准后方可开展 </w:t>
      </w:r>
      <w:r>
        <w:rPr>
          <w:spacing w:val="-18"/>
        </w:rPr>
        <w:t>经营活动）。</w:t>
      </w:r>
    </w:p>
    <w:p>
      <w:pPr>
        <w:pStyle w:val="BodyText"/>
        <w:spacing w:line="240" w:lineRule="auto" w:before="101"/>
        <w:ind w:left="564" w:right="1066"/>
        <w:jc w:val="left"/>
        <w:rPr>
          <w:rFonts w:ascii="宋体" w:hAnsi="宋体" w:cs="宋体" w:eastAsia="宋体" w:hint="default"/>
        </w:rPr>
      </w:pPr>
      <w:r>
        <w:rPr/>
        <w:t>本公司地处秦皇岛市中心黄金地段，下设</w:t>
      </w:r>
      <w:r>
        <w:rPr>
          <w:spacing w:val="-49"/>
        </w:rPr>
        <w:t> </w:t>
      </w:r>
      <w:r>
        <w:rPr>
          <w:rFonts w:ascii="宋体" w:hAnsi="宋体" w:cs="宋体" w:eastAsia="宋体" w:hint="default"/>
        </w:rPr>
        <w:t>3</w:t>
      </w:r>
      <w:r>
        <w:rPr>
          <w:rFonts w:ascii="宋体" w:hAnsi="宋体" w:cs="宋体" w:eastAsia="宋体" w:hint="default"/>
          <w:spacing w:val="-48"/>
        </w:rPr>
        <w:t> </w:t>
      </w:r>
      <w:r>
        <w:rPr/>
        <w:t>个分公司分别是：华联商场、商城商场、现代广场等</w:t>
      </w:r>
      <w:r>
        <w:rPr>
          <w:spacing w:val="-49"/>
        </w:rPr>
        <w:t> </w:t>
      </w:r>
      <w:r>
        <w:rPr>
          <w:rFonts w:ascii="宋体" w:hAnsi="宋体" w:cs="宋体" w:eastAsia="宋体" w:hint="default"/>
        </w:rPr>
        <w:t>3</w:t>
      </w:r>
    </w:p>
    <w:p>
      <w:pPr>
        <w:pStyle w:val="BodyText"/>
        <w:spacing w:line="273" w:lineRule="auto" w:before="37"/>
        <w:ind w:left="144" w:right="1149"/>
        <w:jc w:val="both"/>
      </w:pPr>
      <w:r>
        <w:rPr/>
        <w:t>个经营实体；直接控股子公司有</w:t>
      </w:r>
      <w:r>
        <w:rPr>
          <w:spacing w:val="-67"/>
        </w:rPr>
        <w:t> </w:t>
      </w:r>
      <w:r>
        <w:rPr>
          <w:rFonts w:ascii="宋体" w:hAnsi="宋体" w:cs="宋体" w:eastAsia="宋体" w:hint="default"/>
        </w:rPr>
        <w:t>9</w:t>
      </w:r>
      <w:r>
        <w:rPr>
          <w:rFonts w:ascii="宋体" w:hAnsi="宋体" w:cs="宋体" w:eastAsia="宋体" w:hint="default"/>
          <w:spacing w:val="-68"/>
        </w:rPr>
        <w:t> </w:t>
      </w:r>
      <w:r>
        <w:rPr/>
        <w:t>个，分别是安徽国润投资发展有限公司、秦皇岛金原家居装饰城有限 </w:t>
      </w:r>
      <w:r>
        <w:rPr>
          <w:spacing w:val="-1"/>
        </w:rPr>
        <w:t>公司、秦皇岛市金原房地产开发有限公司、秦皇岛茂业控股有限公司、秦皇岛茂业超市有限公司、秦皇</w:t>
      </w:r>
      <w:r>
        <w:rPr>
          <w:spacing w:val="-99"/>
        </w:rPr>
        <w:t> </w:t>
      </w:r>
      <w:r>
        <w:rPr>
          <w:spacing w:val="-99"/>
        </w:rPr>
      </w:r>
      <w:r>
        <w:rPr/>
        <w:t>岛市渤海物流煤炭经销有限公司、秦皇岛茂业物业有限公司、秦皇岛市金原商业管理有限责任公司等， </w:t>
      </w:r>
      <w:r>
        <w:rPr>
          <w:spacing w:val="-2"/>
        </w:rPr>
        <w:t>另外，根据本公司与孝昌鹰溪谷投资中心（有限合伙）、北京博升优势科技发展有限公司签订的《发行</w:t>
      </w:r>
      <w:r>
        <w:rPr>
          <w:spacing w:val="-68"/>
        </w:rPr>
        <w:t> </w:t>
      </w:r>
      <w:r>
        <w:rPr>
          <w:spacing w:val="-68"/>
        </w:rPr>
      </w:r>
      <w:r>
        <w:rPr>
          <w:spacing w:val="-2"/>
        </w:rPr>
        <w:t>股份及支付现金购买资产协议》《盈利预测补偿协议》及与上海峰幽投资管理中心（普通合伙）签订的</w:t>
      </w:r>
    </w:p>
    <w:p>
      <w:pPr>
        <w:pStyle w:val="BodyText"/>
        <w:spacing w:line="273" w:lineRule="auto"/>
        <w:ind w:left="144" w:right="1081"/>
        <w:jc w:val="left"/>
      </w:pPr>
      <w:r>
        <w:rPr>
          <w:spacing w:val="-2"/>
        </w:rPr>
        <w:t>《非公开发行股份认购协议》，本公司以发行股份和支付现金相结合的方式购买鹰溪谷与博升优势合计</w:t>
      </w:r>
      <w:r>
        <w:rPr>
          <w:spacing w:val="-68"/>
        </w:rPr>
        <w:t> </w:t>
      </w:r>
      <w:r>
        <w:rPr>
          <w:spacing w:val="-68"/>
        </w:rPr>
      </w:r>
      <w:r>
        <w:rPr/>
        <w:t>持有的北京创世漫道科技有限公司</w:t>
      </w:r>
      <w:r>
        <w:rPr>
          <w:spacing w:val="-54"/>
        </w:rPr>
        <w:t> </w:t>
      </w:r>
      <w:r>
        <w:rPr>
          <w:rFonts w:ascii="宋体" w:hAnsi="宋体" w:cs="宋体" w:eastAsia="宋体" w:hint="default"/>
        </w:rPr>
        <w:t>100%</w:t>
      </w:r>
      <w:r>
        <w:rPr/>
        <w:t>的股权，本次收购经董事会、股东大会及相关管理部门批准后， 已在</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月完成工商过户等相关法律手续，北京创世漫道科技有限公司成为本公司全资子公司，</w:t>
      </w:r>
    </w:p>
    <w:p>
      <w:pPr>
        <w:pStyle w:val="BodyText"/>
        <w:spacing w:line="240" w:lineRule="auto"/>
        <w:ind w:left="144" w:right="1066"/>
        <w:jc w:val="left"/>
      </w:pPr>
      <w:r>
        <w:rPr/>
        <w:t>并在</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月纳入本公司合并报表范围。</w:t>
      </w:r>
    </w:p>
    <w:p>
      <w:pPr>
        <w:spacing w:line="240" w:lineRule="auto" w:before="10"/>
        <w:rPr>
          <w:rFonts w:ascii="宋体" w:hAnsi="宋体" w:cs="宋体" w:eastAsia="宋体" w:hint="default"/>
          <w:sz w:val="14"/>
          <w:szCs w:val="14"/>
        </w:rPr>
      </w:pPr>
    </w:p>
    <w:p>
      <w:pPr>
        <w:pStyle w:val="BodyText"/>
        <w:spacing w:line="240" w:lineRule="auto" w:before="0"/>
        <w:ind w:left="564" w:right="1066"/>
        <w:jc w:val="left"/>
      </w:pPr>
      <w:r>
        <w:rPr/>
        <w:t>本财务报表业经本公司董事会于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日决议批准报出。</w:t>
      </w:r>
    </w:p>
    <w:p>
      <w:pPr>
        <w:pStyle w:val="Heading3"/>
        <w:spacing w:line="470" w:lineRule="atLeast" w:before="154"/>
        <w:ind w:left="567" w:right="7840"/>
        <w:jc w:val="left"/>
        <w:rPr>
          <w:b w:val="0"/>
          <w:bCs w:val="0"/>
        </w:rPr>
      </w:pPr>
      <w:r>
        <w:rPr/>
        <w:t>二、财务报表的编制基础</w:t>
      </w:r>
      <w:r>
        <w:rPr>
          <w:w w:val="99"/>
        </w:rPr>
        <w:t> </w:t>
      </w:r>
      <w:r>
        <w:rPr>
          <w:rFonts w:ascii="宋体" w:hAnsi="宋体" w:cs="宋体" w:eastAsia="宋体" w:hint="default"/>
        </w:rPr>
        <w:t>1</w:t>
      </w:r>
      <w:r>
        <w:rPr/>
        <w:t>、编制基础</w:t>
      </w:r>
      <w:r>
        <w:rPr>
          <w:b w:val="0"/>
          <w:bCs w:val="0"/>
        </w:rPr>
      </w:r>
    </w:p>
    <w:p>
      <w:pPr>
        <w:pStyle w:val="BodyText"/>
        <w:spacing w:line="273" w:lineRule="auto" w:before="37"/>
        <w:ind w:left="144" w:right="1175" w:firstLine="420"/>
        <w:jc w:val="left"/>
      </w:pPr>
      <w:r>
        <w:rPr>
          <w:spacing w:val="-1"/>
        </w:rPr>
        <w:t>本公司财务报表以持续经营假设为基础，根据实际发生的交易和事项，按照财政部发布的《企业会</w:t>
      </w:r>
      <w:r>
        <w:rPr/>
        <w:t> </w:t>
      </w:r>
      <w:r>
        <w:rPr>
          <w:spacing w:val="-8"/>
        </w:rPr>
        <w:t>计准则——基本准则》（财政部令第</w:t>
      </w:r>
      <w:r>
        <w:rPr>
          <w:spacing w:val="-52"/>
        </w:rPr>
        <w:t> </w:t>
      </w:r>
      <w:r>
        <w:rPr>
          <w:rFonts w:ascii="宋体" w:hAnsi="宋体" w:cs="宋体" w:eastAsia="宋体" w:hint="default"/>
          <w:spacing w:val="-1"/>
        </w:rPr>
        <w:t>33</w:t>
      </w:r>
      <w:r>
        <w:rPr>
          <w:rFonts w:ascii="宋体" w:hAnsi="宋体" w:cs="宋体" w:eastAsia="宋体" w:hint="default"/>
          <w:spacing w:val="-51"/>
        </w:rPr>
        <w:t> </w:t>
      </w:r>
      <w:r>
        <w:rPr>
          <w:spacing w:val="-2"/>
        </w:rPr>
        <w:t>号发布、财政部令第</w:t>
      </w:r>
      <w:r>
        <w:rPr>
          <w:spacing w:val="-51"/>
        </w:rPr>
        <w:t> </w:t>
      </w:r>
      <w:r>
        <w:rPr>
          <w:rFonts w:ascii="宋体" w:hAnsi="宋体" w:cs="宋体" w:eastAsia="宋体" w:hint="default"/>
          <w:spacing w:val="-1"/>
        </w:rPr>
        <w:t>76</w:t>
      </w:r>
      <w:r>
        <w:rPr>
          <w:rFonts w:ascii="宋体" w:hAnsi="宋体" w:cs="宋体" w:eastAsia="宋体" w:hint="default"/>
          <w:spacing w:val="-52"/>
        </w:rPr>
        <w:t> </w:t>
      </w:r>
      <w:r>
        <w:rPr>
          <w:spacing w:val="-20"/>
        </w:rPr>
        <w:t>号修订）、于</w:t>
      </w:r>
      <w:r>
        <w:rPr>
          <w:spacing w:val="-52"/>
        </w:rPr>
        <w:t> </w:t>
      </w:r>
      <w:r>
        <w:rPr>
          <w:rFonts w:ascii="宋体" w:hAnsi="宋体" w:cs="宋体" w:eastAsia="宋体" w:hint="default"/>
        </w:rPr>
        <w:t>2006</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rPr>
        <w:t>15</w:t>
      </w:r>
      <w:r>
        <w:rPr>
          <w:rFonts w:ascii="宋体" w:hAnsi="宋体" w:cs="宋体" w:eastAsia="宋体" w:hint="default"/>
          <w:spacing w:val="-51"/>
        </w:rPr>
        <w:t> </w:t>
      </w:r>
      <w:r>
        <w:rPr/>
        <w:t>日及其后颁</w:t>
      </w:r>
    </w:p>
    <w:p>
      <w:pPr>
        <w:spacing w:after="0" w:line="273" w:lineRule="auto"/>
        <w:jc w:val="left"/>
        <w:sectPr>
          <w:footerReference w:type="default" r:id="rId44"/>
          <w:pgSz w:w="11910" w:h="16840"/>
          <w:pgMar w:footer="1219" w:header="883" w:top="1140" w:bottom="1400" w:left="1160" w:right="0"/>
          <w:pgNumType w:start="61"/>
        </w:sectPr>
      </w:pPr>
    </w:p>
    <w:p>
      <w:pPr>
        <w:spacing w:line="240" w:lineRule="auto" w:before="9"/>
        <w:rPr>
          <w:rFonts w:ascii="宋体" w:hAnsi="宋体" w:cs="宋体" w:eastAsia="宋体" w:hint="default"/>
          <w:sz w:val="17"/>
          <w:szCs w:val="17"/>
        </w:rPr>
      </w:pPr>
    </w:p>
    <w:p>
      <w:pPr>
        <w:pStyle w:val="BodyText"/>
        <w:spacing w:line="240" w:lineRule="auto" w:before="35"/>
        <w:ind w:left="144" w:right="1066"/>
        <w:jc w:val="left"/>
      </w:pPr>
      <w:r>
        <w:rPr/>
        <w:t>布和修订的 </w:t>
      </w:r>
      <w:r>
        <w:rPr>
          <w:rFonts w:ascii="宋体" w:hAnsi="宋体" w:cs="宋体" w:eastAsia="宋体" w:hint="default"/>
        </w:rPr>
        <w:t>41</w:t>
      </w:r>
      <w:r>
        <w:rPr>
          <w:rFonts w:ascii="宋体" w:hAnsi="宋体" w:cs="宋体" w:eastAsia="宋体" w:hint="default"/>
          <w:spacing w:val="-42"/>
        </w:rPr>
        <w:t> </w:t>
      </w:r>
      <w:r>
        <w:rPr/>
        <w:t>项具体会计准则、企业会计准则应用指南、企业会计准则解释及其他相关规定（以下合</w:t>
      </w:r>
    </w:p>
    <w:p>
      <w:pPr>
        <w:pStyle w:val="BodyText"/>
        <w:spacing w:line="240" w:lineRule="auto" w:before="37"/>
        <w:ind w:left="144" w:right="1066"/>
        <w:jc w:val="left"/>
      </w:pPr>
      <w:r>
        <w:rPr/>
        <w:t>称“企业会计准则</w:t>
      </w:r>
      <w:r>
        <w:rPr>
          <w:spacing w:val="-105"/>
        </w:rPr>
        <w:t>”）</w:t>
      </w:r>
      <w:r>
        <w:rPr>
          <w:spacing w:val="-2"/>
        </w:rPr>
        <w:t>，</w:t>
      </w:r>
      <w:r>
        <w:rPr/>
        <w:t>以及中国证券监督管理委员会《公开发行证券的公司信息披露编报规则第</w:t>
      </w:r>
      <w:r>
        <w:rPr>
          <w:spacing w:val="-19"/>
        </w:rPr>
        <w:t> </w:t>
      </w:r>
      <w:r>
        <w:rPr>
          <w:rFonts w:ascii="宋体" w:hAnsi="宋体" w:cs="宋体" w:eastAsia="宋体" w:hint="default"/>
        </w:rPr>
        <w:t>15</w:t>
      </w:r>
      <w:r>
        <w:rPr>
          <w:rFonts w:ascii="宋体" w:hAnsi="宋体" w:cs="宋体" w:eastAsia="宋体" w:hint="default"/>
          <w:spacing w:val="-20"/>
        </w:rPr>
        <w:t> </w:t>
      </w:r>
      <w:r>
        <w:rPr/>
        <w:t>号</w:t>
      </w:r>
    </w:p>
    <w:p>
      <w:pPr>
        <w:pStyle w:val="BodyText"/>
        <w:spacing w:line="273" w:lineRule="auto" w:before="37"/>
        <w:ind w:left="564" w:right="1175" w:hanging="421"/>
        <w:jc w:val="left"/>
      </w:pPr>
      <w:r>
        <w:rPr>
          <w:spacing w:val="-7"/>
        </w:rPr>
        <w:t>——财务报告的一般规定》（</w:t>
      </w:r>
      <w:r>
        <w:rPr>
          <w:rFonts w:ascii="宋体" w:hAnsi="宋体" w:cs="宋体" w:eastAsia="宋体" w:hint="default"/>
          <w:spacing w:val="-7"/>
        </w:rPr>
        <w:t>2014</w:t>
      </w:r>
      <w:r>
        <w:rPr>
          <w:rFonts w:ascii="宋体" w:hAnsi="宋体" w:cs="宋体" w:eastAsia="宋体" w:hint="default"/>
          <w:spacing w:val="-53"/>
        </w:rPr>
        <w:t> </w:t>
      </w:r>
      <w:r>
        <w:rPr>
          <w:spacing w:val="-1"/>
        </w:rPr>
        <w:t>年修订）的披露规定编制。</w:t>
      </w:r>
      <w:r>
        <w:rPr>
          <w:spacing w:val="-82"/>
        </w:rPr>
        <w:t> </w:t>
      </w:r>
      <w:r>
        <w:rPr>
          <w:spacing w:val="-82"/>
        </w:rPr>
      </w:r>
      <w:r>
        <w:rPr>
          <w:spacing w:val="-1"/>
        </w:rPr>
        <w:t>根据企业会计准则的相关规定，本公司会计核算以权责发生制为基础。除某些金融工具外，本财务</w:t>
      </w:r>
    </w:p>
    <w:p>
      <w:pPr>
        <w:pStyle w:val="BodyText"/>
        <w:spacing w:line="240" w:lineRule="auto" w:before="8"/>
        <w:ind w:left="144" w:right="1066"/>
        <w:jc w:val="left"/>
      </w:pPr>
      <w:r>
        <w:rPr/>
        <w:t>报表均以历史成本为计量基础。资产如果发生减值，则按照相关规定计提相应的减值准备。</w:t>
      </w:r>
    </w:p>
    <w:p>
      <w:pPr>
        <w:spacing w:line="240" w:lineRule="auto" w:before="10"/>
        <w:rPr>
          <w:rFonts w:ascii="宋体" w:hAnsi="宋体" w:cs="宋体" w:eastAsia="宋体" w:hint="default"/>
          <w:sz w:val="14"/>
          <w:szCs w:val="14"/>
        </w:rPr>
      </w:pPr>
    </w:p>
    <w:p>
      <w:pPr>
        <w:pStyle w:val="Heading3"/>
        <w:spacing w:line="240" w:lineRule="auto" w:before="0"/>
        <w:ind w:left="567" w:right="1066"/>
        <w:jc w:val="left"/>
        <w:rPr>
          <w:b w:val="0"/>
          <w:bCs w:val="0"/>
        </w:rPr>
      </w:pPr>
      <w:r>
        <w:rPr>
          <w:rFonts w:ascii="宋体" w:hAnsi="宋体" w:cs="宋体" w:eastAsia="宋体" w:hint="default"/>
        </w:rPr>
        <w:t>2</w:t>
      </w:r>
      <w:r>
        <w:rPr/>
        <w:t>、</w:t>
      </w:r>
      <w:r>
        <w:rPr>
          <w:spacing w:val="-3"/>
        </w:rPr>
        <w:t> </w:t>
      </w:r>
      <w:r>
        <w:rPr/>
        <w:t>持续经营</w:t>
      </w:r>
      <w:r>
        <w:rPr>
          <w:b w:val="0"/>
          <w:bCs w:val="0"/>
        </w:rPr>
      </w:r>
    </w:p>
    <w:p>
      <w:pPr>
        <w:pStyle w:val="BodyText"/>
        <w:spacing w:line="240" w:lineRule="auto" w:before="37"/>
        <w:ind w:left="564" w:right="1066"/>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9"/>
        <w:rPr>
          <w:rFonts w:ascii="宋体" w:hAnsi="宋体" w:cs="宋体" w:eastAsia="宋体" w:hint="default"/>
          <w:sz w:val="26"/>
          <w:szCs w:val="26"/>
        </w:rPr>
      </w:pPr>
    </w:p>
    <w:p>
      <w:pPr>
        <w:pStyle w:val="Heading3"/>
        <w:spacing w:line="240" w:lineRule="auto" w:before="0"/>
        <w:ind w:left="567" w:right="1066"/>
        <w:jc w:val="left"/>
        <w:rPr>
          <w:b w:val="0"/>
          <w:bCs w:val="0"/>
        </w:rPr>
      </w:pPr>
      <w:r>
        <w:rPr/>
        <w:t>三、重要会计政策及会计估计</w:t>
      </w:r>
      <w:r>
        <w:rPr>
          <w:b w:val="0"/>
          <w:bCs w:val="0"/>
        </w:rPr>
      </w:r>
    </w:p>
    <w:p>
      <w:pPr>
        <w:spacing w:line="240" w:lineRule="auto" w:before="10"/>
        <w:rPr>
          <w:rFonts w:ascii="宋体" w:hAnsi="宋体" w:cs="宋体" w:eastAsia="宋体" w:hint="default"/>
          <w:b/>
          <w:bCs/>
          <w:sz w:val="14"/>
          <w:szCs w:val="14"/>
        </w:rPr>
      </w:pPr>
    </w:p>
    <w:p>
      <w:pPr>
        <w:spacing w:line="273" w:lineRule="auto" w:before="0"/>
        <w:ind w:left="564" w:right="1177" w:firstLine="2"/>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w:t>
      </w:r>
      <w:r>
        <w:rPr>
          <w:rFonts w:ascii="宋体" w:hAnsi="宋体" w:cs="宋体" w:eastAsia="宋体" w:hint="default"/>
          <w:spacing w:val="-42"/>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w:t>
      </w:r>
    </w:p>
    <w:p>
      <w:pPr>
        <w:pStyle w:val="BodyText"/>
        <w:spacing w:line="240" w:lineRule="auto"/>
        <w:ind w:left="144" w:right="1066"/>
        <w:jc w:val="left"/>
      </w:pPr>
      <w:r>
        <w:rPr/>
        <w:t>的财务状况及 </w:t>
      </w:r>
      <w:r>
        <w:rPr>
          <w:rFonts w:ascii="宋体" w:hAnsi="宋体" w:cs="宋体" w:eastAsia="宋体" w:hint="default"/>
        </w:rPr>
        <w:t>2014</w:t>
      </w:r>
      <w:r>
        <w:rPr>
          <w:rFonts w:ascii="宋体" w:hAnsi="宋体" w:cs="宋体" w:eastAsia="宋体" w:hint="default"/>
          <w:spacing w:val="-41"/>
        </w:rPr>
        <w:t> </w:t>
      </w:r>
      <w:r>
        <w:rPr/>
        <w:t>年度的经营成果和现金流量等有关信息。此外，本公司的财务报表在所有重大方面</w:t>
      </w:r>
    </w:p>
    <w:p>
      <w:pPr>
        <w:pStyle w:val="BodyText"/>
        <w:spacing w:line="273" w:lineRule="auto" w:before="37"/>
        <w:ind w:left="144" w:right="1188"/>
        <w:jc w:val="both"/>
      </w:pPr>
      <w:r>
        <w:rPr/>
        <w:t>符合中国证券监督管理委员会</w:t>
      </w:r>
      <w:r>
        <w:rPr>
          <w:spacing w:val="-63"/>
        </w:rPr>
        <w:t> </w:t>
      </w:r>
      <w:r>
        <w:rPr>
          <w:rFonts w:ascii="宋体" w:hAnsi="宋体" w:cs="宋体" w:eastAsia="宋体" w:hint="default"/>
        </w:rPr>
        <w:t>2014</w:t>
      </w:r>
      <w:r>
        <w:rPr>
          <w:rFonts w:ascii="宋体" w:hAnsi="宋体" w:cs="宋体" w:eastAsia="宋体" w:hint="default"/>
          <w:spacing w:val="-64"/>
        </w:rPr>
        <w:t> </w:t>
      </w:r>
      <w:r>
        <w:rPr/>
        <w:t>年修订的《公开发行证券的公司信息披露编报规则第</w:t>
      </w:r>
      <w:r>
        <w:rPr>
          <w:spacing w:val="-63"/>
        </w:rPr>
        <w:t> </w:t>
      </w:r>
      <w:r>
        <w:rPr>
          <w:rFonts w:ascii="宋体" w:hAnsi="宋体" w:cs="宋体" w:eastAsia="宋体" w:hint="default"/>
        </w:rPr>
        <w:t>15</w:t>
      </w:r>
      <w:r>
        <w:rPr>
          <w:rFonts w:ascii="宋体" w:hAnsi="宋体" w:cs="宋体" w:eastAsia="宋体" w:hint="default"/>
          <w:spacing w:val="-63"/>
        </w:rPr>
        <w:t> </w:t>
      </w:r>
      <w:r>
        <w:rPr/>
        <w:t>号—财务报 告的一般规定》有关财务报表及其附注的披露要求。</w:t>
      </w:r>
    </w:p>
    <w:p>
      <w:pPr>
        <w:pStyle w:val="Heading3"/>
        <w:spacing w:line="240" w:lineRule="auto" w:before="163"/>
        <w:ind w:left="567" w:right="1066"/>
        <w:jc w:val="left"/>
        <w:rPr>
          <w:b w:val="0"/>
          <w:bCs w:val="0"/>
        </w:rPr>
      </w:pPr>
      <w:r>
        <w:rPr/>
        <w:t>（二）会计期间</w:t>
      </w:r>
      <w:r>
        <w:rPr>
          <w:b w:val="0"/>
          <w:bCs w:val="0"/>
        </w:rPr>
      </w:r>
    </w:p>
    <w:p>
      <w:pPr>
        <w:pStyle w:val="BodyText"/>
        <w:spacing w:line="240" w:lineRule="auto" w:before="37"/>
        <w:ind w:left="564" w:right="1066"/>
        <w:jc w:val="left"/>
      </w:pPr>
      <w:r>
        <w:rPr/>
        <w:t>本公司会计期间分为年度和中期，会计年度自公历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10"/>
        <w:rPr>
          <w:rFonts w:ascii="宋体" w:hAnsi="宋体" w:cs="宋体" w:eastAsia="宋体" w:hint="default"/>
          <w:sz w:val="14"/>
          <w:szCs w:val="14"/>
        </w:rPr>
      </w:pPr>
    </w:p>
    <w:p>
      <w:pPr>
        <w:pStyle w:val="Heading3"/>
        <w:spacing w:line="240" w:lineRule="auto" w:before="0"/>
        <w:ind w:left="567" w:right="1066"/>
        <w:jc w:val="left"/>
        <w:rPr>
          <w:b w:val="0"/>
          <w:bCs w:val="0"/>
        </w:rPr>
      </w:pPr>
      <w:r>
        <w:rPr/>
        <w:t>（三）营业周期</w:t>
      </w:r>
      <w:r>
        <w:rPr>
          <w:b w:val="0"/>
          <w:bCs w:val="0"/>
        </w:rPr>
      </w:r>
    </w:p>
    <w:p>
      <w:pPr>
        <w:pStyle w:val="BodyText"/>
        <w:spacing w:line="240" w:lineRule="auto" w:before="37"/>
        <w:ind w:left="564" w:right="1066"/>
        <w:jc w:val="left"/>
      </w:pPr>
      <w:r>
        <w:rPr/>
        <w:t>本公司以</w:t>
      </w:r>
      <w:r>
        <w:rPr>
          <w:spacing w:val="-54"/>
        </w:rPr>
        <w:t> </w:t>
      </w:r>
      <w:r>
        <w:rPr>
          <w:rFonts w:ascii="宋体" w:hAnsi="宋体" w:cs="宋体" w:eastAsia="宋体" w:hint="default"/>
        </w:rPr>
        <w:t>12</w:t>
      </w:r>
      <w:r>
        <w:rPr>
          <w:rFonts w:ascii="宋体" w:hAnsi="宋体" w:cs="宋体" w:eastAsia="宋体" w:hint="default"/>
          <w:spacing w:val="-54"/>
        </w:rPr>
        <w:t> </w:t>
      </w:r>
      <w:r>
        <w:rPr/>
        <w:t>个月作为一个营业周期，并以其作为资产和负债的流动性划分标准。</w:t>
      </w:r>
    </w:p>
    <w:p>
      <w:pPr>
        <w:spacing w:line="240" w:lineRule="auto" w:before="10"/>
        <w:rPr>
          <w:rFonts w:ascii="宋体" w:hAnsi="宋体" w:cs="宋体" w:eastAsia="宋体" w:hint="default"/>
          <w:sz w:val="14"/>
          <w:szCs w:val="14"/>
        </w:rPr>
      </w:pPr>
    </w:p>
    <w:p>
      <w:pPr>
        <w:pStyle w:val="BodyText"/>
        <w:spacing w:line="273" w:lineRule="auto" w:before="0"/>
        <w:ind w:left="564" w:right="1175" w:firstLine="2"/>
        <w:jc w:val="left"/>
      </w:pPr>
      <w:r>
        <w:rPr>
          <w:rFonts w:ascii="宋体" w:hAnsi="宋体" w:cs="宋体" w:eastAsia="宋体" w:hint="default"/>
          <w:b/>
          <w:bCs/>
        </w:rPr>
        <w:t>（四）记账本位币</w:t>
      </w:r>
      <w:r>
        <w:rPr>
          <w:rFonts w:ascii="宋体" w:hAnsi="宋体" w:cs="宋体" w:eastAsia="宋体" w:hint="default"/>
          <w:b/>
          <w:bCs/>
          <w:w w:val="99"/>
        </w:rPr>
        <w:t> </w:t>
      </w:r>
      <w:r>
        <w:rPr>
          <w:spacing w:val="-1"/>
        </w:rPr>
        <w:t>人民币为本公司及子公司经营所处的主要经济环境中的货币，本公司及子公司以人民币为记账本位</w:t>
      </w:r>
    </w:p>
    <w:p>
      <w:pPr>
        <w:pStyle w:val="BodyText"/>
        <w:spacing w:line="240" w:lineRule="auto" w:before="8"/>
        <w:ind w:left="144" w:right="1066"/>
        <w:jc w:val="left"/>
      </w:pPr>
      <w:r>
        <w:rPr/>
        <w:t>币。本公司编制本财务报表时所采用的货币为人民币。</w:t>
      </w:r>
    </w:p>
    <w:p>
      <w:pPr>
        <w:spacing w:line="240" w:lineRule="auto" w:before="10"/>
        <w:rPr>
          <w:rFonts w:ascii="宋体" w:hAnsi="宋体" w:cs="宋体" w:eastAsia="宋体" w:hint="default"/>
          <w:sz w:val="14"/>
          <w:szCs w:val="14"/>
        </w:rPr>
      </w:pPr>
    </w:p>
    <w:p>
      <w:pPr>
        <w:spacing w:line="300" w:lineRule="auto" w:before="0"/>
        <w:ind w:left="564" w:right="2392" w:firstLine="2"/>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 企业合并分为同一控制下企业合并和非同一控制下企业合并。</w:t>
      </w:r>
    </w:p>
    <w:p>
      <w:pPr>
        <w:spacing w:line="273" w:lineRule="auto" w:before="140"/>
        <w:ind w:left="564" w:right="1175"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参与合并的企业在合并前后均受同一方或相同的多方最终控制且该控制并非暂时性的，认定为同一</w:t>
      </w:r>
    </w:p>
    <w:p>
      <w:pPr>
        <w:pStyle w:val="BodyText"/>
        <w:spacing w:line="273" w:lineRule="auto"/>
        <w:ind w:left="564" w:right="1175" w:hanging="421"/>
        <w:jc w:val="left"/>
      </w:pPr>
      <w:r>
        <w:rPr/>
        <w:t>控制下的企业合并。 </w:t>
      </w:r>
      <w:r>
        <w:rPr>
          <w:spacing w:val="-1"/>
        </w:rPr>
        <w:t>合并方以支付现金、转让非现金资产或承担债务方式作为合并对价的，在合并日按照取得被合并方</w:t>
      </w:r>
    </w:p>
    <w:p>
      <w:pPr>
        <w:pStyle w:val="BodyText"/>
        <w:spacing w:line="273" w:lineRule="auto"/>
        <w:ind w:left="144" w:right="1188"/>
        <w:jc w:val="both"/>
      </w:pPr>
      <w:r>
        <w:rPr>
          <w:spacing w:val="-1"/>
        </w:rPr>
        <w:t>所有者权益账面价值的份额作为长期股权投资的初始投资成本。长期股权投资初始投资成本与支付的现</w:t>
      </w:r>
      <w:r>
        <w:rPr>
          <w:spacing w:val="-101"/>
        </w:rPr>
        <w:t> </w:t>
      </w:r>
      <w:r>
        <w:rPr>
          <w:spacing w:val="-101"/>
        </w:rPr>
      </w:r>
      <w:r>
        <w:rPr>
          <w:spacing w:val="-1"/>
        </w:rPr>
        <w:t>金、转让的非现金资产以及所承担债务账面价值之间的差额，调整资本公积；资本公积不足冲减的，调</w:t>
      </w:r>
      <w:r>
        <w:rPr>
          <w:spacing w:val="-100"/>
        </w:rPr>
        <w:t> </w:t>
      </w:r>
      <w:r>
        <w:rPr>
          <w:spacing w:val="-100"/>
        </w:rPr>
      </w:r>
      <w:r>
        <w:rPr/>
        <w:t>整留存收益。</w:t>
      </w:r>
    </w:p>
    <w:p>
      <w:pPr>
        <w:pStyle w:val="BodyText"/>
        <w:spacing w:line="240" w:lineRule="auto"/>
        <w:ind w:left="564" w:right="1066"/>
        <w:jc w:val="left"/>
      </w:pPr>
      <w:r>
        <w:rPr/>
        <w:t>为进行企业合并发生的各项直接相关费用于发生时计入当期损益。</w:t>
      </w:r>
    </w:p>
    <w:p>
      <w:pPr>
        <w:spacing w:line="240" w:lineRule="auto" w:before="4"/>
        <w:rPr>
          <w:rFonts w:ascii="宋体" w:hAnsi="宋体" w:cs="宋体" w:eastAsia="宋体" w:hint="default"/>
          <w:sz w:val="15"/>
          <w:szCs w:val="15"/>
        </w:rPr>
      </w:pPr>
    </w:p>
    <w:p>
      <w:pPr>
        <w:spacing w:line="272" w:lineRule="exact" w:before="0"/>
        <w:ind w:left="588" w:right="1066" w:firstLine="9"/>
        <w:jc w:val="left"/>
        <w:rPr>
          <w:rFonts w:ascii="宋体" w:hAnsi="宋体" w:cs="宋体" w:eastAsia="宋体" w:hint="default"/>
          <w:sz w:val="21"/>
          <w:szCs w:val="21"/>
        </w:rPr>
      </w:pPr>
      <w:r>
        <w:rPr>
          <w:rFonts w:ascii="宋体" w:hAnsi="宋体" w:cs="宋体" w:eastAsia="宋体" w:hint="default"/>
          <w:b/>
          <w:bCs/>
          <w:spacing w:val="13"/>
          <w:sz w:val="21"/>
          <w:szCs w:val="21"/>
        </w:rPr>
        <w:t>2.</w:t>
      </w:r>
      <w:r>
        <w:rPr>
          <w:rFonts w:ascii="宋体" w:hAnsi="宋体" w:cs="宋体" w:eastAsia="宋体" w:hint="default"/>
          <w:b/>
          <w:bCs/>
          <w:spacing w:val="13"/>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3"/>
          <w:sz w:val="21"/>
          <w:szCs w:val="21"/>
        </w:rPr>
        <w:t>参与合并的企业在合并前后不受同一方或相同的多方最终控制的，为非同一控制下的企业合</w:t>
      </w:r>
    </w:p>
    <w:p>
      <w:pPr>
        <w:pStyle w:val="BodyText"/>
        <w:spacing w:line="272" w:lineRule="exact" w:before="0"/>
        <w:ind w:left="144" w:right="1204"/>
        <w:jc w:val="both"/>
      </w:pPr>
      <w:r>
        <w:rPr>
          <w:spacing w:val="13"/>
        </w:rPr>
        <w:t>并。非同一控制下的企业合并，在购买日取得对其他参与合并企业控制权的一方为购买方，参与</w:t>
      </w:r>
      <w:r>
        <w:rPr>
          <w:spacing w:val="-86"/>
        </w:rPr>
        <w:t> </w:t>
      </w:r>
      <w:r>
        <w:rPr>
          <w:spacing w:val="-86"/>
        </w:rPr>
      </w:r>
      <w:r>
        <w:rPr>
          <w:spacing w:val="12"/>
        </w:rPr>
        <w:t>合并的其他企业为被购买方。购买日，是指为购买方实际取得对被购买方控制权的日期。</w:t>
      </w:r>
      <w:r>
        <w:rPr/>
      </w:r>
    </w:p>
    <w:p>
      <w:pPr>
        <w:pStyle w:val="BodyText"/>
        <w:spacing w:line="272" w:lineRule="exact" w:before="0"/>
        <w:ind w:left="144" w:right="1204" w:firstLine="444"/>
        <w:jc w:val="both"/>
      </w:pPr>
      <w:r>
        <w:rPr>
          <w:spacing w:val="13"/>
        </w:rPr>
        <w:t>对于非同一控制下的企业合并，合并成本包含购买日购买方为取得对被购买方的控制权而付</w:t>
      </w:r>
      <w:r>
        <w:rPr/>
        <w:t> </w:t>
      </w:r>
      <w:r>
        <w:rPr>
          <w:spacing w:val="13"/>
        </w:rPr>
        <w:t>出的资产、发生或承担的负债以及发行的权益性证券的公允价值。购买方作为合并对价发行的权</w:t>
      </w:r>
      <w:r>
        <w:rPr>
          <w:spacing w:val="-86"/>
        </w:rPr>
        <w:t> </w:t>
      </w:r>
      <w:r>
        <w:rPr>
          <w:spacing w:val="-86"/>
        </w:rPr>
      </w:r>
      <w:r>
        <w:rPr>
          <w:spacing w:val="13"/>
        </w:rPr>
        <w:t>益性证券或债务性证券的交易费用，计入权益性证券或债务性证券的初始确认金额。所涉及的或</w:t>
      </w:r>
      <w:r>
        <w:rPr>
          <w:spacing w:val="-86"/>
        </w:rPr>
        <w:t> </w:t>
      </w:r>
      <w:r>
        <w:rPr>
          <w:spacing w:val="-86"/>
        </w:rPr>
      </w:r>
      <w:r>
        <w:rPr>
          <w:spacing w:val="10"/>
        </w:rPr>
        <w:t>有对价按其在购买日的公允价值计入合并成本，购买日后</w:t>
      </w:r>
      <w:r>
        <w:rPr>
          <w:spacing w:val="-30"/>
        </w:rPr>
        <w:t> </w:t>
      </w:r>
      <w:r>
        <w:rPr>
          <w:rFonts w:ascii="宋体" w:hAnsi="宋体" w:cs="宋体" w:eastAsia="宋体" w:hint="default"/>
          <w:spacing w:val="3"/>
        </w:rPr>
        <w:t>12</w:t>
      </w:r>
      <w:r>
        <w:rPr>
          <w:rFonts w:ascii="宋体" w:hAnsi="宋体" w:cs="宋体" w:eastAsia="宋体" w:hint="default"/>
          <w:spacing w:val="-37"/>
        </w:rPr>
        <w:t> </w:t>
      </w:r>
      <w:r>
        <w:rPr>
          <w:spacing w:val="10"/>
        </w:rPr>
        <w:t>个月内出现对购买日已存在情况的新</w:t>
      </w:r>
      <w:r>
        <w:rPr>
          <w:spacing w:val="-103"/>
        </w:rPr>
        <w:t> </w:t>
      </w:r>
      <w:r>
        <w:rPr>
          <w:spacing w:val="-103"/>
        </w:rPr>
      </w:r>
      <w:r>
        <w:rPr>
          <w:spacing w:val="13"/>
        </w:rPr>
        <w:t>的或进一步证据而需要调整或有对价的，相应调整合并商誉。购买方发生的合并成本及在合并中</w:t>
      </w:r>
    </w:p>
    <w:p>
      <w:pPr>
        <w:spacing w:after="0" w:line="272" w:lineRule="exact"/>
        <w:jc w:val="both"/>
        <w:sectPr>
          <w:pgSz w:w="11910" w:h="16840"/>
          <w:pgMar w:header="883" w:footer="1219" w:top="1140" w:bottom="1400" w:left="1160" w:right="0"/>
        </w:sectPr>
      </w:pPr>
    </w:p>
    <w:p>
      <w:pPr>
        <w:spacing w:line="240" w:lineRule="auto" w:before="2"/>
        <w:rPr>
          <w:rFonts w:ascii="宋体" w:hAnsi="宋体" w:cs="宋体" w:eastAsia="宋体" w:hint="default"/>
          <w:sz w:val="16"/>
          <w:szCs w:val="16"/>
        </w:rPr>
      </w:pPr>
    </w:p>
    <w:p>
      <w:pPr>
        <w:pStyle w:val="BodyText"/>
        <w:spacing w:line="272" w:lineRule="exact" w:before="63"/>
        <w:ind w:left="144" w:right="1203"/>
        <w:jc w:val="both"/>
      </w:pPr>
      <w:r>
        <w:rPr>
          <w:spacing w:val="13"/>
        </w:rPr>
        <w:t>取得的可辨认净资产按购买日的公允价值计量。合并成本大于合并中取得的被购买方于购买日可</w:t>
      </w:r>
      <w:r>
        <w:rPr>
          <w:spacing w:val="-85"/>
        </w:rPr>
        <w:t> </w:t>
      </w:r>
      <w:r>
        <w:rPr>
          <w:spacing w:val="-85"/>
        </w:rPr>
      </w:r>
      <w:r>
        <w:rPr>
          <w:spacing w:val="13"/>
        </w:rPr>
        <w:t>辨认净资产公允价值份额的差额，确认为商誉。合并成本小于合并中取得的被购买方可辨认净资</w:t>
      </w:r>
      <w:r>
        <w:rPr>
          <w:spacing w:val="-86"/>
        </w:rPr>
        <w:t> </w:t>
      </w:r>
      <w:r>
        <w:rPr>
          <w:spacing w:val="-86"/>
        </w:rPr>
      </w:r>
      <w:r>
        <w:rPr>
          <w:spacing w:val="13"/>
        </w:rPr>
        <w:t>产公允价值份额的，首先对取得的被购买方各项可辨认资产、负债及或有负债的公允价值以及合</w:t>
      </w:r>
      <w:r>
        <w:rPr>
          <w:spacing w:val="-86"/>
        </w:rPr>
        <w:t> </w:t>
      </w:r>
      <w:r>
        <w:rPr>
          <w:spacing w:val="-86"/>
        </w:rPr>
      </w:r>
      <w:r>
        <w:rPr>
          <w:spacing w:val="13"/>
        </w:rPr>
        <w:t>并成本的计量进行复核，复核后合并成本仍小于合并中取得的被购买方可辨认净资产公允价值份</w:t>
      </w:r>
      <w:r>
        <w:rPr>
          <w:spacing w:val="-86"/>
        </w:rPr>
        <w:t> </w:t>
      </w:r>
      <w:r>
        <w:rPr>
          <w:spacing w:val="-86"/>
        </w:rPr>
      </w:r>
      <w:r>
        <w:rPr>
          <w:spacing w:val="12"/>
        </w:rPr>
        <w:t>额的，其差额计入当期损益。</w:t>
      </w:r>
      <w:r>
        <w:rPr/>
      </w:r>
    </w:p>
    <w:p>
      <w:pPr>
        <w:pStyle w:val="BodyText"/>
        <w:spacing w:line="273" w:lineRule="auto" w:before="0"/>
        <w:ind w:left="144" w:right="1188" w:firstLine="420"/>
        <w:jc w:val="both"/>
      </w:pPr>
      <w:r>
        <w:rPr>
          <w:spacing w:val="-1"/>
        </w:rPr>
        <w:t>购买方取得被购买方的可抵扣暂时性差异，在购买日因不符合递延所得税资产确认条件而未予确认</w:t>
      </w:r>
      <w:r>
        <w:rPr/>
        <w:t> 的，在购买日后 </w:t>
      </w:r>
      <w:r>
        <w:rPr>
          <w:rFonts w:ascii="宋体" w:hAnsi="宋体" w:cs="宋体" w:eastAsia="宋体" w:hint="default"/>
        </w:rPr>
        <w:t>12</w:t>
      </w:r>
      <w:r>
        <w:rPr>
          <w:rFonts w:ascii="宋体" w:hAnsi="宋体" w:cs="宋体" w:eastAsia="宋体" w:hint="default"/>
          <w:spacing w:val="-42"/>
        </w:rPr>
        <w:t> </w:t>
      </w:r>
      <w:r>
        <w:rPr/>
        <w:t>个月内，如取得新的或进一步的信息表明购买日的相关情况已经存在，预期被购买 </w:t>
      </w:r>
      <w:r>
        <w:rPr>
          <w:spacing w:val="-1"/>
        </w:rPr>
        <w:t>方在购买日可抵扣暂时性差异带来的经济利益能够实现的，则确认相关的递延所得税资产，同时减少商</w:t>
      </w:r>
      <w:r>
        <w:rPr>
          <w:spacing w:val="-100"/>
        </w:rPr>
        <w:t> </w:t>
      </w:r>
      <w:r>
        <w:rPr>
          <w:spacing w:val="-100"/>
        </w:rPr>
      </w:r>
      <w:r>
        <w:rPr/>
        <w:t>誉，商誉不足冲减的，差额部分确认为当期损益；</w:t>
      </w:r>
    </w:p>
    <w:p>
      <w:pPr>
        <w:pStyle w:val="BodyText"/>
        <w:spacing w:line="273" w:lineRule="auto"/>
        <w:ind w:left="564" w:right="1173"/>
        <w:jc w:val="left"/>
      </w:pPr>
      <w:r>
        <w:rPr/>
        <w:t>除上述情况以外，确认与企业合并相关的递延所得税资产的，计入当期损益。 通过多次交易分步实现的非同一控制下企业合并，根据《财政部关于印发企业会计准则解释第</w:t>
      </w:r>
      <w:r>
        <w:rPr>
          <w:spacing w:val="-73"/>
        </w:rPr>
        <w:t> </w:t>
      </w:r>
      <w:r>
        <w:rPr>
          <w:rFonts w:ascii="宋体" w:hAnsi="宋体" w:cs="宋体" w:eastAsia="宋体" w:hint="default"/>
        </w:rPr>
        <w:t>5</w:t>
      </w:r>
      <w:r>
        <w:rPr>
          <w:rFonts w:ascii="宋体" w:hAnsi="宋体" w:cs="宋体" w:eastAsia="宋体" w:hint="default"/>
          <w:spacing w:val="-73"/>
        </w:rPr>
        <w:t> </w:t>
      </w:r>
      <w:r>
        <w:rPr/>
        <w:t>号</w:t>
      </w:r>
    </w:p>
    <w:p>
      <w:pPr>
        <w:pStyle w:val="BodyText"/>
        <w:spacing w:line="273" w:lineRule="auto"/>
        <w:ind w:left="144" w:right="1188"/>
        <w:jc w:val="both"/>
      </w:pPr>
      <w:r>
        <w:rPr>
          <w:spacing w:val="-10"/>
        </w:rPr>
        <w:t>的通知》（财会〔</w:t>
      </w:r>
      <w:r>
        <w:rPr>
          <w:rFonts w:ascii="宋体" w:hAnsi="宋体" w:cs="宋体" w:eastAsia="宋体" w:hint="default"/>
          <w:spacing w:val="-10"/>
        </w:rPr>
        <w:t>2012</w:t>
      </w:r>
      <w:r>
        <w:rPr>
          <w:spacing w:val="-10"/>
        </w:rPr>
        <w:t>〕</w:t>
      </w:r>
      <w:r>
        <w:rPr>
          <w:rFonts w:ascii="宋体" w:hAnsi="宋体" w:cs="宋体" w:eastAsia="宋体" w:hint="default"/>
          <w:spacing w:val="-10"/>
        </w:rPr>
        <w:t>19</w:t>
      </w:r>
      <w:r>
        <w:rPr>
          <w:rFonts w:ascii="宋体" w:hAnsi="宋体" w:cs="宋体" w:eastAsia="宋体" w:hint="default"/>
          <w:spacing w:val="-46"/>
        </w:rPr>
        <w:t> </w:t>
      </w:r>
      <w:r>
        <w:rPr>
          <w:spacing w:val="-3"/>
        </w:rPr>
        <w:t>号）和《企业会计准则第</w:t>
      </w:r>
      <w:r>
        <w:rPr>
          <w:spacing w:val="-46"/>
        </w:rPr>
        <w:t> </w:t>
      </w:r>
      <w:r>
        <w:rPr>
          <w:rFonts w:ascii="宋体" w:hAnsi="宋体" w:cs="宋体" w:eastAsia="宋体" w:hint="default"/>
          <w:spacing w:val="-1"/>
        </w:rPr>
        <w:t>33</w:t>
      </w:r>
      <w:r>
        <w:rPr>
          <w:rFonts w:ascii="宋体" w:hAnsi="宋体" w:cs="宋体" w:eastAsia="宋体" w:hint="default"/>
          <w:spacing w:val="-46"/>
        </w:rPr>
        <w:t> </w:t>
      </w:r>
      <w:r>
        <w:rPr>
          <w:spacing w:val="-2"/>
        </w:rPr>
        <w:t>号——合并财务报表》第五十一条关于“一揽子</w:t>
      </w:r>
      <w:r>
        <w:rPr/>
        <w:t> </w:t>
      </w:r>
      <w:r>
        <w:rPr>
          <w:spacing w:val="-2"/>
        </w:rPr>
        <w:t>交易”的判断标准，判断该多次交易是否属于“一揽子交易”。属于“一揽子交易”的，参考本部分前</w:t>
      </w:r>
      <w:r>
        <w:rPr>
          <w:spacing w:val="-68"/>
        </w:rPr>
        <w:t> </w:t>
      </w:r>
      <w:r>
        <w:rPr>
          <w:spacing w:val="-68"/>
        </w:rPr>
      </w:r>
      <w:r>
        <w:rPr>
          <w:spacing w:val="-1"/>
        </w:rPr>
        <w:t>面各段描述及长期股权投资进行会计处理；不属于“一揽子交易”的，区分个别财务报表和合并财务报</w:t>
      </w:r>
      <w:r>
        <w:rPr>
          <w:spacing w:val="-100"/>
        </w:rPr>
        <w:t> </w:t>
      </w:r>
      <w:r>
        <w:rPr>
          <w:spacing w:val="-100"/>
        </w:rPr>
      </w:r>
      <w:r>
        <w:rPr/>
        <w:t>表进行相关会计处理：</w:t>
      </w:r>
    </w:p>
    <w:p>
      <w:pPr>
        <w:pStyle w:val="BodyText"/>
        <w:spacing w:line="273" w:lineRule="auto"/>
        <w:ind w:left="144" w:right="1189" w:firstLine="420"/>
        <w:jc w:val="both"/>
      </w:pPr>
      <w:r>
        <w:rPr>
          <w:spacing w:val="3"/>
        </w:rPr>
        <w:t>在个别财务报表中，以购买日之前所持被购买方的股权投资的账面价值与购买日新增投资成本之</w:t>
      </w:r>
      <w:r>
        <w:rPr/>
        <w:t> </w:t>
      </w:r>
      <w:r>
        <w:rPr>
          <w:spacing w:val="-1"/>
        </w:rPr>
        <w:t>和，作为该项投资的初始投资成本；购买日之前持有的被购买方的股权涉及其他综合收益的，在处置该</w:t>
      </w:r>
      <w:r>
        <w:rPr>
          <w:spacing w:val="-102"/>
        </w:rPr>
        <w:t> </w:t>
      </w:r>
      <w:r>
        <w:rPr>
          <w:spacing w:val="-102"/>
        </w:rPr>
      </w:r>
      <w:r>
        <w:rPr>
          <w:spacing w:val="3"/>
        </w:rPr>
        <w:t>项投资时将与其相关的其他综合收益采用与被购买方直接处置相关资产或负债相同的基础进行会计处</w:t>
      </w:r>
      <w:r>
        <w:rPr>
          <w:spacing w:val="-95"/>
        </w:rPr>
        <w:t> </w:t>
      </w:r>
      <w:r>
        <w:rPr>
          <w:spacing w:val="-95"/>
        </w:rPr>
      </w:r>
      <w:r>
        <w:rPr>
          <w:spacing w:val="-1"/>
        </w:rPr>
        <w:t>理（即，除了按照权益法核算的在被购买方重新计量设定受益计划净负债或净资产导致的变动中的相应</w:t>
      </w:r>
      <w:r>
        <w:rPr>
          <w:spacing w:val="-102"/>
        </w:rPr>
        <w:t> </w:t>
      </w:r>
      <w:r>
        <w:rPr>
          <w:spacing w:val="-102"/>
        </w:rPr>
      </w:r>
      <w:r>
        <w:rPr>
          <w:spacing w:val="-7"/>
        </w:rPr>
        <w:t>份额以外，其余转入当期投资收益）。</w:t>
      </w:r>
    </w:p>
    <w:p>
      <w:pPr>
        <w:pStyle w:val="BodyText"/>
        <w:spacing w:line="273" w:lineRule="auto"/>
        <w:ind w:left="144" w:right="1187" w:firstLine="420"/>
        <w:jc w:val="both"/>
      </w:pPr>
      <w:r>
        <w:rPr>
          <w:spacing w:val="-1"/>
        </w:rPr>
        <w:t>在合并财务报表中，对于购买日之前持有的被购买方的股权，按照该股权在购买日的公允价值进行</w:t>
      </w:r>
      <w:r>
        <w:rPr/>
        <w:t> </w:t>
      </w:r>
      <w:r>
        <w:rPr>
          <w:spacing w:val="-1"/>
        </w:rPr>
        <w:t>重新计量，公允价值与其账面价值的差额计入当期投资收益；购买日之前持有的被购买方的股权涉及其</w:t>
      </w:r>
      <w:r>
        <w:rPr>
          <w:spacing w:val="-100"/>
        </w:rPr>
        <w:t> </w:t>
      </w:r>
      <w:r>
        <w:rPr>
          <w:spacing w:val="-100"/>
        </w:rPr>
      </w:r>
      <w:r>
        <w:rPr>
          <w:spacing w:val="-1"/>
        </w:rPr>
        <w:t>他综合收益的，与其相关的其他综合收益应当采用与被购买方直接处置相关资产或负债相同的基础进行</w:t>
      </w:r>
      <w:r>
        <w:rPr>
          <w:spacing w:val="-101"/>
        </w:rPr>
        <w:t> </w:t>
      </w:r>
      <w:r>
        <w:rPr>
          <w:spacing w:val="-101"/>
        </w:rPr>
      </w:r>
      <w:r>
        <w:rPr>
          <w:spacing w:val="-1"/>
        </w:rPr>
        <w:t>会计处理（即，除了按照权益法核算的在被购买方重新计量设定受益计划净负债或净资产导致的变动中</w:t>
      </w:r>
      <w:r>
        <w:rPr>
          <w:spacing w:val="-100"/>
        </w:rPr>
        <w:t> </w:t>
      </w:r>
      <w:r>
        <w:rPr>
          <w:spacing w:val="-100"/>
        </w:rPr>
      </w:r>
      <w:r>
        <w:rPr>
          <w:spacing w:val="-5"/>
        </w:rPr>
        <w:t>的相应份额以外，其余转为购买日所属当期投资收益）。</w:t>
      </w:r>
    </w:p>
    <w:p>
      <w:pPr>
        <w:pStyle w:val="Heading3"/>
        <w:spacing w:line="240" w:lineRule="auto" w:before="163"/>
        <w:ind w:left="567" w:right="1066"/>
        <w:jc w:val="left"/>
        <w:rPr>
          <w:b w:val="0"/>
          <w:bCs w:val="0"/>
        </w:rPr>
      </w:pPr>
      <w:r>
        <w:rPr/>
        <w:t>（六）合并财务报表的编制方法</w:t>
      </w:r>
      <w:r>
        <w:rPr>
          <w:b w:val="0"/>
          <w:bCs w:val="0"/>
        </w:rPr>
      </w:r>
    </w:p>
    <w:p>
      <w:pPr>
        <w:pStyle w:val="BodyText"/>
        <w:spacing w:line="273" w:lineRule="auto" w:before="37"/>
        <w:ind w:left="670" w:right="1066" w:hanging="106"/>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合并财务报表的合并范围以控制为基础予以确定。控制是指本公司拥有对被投资方的权力，通过</w:t>
      </w:r>
    </w:p>
    <w:p>
      <w:pPr>
        <w:pStyle w:val="BodyText"/>
        <w:spacing w:line="273" w:lineRule="auto"/>
        <w:ind w:left="144" w:right="1188"/>
        <w:jc w:val="both"/>
      </w:pPr>
      <w:r>
        <w:rPr>
          <w:spacing w:val="-1"/>
        </w:rPr>
        <w:t>参与被投资方的相关活动而享有可变回报，并且有能力运用对被投资方的权力影响该回报金额。合并范</w:t>
      </w:r>
      <w:r>
        <w:rPr>
          <w:spacing w:val="-100"/>
        </w:rPr>
        <w:t> </w:t>
      </w:r>
      <w:r>
        <w:rPr>
          <w:spacing w:val="-100"/>
        </w:rPr>
      </w:r>
      <w:r>
        <w:rPr/>
        <w:t>围包括本公司及全部子公司。子公司，是指被本公司控制的企业或主体。</w:t>
      </w:r>
    </w:p>
    <w:p>
      <w:pPr>
        <w:pStyle w:val="BodyText"/>
        <w:spacing w:line="240" w:lineRule="auto"/>
        <w:ind w:left="670" w:right="1066"/>
        <w:jc w:val="left"/>
      </w:pPr>
      <w:r>
        <w:rPr/>
        <w:t>一旦相关事实和情况的变化导致上述控制定义涉及的相关要素发生了变化，本公司将进行重新评</w:t>
      </w:r>
    </w:p>
    <w:p>
      <w:pPr>
        <w:pStyle w:val="BodyText"/>
        <w:spacing w:line="240" w:lineRule="auto" w:before="37"/>
        <w:ind w:left="144" w:right="1066"/>
        <w:jc w:val="left"/>
      </w:pPr>
      <w:r>
        <w:rPr/>
        <w:t>估。</w:t>
      </w:r>
    </w:p>
    <w:p>
      <w:pPr>
        <w:pStyle w:val="BodyText"/>
        <w:spacing w:line="273" w:lineRule="auto" w:before="37"/>
        <w:ind w:left="670" w:right="1066" w:hanging="106"/>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从取得子公司的净资产和生产经营决策的实际控制权之日起，本公司开始将其纳入合并范围；从</w:t>
      </w:r>
    </w:p>
    <w:p>
      <w:pPr>
        <w:pStyle w:val="BodyText"/>
        <w:spacing w:line="273" w:lineRule="auto"/>
        <w:ind w:left="144" w:right="1188"/>
        <w:jc w:val="both"/>
      </w:pPr>
      <w:r>
        <w:rPr>
          <w:spacing w:val="-1"/>
        </w:rPr>
        <w:t>丧失实际控制权之日起停止纳入合并范围。对于处置的子公司，处置日前的经营成果和现金流量已经适</w:t>
      </w:r>
      <w:r>
        <w:rPr>
          <w:spacing w:val="-100"/>
        </w:rPr>
        <w:t> </w:t>
      </w:r>
      <w:r>
        <w:rPr>
          <w:spacing w:val="-100"/>
        </w:rPr>
      </w:r>
      <w:r>
        <w:rPr>
          <w:spacing w:val="-1"/>
        </w:rPr>
        <w:t>当地包括在合并利润表和合并现金流量表中；当期处置的子公司，不调整合并资产负债表的期初数。非</w:t>
      </w:r>
      <w:r>
        <w:rPr>
          <w:spacing w:val="-102"/>
        </w:rPr>
        <w:t> </w:t>
      </w:r>
      <w:r>
        <w:rPr>
          <w:spacing w:val="-102"/>
        </w:rPr>
      </w:r>
      <w:r>
        <w:rPr>
          <w:spacing w:val="-1"/>
        </w:rPr>
        <w:t>同一控制下企业合并增加的子公司，其购买日后的经营成果及现金流量已经适当地包括在合并利润表和</w:t>
      </w:r>
      <w:r>
        <w:rPr>
          <w:spacing w:val="-100"/>
        </w:rPr>
        <w:t> </w:t>
      </w:r>
      <w:r>
        <w:rPr>
          <w:spacing w:val="-100"/>
        </w:rPr>
      </w:r>
      <w:r>
        <w:rPr>
          <w:spacing w:val="-1"/>
        </w:rPr>
        <w:t>合并现金流量表中，且不调整合并财务报表的期初数和对比数。同一控制下企业合并增加的子公司，其</w:t>
      </w:r>
      <w:r>
        <w:rPr>
          <w:spacing w:val="-102"/>
        </w:rPr>
        <w:t> </w:t>
      </w:r>
      <w:r>
        <w:rPr>
          <w:spacing w:val="-102"/>
        </w:rPr>
      </w:r>
      <w:r>
        <w:rPr>
          <w:spacing w:val="-1"/>
        </w:rPr>
        <w:t>自合并当期期初至合并日的经营成果和现金流量已经适当地包括在合并利润表和合并现金流量表中，并</w:t>
      </w:r>
      <w:r>
        <w:rPr>
          <w:spacing w:val="-99"/>
        </w:rPr>
        <w:t> </w:t>
      </w:r>
      <w:r>
        <w:rPr>
          <w:spacing w:val="-99"/>
        </w:rPr>
      </w:r>
      <w:r>
        <w:rPr/>
        <w:t>且同时调整合并财务报表的对比数。</w:t>
      </w:r>
    </w:p>
    <w:p>
      <w:pPr>
        <w:pStyle w:val="BodyText"/>
        <w:spacing w:line="273" w:lineRule="auto" w:before="8"/>
        <w:ind w:left="144" w:right="1187" w:firstLine="420"/>
        <w:jc w:val="both"/>
      </w:pPr>
      <w:r>
        <w:rPr>
          <w:spacing w:val="-1"/>
        </w:rPr>
        <w:t>在编制合并财务报表时，子公司与本公司采用的会计政策或会计期间不一致的，按照本公司的会计</w:t>
      </w:r>
      <w:r>
        <w:rPr/>
        <w:t> </w:t>
      </w:r>
      <w:r>
        <w:rPr>
          <w:spacing w:val="-1"/>
        </w:rPr>
        <w:t>政策和会计期间对子公司财务报表进行必要的调整。对于非同一控制下企业合并取得的子公司，以购买</w:t>
      </w:r>
      <w:r>
        <w:rPr>
          <w:spacing w:val="-99"/>
        </w:rPr>
        <w:t> </w:t>
      </w:r>
      <w:r>
        <w:rPr>
          <w:spacing w:val="-99"/>
        </w:rPr>
      </w:r>
      <w:r>
        <w:rPr/>
        <w:t>日可辨认净资产公允价值为基础对其财务报表进行调整。</w:t>
      </w:r>
    </w:p>
    <w:p>
      <w:pPr>
        <w:pStyle w:val="BodyText"/>
        <w:spacing w:line="240" w:lineRule="auto"/>
        <w:ind w:left="564" w:right="1066"/>
        <w:jc w:val="left"/>
      </w:pPr>
      <w:r>
        <w:rPr/>
        <w:t>公司内所有重大往来余额、交易及未实现利润在合并财务报表编制时予以抵销。</w:t>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97" w:firstLine="420"/>
        <w:jc w:val="both"/>
      </w:pPr>
      <w:r>
        <w:rPr>
          <w:spacing w:val="3"/>
        </w:rPr>
        <w:t>子公司的股东权益及当期净损益中不属于本公司所拥有的部分分别作为少数股东权益及少数股东</w:t>
      </w:r>
      <w:r>
        <w:rPr/>
        <w:t> </w:t>
      </w:r>
      <w:r>
        <w:rPr>
          <w:spacing w:val="3"/>
        </w:rPr>
        <w:t>损益在合并财务报表中股东权益及净利润项下单独列示。子公司当期净损益中属于少数股东权益的份</w:t>
      </w:r>
      <w:r>
        <w:rPr>
          <w:spacing w:val="-95"/>
        </w:rPr>
        <w:t> </w:t>
      </w:r>
      <w:r>
        <w:rPr>
          <w:spacing w:val="-95"/>
        </w:rPr>
      </w:r>
      <w:r>
        <w:rPr/>
        <w:t>额，在合并利润表中净利润项目下以“少数股东损益”项目列示。</w:t>
      </w:r>
    </w:p>
    <w:p>
      <w:pPr>
        <w:pStyle w:val="BodyText"/>
        <w:spacing w:line="273" w:lineRule="auto"/>
        <w:ind w:left="144" w:right="1189" w:firstLine="420"/>
        <w:jc w:val="both"/>
      </w:pPr>
      <w:r>
        <w:rPr>
          <w:spacing w:val="-1"/>
        </w:rPr>
        <w:t>少数股东分担的子公司的亏损超过了少数股东在该子公司期初股东权益中所享有的份额，冲减少数</w:t>
      </w:r>
      <w:r>
        <w:rPr/>
        <w:t> 股东权益。</w:t>
      </w:r>
    </w:p>
    <w:p>
      <w:pPr>
        <w:pStyle w:val="BodyText"/>
        <w:spacing w:line="273" w:lineRule="auto"/>
        <w:ind w:left="144" w:right="1187" w:firstLine="420"/>
        <w:jc w:val="both"/>
      </w:pPr>
      <w:r>
        <w:rPr>
          <w:spacing w:val="-1"/>
        </w:rPr>
        <w:t>当因处置部分股权投资或其他原因丧失了对原有子公司的控制权时，对于剩余股权，按照其在丧失</w:t>
      </w:r>
      <w:r>
        <w:rPr/>
        <w:t> </w:t>
      </w:r>
      <w:r>
        <w:rPr>
          <w:spacing w:val="-1"/>
        </w:rPr>
        <w:t>控制权日的公允价值进行重新计量。处置股权取得的对价与剩余股权公允价值之和，减去按原持股比例</w:t>
      </w:r>
      <w:r>
        <w:rPr>
          <w:spacing w:val="-100"/>
        </w:rPr>
        <w:t> </w:t>
      </w:r>
      <w:r>
        <w:rPr>
          <w:spacing w:val="-100"/>
        </w:rPr>
      </w:r>
      <w:r>
        <w:rPr>
          <w:spacing w:val="-1"/>
        </w:rPr>
        <w:t>计算应享有原有子公司自购买日开始持续计算的净资产的份额之间的差额，计入丧失控制权当期的投资</w:t>
      </w:r>
      <w:r>
        <w:rPr>
          <w:spacing w:val="-101"/>
        </w:rPr>
        <w:t> </w:t>
      </w:r>
      <w:r>
        <w:rPr>
          <w:spacing w:val="-101"/>
        </w:rPr>
      </w:r>
      <w:r>
        <w:rPr>
          <w:spacing w:val="-1"/>
        </w:rPr>
        <w:t>收益。与原有子公司股权投资相关的其他综合收益，在丧失控制权时采用与被购买方直接处置相关资产</w:t>
      </w:r>
      <w:r>
        <w:rPr>
          <w:spacing w:val="-100"/>
        </w:rPr>
        <w:t> </w:t>
      </w:r>
      <w:r>
        <w:rPr>
          <w:spacing w:val="-100"/>
        </w:rPr>
      </w:r>
      <w:r>
        <w:rPr>
          <w:spacing w:val="-1"/>
        </w:rPr>
        <w:t>或负债相同的基础进行会计处理（即，除了在该原有子公司重新计量设定受益计划净负债或净资产导致</w:t>
      </w:r>
      <w:r>
        <w:rPr>
          <w:spacing w:val="-100"/>
        </w:rPr>
        <w:t> </w:t>
      </w:r>
      <w:r>
        <w:rPr>
          <w:spacing w:val="-100"/>
        </w:rPr>
      </w:r>
      <w:r>
        <w:rPr>
          <w:spacing w:val="-3"/>
        </w:rPr>
        <w:t>的变动以外，其余一并转为当期投资收益）。其后，对该部分剩余股权按照《企业会计准则第</w:t>
      </w:r>
      <w:r>
        <w:rPr/>
        <w:t> </w:t>
      </w:r>
      <w:r>
        <w:rPr>
          <w:rFonts w:ascii="宋体" w:hAnsi="宋体" w:cs="宋体" w:eastAsia="宋体" w:hint="default"/>
        </w:rPr>
        <w:t>2</w:t>
      </w:r>
      <w:r>
        <w:rPr>
          <w:rFonts w:ascii="宋体" w:hAnsi="宋体" w:cs="宋体" w:eastAsia="宋体" w:hint="default"/>
          <w:spacing w:val="-23"/>
        </w:rPr>
        <w:t> </w:t>
      </w:r>
      <w:r>
        <w:rPr/>
        <w:t>号——</w:t>
      </w:r>
    </w:p>
    <w:p>
      <w:pPr>
        <w:pStyle w:val="BodyText"/>
        <w:spacing w:line="273" w:lineRule="auto"/>
        <w:ind w:left="564" w:right="1175" w:hanging="421"/>
        <w:jc w:val="left"/>
      </w:pPr>
      <w:r>
        <w:rPr/>
        <w:t>长期股权投资》或《企业会计准则第</w:t>
      </w:r>
      <w:r>
        <w:rPr>
          <w:spacing w:val="-54"/>
        </w:rPr>
        <w:t> </w:t>
      </w:r>
      <w:r>
        <w:rPr>
          <w:rFonts w:ascii="宋体" w:hAnsi="宋体" w:cs="宋体" w:eastAsia="宋体" w:hint="default"/>
        </w:rPr>
        <w:t>22</w:t>
      </w:r>
      <w:r>
        <w:rPr>
          <w:rFonts w:ascii="宋体" w:hAnsi="宋体" w:cs="宋体" w:eastAsia="宋体" w:hint="default"/>
          <w:spacing w:val="-53"/>
        </w:rPr>
        <w:t> </w:t>
      </w:r>
      <w:r>
        <w:rPr/>
        <w:t>号——金融工具确认和计量》等相关规定进行后续计量。 </w:t>
      </w:r>
      <w:r>
        <w:rPr>
          <w:spacing w:val="-1"/>
        </w:rPr>
        <w:t>本公司通过多次交易分步处置对子公司股权投资直至丧失控制权的，需区分处置对子公司股权投资</w:t>
      </w:r>
    </w:p>
    <w:p>
      <w:pPr>
        <w:pStyle w:val="BodyText"/>
        <w:spacing w:line="273" w:lineRule="auto"/>
        <w:ind w:left="144" w:right="1084"/>
        <w:jc w:val="both"/>
      </w:pPr>
      <w:r>
        <w:rPr/>
        <w:t>直至丧失控制权的各项交易是否属于一揽子交易。处置对子公司股权投资的各项交易的条款、条件以及 经济影响符合以下一种或多种情况，通常表明应将多次交易事项作为一揽子交易进行会计处理：①这些 交易是同时或者在考虑了彼此影响的情况下订立的；②这些交易整体才能达成一项完整的商业结果；③ 一项交易的发生取决于其他至少一项交易的发生；④一项交易单独看是不经济的，但是和其他交易一并 考虑时是经济的。不属于一揽子交易的，对其中的每一项交易视情况分别按照“不丧失控制权的情况下 </w:t>
      </w:r>
      <w:r>
        <w:rPr>
          <w:spacing w:val="-4"/>
        </w:rPr>
        <w:t>部分处置对子公司的长期股权投资”和“因处置部分股权投资或其他原因丧失了对原有子公司的控制权”</w:t>
      </w:r>
    </w:p>
    <w:p>
      <w:pPr>
        <w:pStyle w:val="BodyText"/>
        <w:spacing w:line="273" w:lineRule="auto"/>
        <w:ind w:left="144" w:right="1188"/>
        <w:jc w:val="both"/>
      </w:pPr>
      <w:r>
        <w:rPr>
          <w:spacing w:val="-1"/>
        </w:rPr>
        <w:t>（详见前段）适用的原则进行会计处理。处置对子公司股权投资直至丧失控制权的各项交易属于一揽子</w:t>
      </w:r>
      <w:r>
        <w:rPr>
          <w:spacing w:val="-100"/>
        </w:rPr>
        <w:t> </w:t>
      </w:r>
      <w:r>
        <w:rPr>
          <w:spacing w:val="-100"/>
        </w:rPr>
      </w:r>
      <w:r>
        <w:rPr>
          <w:spacing w:val="-1"/>
        </w:rPr>
        <w:t>交易的，将各项交易作为一项处置子公司并丧失控制权的交易进行会计处理；但是，在丧失控制权之前</w:t>
      </w:r>
      <w:r>
        <w:rPr>
          <w:spacing w:val="-102"/>
        </w:rPr>
        <w:t> </w:t>
      </w:r>
      <w:r>
        <w:rPr>
          <w:spacing w:val="-102"/>
        </w:rPr>
      </w:r>
      <w:r>
        <w:rPr>
          <w:spacing w:val="-1"/>
        </w:rPr>
        <w:t>每一次处置价款与处置投资对应的享有该子公司净资产份额的差额，在合并财务报表中确认为其他综合</w:t>
      </w:r>
      <w:r>
        <w:rPr>
          <w:spacing w:val="-101"/>
        </w:rPr>
        <w:t> </w:t>
      </w:r>
      <w:r>
        <w:rPr>
          <w:spacing w:val="-101"/>
        </w:rPr>
      </w:r>
      <w:r>
        <w:rPr/>
        <w:t>收益，在丧失控制权时一并转入丧失控制权当期的损益。</w:t>
      </w:r>
    </w:p>
    <w:p>
      <w:pPr>
        <w:spacing w:line="273" w:lineRule="auto" w:before="163"/>
        <w:ind w:left="564" w:right="1175"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w:t>
      </w:r>
    </w:p>
    <w:p>
      <w:pPr>
        <w:pStyle w:val="BodyText"/>
        <w:spacing w:line="240" w:lineRule="auto"/>
        <w:ind w:left="144" w:right="0"/>
        <w:jc w:val="both"/>
      </w:pPr>
      <w:r>
        <w:rPr/>
        <w:t>为从购买日起，三个月内到期</w:t>
      </w:r>
      <w:r>
        <w:rPr>
          <w:spacing w:val="-105"/>
        </w:rPr>
        <w:t>）</w:t>
      </w:r>
      <w:r>
        <w:rPr/>
        <w:t>、</w:t>
      </w:r>
      <w:r>
        <w:rPr>
          <w:spacing w:val="-2"/>
        </w:rPr>
        <w:t>流</w:t>
      </w:r>
      <w:r>
        <w:rPr/>
        <w:t>动性强、易于转换为已知金额的现金、价值变动风险很小的投资。</w:t>
      </w:r>
    </w:p>
    <w:p>
      <w:pPr>
        <w:spacing w:line="240" w:lineRule="auto" w:before="10"/>
        <w:rPr>
          <w:rFonts w:ascii="宋体" w:hAnsi="宋体" w:cs="宋体" w:eastAsia="宋体" w:hint="default"/>
          <w:sz w:val="14"/>
          <w:szCs w:val="14"/>
        </w:rPr>
      </w:pPr>
    </w:p>
    <w:p>
      <w:pPr>
        <w:pStyle w:val="Heading3"/>
        <w:spacing w:line="240" w:lineRule="auto" w:before="0"/>
        <w:ind w:left="567" w:right="1066"/>
        <w:jc w:val="left"/>
        <w:rPr>
          <w:b w:val="0"/>
          <w:bCs w:val="0"/>
        </w:rPr>
      </w:pPr>
      <w:r>
        <w:rPr/>
        <w:t>（八）外币业务和外币报表折算</w:t>
      </w:r>
      <w:r>
        <w:rPr>
          <w:b w:val="0"/>
          <w:bCs w:val="0"/>
        </w:rPr>
      </w:r>
    </w:p>
    <w:p>
      <w:pPr>
        <w:pStyle w:val="BodyText"/>
        <w:spacing w:line="273" w:lineRule="auto" w:before="37"/>
        <w:ind w:left="670" w:right="1066" w:hanging="106"/>
        <w:jc w:val="left"/>
      </w:pPr>
      <w:r>
        <w:rPr/>
        <w:t>（</w:t>
      </w:r>
      <w:r>
        <w:rPr>
          <w:rFonts w:ascii="宋体" w:hAnsi="宋体" w:cs="宋体" w:eastAsia="宋体" w:hint="default"/>
        </w:rPr>
        <w:t>1</w:t>
      </w:r>
      <w:r>
        <w:rPr/>
        <w:t>）外币交易的折算方法 本公司发生的外币交易在初始确认时，按交易日的即期汇率折算为记账本位币金额，但公司发生</w:t>
      </w:r>
    </w:p>
    <w:p>
      <w:pPr>
        <w:pStyle w:val="BodyText"/>
        <w:spacing w:line="240" w:lineRule="auto"/>
        <w:ind w:left="144" w:right="0"/>
        <w:jc w:val="both"/>
      </w:pPr>
      <w:r>
        <w:rPr/>
        <w:t>的外币兑换业务或涉及外币兑换的交易事项，按照实际采用的汇率折算为记账本位币金额。</w:t>
      </w:r>
    </w:p>
    <w:p>
      <w:pPr>
        <w:pStyle w:val="BodyText"/>
        <w:spacing w:line="273" w:lineRule="auto" w:before="37"/>
        <w:ind w:left="670" w:right="1066" w:hanging="106"/>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w:t>
      </w:r>
    </w:p>
    <w:p>
      <w:pPr>
        <w:pStyle w:val="BodyText"/>
        <w:spacing w:line="273" w:lineRule="auto"/>
        <w:ind w:left="144" w:right="1189"/>
        <w:jc w:val="both"/>
      </w:pPr>
      <w:r>
        <w:rPr>
          <w:spacing w:val="3"/>
        </w:rPr>
        <w:t>①属于与购建符合资本化条件的资产相关的外币专门借款产生的汇兑差额按照借款费用资本化的原则</w:t>
      </w:r>
      <w:r>
        <w:rPr>
          <w:spacing w:val="-95"/>
        </w:rPr>
        <w:t> </w:t>
      </w:r>
      <w:r>
        <w:rPr>
          <w:spacing w:val="-95"/>
        </w:rPr>
      </w:r>
      <w:r>
        <w:rPr>
          <w:spacing w:val="-1"/>
        </w:rPr>
        <w:t>处理；②可供出售的外币货币性项目除摊余成本之外的其他账面余额变动产生的汇兑差额计入其他综合</w:t>
      </w:r>
      <w:r>
        <w:rPr>
          <w:spacing w:val="-101"/>
        </w:rPr>
        <w:t> </w:t>
      </w:r>
      <w:r>
        <w:rPr>
          <w:spacing w:val="-101"/>
        </w:rPr>
      </w:r>
      <w:r>
        <w:rPr/>
        <w:t>收益之外，均计入当期损益。</w:t>
      </w:r>
    </w:p>
    <w:p>
      <w:pPr>
        <w:pStyle w:val="BodyText"/>
        <w:spacing w:line="273" w:lineRule="auto"/>
        <w:ind w:left="144" w:right="1069" w:firstLine="526"/>
        <w:jc w:val="left"/>
      </w:pPr>
      <w:r>
        <w:rPr>
          <w:spacing w:val="-1"/>
        </w:rPr>
        <w:t>以历史成本计量的外币非货币性项目，仍采用交易发生日的即期汇率折算的记账本位币金额计量。</w:t>
      </w:r>
      <w:r>
        <w:rPr/>
        <w:t> 以公允价值计量的外币非货币性项目，采用公允价值确定日的即期汇率折算，折算后的记账本位币金额 与原记账本位币金额的差额，作为公允价值变动（含汇率变动）处理，计入当期损益或确认为其他综合 收益。</w:t>
      </w:r>
    </w:p>
    <w:p>
      <w:pPr>
        <w:pStyle w:val="BodyText"/>
        <w:spacing w:line="273" w:lineRule="auto" w:before="164"/>
        <w:ind w:left="564" w:right="1175" w:firstLine="2"/>
        <w:jc w:val="left"/>
      </w:pPr>
      <w:r>
        <w:rPr>
          <w:rFonts w:ascii="宋体" w:hAnsi="宋体" w:cs="宋体" w:eastAsia="宋体" w:hint="default"/>
          <w:b/>
          <w:bCs/>
        </w:rPr>
        <w:t>（九）金融工具</w:t>
      </w:r>
      <w:r>
        <w:rPr>
          <w:rFonts w:ascii="宋体" w:hAnsi="宋体" w:cs="宋体" w:eastAsia="宋体" w:hint="default"/>
          <w:b/>
          <w:bCs/>
          <w:w w:val="99"/>
        </w:rPr>
        <w:t> </w:t>
      </w:r>
      <w:r>
        <w:rPr>
          <w:spacing w:val="-1"/>
        </w:rPr>
        <w:t>在本公司成为金融工具合同的一方时确认一项金融资产或金融负债。金融资产和金融负债在初始确</w:t>
      </w:r>
    </w:p>
    <w:p>
      <w:pPr>
        <w:pStyle w:val="BodyText"/>
        <w:spacing w:line="273" w:lineRule="auto"/>
        <w:ind w:left="144" w:right="1188"/>
        <w:jc w:val="both"/>
      </w:pPr>
      <w:r>
        <w:rPr>
          <w:spacing w:val="-1"/>
        </w:rPr>
        <w:t>认时以公允价值计量。对于以公允价值计量且其变动计入当期损益的金融资产和金融负债，相关的交易</w:t>
      </w:r>
      <w:r>
        <w:rPr>
          <w:spacing w:val="-100"/>
        </w:rPr>
        <w:t> </w:t>
      </w:r>
      <w:r>
        <w:rPr>
          <w:spacing w:val="-100"/>
        </w:rPr>
      </w:r>
      <w:r>
        <w:rPr/>
        <w:t>费用直接计入损益，对于其他类别的金融资产和金融负债，相关交易费用计入初始确认金额。</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564" w:right="1175"/>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w:t>
      </w:r>
    </w:p>
    <w:p>
      <w:pPr>
        <w:pStyle w:val="BodyText"/>
        <w:spacing w:line="273" w:lineRule="auto"/>
        <w:ind w:left="144" w:right="1151"/>
        <w:jc w:val="both"/>
      </w:pPr>
      <w:r>
        <w:rPr>
          <w:spacing w:val="-1"/>
        </w:rPr>
        <w:t>所需支付的价格。金融工具存在活跃市场的，本公司采用活跃市场中的报价确定其公允价值。活跃市场</w:t>
      </w:r>
      <w:r>
        <w:rPr>
          <w:spacing w:val="-101"/>
        </w:rPr>
        <w:t> </w:t>
      </w:r>
      <w:r>
        <w:rPr>
          <w:spacing w:val="-101"/>
        </w:rPr>
      </w:r>
      <w:r>
        <w:rPr>
          <w:spacing w:val="-1"/>
        </w:rPr>
        <w:t>中的报价是指易于定期从交易所、经纪商、行业协会、定价服务机构等获得的价格，且代表了在公平交</w:t>
      </w:r>
      <w:r>
        <w:rPr>
          <w:spacing w:val="-100"/>
        </w:rPr>
        <w:t> </w:t>
      </w:r>
      <w:r>
        <w:rPr>
          <w:spacing w:val="-100"/>
        </w:rPr>
      </w:r>
      <w:r>
        <w:rPr/>
        <w:t>易中实际发生的市场交易的价格。金融工具不存在活跃市场的，本公司采用估值技术确定其公允价值。 </w:t>
      </w:r>
      <w:r>
        <w:rPr>
          <w:spacing w:val="-1"/>
        </w:rPr>
        <w:t>估值技术包括参考熟悉情况并自愿交易的各方最近进行的市场交易中使用的价格、参照实质上相同的其</w:t>
      </w:r>
      <w:r>
        <w:rPr>
          <w:spacing w:val="-100"/>
        </w:rPr>
        <w:t> </w:t>
      </w:r>
      <w:r>
        <w:rPr>
          <w:spacing w:val="-100"/>
        </w:rPr>
      </w:r>
      <w:r>
        <w:rPr/>
        <w:t>他金融工具当前的公允价值、现金流量折现法和期权定价模型等。</w:t>
      </w:r>
    </w:p>
    <w:p>
      <w:pPr>
        <w:pStyle w:val="BodyText"/>
        <w:spacing w:line="273" w:lineRule="auto"/>
        <w:ind w:left="670" w:right="1066" w:hanging="106"/>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以常规方式买卖金融资产，按交易日进行会计确认和终止确认。金融资产在初始确认时划分为以</w:t>
      </w:r>
    </w:p>
    <w:p>
      <w:pPr>
        <w:pStyle w:val="BodyText"/>
        <w:spacing w:line="273" w:lineRule="auto"/>
        <w:ind w:left="144" w:right="1187"/>
        <w:jc w:val="both"/>
      </w:pPr>
      <w:r>
        <w:rPr>
          <w:spacing w:val="-1"/>
        </w:rPr>
        <w:t>公允价值计量且其变动计入当期损益的金融资产、持有至到期投资、贷款和应收款项以及可供出售金融</w:t>
      </w:r>
      <w:r>
        <w:rPr>
          <w:spacing w:val="-100"/>
        </w:rPr>
        <w:t> </w:t>
      </w:r>
      <w:r>
        <w:rPr>
          <w:spacing w:val="-100"/>
        </w:rPr>
      </w:r>
      <w:r>
        <w:rPr/>
        <w:t>资产。</w:t>
      </w:r>
    </w:p>
    <w:p>
      <w:pPr>
        <w:pStyle w:val="BodyText"/>
        <w:spacing w:line="273" w:lineRule="auto"/>
        <w:ind w:left="670" w:right="1066"/>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取得该金融资产的目的，主要是为了近期</w:t>
      </w:r>
    </w:p>
    <w:p>
      <w:pPr>
        <w:pStyle w:val="BodyText"/>
        <w:spacing w:line="273" w:lineRule="auto"/>
        <w:ind w:left="144" w:right="1187"/>
        <w:jc w:val="both"/>
      </w:pPr>
      <w:r>
        <w:rPr>
          <w:spacing w:val="-1"/>
        </w:rPr>
        <w:t>内出售；</w:t>
      </w:r>
      <w:r>
        <w:rPr>
          <w:rFonts w:ascii="宋体" w:hAnsi="宋体" w:cs="宋体" w:eastAsia="宋体" w:hint="default"/>
          <w:spacing w:val="-1"/>
        </w:rPr>
        <w:t>B.</w:t>
      </w:r>
      <w:r>
        <w:rPr>
          <w:spacing w:val="-1"/>
        </w:rPr>
        <w:t>属于进行集中管理的可辨认金融工具组合的一部分，且有客观证据表明本公司近期采用短期</w:t>
      </w:r>
      <w:r>
        <w:rPr>
          <w:spacing w:val="-99"/>
        </w:rPr>
        <w:t> </w:t>
      </w:r>
      <w:r>
        <w:rPr>
          <w:spacing w:val="-99"/>
        </w:rPr>
      </w:r>
      <w:r>
        <w:rPr>
          <w:spacing w:val="-1"/>
        </w:rPr>
        <w:t>获利方式对该组合进行管理；</w:t>
      </w:r>
      <w:r>
        <w:rPr>
          <w:rFonts w:ascii="宋体" w:hAnsi="宋体" w:cs="宋体" w:eastAsia="宋体" w:hint="default"/>
          <w:spacing w:val="-1"/>
        </w:rPr>
        <w:t>C.</w:t>
      </w:r>
      <w:r>
        <w:rPr>
          <w:spacing w:val="-1"/>
        </w:rPr>
        <w:t>属于衍生工具，但是，被指定且为有效套期工具的衍生工具、属于财务</w:t>
      </w:r>
      <w:r>
        <w:rPr>
          <w:spacing w:val="-101"/>
        </w:rPr>
        <w:t> </w:t>
      </w:r>
      <w:r>
        <w:rPr>
          <w:spacing w:val="-101"/>
        </w:rPr>
      </w:r>
      <w:r>
        <w:rPr>
          <w:spacing w:val="-1"/>
        </w:rPr>
        <w:t>担保合同的衍生工具、与在活跃市场中没有报价且其公允价值不能可靠计量的权益工具投资挂钩并须通</w:t>
      </w:r>
      <w:r>
        <w:rPr>
          <w:spacing w:val="-101"/>
        </w:rPr>
        <w:t> </w:t>
      </w:r>
      <w:r>
        <w:rPr>
          <w:spacing w:val="-101"/>
        </w:rPr>
      </w:r>
      <w:r>
        <w:rPr/>
        <w:t>过交付该权益工具结算的衍生工具除外。</w:t>
      </w:r>
    </w:p>
    <w:p>
      <w:pPr>
        <w:pStyle w:val="BodyText"/>
        <w:spacing w:line="273" w:lineRule="auto"/>
        <w:ind w:left="144" w:right="1187" w:firstLine="420"/>
        <w:jc w:val="both"/>
      </w:pPr>
      <w:r>
        <w:rPr>
          <w:spacing w:val="-1"/>
        </w:rPr>
        <w:t>符合下述条件之一的金融资产，在初始确认时可指定为以公允价值计量且其变动计入当期损益的金</w:t>
      </w:r>
      <w:r>
        <w:rPr/>
        <w:t> </w:t>
      </w:r>
      <w:r>
        <w:rPr>
          <w:spacing w:val="-1"/>
        </w:rPr>
        <w:t>融资产：</w:t>
      </w:r>
      <w:r>
        <w:rPr>
          <w:rFonts w:ascii="宋体" w:hAnsi="宋体" w:cs="宋体" w:eastAsia="宋体" w:hint="default"/>
          <w:spacing w:val="-1"/>
        </w:rPr>
        <w:t>A.</w:t>
      </w:r>
      <w:r>
        <w:rPr>
          <w:spacing w:val="-1"/>
        </w:rPr>
        <w:t>该指定可以消除或明显减少由于该金融资产的计量基础不同所导致的相关利得或损失在确认</w:t>
      </w:r>
      <w:r>
        <w:rPr>
          <w:spacing w:val="-100"/>
        </w:rPr>
        <w:t> </w:t>
      </w:r>
      <w:r>
        <w:rPr>
          <w:spacing w:val="-100"/>
        </w:rPr>
      </w:r>
      <w:r>
        <w:rPr>
          <w:spacing w:val="-1"/>
        </w:rPr>
        <w:t>或计量方面不一致的情况；</w:t>
      </w:r>
      <w:r>
        <w:rPr>
          <w:rFonts w:ascii="宋体" w:hAnsi="宋体" w:cs="宋体" w:eastAsia="宋体" w:hint="default"/>
          <w:spacing w:val="-1"/>
        </w:rPr>
        <w:t>B.</w:t>
      </w:r>
      <w:r>
        <w:rPr>
          <w:spacing w:val="-1"/>
        </w:rPr>
        <w:t>本公司风险管理或投资策略的正式书面文件已载明，对该金融资产所在的</w:t>
      </w:r>
      <w:r>
        <w:rPr>
          <w:spacing w:val="-100"/>
        </w:rPr>
        <w:t> </w:t>
      </w:r>
      <w:r>
        <w:rPr>
          <w:spacing w:val="-100"/>
        </w:rPr>
      </w:r>
      <w:r>
        <w:rPr/>
        <w:t>金融资产组合或金融资产和金融负债组合以公允价值为基础进行管理、评价并向关键管理人员报告。</w:t>
      </w:r>
    </w:p>
    <w:p>
      <w:pPr>
        <w:pStyle w:val="BodyText"/>
        <w:spacing w:line="273" w:lineRule="auto" w:before="8"/>
        <w:ind w:left="144" w:right="1189" w:firstLine="420"/>
        <w:jc w:val="both"/>
      </w:pPr>
      <w:r>
        <w:rPr>
          <w:spacing w:val="-1"/>
        </w:rPr>
        <w:t>以公允价值计量且其变动计入当期损益的金融资产采用公允价值进行后续计量，公允价值变动形成</w:t>
      </w:r>
      <w:r>
        <w:rPr/>
        <w:t> 的利得或损失以及与该等金融资产相关的股利和利息收入计入当期损益。</w:t>
      </w:r>
    </w:p>
    <w:p>
      <w:pPr>
        <w:pStyle w:val="BodyText"/>
        <w:spacing w:line="273" w:lineRule="auto"/>
        <w:ind w:left="564" w:right="1175"/>
        <w:jc w:val="left"/>
      </w:pPr>
      <w:r>
        <w:rPr/>
        <w:t>②持有至到期投资 </w:t>
      </w:r>
      <w:r>
        <w:rPr>
          <w:spacing w:val="-1"/>
        </w:rPr>
        <w:t>是指到期日固定、回收金额固定或可确定，且本公司有明确意图和能力持有至到期的非衍生金融资</w:t>
      </w:r>
    </w:p>
    <w:p>
      <w:pPr>
        <w:pStyle w:val="BodyText"/>
        <w:spacing w:line="240" w:lineRule="auto"/>
        <w:ind w:left="144" w:right="1066"/>
        <w:jc w:val="left"/>
      </w:pPr>
      <w:r>
        <w:rPr/>
        <w:t>产。</w:t>
      </w:r>
    </w:p>
    <w:p>
      <w:pPr>
        <w:pStyle w:val="BodyText"/>
        <w:spacing w:line="240" w:lineRule="auto" w:before="37"/>
        <w:ind w:left="564" w:right="1066"/>
        <w:jc w:val="left"/>
      </w:pPr>
      <w:r>
        <w:rPr/>
        <w:t>持有至到期投资采用实际利率法，按摊余成本进行后续计量，在终止确认、发生减值或摊销时产生</w:t>
      </w:r>
    </w:p>
    <w:p>
      <w:pPr>
        <w:pStyle w:val="BodyText"/>
        <w:spacing w:line="273" w:lineRule="auto" w:before="37"/>
        <w:ind w:left="564" w:right="1175" w:hanging="421"/>
        <w:jc w:val="left"/>
      </w:pPr>
      <w:r>
        <w:rPr/>
        <w:t>的利得或损失，计入当期损益。 </w:t>
      </w:r>
      <w:r>
        <w:rPr>
          <w:spacing w:val="-1"/>
        </w:rPr>
        <w:t>实际利率法是指按照金融资产或金融负债（含一组金融资产或金融负债）的实际利率计算其摊余成</w:t>
      </w:r>
    </w:p>
    <w:p>
      <w:pPr>
        <w:pStyle w:val="BodyText"/>
        <w:spacing w:line="273" w:lineRule="auto"/>
        <w:ind w:left="144" w:right="1177"/>
        <w:jc w:val="left"/>
      </w:pPr>
      <w:r>
        <w:rPr>
          <w:spacing w:val="-1"/>
        </w:rPr>
        <w:t>本及各期利息收入或支出的方法。实际利率是指将金融资产或金融负债在预期存续期间或适用的更短期</w:t>
      </w:r>
      <w:r>
        <w:rPr>
          <w:spacing w:val="-101"/>
        </w:rPr>
        <w:t> </w:t>
      </w:r>
      <w:r>
        <w:rPr>
          <w:spacing w:val="-101"/>
        </w:rPr>
      </w:r>
      <w:r>
        <w:rPr/>
        <w:t>间内的未来现金流量，折现为该金融资产或金融负债当前账面价值所使用的利率。</w:t>
      </w:r>
    </w:p>
    <w:p>
      <w:pPr>
        <w:pStyle w:val="BodyText"/>
        <w:spacing w:line="240" w:lineRule="auto"/>
        <w:ind w:left="564" w:right="1066"/>
        <w:jc w:val="left"/>
      </w:pPr>
      <w:r>
        <w:rPr/>
        <w:t>在计算实际利率时，本公司将在考虑金融资产或金融负债所有合同条款的基础上预计未来现金流量</w:t>
      </w:r>
    </w:p>
    <w:p>
      <w:pPr>
        <w:pStyle w:val="BodyText"/>
        <w:spacing w:line="273" w:lineRule="auto" w:before="37"/>
        <w:ind w:left="144" w:right="1066"/>
        <w:jc w:val="left"/>
      </w:pPr>
      <w:r>
        <w:rPr>
          <w:spacing w:val="-2"/>
        </w:rPr>
        <w:t>（不考虑未来的信用损失），同时还将考虑金融资产或金融负债合同各方之间支付或收取的、属于实际</w:t>
      </w:r>
      <w:r>
        <w:rPr>
          <w:spacing w:val="-68"/>
        </w:rPr>
        <w:t> </w:t>
      </w:r>
      <w:r>
        <w:rPr>
          <w:spacing w:val="-68"/>
        </w:rPr>
      </w:r>
      <w:r>
        <w:rPr/>
        <w:t>利率组成部分的各项收费、交易费用及折价或溢价等。</w:t>
      </w:r>
    </w:p>
    <w:p>
      <w:pPr>
        <w:pStyle w:val="BodyText"/>
        <w:spacing w:line="273" w:lineRule="auto"/>
        <w:ind w:left="564" w:right="1175"/>
        <w:jc w:val="left"/>
      </w:pPr>
      <w:r>
        <w:rPr/>
        <w:t>③贷款和应收款项 </w:t>
      </w:r>
      <w:r>
        <w:rPr>
          <w:spacing w:val="-1"/>
        </w:rPr>
        <w:t>是指在活跃市场中没有报价、回收金额固定或可确定的非衍生金融资产。本公司划分为贷款和应收</w:t>
      </w:r>
    </w:p>
    <w:p>
      <w:pPr>
        <w:pStyle w:val="BodyText"/>
        <w:spacing w:line="273" w:lineRule="auto"/>
        <w:ind w:left="564" w:right="1175" w:hanging="421"/>
        <w:jc w:val="left"/>
      </w:pPr>
      <w:r>
        <w:rPr/>
        <w:t>款的金融资产包括应收票据、应收账款、应收利息、应收股利及其他应收款等。 </w:t>
      </w:r>
      <w:r>
        <w:rPr>
          <w:spacing w:val="-1"/>
        </w:rPr>
        <w:t>贷款和应收款项采用实际利率法，按摊余成本进行后续计量，在终止确认、发生减值或摊销时产生</w:t>
      </w:r>
    </w:p>
    <w:p>
      <w:pPr>
        <w:pStyle w:val="BodyText"/>
        <w:spacing w:line="240" w:lineRule="auto"/>
        <w:ind w:left="144" w:right="1066"/>
        <w:jc w:val="left"/>
      </w:pPr>
      <w:r>
        <w:rPr/>
        <w:t>的利得或损失，计入当期损益。</w:t>
      </w:r>
    </w:p>
    <w:p>
      <w:pPr>
        <w:pStyle w:val="BodyText"/>
        <w:spacing w:line="273" w:lineRule="auto" w:before="37"/>
        <w:ind w:left="564" w:right="1175"/>
        <w:jc w:val="left"/>
      </w:pPr>
      <w:r>
        <w:rPr/>
        <w:t>④可供出售金融资产 </w:t>
      </w:r>
      <w:r>
        <w:rPr>
          <w:spacing w:val="-1"/>
        </w:rPr>
        <w:t>包括初始确认时即被指定为可供出售的非衍生金融资产，以及除了以公允价值计量且其变动计入当</w:t>
      </w:r>
    </w:p>
    <w:p>
      <w:pPr>
        <w:pStyle w:val="BodyText"/>
        <w:spacing w:line="273" w:lineRule="auto"/>
        <w:ind w:left="564" w:right="1175" w:hanging="421"/>
        <w:jc w:val="left"/>
      </w:pPr>
      <w:r>
        <w:rPr/>
        <w:t>期损益的金融资产、贷款和应收款项、持有至到期投资以外的金融资产。 </w:t>
      </w:r>
      <w:r>
        <w:rPr>
          <w:spacing w:val="-1"/>
        </w:rPr>
        <w:t>可供出售债务工具投资的期末成本按照其摊余成本法确定，即初始确认金额扣除已偿还的本金，加</w:t>
      </w:r>
    </w:p>
    <w:p>
      <w:pPr>
        <w:spacing w:after="0" w:line="273"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88"/>
        <w:jc w:val="both"/>
      </w:pPr>
      <w:r>
        <w:rPr>
          <w:spacing w:val="-1"/>
        </w:rPr>
        <w:t>上或减去采用实际利率法将该初始确认金额与到期日金额之间的差额进行摊销形成的累计摊销额，并扣</w:t>
      </w:r>
      <w:r>
        <w:rPr>
          <w:spacing w:val="-99"/>
        </w:rPr>
        <w:t> </w:t>
      </w:r>
      <w:r>
        <w:rPr>
          <w:spacing w:val="-99"/>
        </w:rPr>
      </w:r>
      <w:r>
        <w:rPr/>
        <w:t>除已发生的减值损失后的金额。可供出售权益工具投资的期末成本为其初始取得成本。</w:t>
      </w:r>
    </w:p>
    <w:p>
      <w:pPr>
        <w:pStyle w:val="BodyText"/>
        <w:spacing w:line="273" w:lineRule="auto"/>
        <w:ind w:left="144" w:right="1187" w:firstLine="420"/>
        <w:jc w:val="both"/>
      </w:pPr>
      <w:r>
        <w:rPr>
          <w:spacing w:val="-1"/>
        </w:rPr>
        <w:t>可供出售金融资产采用公允价值进行后续计量，公允价值变动形成的利得或损失，除减值损失和外</w:t>
      </w:r>
      <w:r>
        <w:rPr/>
        <w:t> </w:t>
      </w:r>
      <w:r>
        <w:rPr>
          <w:spacing w:val="-1"/>
        </w:rPr>
        <w:t>币货币性金融资产与摊余成本相关的汇兑差额计入当期损益外，确认为其他综合收益，在该金融资产终</w:t>
      </w:r>
      <w:r>
        <w:rPr>
          <w:spacing w:val="-100"/>
        </w:rPr>
        <w:t> </w:t>
      </w:r>
      <w:r>
        <w:rPr>
          <w:spacing w:val="-100"/>
        </w:rPr>
      </w:r>
      <w:r>
        <w:rPr>
          <w:spacing w:val="-1"/>
        </w:rPr>
        <w:t>止确认时转出，计入当期损益。但是，在活跃市场中没有报价且其公允价值不能可靠计量的权益工具投</w:t>
      </w:r>
      <w:r>
        <w:rPr>
          <w:spacing w:val="-102"/>
        </w:rPr>
        <w:t> </w:t>
      </w:r>
      <w:r>
        <w:rPr>
          <w:spacing w:val="-102"/>
        </w:rPr>
      </w:r>
      <w:r>
        <w:rPr/>
        <w:t>资，以及与该权益工具挂钩并须通过交付该权益工具结算的衍生金融资产，按照成本进行后续计量。</w:t>
      </w:r>
    </w:p>
    <w:p>
      <w:pPr>
        <w:pStyle w:val="BodyText"/>
        <w:spacing w:line="240" w:lineRule="auto"/>
        <w:ind w:left="564" w:right="1066"/>
        <w:jc w:val="left"/>
      </w:pPr>
      <w:r>
        <w:rPr/>
        <w:t>可供出售金融资产持有期间取得的利息及被投资单位宣告发放的现金股利，计入投资收益。</w:t>
      </w:r>
    </w:p>
    <w:p>
      <w:pPr>
        <w:pStyle w:val="BodyText"/>
        <w:spacing w:line="273" w:lineRule="auto" w:before="37"/>
        <w:ind w:left="564" w:right="1175"/>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w:t>
      </w:r>
    </w:p>
    <w:p>
      <w:pPr>
        <w:pStyle w:val="BodyText"/>
        <w:spacing w:line="273" w:lineRule="auto"/>
        <w:ind w:left="564" w:right="1175" w:hanging="421"/>
        <w:jc w:val="left"/>
      </w:pPr>
      <w:r>
        <w:rPr/>
        <w:t>资产的账面价值进行检查，有客观证据表明金融资产发生减值的，计提减值准备。 </w:t>
      </w:r>
      <w:r>
        <w:rPr>
          <w:spacing w:val="-1"/>
        </w:rPr>
        <w:t>本公司对单项金额重大的金融资产单独进行减值测试；对单项金额不重大的金融资产，单独进行减</w:t>
      </w:r>
    </w:p>
    <w:p>
      <w:pPr>
        <w:pStyle w:val="BodyText"/>
        <w:spacing w:line="273" w:lineRule="auto"/>
        <w:ind w:left="564" w:right="1066" w:hanging="421"/>
        <w:jc w:val="left"/>
      </w:pPr>
      <w:r>
        <w:rPr/>
        <w:t>值测试或包括在具有类似信用风险特征的金融资产组合中进行减值测试。 </w:t>
      </w:r>
      <w:r>
        <w:rPr>
          <w:spacing w:val="-2"/>
        </w:rPr>
        <w:t>单独测试未发生减值的金融资产（包括单项金额重大和不重大的金融资产），包括在具有类似信用</w:t>
      </w:r>
    </w:p>
    <w:p>
      <w:pPr>
        <w:pStyle w:val="BodyText"/>
        <w:spacing w:line="273" w:lineRule="auto"/>
        <w:ind w:left="144" w:right="1188"/>
        <w:jc w:val="both"/>
      </w:pPr>
      <w:r>
        <w:rPr>
          <w:spacing w:val="-1"/>
        </w:rPr>
        <w:t>风险特征的金融资产组合中再进行减值测试。已单项确认减值损失的金融资产，不包括在具有类似信用</w:t>
      </w:r>
      <w:r>
        <w:rPr>
          <w:spacing w:val="-100"/>
        </w:rPr>
        <w:t> </w:t>
      </w:r>
      <w:r>
        <w:rPr>
          <w:spacing w:val="-100"/>
        </w:rPr>
      </w:r>
      <w:r>
        <w:rPr/>
        <w:t>风险特征的金融资产组合中进行减值测试。</w:t>
      </w:r>
    </w:p>
    <w:p>
      <w:pPr>
        <w:pStyle w:val="BodyText"/>
        <w:spacing w:line="273" w:lineRule="auto"/>
        <w:ind w:left="564" w:right="1175" w:firstLine="105"/>
        <w:jc w:val="left"/>
      </w:pPr>
      <w:r>
        <w:rPr/>
        <w:t>①持有至到期投资、贷款和应收款项减值 </w:t>
      </w:r>
      <w:r>
        <w:rPr>
          <w:spacing w:val="-1"/>
        </w:rPr>
        <w:t>以成本或摊余成本计量的金融资产将其账面价值减记至预计未来现金流量现值，减记金额确认为减</w:t>
      </w:r>
    </w:p>
    <w:p>
      <w:pPr>
        <w:pStyle w:val="BodyText"/>
        <w:spacing w:line="273" w:lineRule="auto"/>
        <w:ind w:left="144" w:right="1188"/>
        <w:jc w:val="both"/>
      </w:pPr>
      <w:r>
        <w:rPr>
          <w:spacing w:val="-1"/>
        </w:rPr>
        <w:t>值损失，计入当期损益。金融资产在确认减值损失后，如有客观证据表明该金融资产价值已恢复，且客</w:t>
      </w:r>
      <w:r>
        <w:rPr>
          <w:spacing w:val="-100"/>
        </w:rPr>
        <w:t> </w:t>
      </w:r>
      <w:r>
        <w:rPr>
          <w:spacing w:val="-100"/>
        </w:rPr>
      </w:r>
      <w:r>
        <w:rPr>
          <w:spacing w:val="-1"/>
        </w:rPr>
        <w:t>观上与确认该损失后发生的事项有关，原确认的减值损失予以转回，金融资产转回减值损失后的账面价</w:t>
      </w:r>
      <w:r>
        <w:rPr>
          <w:spacing w:val="-100"/>
        </w:rPr>
        <w:t> </w:t>
      </w:r>
      <w:r>
        <w:rPr>
          <w:spacing w:val="-100"/>
        </w:rPr>
      </w:r>
      <w:r>
        <w:rPr/>
        <w:t>值不超过假定不计提减值准备情况下该金融资产在转回日的摊余成本。</w:t>
      </w:r>
    </w:p>
    <w:p>
      <w:pPr>
        <w:pStyle w:val="BodyText"/>
        <w:spacing w:line="273" w:lineRule="auto"/>
        <w:ind w:left="670" w:right="1066"/>
        <w:jc w:val="left"/>
      </w:pPr>
      <w:r>
        <w:rPr/>
        <w:t>②可供出售金融资产减值 当综合相关因素判断可供出售权益工具投资公允价值下跌是严重或非暂时性下跌时，表明该可供</w:t>
      </w:r>
    </w:p>
    <w:p>
      <w:pPr>
        <w:pStyle w:val="BodyText"/>
        <w:spacing w:line="273" w:lineRule="auto" w:before="8"/>
        <w:ind w:left="144" w:right="1097"/>
        <w:jc w:val="both"/>
      </w:pPr>
      <w:r>
        <w:rPr/>
        <w:t>出售权益工具投资发生减值。其中“严重下跌”是指公允价值下跌幅度累计超过</w:t>
      </w:r>
      <w:r>
        <w:rPr>
          <w:spacing w:val="-51"/>
        </w:rPr>
        <w:t> </w:t>
      </w:r>
      <w:r>
        <w:rPr>
          <w:rFonts w:ascii="宋体" w:hAnsi="宋体" w:cs="宋体" w:eastAsia="宋体" w:hint="default"/>
          <w:spacing w:val="-9"/>
        </w:rPr>
        <w:t>20%</w:t>
      </w:r>
      <w:r>
        <w:rPr>
          <w:spacing w:val="-9"/>
        </w:rPr>
        <w:t>；“非暂时性下跌”</w:t>
      </w:r>
      <w:r>
        <w:rPr/>
        <w:t> 是指公允价值连续下跌时间超过</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pStyle w:val="BodyText"/>
        <w:spacing w:line="273" w:lineRule="auto"/>
        <w:ind w:left="144" w:right="1188" w:firstLine="420"/>
        <w:jc w:val="both"/>
      </w:pPr>
      <w:r>
        <w:rPr>
          <w:spacing w:val="-1"/>
        </w:rPr>
        <w:t>可供出售金融资产发生减值时，将原计入其他综合收益的因公允价值下降形成的累计损失予以转出</w:t>
      </w:r>
      <w:r>
        <w:rPr/>
        <w:t> </w:t>
      </w:r>
      <w:r>
        <w:rPr>
          <w:spacing w:val="-1"/>
        </w:rPr>
        <w:t>并计入当期损益，该转出的累计损失为该资产初始取得成本扣除已收回本金和已摊销金额、当前公允价</w:t>
      </w:r>
      <w:r>
        <w:rPr>
          <w:spacing w:val="-100"/>
        </w:rPr>
        <w:t> </w:t>
      </w:r>
      <w:r>
        <w:rPr>
          <w:spacing w:val="-100"/>
        </w:rPr>
      </w:r>
      <w:r>
        <w:rPr/>
        <w:t>值和原已计入损益的减值损失后的余额。</w:t>
      </w:r>
    </w:p>
    <w:p>
      <w:pPr>
        <w:pStyle w:val="BodyText"/>
        <w:spacing w:line="273" w:lineRule="auto"/>
        <w:ind w:left="144" w:right="1066" w:firstLine="420"/>
        <w:jc w:val="left"/>
      </w:pPr>
      <w:r>
        <w:rPr/>
        <w:t>在确认减值损失后，期后如有客观证据表明该金融资产价值已恢复，且客观上与确认该损失后发生 </w:t>
      </w:r>
      <w:r>
        <w:rPr>
          <w:spacing w:val="-4"/>
        </w:rPr>
        <w:t>的事项有关，原确认的减值损失予以转回，可供出售权益工具投资的减值损失转回确认为其他综合收益，</w:t>
      </w:r>
      <w:r>
        <w:rPr>
          <w:spacing w:val="-67"/>
        </w:rPr>
        <w:t> </w:t>
      </w:r>
      <w:r>
        <w:rPr>
          <w:spacing w:val="-67"/>
        </w:rPr>
      </w:r>
      <w:r>
        <w:rPr/>
        <w:t>可供出售债务工具的减值损失转回计入当期损益。</w:t>
      </w:r>
    </w:p>
    <w:p>
      <w:pPr>
        <w:pStyle w:val="BodyText"/>
        <w:spacing w:line="273" w:lineRule="auto"/>
        <w:ind w:left="144" w:right="1188" w:firstLine="420"/>
        <w:jc w:val="both"/>
      </w:pPr>
      <w:r>
        <w:rPr>
          <w:spacing w:val="-1"/>
        </w:rPr>
        <w:t>在活跃市场中没有报价且其公允价值不能可靠计量的权益工具投资，或与该权益工具挂钩并须通过</w:t>
      </w:r>
      <w:r>
        <w:rPr/>
        <w:t> 交付该权益工具结算的衍生金融资产的减值损失，不予转回。</w:t>
      </w:r>
    </w:p>
    <w:p>
      <w:pPr>
        <w:pStyle w:val="BodyText"/>
        <w:spacing w:line="273" w:lineRule="auto"/>
        <w:ind w:left="564" w:right="1175" w:hanging="211"/>
        <w:jc w:val="left"/>
      </w:pPr>
      <w:r>
        <w:rPr/>
        <w:t>（</w:t>
      </w:r>
      <w:r>
        <w:rPr>
          <w:rFonts w:ascii="宋体" w:hAnsi="宋体" w:cs="宋体" w:eastAsia="宋体" w:hint="default"/>
        </w:rPr>
        <w:t>4</w:t>
      </w:r>
      <w:r>
        <w:rPr/>
        <w:t>）金融资产转移的确认依据和计量方法 </w:t>
      </w:r>
      <w:r>
        <w:rPr>
          <w:spacing w:val="-1"/>
        </w:rPr>
        <w:t>满足下列条件之一的金融资产，予以终止确认：①收取该金融资产现金流量的合同权利终止；②该</w:t>
      </w:r>
    </w:p>
    <w:p>
      <w:pPr>
        <w:pStyle w:val="BodyText"/>
        <w:spacing w:line="273" w:lineRule="auto"/>
        <w:ind w:left="144" w:right="1151"/>
        <w:jc w:val="both"/>
      </w:pPr>
      <w:r>
        <w:rPr/>
        <w:t>金融资产已转移，且将金融资产所有权上几乎所有的风险和报酬转移给转入方；③该金融资产已转移， </w:t>
      </w:r>
      <w:r>
        <w:rPr>
          <w:spacing w:val="-1"/>
        </w:rPr>
        <w:t>虽然企业既没有转移也没有保留金融资产所有权上几乎所有的风险和报酬，但是放弃了对该金融资产控</w:t>
      </w:r>
      <w:r>
        <w:rPr>
          <w:spacing w:val="-101"/>
        </w:rPr>
        <w:t> </w:t>
      </w:r>
      <w:r>
        <w:rPr>
          <w:spacing w:val="-101"/>
        </w:rPr>
      </w:r>
      <w:r>
        <w:rPr/>
        <w:t>制。</w:t>
      </w:r>
    </w:p>
    <w:p>
      <w:pPr>
        <w:pStyle w:val="BodyText"/>
        <w:spacing w:line="273" w:lineRule="auto"/>
        <w:ind w:left="144" w:right="1189" w:firstLine="420"/>
        <w:jc w:val="both"/>
      </w:pPr>
      <w:r>
        <w:rPr>
          <w:spacing w:val="-1"/>
        </w:rPr>
        <w:t>若企业既没有转移也没有保留金融资产所有权上几乎所有的风险和报酬，且未放弃对该金融资产的</w:t>
      </w:r>
      <w:r>
        <w:rPr/>
        <w:t> </w:t>
      </w:r>
      <w:r>
        <w:rPr>
          <w:spacing w:val="-1"/>
        </w:rPr>
        <w:t>控制的，则按照继续涉入所转移金融资产的程度确认有关金融资产，并相应确认有关负债。继续涉入所</w:t>
      </w:r>
      <w:r>
        <w:rPr>
          <w:spacing w:val="-102"/>
        </w:rPr>
        <w:t> </w:t>
      </w:r>
      <w:r>
        <w:rPr>
          <w:spacing w:val="-102"/>
        </w:rPr>
      </w:r>
      <w:r>
        <w:rPr/>
        <w:t>转移金融资产的程度，是指该金融资产价值变动使企业面临的风险水平。</w:t>
      </w:r>
    </w:p>
    <w:p>
      <w:pPr>
        <w:pStyle w:val="BodyText"/>
        <w:spacing w:line="273" w:lineRule="auto" w:before="8"/>
        <w:ind w:left="144" w:right="1189" w:firstLine="420"/>
        <w:jc w:val="both"/>
      </w:pPr>
      <w:r>
        <w:rPr>
          <w:spacing w:val="-1"/>
        </w:rPr>
        <w:t>金融资产整体转移满足终止确认条件的，将所转移金融资产的账面价值及因转移而收到的对价与原</w:t>
      </w:r>
      <w:r>
        <w:rPr/>
        <w:t> 计入其他综合收益的公允价值变动累计额之和的差额计入当期损益。</w:t>
      </w:r>
    </w:p>
    <w:p>
      <w:pPr>
        <w:pStyle w:val="BodyText"/>
        <w:spacing w:line="273" w:lineRule="auto"/>
        <w:ind w:left="144" w:right="1189" w:firstLine="420"/>
        <w:jc w:val="both"/>
      </w:pPr>
      <w:r>
        <w:rPr>
          <w:spacing w:val="-1"/>
        </w:rPr>
        <w:t>金融资产部分转移满足终止确认条件的，将所转移金融资产的账面价值在终止确认及未终止确认部</w:t>
      </w:r>
      <w:r>
        <w:rPr/>
        <w:t> </w:t>
      </w:r>
      <w:r>
        <w:rPr>
          <w:spacing w:val="-1"/>
        </w:rPr>
        <w:t>分之间按其相对的公允价值进行分摊，并将因转移而收到的对价与应分摊至终止确认部分的原计入其他</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564" w:right="1175" w:hanging="421"/>
        <w:jc w:val="left"/>
      </w:pPr>
      <w:r>
        <w:rPr/>
        <w:t>综合收益的公允价值变动累计额之和与分摊的前述账面金额之差额计入当期损益。 </w:t>
      </w:r>
      <w:r>
        <w:rPr>
          <w:spacing w:val="-1"/>
        </w:rPr>
        <w:t>本公司对采用附追索权方式出售的金融资产，或将持有的金融资产背书转让，需确定该金融资产所</w:t>
      </w:r>
    </w:p>
    <w:p>
      <w:pPr>
        <w:pStyle w:val="BodyText"/>
        <w:spacing w:line="273" w:lineRule="auto"/>
        <w:ind w:left="144" w:right="1188"/>
        <w:jc w:val="both"/>
      </w:pPr>
      <w:r>
        <w:rPr>
          <w:spacing w:val="-1"/>
        </w:rPr>
        <w:t>有权上几乎所有的风险和报酬是否已经转移。已将该金融资产所有权上几乎所有的风险和报酬转移给转</w:t>
      </w:r>
      <w:r>
        <w:rPr>
          <w:spacing w:val="-101"/>
        </w:rPr>
        <w:t> </w:t>
      </w:r>
      <w:r>
        <w:rPr>
          <w:spacing w:val="-101"/>
        </w:rPr>
      </w:r>
      <w:r>
        <w:rPr>
          <w:spacing w:val="-1"/>
        </w:rPr>
        <w:t>入方的，终止确认该金融资产；保留了金融资产所有权上几乎所有的风险和报酬的，不终止确认该金融</w:t>
      </w:r>
      <w:r>
        <w:rPr>
          <w:spacing w:val="-102"/>
        </w:rPr>
        <w:t> </w:t>
      </w:r>
      <w:r>
        <w:rPr>
          <w:spacing w:val="-102"/>
        </w:rPr>
      </w:r>
      <w:r>
        <w:rPr>
          <w:spacing w:val="-1"/>
        </w:rPr>
        <w:t>资产；既没有转移也没有保留金融资产所有权上几乎所有的风险和报酬的，则继续判断企业是否对该资</w:t>
      </w:r>
      <w:r>
        <w:rPr>
          <w:spacing w:val="-100"/>
        </w:rPr>
        <w:t> </w:t>
      </w:r>
      <w:r>
        <w:rPr>
          <w:spacing w:val="-100"/>
        </w:rPr>
      </w:r>
      <w:r>
        <w:rPr/>
        <w:t>产保留了控制，并根据前面各段所述的原则进行会计处理。</w:t>
      </w:r>
    </w:p>
    <w:p>
      <w:pPr>
        <w:pStyle w:val="BodyText"/>
        <w:spacing w:line="273" w:lineRule="auto"/>
        <w:ind w:left="564" w:right="11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w:t>
      </w:r>
    </w:p>
    <w:p>
      <w:pPr>
        <w:pStyle w:val="BodyText"/>
        <w:spacing w:line="273" w:lineRule="auto"/>
        <w:ind w:left="144" w:right="1189"/>
        <w:jc w:val="both"/>
      </w:pPr>
      <w:r>
        <w:rPr>
          <w:spacing w:val="-1"/>
        </w:rPr>
        <w:t>初始确认金融负债，以公允价值计量。对于以公允价值计量且其变动计入当期损益的金融负债，相关的</w:t>
      </w:r>
      <w:r>
        <w:rPr>
          <w:spacing w:val="-102"/>
        </w:rPr>
        <w:t> </w:t>
      </w:r>
      <w:r>
        <w:rPr>
          <w:spacing w:val="-102"/>
        </w:rPr>
      </w:r>
      <w:r>
        <w:rPr/>
        <w:t>交易费用直接计入当期损益，对于其他金融负债，相关交易费用计入初始确认金额。</w:t>
      </w:r>
    </w:p>
    <w:p>
      <w:pPr>
        <w:pStyle w:val="BodyText"/>
        <w:spacing w:line="273" w:lineRule="auto"/>
        <w:ind w:left="564" w:right="1066" w:firstLine="105"/>
        <w:jc w:val="left"/>
      </w:pPr>
      <w:r>
        <w:rPr/>
        <w:t>①以公允价值计量且其变动计入当期损益的金融负债 </w:t>
      </w:r>
      <w:r>
        <w:rPr>
          <w:spacing w:val="3"/>
        </w:rPr>
        <w:t>分类为交易性金融负债和在初始确认时指定为以公允价值计量且其变动计入当期损益的金融负债</w:t>
      </w:r>
    </w:p>
    <w:p>
      <w:pPr>
        <w:pStyle w:val="BodyText"/>
        <w:spacing w:line="273" w:lineRule="auto"/>
        <w:ind w:left="144" w:right="1197"/>
        <w:jc w:val="both"/>
      </w:pPr>
      <w:r>
        <w:rPr>
          <w:spacing w:val="3"/>
        </w:rPr>
        <w:t>的条件与分类为交易性金融资产和在初始确认时指定为以公允价值计量且其变动计入当期损益的金融</w:t>
      </w:r>
      <w:r>
        <w:rPr>
          <w:spacing w:val="-95"/>
        </w:rPr>
        <w:t> </w:t>
      </w:r>
      <w:r>
        <w:rPr>
          <w:spacing w:val="-95"/>
        </w:rPr>
      </w:r>
      <w:r>
        <w:rPr/>
        <w:t>资产的条件一致。</w:t>
      </w:r>
    </w:p>
    <w:p>
      <w:pPr>
        <w:pStyle w:val="BodyText"/>
        <w:spacing w:line="273" w:lineRule="auto"/>
        <w:ind w:left="144" w:right="1175" w:firstLine="420"/>
        <w:jc w:val="left"/>
      </w:pPr>
      <w:r>
        <w:rPr>
          <w:spacing w:val="-1"/>
        </w:rPr>
        <w:t>以公允价值计量且其变动计入当期损益的金融负债采用公允价值进行后续计量，公允价值的变动形</w:t>
      </w:r>
      <w:r>
        <w:rPr/>
        <w:t> 成的利得或损失以及与该等金融负债相关的股利和利息支出计入当期损益。</w:t>
      </w:r>
    </w:p>
    <w:p>
      <w:pPr>
        <w:pStyle w:val="BodyText"/>
        <w:spacing w:line="273" w:lineRule="auto"/>
        <w:ind w:left="564" w:right="1175"/>
        <w:jc w:val="left"/>
      </w:pPr>
      <w:r>
        <w:rPr/>
        <w:t>②其他金融负债 </w:t>
      </w:r>
      <w:r>
        <w:rPr>
          <w:spacing w:val="-1"/>
        </w:rPr>
        <w:t>与在活跃市场中没有报价、公允价值不能可靠计量的权益工具挂钩并须通过交付该权益工具结算的</w:t>
      </w:r>
    </w:p>
    <w:p>
      <w:pPr>
        <w:pStyle w:val="BodyText"/>
        <w:spacing w:line="273" w:lineRule="auto"/>
        <w:ind w:left="144" w:right="1188"/>
        <w:jc w:val="both"/>
      </w:pPr>
      <w:r>
        <w:rPr>
          <w:spacing w:val="-1"/>
        </w:rPr>
        <w:t>衍生金融负债，按照成本进行后续计量。其他金融负债采用实际利率法，按摊余成本进行后续计量，终</w:t>
      </w:r>
      <w:r>
        <w:rPr>
          <w:spacing w:val="-100"/>
        </w:rPr>
        <w:t> </w:t>
      </w:r>
      <w:r>
        <w:rPr>
          <w:spacing w:val="-100"/>
        </w:rPr>
      </w:r>
      <w:r>
        <w:rPr/>
        <w:t>止确认或摊销产生的利得或损失计入当期损益。</w:t>
      </w:r>
    </w:p>
    <w:p>
      <w:pPr>
        <w:pStyle w:val="BodyText"/>
        <w:spacing w:line="273" w:lineRule="auto"/>
        <w:ind w:left="564" w:right="1175" w:hanging="105"/>
        <w:jc w:val="left"/>
      </w:pPr>
      <w:r>
        <w:rPr/>
        <w:t>（</w:t>
      </w:r>
      <w:r>
        <w:rPr>
          <w:rFonts w:ascii="宋体" w:hAnsi="宋体" w:cs="宋体" w:eastAsia="宋体" w:hint="default"/>
        </w:rPr>
        <w:t>6</w:t>
      </w:r>
      <w:r>
        <w:rPr/>
        <w:t>）金融负债的终止确认 金融负债的现时义务全部或部分已经解除的，才能终止确认该金融负债或其一部分。 </w:t>
      </w:r>
      <w:r>
        <w:rPr>
          <w:spacing w:val="-1"/>
        </w:rPr>
        <w:t>本公司（债务人）与债权人之间签订协议，以承担新金融负债方式替换现存金融负债，且新金融负</w:t>
      </w:r>
    </w:p>
    <w:p>
      <w:pPr>
        <w:pStyle w:val="BodyText"/>
        <w:spacing w:line="273" w:lineRule="auto"/>
        <w:ind w:left="670" w:right="1066" w:hanging="526"/>
        <w:jc w:val="left"/>
      </w:pPr>
      <w:r>
        <w:rPr/>
        <w:t>债与现存金融负债的合同条款实质上不同的，终止确认现存金融负债，并同时确认新金融负债。 金融负债全部或部分终止确认的，将终止确认部分的账面价值与支付的对价（包括转出的非现金</w:t>
      </w:r>
    </w:p>
    <w:p>
      <w:pPr>
        <w:pStyle w:val="BodyText"/>
        <w:spacing w:line="240" w:lineRule="auto"/>
        <w:ind w:left="144" w:right="1066"/>
        <w:jc w:val="left"/>
      </w:pPr>
      <w:r>
        <w:rPr/>
        <w:t>资产或承担的新金融负债）之间的差额，计入当期损益。</w:t>
      </w:r>
    </w:p>
    <w:p>
      <w:pPr>
        <w:pStyle w:val="BodyText"/>
        <w:spacing w:line="273" w:lineRule="auto" w:before="37"/>
        <w:ind w:left="670" w:right="1066" w:hanging="106"/>
        <w:jc w:val="left"/>
      </w:pPr>
      <w:r>
        <w:rPr/>
        <w:t>（</w:t>
      </w:r>
      <w:r>
        <w:rPr>
          <w:rFonts w:ascii="宋体" w:hAnsi="宋体" w:cs="宋体" w:eastAsia="宋体" w:hint="default"/>
        </w:rPr>
        <w:t>7</w:t>
      </w:r>
      <w:r>
        <w:rPr/>
        <w:t>）金融资产和金融负债的抵销 当本公司具有抵销已确认金融资产和金融负债的法定权利，且目前可执行该种法定权利，同时本</w:t>
      </w:r>
    </w:p>
    <w:p>
      <w:pPr>
        <w:pStyle w:val="BodyText"/>
        <w:spacing w:line="273" w:lineRule="auto"/>
        <w:ind w:left="144" w:right="1151"/>
        <w:jc w:val="both"/>
      </w:pPr>
      <w:r>
        <w:rPr>
          <w:spacing w:val="-1"/>
        </w:rPr>
        <w:t>公司计划以净额结算或同时变现该金融资产和清偿该金融负债时，金融资产和金融负债以相互抵销后的</w:t>
      </w:r>
      <w:r>
        <w:rPr>
          <w:spacing w:val="-101"/>
        </w:rPr>
        <w:t> </w:t>
      </w:r>
      <w:r>
        <w:rPr>
          <w:spacing w:val="-101"/>
        </w:rPr>
      </w:r>
      <w:r>
        <w:rPr/>
        <w:t>金额在资产负债表内列示。除此以外，金融资产和金融负债在资产负债表内分别列示，不予相互抵销。</w:t>
      </w:r>
    </w:p>
    <w:p>
      <w:pPr>
        <w:pStyle w:val="BodyText"/>
        <w:spacing w:line="273" w:lineRule="auto"/>
        <w:ind w:left="564" w:right="1175"/>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w:t>
      </w:r>
    </w:p>
    <w:p>
      <w:pPr>
        <w:pStyle w:val="BodyText"/>
        <w:spacing w:line="273" w:lineRule="auto"/>
        <w:ind w:left="144" w:right="1151"/>
        <w:jc w:val="both"/>
      </w:pPr>
      <w:r>
        <w:rPr/>
        <w:t>发行权益工具发生的交易费用抵减权益工具的溢价收入，不足抵减的，冲减留存收益。其余权益工具， 在发行时收到的对价扣除交易费用后增加股东权益。</w:t>
      </w:r>
    </w:p>
    <w:p>
      <w:pPr>
        <w:pStyle w:val="BodyText"/>
        <w:spacing w:line="273" w:lineRule="auto"/>
        <w:ind w:left="144" w:right="1066" w:firstLine="420"/>
        <w:jc w:val="left"/>
      </w:pPr>
      <w:r>
        <w:rPr>
          <w:spacing w:val="-2"/>
        </w:rPr>
        <w:t>本公司对权益工具持有方的各种分配（不包括股票股利），减少股东权益。本公司不确认权益工具</w:t>
      </w:r>
      <w:r>
        <w:rPr/>
        <w:t> 的公允价值变动额。</w:t>
      </w:r>
    </w:p>
    <w:p>
      <w:pPr>
        <w:pStyle w:val="BodyText"/>
        <w:spacing w:line="273" w:lineRule="auto" w:before="163"/>
        <w:ind w:left="564" w:right="1175" w:firstLine="2"/>
        <w:jc w:val="left"/>
      </w:pPr>
      <w:r>
        <w:rPr>
          <w:rFonts w:ascii="宋体" w:hAnsi="宋体" w:cs="宋体" w:eastAsia="宋体" w:hint="default"/>
          <w:b/>
          <w:bCs/>
        </w:rPr>
        <w:t>（十）应收款项</w:t>
      </w:r>
      <w:r>
        <w:rPr>
          <w:rFonts w:ascii="宋体" w:hAnsi="宋体" w:cs="宋体" w:eastAsia="宋体" w:hint="default"/>
          <w:b/>
          <w:bCs/>
          <w:w w:val="99"/>
        </w:rPr>
        <w:t> </w:t>
      </w:r>
      <w:r>
        <w:rPr>
          <w:spacing w:val="-1"/>
        </w:rPr>
        <w:t>本公司应收款项（包括应收账款和其他应收款等）按合同或协议价款作为初始入账金额。凡因债务</w:t>
      </w:r>
    </w:p>
    <w:p>
      <w:pPr>
        <w:pStyle w:val="BodyText"/>
        <w:spacing w:line="273" w:lineRule="auto"/>
        <w:ind w:left="144" w:right="1066"/>
        <w:jc w:val="left"/>
      </w:pPr>
      <w:r>
        <w:rPr>
          <w:spacing w:val="-4"/>
        </w:rPr>
        <w:t>人破产，依照法律清偿程序清偿后仍无法收回；或因债务人死亡，既无遗产可供清偿，又无义务承担人，</w:t>
      </w:r>
      <w:r>
        <w:rPr>
          <w:spacing w:val="-65"/>
        </w:rPr>
        <w:t> </w:t>
      </w:r>
      <w:r>
        <w:rPr>
          <w:spacing w:val="-65"/>
        </w:rPr>
      </w:r>
      <w:r>
        <w:rPr>
          <w:spacing w:val="-4"/>
        </w:rPr>
        <w:t>确实无法收回；或因债务人逾期未能履行偿债义务，经法定程序审核批准，该等应收款项列为坏账损失。</w:t>
      </w:r>
    </w:p>
    <w:p>
      <w:pPr>
        <w:spacing w:line="273" w:lineRule="auto" w:before="70"/>
        <w:ind w:left="564" w:right="1175" w:firstLine="108"/>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单项金额重大的应收款项坏账准备的确认标准及计提方法：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本公司将单项金额重大的具体标准确定为：账龄三年以上且单项金额伍拾万元以上的应收款项前十</w:t>
      </w:r>
    </w:p>
    <w:p>
      <w:pPr>
        <w:pStyle w:val="BodyText"/>
        <w:spacing w:line="273" w:lineRule="auto"/>
        <w:ind w:left="144" w:right="1188"/>
        <w:jc w:val="both"/>
      </w:pPr>
      <w:r>
        <w:rPr>
          <w:spacing w:val="-1"/>
        </w:rPr>
        <w:t>名，若符合条件的少于十名，除按上述条件划分的单项重大应收款项外，其余应收款项不分帐龄，按款</w:t>
      </w:r>
      <w:r>
        <w:rPr>
          <w:spacing w:val="-100"/>
        </w:rPr>
        <w:t> </w:t>
      </w:r>
      <w:r>
        <w:rPr>
          <w:spacing w:val="-100"/>
        </w:rPr>
      </w:r>
      <w:r>
        <w:rPr/>
        <w:t>项金额大小取足前十位。</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right="1187" w:firstLine="420"/>
        <w:jc w:val="both"/>
      </w:pPr>
      <w:r>
        <w:rPr>
          <w:spacing w:val="-1"/>
        </w:rPr>
        <w:t>在资产负债表日，除对列入合并财务报表范围核算单位的应收款项不计提坏账准备之外，本公司对</w:t>
      </w:r>
      <w:r>
        <w:rPr/>
        <w:t> </w:t>
      </w:r>
      <w:r>
        <w:rPr>
          <w:spacing w:val="-1"/>
        </w:rPr>
        <w:t>单项金额重大的应收款项单独进行减值测试，经测试发生了减值的，按其未来现金流量现值低于其账面</w:t>
      </w:r>
      <w:r>
        <w:rPr>
          <w:spacing w:val="-100"/>
        </w:rPr>
        <w:t> </w:t>
      </w:r>
      <w:r>
        <w:rPr>
          <w:spacing w:val="-100"/>
        </w:rPr>
      </w:r>
      <w:r>
        <w:rPr>
          <w:spacing w:val="-1"/>
        </w:rPr>
        <w:t>价值的差额，确定减值损失，计提坏账准备；对单项测试未减值的应收款项，汇同按组合计提减值准备</w:t>
      </w:r>
      <w:r>
        <w:rPr>
          <w:spacing w:val="-100"/>
        </w:rPr>
        <w:t> </w:t>
      </w:r>
      <w:r>
        <w:rPr>
          <w:spacing w:val="-100"/>
        </w:rPr>
      </w:r>
      <w:r>
        <w:rPr/>
        <w:t>的应收账款，计提坏账准备。</w:t>
      </w:r>
    </w:p>
    <w:p>
      <w:pPr>
        <w:spacing w:line="273" w:lineRule="auto" w:before="7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．按组合计提坏账准备的应收款项确定组合的依据及计提方法：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除了单项金额重大及单项金额虽不重大但单项计提坏账准备的应收款项外，本公司根据所开展业务</w:t>
      </w:r>
    </w:p>
    <w:p>
      <w:pPr>
        <w:pStyle w:val="BodyText"/>
        <w:spacing w:line="273" w:lineRule="auto"/>
        <w:ind w:right="1177"/>
        <w:jc w:val="left"/>
      </w:pPr>
      <w:r>
        <w:rPr>
          <w:spacing w:val="-1"/>
        </w:rPr>
        <w:t>的类型，将上述两类以外的应收款项划分为商业应收款项、房地产业应收款项两大组合。按组合计提坏</w:t>
      </w:r>
      <w:r>
        <w:rPr>
          <w:spacing w:val="-102"/>
        </w:rPr>
        <w:t> </w:t>
      </w:r>
      <w:r>
        <w:rPr>
          <w:spacing w:val="-102"/>
        </w:rPr>
      </w:r>
      <w:r>
        <w:rPr/>
        <w:t>账准备的应收款项坏账准备的计提采用账龄分析法。具体计提比例如下：</w:t>
      </w:r>
    </w:p>
    <w:tbl>
      <w:tblPr>
        <w:tblW w:w="0" w:type="auto"/>
        <w:jc w:val="left"/>
        <w:tblInd w:w="115" w:type="dxa"/>
        <w:tblLayout w:type="fixed"/>
        <w:tblCellMar>
          <w:top w:w="0" w:type="dxa"/>
          <w:left w:w="0" w:type="dxa"/>
          <w:bottom w:w="0" w:type="dxa"/>
          <w:right w:w="0" w:type="dxa"/>
        </w:tblCellMar>
        <w:tblLook w:val="01E0"/>
      </w:tblPr>
      <w:tblGrid>
        <w:gridCol w:w="4990"/>
        <w:gridCol w:w="4934"/>
      </w:tblGrid>
      <w:tr>
        <w:trPr>
          <w:trHeight w:val="377" w:hRule="exact"/>
        </w:trPr>
        <w:tc>
          <w:tcPr>
            <w:tcW w:w="4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r>
      <w:tr>
        <w:trPr>
          <w:trHeight w:val="322" w:hRule="exact"/>
        </w:trPr>
        <w:tc>
          <w:tcPr>
            <w:tcW w:w="4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w:t>
            </w:r>
          </w:p>
        </w:tc>
      </w:tr>
      <w:tr>
        <w:trPr>
          <w:trHeight w:val="322" w:hRule="exact"/>
        </w:trPr>
        <w:tc>
          <w:tcPr>
            <w:tcW w:w="4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w:t>
            </w:r>
          </w:p>
        </w:tc>
      </w:tr>
      <w:tr>
        <w:trPr>
          <w:trHeight w:val="323" w:hRule="exact"/>
        </w:trPr>
        <w:tc>
          <w:tcPr>
            <w:tcW w:w="4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w:t>
            </w:r>
          </w:p>
        </w:tc>
      </w:tr>
      <w:tr>
        <w:trPr>
          <w:trHeight w:val="335" w:hRule="exact"/>
        </w:trPr>
        <w:tc>
          <w:tcPr>
            <w:tcW w:w="4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20%</w:t>
            </w:r>
          </w:p>
        </w:tc>
      </w:tr>
    </w:tbl>
    <w:p>
      <w:pPr>
        <w:spacing w:line="240" w:lineRule="auto" w:before="11"/>
        <w:rPr>
          <w:rFonts w:ascii="宋体" w:hAnsi="宋体" w:cs="宋体" w:eastAsia="宋体" w:hint="default"/>
          <w:sz w:val="9"/>
          <w:szCs w:val="9"/>
        </w:rPr>
      </w:pPr>
    </w:p>
    <w:p>
      <w:pPr>
        <w:spacing w:line="273" w:lineRule="auto" w:before="35"/>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单项金额虽不重大但单项计提坏账准备的应收款项确认标准及计提方法：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本公司对账龄三年以上、且有证据表明回收已存在风险的应收款项单项计提坏账准备。坏账准备根</w:t>
      </w:r>
    </w:p>
    <w:p>
      <w:pPr>
        <w:pStyle w:val="BodyText"/>
        <w:spacing w:line="240" w:lineRule="auto"/>
        <w:ind w:right="418"/>
        <w:jc w:val="left"/>
      </w:pPr>
      <w:r>
        <w:rPr/>
        <w:t>据其未来现金流量现值低于其账面价值的差额计提。</w:t>
      </w:r>
    </w:p>
    <w:p>
      <w:pPr>
        <w:spacing w:line="240" w:lineRule="auto" w:before="10"/>
        <w:rPr>
          <w:rFonts w:ascii="宋体" w:hAnsi="宋体" w:cs="宋体" w:eastAsia="宋体" w:hint="default"/>
          <w:sz w:val="14"/>
          <w:szCs w:val="14"/>
        </w:rPr>
      </w:pPr>
    </w:p>
    <w:p>
      <w:pPr>
        <w:pStyle w:val="Heading3"/>
        <w:spacing w:line="326" w:lineRule="auto" w:before="0"/>
        <w:ind w:right="8262"/>
        <w:jc w:val="left"/>
        <w:rPr>
          <w:b w:val="0"/>
          <w:bCs w:val="0"/>
        </w:rPr>
      </w:pPr>
      <w:r>
        <w:rPr/>
        <w:t>（十一）存货的核算</w:t>
      </w:r>
      <w:r>
        <w:rPr>
          <w:w w:val="99"/>
        </w:rPr>
        <w:t> </w:t>
      </w:r>
      <w:r>
        <w:rPr>
          <w:rFonts w:ascii="宋体" w:hAnsi="宋体" w:cs="宋体" w:eastAsia="宋体" w:hint="default"/>
        </w:rPr>
        <w:t>1</w:t>
      </w:r>
      <w:r>
        <w:rPr/>
        <w:t>．存货的分类</w:t>
      </w:r>
      <w:r>
        <w:rPr>
          <w:b w:val="0"/>
          <w:bCs w:val="0"/>
        </w:rPr>
      </w:r>
    </w:p>
    <w:p>
      <w:pPr>
        <w:pStyle w:val="BodyText"/>
        <w:spacing w:line="236" w:lineRule="exact" w:before="0"/>
        <w:ind w:left="824" w:right="418"/>
        <w:jc w:val="left"/>
      </w:pPr>
      <w:r>
        <w:rPr/>
        <w:t>本公司的存货分为原材料、材料物资、库存商品、受托代销商品、低值易耗品、开发产品、开发成</w:t>
      </w:r>
    </w:p>
    <w:p>
      <w:pPr>
        <w:pStyle w:val="BodyText"/>
        <w:spacing w:line="240" w:lineRule="auto" w:before="37"/>
        <w:ind w:right="5945"/>
        <w:jc w:val="left"/>
      </w:pPr>
      <w:r>
        <w:rPr/>
        <w:t>本等。</w:t>
      </w:r>
    </w:p>
    <w:p>
      <w:pPr>
        <w:spacing w:line="273" w:lineRule="auto" w:before="10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各类存货取得时按实际成本计价。商品流通类企业原材料和库存商品的发出、领用采用先进先出法</w:t>
      </w:r>
    </w:p>
    <w:p>
      <w:pPr>
        <w:pStyle w:val="BodyText"/>
        <w:spacing w:line="240" w:lineRule="auto"/>
        <w:ind w:right="418"/>
        <w:jc w:val="left"/>
      </w:pPr>
      <w:r>
        <w:rPr/>
        <w:t>结转成本；开发产品以实际成本计价，出售时以实际成本结转。</w:t>
      </w:r>
    </w:p>
    <w:p>
      <w:pPr>
        <w:spacing w:line="271" w:lineRule="auto" w:before="99"/>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本公司期末对存货进行全面清查后，按存货的成本与可变现净值孰低提取或调整存货跌价准备。 </w:t>
      </w:r>
      <w:r>
        <w:rPr>
          <w:rFonts w:ascii="宋体" w:hAnsi="宋体" w:cs="宋体" w:eastAsia="宋体" w:hint="default"/>
          <w:spacing w:val="-1"/>
          <w:sz w:val="21"/>
          <w:szCs w:val="21"/>
        </w:rPr>
        <w:t>产成品、商品和用于出售的材料等直接用于出售的商品存货，在正常生产经营过程中，以该存货的</w:t>
      </w:r>
    </w:p>
    <w:p>
      <w:pPr>
        <w:pStyle w:val="BodyText"/>
        <w:spacing w:line="273" w:lineRule="auto" w:before="10"/>
        <w:ind w:left="824" w:right="1175" w:hanging="421"/>
        <w:jc w:val="left"/>
      </w:pPr>
      <w:r>
        <w:rPr/>
        <w:t>估计售价减去估计的销售费用和相关税费后的金额，确定其可变现净值； </w:t>
      </w:r>
      <w:r>
        <w:rPr>
          <w:spacing w:val="-1"/>
        </w:rPr>
        <w:t>需要经过加工的材料存货，在正常生产经营过程中，以所生产的产成品的估计售价减去至完工时估</w:t>
      </w:r>
    </w:p>
    <w:p>
      <w:pPr>
        <w:pStyle w:val="BodyText"/>
        <w:spacing w:line="273" w:lineRule="auto"/>
        <w:ind w:left="824" w:right="1175" w:hanging="421"/>
        <w:jc w:val="left"/>
      </w:pPr>
      <w:r>
        <w:rPr/>
        <w:t>计将要发生的成本、估计的销售费用和相关税费后的金额，确定其可变现净值； </w:t>
      </w:r>
      <w:r>
        <w:rPr>
          <w:spacing w:val="-1"/>
        </w:rPr>
        <w:t>为执行销售合同或者劳务合同而持有的存货，其可变现净值以合同价格为基础计算，若持有存货的</w:t>
      </w:r>
    </w:p>
    <w:p>
      <w:pPr>
        <w:pStyle w:val="BodyText"/>
        <w:spacing w:line="273" w:lineRule="auto"/>
        <w:ind w:left="824" w:right="1175" w:hanging="421"/>
        <w:jc w:val="left"/>
      </w:pPr>
      <w:r>
        <w:rPr/>
        <w:t>数量多于销售合同订购数量的，超出部分的存货的可变现净值以一般销售价格为基础计算。 期末通常按照单个存货项目计提存货跌价准备； </w:t>
      </w:r>
      <w:r>
        <w:rPr>
          <w:spacing w:val="-1"/>
        </w:rPr>
        <w:t>对于数量繁多、单价较低的存货，按照存货类别计提存货跌价准备；与在同一地区生产和销售的产</w:t>
      </w:r>
    </w:p>
    <w:p>
      <w:pPr>
        <w:pStyle w:val="BodyText"/>
        <w:spacing w:line="273" w:lineRule="auto"/>
        <w:ind w:right="1177"/>
        <w:jc w:val="left"/>
      </w:pPr>
      <w:r>
        <w:rPr>
          <w:spacing w:val="-1"/>
        </w:rPr>
        <w:t>品系列相关、具有相同或类似最终用途或目的，且难以与其他项目分开计量的存货，则合并计提存货跌</w:t>
      </w:r>
      <w:r>
        <w:rPr>
          <w:spacing w:val="-102"/>
        </w:rPr>
        <w:t> </w:t>
      </w:r>
      <w:r>
        <w:rPr>
          <w:spacing w:val="-102"/>
        </w:rPr>
      </w:r>
      <w:r>
        <w:rPr/>
        <w:t>价准备。</w:t>
      </w:r>
    </w:p>
    <w:p>
      <w:pPr>
        <w:pStyle w:val="BodyText"/>
        <w:spacing w:line="273" w:lineRule="auto"/>
        <w:ind w:right="1175" w:firstLine="420"/>
        <w:jc w:val="left"/>
      </w:pPr>
      <w:r>
        <w:rPr>
          <w:spacing w:val="-1"/>
        </w:rPr>
        <w:t>以前减记存货价值的影响因素已经消失的，减记的金额予以恢复，并在原已计提的存货跌价准备金</w:t>
      </w:r>
      <w:r>
        <w:rPr/>
        <w:t> 额内转回，转回的金额计入当期损益。</w:t>
      </w:r>
    </w:p>
    <w:p>
      <w:pPr>
        <w:spacing w:line="273" w:lineRule="auto" w:before="70"/>
        <w:ind w:left="824" w:right="5945"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存货盘存制度采用永续盘存制。</w:t>
      </w:r>
    </w:p>
    <w:p>
      <w:pPr>
        <w:spacing w:line="273" w:lineRule="auto" w:before="70"/>
        <w:ind w:left="824" w:right="5962"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低值易耗品和包装物领用时一次摊销法摊销。</w:t>
      </w:r>
    </w:p>
    <w:p>
      <w:pPr>
        <w:spacing w:after="0" w:line="273" w:lineRule="auto"/>
        <w:jc w:val="left"/>
        <w:rPr>
          <w:rFonts w:ascii="宋体" w:hAnsi="宋体" w:cs="宋体" w:eastAsia="宋体" w:hint="default"/>
          <w:sz w:val="21"/>
          <w:szCs w:val="21"/>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spacing w:line="273" w:lineRule="auto" w:before="35"/>
        <w:ind w:left="564" w:right="1175" w:firstLine="2"/>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本部分所指的长期股权投资是指本公司对被投资单位具有控制、共同控制或重大影响的长期股权投</w:t>
      </w:r>
    </w:p>
    <w:p>
      <w:pPr>
        <w:pStyle w:val="BodyText"/>
        <w:spacing w:line="273" w:lineRule="auto"/>
        <w:ind w:left="144" w:right="1189"/>
        <w:jc w:val="both"/>
      </w:pPr>
      <w:r>
        <w:rPr>
          <w:spacing w:val="-1"/>
        </w:rPr>
        <w:t>资。本公司对被投资单位不具有控制、共同控制或重大影响的长期股权投资，作为可供出售金融资产或</w:t>
      </w:r>
      <w:r>
        <w:rPr>
          <w:spacing w:val="-102"/>
        </w:rPr>
        <w:t> </w:t>
      </w:r>
      <w:r>
        <w:rPr>
          <w:spacing w:val="-102"/>
        </w:rPr>
      </w:r>
      <w:r>
        <w:rPr/>
        <w:t>以公允价值计量且其变动计入当期损益的金融资产核算，其会计政策详见金融工具。</w:t>
      </w:r>
    </w:p>
    <w:p>
      <w:pPr>
        <w:pStyle w:val="BodyText"/>
        <w:spacing w:line="273" w:lineRule="auto" w:before="8"/>
        <w:ind w:left="144" w:right="1187" w:firstLine="420"/>
        <w:jc w:val="both"/>
      </w:pPr>
      <w:r>
        <w:rPr>
          <w:spacing w:val="-1"/>
        </w:rPr>
        <w:t>共同控制，是指本公司按照相关约定对某项安排所共有的控制，并且该安排的相关活动必须经过分</w:t>
      </w:r>
      <w:r>
        <w:rPr/>
        <w:t> </w:t>
      </w:r>
      <w:r>
        <w:rPr>
          <w:spacing w:val="-1"/>
        </w:rPr>
        <w:t>享控制权的参与方一致同意后才能决策。重大影响，是指本公司对被投资单位的财务和经营政策有参与</w:t>
      </w:r>
      <w:r>
        <w:rPr>
          <w:spacing w:val="-100"/>
        </w:rPr>
        <w:t> </w:t>
      </w:r>
      <w:r>
        <w:rPr>
          <w:spacing w:val="-100"/>
        </w:rPr>
      </w:r>
      <w:r>
        <w:rPr/>
        <w:t>决策的权力，但并不能够控制或者与其他方一起共同控制这些政策的制定。</w:t>
      </w:r>
    </w:p>
    <w:p>
      <w:pPr>
        <w:pStyle w:val="BodyText"/>
        <w:spacing w:line="273" w:lineRule="auto"/>
        <w:ind w:left="670" w:right="1066" w:hanging="106"/>
        <w:jc w:val="left"/>
      </w:pPr>
      <w:r>
        <w:rPr/>
        <w:t>（</w:t>
      </w:r>
      <w:r>
        <w:rPr>
          <w:rFonts w:ascii="宋体" w:hAnsi="宋体" w:cs="宋体" w:eastAsia="宋体" w:hint="default"/>
        </w:rPr>
        <w:t>1</w:t>
      </w:r>
      <w:r>
        <w:rPr/>
        <w:t>）投资成本的确定 对于同一控制下的企业合并取得的长期股权投资，在合并日按照被合并方所有者权益在最终控制</w:t>
      </w:r>
    </w:p>
    <w:p>
      <w:pPr>
        <w:pStyle w:val="BodyText"/>
        <w:spacing w:line="273" w:lineRule="auto"/>
        <w:ind w:left="144" w:right="1188"/>
        <w:jc w:val="both"/>
      </w:pPr>
      <w:r>
        <w:rPr>
          <w:spacing w:val="-1"/>
        </w:rPr>
        <w:t>方合并财务报表中的账面价值的份额作为长期股权投资的初始投资成本。长期股权投资初始投资成本与</w:t>
      </w:r>
      <w:r>
        <w:rPr>
          <w:spacing w:val="-101"/>
        </w:rPr>
        <w:t> </w:t>
      </w:r>
      <w:r>
        <w:rPr>
          <w:spacing w:val="-101"/>
        </w:rPr>
      </w:r>
      <w:r>
        <w:rPr>
          <w:spacing w:val="-1"/>
        </w:rPr>
        <w:t>支付的现金、转让的非现金资产以及所承担债务账面价值之间的差额，调整资本公积；资本公积不足冲</w:t>
      </w:r>
      <w:r>
        <w:rPr>
          <w:spacing w:val="-102"/>
        </w:rPr>
        <w:t> </w:t>
      </w:r>
      <w:r>
        <w:rPr>
          <w:spacing w:val="-102"/>
        </w:rPr>
      </w:r>
      <w:r>
        <w:rPr/>
        <w:t>减的，调整留存收益。以发行权益性证券作为合并对价的，在合并日按照被合并方股东权益</w:t>
      </w:r>
      <w:r>
        <w:rPr>
          <w:rFonts w:ascii="宋体" w:hAnsi="宋体" w:cs="宋体" w:eastAsia="宋体" w:hint="default"/>
        </w:rPr>
        <w:t>/</w:t>
      </w:r>
      <w:r>
        <w:rPr/>
        <w:t>所有者权</w:t>
      </w:r>
      <w:r>
        <w:rPr>
          <w:spacing w:val="-44"/>
        </w:rPr>
        <w:t> </w:t>
      </w:r>
      <w:r>
        <w:rPr>
          <w:spacing w:val="-44"/>
        </w:rPr>
      </w:r>
      <w:r>
        <w:rPr>
          <w:spacing w:val="-1"/>
        </w:rPr>
        <w:t>益在最终控制方合并财务报表中的账面价值的份额作为长期股权投资的初始投资成本，按照发行股份的</w:t>
      </w:r>
      <w:r>
        <w:rPr>
          <w:spacing w:val="-101"/>
        </w:rPr>
        <w:t> </w:t>
      </w:r>
      <w:r>
        <w:rPr>
          <w:spacing w:val="-101"/>
        </w:rPr>
      </w:r>
      <w:r>
        <w:rPr>
          <w:spacing w:val="-1"/>
        </w:rPr>
        <w:t>面值总额作为股本，长期股权投资初始投资成本与所发行股份面值总额之间的差额，调整资本公积；资</w:t>
      </w:r>
      <w:r>
        <w:rPr>
          <w:spacing w:val="-102"/>
        </w:rPr>
        <w:t> </w:t>
      </w:r>
      <w:r>
        <w:rPr>
          <w:spacing w:val="-102"/>
        </w:rPr>
      </w:r>
      <w:r>
        <w:rPr>
          <w:spacing w:val="-1"/>
        </w:rPr>
        <w:t>本公积不足冲减的，调整留存收益（通过多次交易分步取得同一控制下被合并方的股权，最终形成同一</w:t>
      </w:r>
      <w:r>
        <w:rPr>
          <w:spacing w:val="-102"/>
        </w:rPr>
        <w:t> </w:t>
      </w:r>
      <w:r>
        <w:rPr>
          <w:spacing w:val="-102"/>
        </w:rPr>
      </w:r>
      <w:r>
        <w:rPr>
          <w:spacing w:val="-2"/>
        </w:rPr>
        <w:t>控制下企业合并的，应分别是否属于“一揽子交易”进行处理：属于“一揽子交易”的，将各项交易作</w:t>
      </w:r>
      <w:r>
        <w:rPr>
          <w:spacing w:val="-62"/>
        </w:rPr>
        <w:t> </w:t>
      </w:r>
      <w:r>
        <w:rPr>
          <w:spacing w:val="-62"/>
        </w:rPr>
      </w:r>
      <w:r>
        <w:rPr>
          <w:spacing w:val="-1"/>
        </w:rPr>
        <w:t>为一项取得控制权的交易进行会计处理。不属于“一揽子交易”的，在合并日按照应享有被合并方股东</w:t>
      </w:r>
      <w:r>
        <w:rPr>
          <w:spacing w:val="-100"/>
        </w:rPr>
        <w:t> </w:t>
      </w:r>
      <w:r>
        <w:rPr>
          <w:spacing w:val="-100"/>
        </w:rPr>
      </w:r>
      <w:r>
        <w:rPr/>
        <w:t>权益</w:t>
      </w:r>
      <w:r>
        <w:rPr>
          <w:rFonts w:ascii="宋体" w:hAnsi="宋体" w:cs="宋体" w:eastAsia="宋体" w:hint="default"/>
        </w:rPr>
        <w:t>/</w:t>
      </w:r>
      <w:r>
        <w:rPr/>
        <w:t>所有者权益在最终控制方合并财务报表中的账面价值的份额作为长期股权投资的初始投资成本，</w:t>
      </w:r>
      <w:r>
        <w:rPr>
          <w:spacing w:val="-46"/>
        </w:rPr>
        <w:t> </w:t>
      </w:r>
      <w:r>
        <w:rPr>
          <w:spacing w:val="-46"/>
        </w:rPr>
      </w:r>
      <w:r>
        <w:rPr>
          <w:spacing w:val="3"/>
        </w:rPr>
        <w:t>长期股权投资初始投资成本与达到合并前的长期股权投资账面价值加上合并日进一步取得股份新支付</w:t>
      </w:r>
      <w:r>
        <w:rPr>
          <w:spacing w:val="-95"/>
        </w:rPr>
        <w:t> </w:t>
      </w:r>
      <w:r>
        <w:rPr>
          <w:spacing w:val="-95"/>
        </w:rPr>
      </w:r>
      <w:r>
        <w:rPr>
          <w:spacing w:val="-1"/>
        </w:rPr>
        <w:t>对价的账面价值之和的差额，调整资本公积；资本公积不足冲减的，调整留存收益。合并日之前持有的</w:t>
      </w:r>
      <w:r>
        <w:rPr>
          <w:spacing w:val="-100"/>
        </w:rPr>
        <w:t> </w:t>
      </w:r>
      <w:r>
        <w:rPr>
          <w:spacing w:val="-100"/>
        </w:rPr>
      </w:r>
      <w:r>
        <w:rPr>
          <w:spacing w:val="-3"/>
        </w:rPr>
        <w:t>股权投资因采用权益法核算或为可供出售金融资产而确认的其他综合收益，暂不进行会计处理）。</w:t>
      </w:r>
    </w:p>
    <w:p>
      <w:pPr>
        <w:pStyle w:val="BodyText"/>
        <w:spacing w:line="273" w:lineRule="auto"/>
        <w:ind w:left="144" w:right="1189" w:firstLine="420"/>
        <w:jc w:val="both"/>
      </w:pPr>
      <w:r>
        <w:rPr>
          <w:spacing w:val="-1"/>
        </w:rPr>
        <w:t>对于非同一控制下的企业合并取得的长期股权投资，在购买日按照合并成本作为长期股权投资的初</w:t>
      </w:r>
      <w:r>
        <w:rPr/>
        <w:t> </w:t>
      </w:r>
      <w:r>
        <w:rPr>
          <w:spacing w:val="-1"/>
        </w:rPr>
        <w:t>始投资成本，合并成本包括购买方付出的资产、发生或承担的负债、发行的权益性证券的公允价值之和</w:t>
      </w:r>
    </w:p>
    <w:p>
      <w:pPr>
        <w:pStyle w:val="BodyText"/>
        <w:spacing w:line="273" w:lineRule="auto"/>
        <w:ind w:left="144" w:right="1151"/>
        <w:jc w:val="both"/>
      </w:pPr>
      <w:r>
        <w:rPr>
          <w:spacing w:val="-1"/>
        </w:rPr>
        <w:t>（通过多次交易分步取得被购买方的股权，最终形成非同一控制下的企业合并的，应分别是否属于“一</w:t>
      </w:r>
      <w:r>
        <w:rPr>
          <w:spacing w:val="-102"/>
        </w:rPr>
        <w:t> </w:t>
      </w:r>
      <w:r>
        <w:rPr>
          <w:spacing w:val="-102"/>
        </w:rPr>
      </w:r>
      <w:r>
        <w:rPr/>
        <w:t>揽子交易”进行处理：属于“一揽子交易”的，将各项交易作为一项取得控制权的交易进行会计处理。 </w:t>
      </w:r>
      <w:r>
        <w:rPr>
          <w:spacing w:val="-1"/>
        </w:rPr>
        <w:t>不属于“一揽子交易”的，按照原持有被购买方的股权投资账面价值加上新增投资成本之和，作为改按</w:t>
      </w:r>
      <w:r>
        <w:rPr>
          <w:spacing w:val="-100"/>
        </w:rPr>
        <w:t> </w:t>
      </w:r>
      <w:r>
        <w:rPr>
          <w:spacing w:val="-100"/>
        </w:rPr>
      </w:r>
      <w:r>
        <w:rPr>
          <w:spacing w:val="-1"/>
        </w:rPr>
        <w:t>成本法核算的长期股权投资的初始投资成本。原持有的股权采用权益法核算的，相关其他综合收益暂不</w:t>
      </w:r>
      <w:r>
        <w:rPr>
          <w:spacing w:val="-100"/>
        </w:rPr>
        <w:t> </w:t>
      </w:r>
      <w:r>
        <w:rPr>
          <w:spacing w:val="-100"/>
        </w:rPr>
      </w:r>
      <w:r>
        <w:rPr>
          <w:spacing w:val="-1"/>
        </w:rPr>
        <w:t>进行会计处理。原持有股权投资为可供出售金融资产的，其公允价值与账面价值之间的差额，以及原计</w:t>
      </w:r>
      <w:r>
        <w:rPr>
          <w:spacing w:val="-102"/>
        </w:rPr>
        <w:t> </w:t>
      </w:r>
      <w:r>
        <w:rPr>
          <w:spacing w:val="-102"/>
        </w:rPr>
      </w:r>
      <w:r>
        <w:rPr>
          <w:spacing w:val="-5"/>
        </w:rPr>
        <w:t>入其他综合收益的累计公允价值变动转入当期损益）。</w:t>
      </w:r>
    </w:p>
    <w:p>
      <w:pPr>
        <w:pStyle w:val="BodyText"/>
        <w:spacing w:line="273" w:lineRule="auto"/>
        <w:ind w:left="144" w:right="1148" w:firstLine="420"/>
        <w:jc w:val="both"/>
      </w:pPr>
      <w:r>
        <w:rPr/>
        <w:t>合并方或购买方为企业合并发生的审计、法律服务、评估咨询等中介费用以及其他相关管理费用， 于发生时计入当期损益。</w:t>
      </w:r>
    </w:p>
    <w:p>
      <w:pPr>
        <w:pStyle w:val="BodyText"/>
        <w:spacing w:line="273" w:lineRule="auto"/>
        <w:ind w:left="144" w:right="1151" w:firstLine="526"/>
        <w:jc w:val="both"/>
      </w:pPr>
      <w:r>
        <w:rPr/>
        <w:t>除企业合并形成的长期股权投资外的其他股权投资，按成本进行初始计量，该成本视长期股权投 资取得方式的不同，分别按照本公司实际支付的现金购买价款、本公司发行的权益性证券的公允价值、 </w:t>
      </w:r>
      <w:r>
        <w:rPr>
          <w:spacing w:val="-1"/>
        </w:rPr>
        <w:t>投资合同或协议约定的价值、非货币性资产交换交易中换出资产的公允价值或原账面价值、该项长期股</w:t>
      </w:r>
      <w:r>
        <w:rPr>
          <w:spacing w:val="-100"/>
        </w:rPr>
        <w:t> </w:t>
      </w:r>
      <w:r>
        <w:rPr>
          <w:spacing w:val="-100"/>
        </w:rPr>
      </w:r>
      <w:r>
        <w:rPr>
          <w:spacing w:val="-1"/>
        </w:rPr>
        <w:t>权投资自身的公允价值等方式确定。与取得长期股权投资直接相关的费用、税金及其他必要支出也计入</w:t>
      </w:r>
      <w:r>
        <w:rPr>
          <w:spacing w:val="-100"/>
        </w:rPr>
        <w:t> </w:t>
      </w:r>
      <w:r>
        <w:rPr>
          <w:spacing w:val="-100"/>
        </w:rPr>
      </w:r>
      <w:r>
        <w:rPr>
          <w:spacing w:val="-1"/>
        </w:rPr>
        <w:t>投资成本。对于因追加投资能够对被投资单位实施重大影响或实施共同控制但不构成控制的，长期股权</w:t>
      </w:r>
      <w:r>
        <w:rPr>
          <w:spacing w:val="-100"/>
        </w:rPr>
        <w:t> </w:t>
      </w:r>
      <w:r>
        <w:rPr>
          <w:spacing w:val="-100"/>
        </w:rPr>
      </w:r>
      <w:r>
        <w:rPr/>
        <w:t>投资成本为按照《企业会计准则第 </w:t>
      </w:r>
      <w:r>
        <w:rPr>
          <w:rFonts w:ascii="宋体" w:hAnsi="宋体" w:cs="宋体" w:eastAsia="宋体" w:hint="default"/>
        </w:rPr>
        <w:t>22</w:t>
      </w:r>
      <w:r>
        <w:rPr>
          <w:rFonts w:ascii="宋体" w:hAnsi="宋体" w:cs="宋体" w:eastAsia="宋体" w:hint="default"/>
          <w:spacing w:val="-42"/>
        </w:rPr>
        <w:t> </w:t>
      </w:r>
      <w:r>
        <w:rPr/>
        <w:t>号——金融工具确认和计量》确定的原持有股权投资的公允价值 加上新增投资成本之和。</w:t>
      </w:r>
    </w:p>
    <w:p>
      <w:pPr>
        <w:pStyle w:val="BodyText"/>
        <w:spacing w:line="273" w:lineRule="auto"/>
        <w:ind w:left="670" w:right="1066" w:hanging="106"/>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w:t>
      </w:r>
    </w:p>
    <w:p>
      <w:pPr>
        <w:pStyle w:val="BodyText"/>
        <w:spacing w:line="240" w:lineRule="auto" w:before="8"/>
        <w:ind w:left="144" w:right="0"/>
        <w:jc w:val="both"/>
      </w:pPr>
      <w:r>
        <w:rPr/>
        <w:t>算。此外，公司财务报表采用成本法核算能够对被投资单位实施控制的长期股权投资。</w:t>
      </w:r>
    </w:p>
    <w:p>
      <w:pPr>
        <w:pStyle w:val="BodyText"/>
        <w:spacing w:line="273" w:lineRule="auto" w:before="37"/>
        <w:ind w:left="564" w:right="1066" w:firstLine="105"/>
        <w:jc w:val="left"/>
      </w:pPr>
      <w:r>
        <w:rPr/>
        <w:t>①成本法核算的长期股权投资 </w:t>
      </w:r>
      <w:r>
        <w:rPr>
          <w:spacing w:val="-4"/>
        </w:rPr>
        <w:t>采用成本法核算时，长期股权投资按初始投资成本计价，追加或收回投资调整长期股权投资的成本。</w:t>
      </w:r>
    </w:p>
    <w:p>
      <w:pPr>
        <w:pStyle w:val="BodyText"/>
        <w:spacing w:line="240" w:lineRule="auto"/>
        <w:ind w:left="144" w:right="0"/>
        <w:jc w:val="both"/>
      </w:pPr>
      <w:r>
        <w:rPr/>
        <w:t>除取得投资时实际支付的价款或者对价中包含的已宣告但尚未发放的现金股利或者利润外，当期投资收</w:t>
      </w:r>
    </w:p>
    <w:p>
      <w:pPr>
        <w:spacing w:after="0" w:line="240"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40" w:lineRule="auto" w:before="35"/>
        <w:ind w:left="144" w:right="0"/>
        <w:jc w:val="both"/>
      </w:pPr>
      <w:r>
        <w:rPr/>
        <w:t>益按照享有被投资单位宣告发放的现金股利或利润确认。</w:t>
      </w:r>
    </w:p>
    <w:p>
      <w:pPr>
        <w:pStyle w:val="BodyText"/>
        <w:spacing w:line="273" w:lineRule="auto" w:before="37"/>
        <w:ind w:left="564" w:right="1175" w:firstLine="105"/>
        <w:jc w:val="left"/>
      </w:pPr>
      <w:r>
        <w:rPr/>
        <w:t>②权益法核算的长期股权投资 </w:t>
      </w:r>
      <w:r>
        <w:rPr>
          <w:spacing w:val="-1"/>
        </w:rPr>
        <w:t>采用权益法核算时，长期股权投资的初始投资成本大于投资时应享有被投资单位可辨认净资产公允</w:t>
      </w:r>
    </w:p>
    <w:p>
      <w:pPr>
        <w:pStyle w:val="BodyText"/>
        <w:spacing w:line="273" w:lineRule="auto"/>
        <w:ind w:left="144" w:right="1188"/>
        <w:jc w:val="both"/>
      </w:pPr>
      <w:r>
        <w:rPr>
          <w:spacing w:val="-1"/>
        </w:rPr>
        <w:t>价值份额的，不调整长期股权投资的初始投资成本；初始投资成本小于投资时应享有被投资单位可辨认</w:t>
      </w:r>
      <w:r>
        <w:rPr>
          <w:spacing w:val="-100"/>
        </w:rPr>
        <w:t> </w:t>
      </w:r>
      <w:r>
        <w:rPr>
          <w:spacing w:val="-100"/>
        </w:rPr>
      </w:r>
      <w:r>
        <w:rPr/>
        <w:t>净资产公允价值份额的，其差额计入当期损益，同时调整长期股权投资的成本。</w:t>
      </w:r>
    </w:p>
    <w:p>
      <w:pPr>
        <w:pStyle w:val="BodyText"/>
        <w:spacing w:line="273" w:lineRule="auto"/>
        <w:ind w:left="144" w:right="1066" w:firstLine="420"/>
        <w:jc w:val="left"/>
      </w:pPr>
      <w:r>
        <w:rPr/>
        <w:t>采用权益法核算时，按照应享有或应分担的被投资单位实现的净损益和其他综合收益的份额，分别 确认投资收益和其他综合收益，同时调整长期股权投资的账面价值；按照被投资单位宣告分派的利润或 现金股利计算应享有的部分，相应减少长期股权投资的账面价值；对于被投资单位除净损益、其他综合 收益和利润分配以外所有者权益的其他变动，调整长期股权投资的账面价值并计入资本公积。在确认应 享有被投资单位净损益的份额时，以取得投资时被投资单位各项可辨认资产等的公允价值为基础，对被 投资单位的净利润进行调整后确认。被投资单位采用的会计政策及会计期间与本公司不一致的，按照本 公司的会计政策及会计期间对被投资单位的财务报表进行调整，并据以确认投资收益和其他综合收益。 对于本公司与联营企业及合营企业之间发生的交易，投出或出售的资产不构成业务的，未实现内部交易 损益按照享有的比例计算归属于本公司的部分予以抵销，在此基础上确认投资损益。但本公司与被投资 单位发生的未实现内部交易损失，属于所转让资产减值损失的，不予以抵销。本公司向合营企业或联营 企业投出的资产构成业务的，投资方因此取得长期股权投资但未取得控制权的，以投出业务的公允价值 </w:t>
      </w:r>
      <w:r>
        <w:rPr>
          <w:spacing w:val="-4"/>
        </w:rPr>
        <w:t>作为新增长期股权投资的初始投资成本，初始投资成本与投出业务的账面价值之差，全额计入当期损益。</w:t>
      </w:r>
      <w:r>
        <w:rPr>
          <w:spacing w:val="-67"/>
        </w:rPr>
        <w:t> </w:t>
      </w:r>
      <w:r>
        <w:rPr>
          <w:spacing w:val="-67"/>
        </w:rPr>
      </w:r>
      <w:r>
        <w:rPr/>
        <w:t>本公司向合营企业或联营企业出售的资产构成业务的，取得的对价与业务的账面价值之差，全额计入当</w:t>
      </w:r>
      <w:r>
        <w:rPr/>
        <w:t> 期损益。本公司自联营企业及合营企业购入的资产构成业务的，按《企业会计准则第 </w:t>
      </w:r>
      <w:r>
        <w:rPr>
          <w:rFonts w:ascii="宋体" w:hAnsi="宋体" w:cs="宋体" w:eastAsia="宋体" w:hint="default"/>
        </w:rPr>
        <w:t>20</w:t>
      </w:r>
      <w:r>
        <w:rPr>
          <w:rFonts w:ascii="宋体" w:hAnsi="宋体" w:cs="宋体" w:eastAsia="宋体" w:hint="default"/>
          <w:spacing w:val="-42"/>
        </w:rPr>
        <w:t> </w:t>
      </w:r>
      <w:r>
        <w:rPr/>
        <w:t>号——企业合 并》的规定进行会计处理，全额确认与交易相关的利得或损失。</w:t>
      </w:r>
    </w:p>
    <w:p>
      <w:pPr>
        <w:pStyle w:val="BodyText"/>
        <w:spacing w:line="273" w:lineRule="auto"/>
        <w:ind w:left="144" w:right="1189" w:firstLine="420"/>
        <w:jc w:val="both"/>
      </w:pPr>
      <w:r>
        <w:rPr>
          <w:spacing w:val="-1"/>
        </w:rPr>
        <w:t>在确认应分担被投资单位发生的净亏损时，以长期股权投资的账面价值和其他实质上构成对被投资</w:t>
      </w:r>
      <w:r>
        <w:rPr/>
        <w:t> </w:t>
      </w:r>
      <w:r>
        <w:rPr>
          <w:spacing w:val="-1"/>
        </w:rPr>
        <w:t>单位净投资的长期权益减记至零为限。此外，如本公司对被投资单位负有承担额外损失的义务，则按预</w:t>
      </w:r>
      <w:r>
        <w:rPr>
          <w:spacing w:val="-102"/>
        </w:rPr>
        <w:t> </w:t>
      </w:r>
      <w:r>
        <w:rPr>
          <w:spacing w:val="-102"/>
        </w:rPr>
      </w:r>
      <w:r>
        <w:rPr>
          <w:spacing w:val="-1"/>
        </w:rPr>
        <w:t>计承担的义务确认预计负债，计入当期投资损失。被投资单位以后期间实现净利润的，本公司在收益分</w:t>
      </w:r>
      <w:r>
        <w:rPr>
          <w:spacing w:val="-102"/>
        </w:rPr>
        <w:t> </w:t>
      </w:r>
      <w:r>
        <w:rPr>
          <w:spacing w:val="-102"/>
        </w:rPr>
      </w:r>
      <w:r>
        <w:rPr/>
        <w:t>享额弥补未确认的亏损分担额后，恢复确认收益分享额。</w:t>
      </w:r>
    </w:p>
    <w:p>
      <w:pPr>
        <w:pStyle w:val="BodyText"/>
        <w:spacing w:line="273" w:lineRule="auto"/>
        <w:ind w:left="564" w:right="1175" w:firstLine="105"/>
        <w:jc w:val="left"/>
      </w:pPr>
      <w:r>
        <w:rPr/>
        <w:t>③收购少数股权 </w:t>
      </w:r>
      <w:r>
        <w:rPr>
          <w:spacing w:val="-1"/>
        </w:rPr>
        <w:t>在编制合并财务报表时，因购买少数股权新增的长期股权投资与按照新增持股比例计算应享有子公</w:t>
      </w:r>
    </w:p>
    <w:p>
      <w:pPr>
        <w:pStyle w:val="BodyText"/>
        <w:spacing w:line="273" w:lineRule="auto"/>
        <w:ind w:left="144" w:right="1066"/>
        <w:jc w:val="left"/>
      </w:pPr>
      <w:r>
        <w:rPr>
          <w:spacing w:val="-4"/>
        </w:rPr>
        <w:t>司自购买日（或合并日）开始持续计算的净资产份额之间的差额，调整资本公积，资本公积不足冲减的，</w:t>
      </w:r>
      <w:r>
        <w:rPr>
          <w:spacing w:val="-65"/>
        </w:rPr>
        <w:t> </w:t>
      </w:r>
      <w:r>
        <w:rPr>
          <w:spacing w:val="-65"/>
        </w:rPr>
      </w:r>
      <w:r>
        <w:rPr/>
        <w:t>调整留存收益。</w:t>
      </w:r>
    </w:p>
    <w:p>
      <w:pPr>
        <w:pStyle w:val="BodyText"/>
        <w:spacing w:line="273" w:lineRule="auto"/>
        <w:ind w:left="670" w:right="1066"/>
        <w:jc w:val="left"/>
      </w:pPr>
      <w:r>
        <w:rPr/>
        <w:t>④处置长期股权投资 在合并财务报表中，母公司在不丧失控制权的情况下部分处置对子公司的长期股权投资，处置价</w:t>
      </w:r>
    </w:p>
    <w:p>
      <w:pPr>
        <w:pStyle w:val="BodyText"/>
        <w:spacing w:line="273" w:lineRule="auto"/>
        <w:ind w:left="144" w:right="1188"/>
        <w:jc w:val="both"/>
      </w:pPr>
      <w:r>
        <w:rPr>
          <w:spacing w:val="-1"/>
        </w:rPr>
        <w:t>款与处置长期股权投资相对应享有子公司净资产的差额计入股东权益；母公司部分处置对子公司的长期</w:t>
      </w:r>
      <w:r>
        <w:rPr>
          <w:spacing w:val="-100"/>
        </w:rPr>
        <w:t> </w:t>
      </w:r>
      <w:r>
        <w:rPr>
          <w:spacing w:val="-100"/>
        </w:rPr>
      </w:r>
      <w:r>
        <w:rPr>
          <w:spacing w:val="-6"/>
        </w:rPr>
        <w:t>股权投资导致丧失对子公司控制权的，按本附注四、</w:t>
      </w:r>
      <w:r>
        <w:rPr>
          <w:rFonts w:ascii="宋体" w:hAnsi="宋体" w:cs="宋体" w:eastAsia="宋体" w:hint="default"/>
          <w:spacing w:val="-6"/>
        </w:rPr>
        <w:t>5</w:t>
      </w:r>
      <w:r>
        <w:rPr>
          <w:spacing w:val="-6"/>
        </w:rPr>
        <w:t>、（</w:t>
      </w:r>
      <w:r>
        <w:rPr>
          <w:rFonts w:ascii="宋体" w:hAnsi="宋体" w:cs="宋体" w:eastAsia="宋体" w:hint="default"/>
          <w:spacing w:val="-6"/>
        </w:rPr>
        <w:t>2</w:t>
      </w:r>
      <w:r>
        <w:rPr>
          <w:spacing w:val="-6"/>
        </w:rPr>
        <w:t>）“合并财务报表编制的方法”中所述的相关</w:t>
      </w:r>
      <w:r>
        <w:rPr>
          <w:spacing w:val="-78"/>
        </w:rPr>
        <w:t> </w:t>
      </w:r>
      <w:r>
        <w:rPr>
          <w:spacing w:val="-78"/>
        </w:rPr>
      </w:r>
      <w:r>
        <w:rPr/>
        <w:t>会计政策处理。</w:t>
      </w:r>
    </w:p>
    <w:p>
      <w:pPr>
        <w:pStyle w:val="BodyText"/>
        <w:spacing w:line="273" w:lineRule="auto"/>
        <w:ind w:left="144" w:right="1066" w:firstLine="526"/>
        <w:jc w:val="left"/>
      </w:pPr>
      <w:r>
        <w:rPr/>
        <w:t>其他情形下的长期股权投资处置，对于处置的股权，其账面价值与实际取得价款的差额，计入当 期损益。</w:t>
      </w:r>
    </w:p>
    <w:p>
      <w:pPr>
        <w:pStyle w:val="BodyText"/>
        <w:spacing w:line="273" w:lineRule="auto"/>
        <w:ind w:left="144" w:right="1187" w:firstLine="420"/>
        <w:jc w:val="both"/>
      </w:pPr>
      <w:r>
        <w:rPr>
          <w:spacing w:val="-1"/>
        </w:rPr>
        <w:t>采用权益法核算的长期股权投资，处置后的剩余股权仍采用权益法核算的，在处置时将原计入股东</w:t>
      </w:r>
      <w:r>
        <w:rPr/>
        <w:t> </w:t>
      </w:r>
      <w:r>
        <w:rPr>
          <w:spacing w:val="3"/>
        </w:rPr>
        <w:t>权益的其他综合收益部分按相应的比例采用与被投资单位直接处置相关资产或负债相同的基础进行会</w:t>
      </w:r>
      <w:r>
        <w:rPr>
          <w:spacing w:val="-95"/>
        </w:rPr>
        <w:t> </w:t>
      </w:r>
      <w:r>
        <w:rPr>
          <w:spacing w:val="-95"/>
        </w:rPr>
      </w:r>
      <w:r>
        <w:rPr>
          <w:spacing w:val="-1"/>
        </w:rPr>
        <w:t>计处理。因被投资方除净损益、其他综合收益和利润分配以外的其他所有者权益变动而确认的所有者权</w:t>
      </w:r>
      <w:r>
        <w:rPr>
          <w:spacing w:val="-100"/>
        </w:rPr>
        <w:t> </w:t>
      </w:r>
      <w:r>
        <w:rPr>
          <w:spacing w:val="-100"/>
        </w:rPr>
      </w:r>
      <w:r>
        <w:rPr/>
        <w:t>益，按比例结转入当期损益。</w:t>
      </w:r>
    </w:p>
    <w:p>
      <w:pPr>
        <w:pStyle w:val="BodyText"/>
        <w:spacing w:line="273" w:lineRule="auto"/>
        <w:ind w:left="144" w:right="1187" w:firstLine="420"/>
        <w:jc w:val="both"/>
      </w:pPr>
      <w:r>
        <w:rPr>
          <w:spacing w:val="-1"/>
        </w:rPr>
        <w:t>采用成本法核算的长期股权投资，处置后剩余股权仍采用成本法核算的，其在取得对被投资单位的</w:t>
      </w:r>
      <w:r>
        <w:rPr/>
        <w:t> </w:t>
      </w:r>
      <w:r>
        <w:rPr>
          <w:spacing w:val="-1"/>
        </w:rPr>
        <w:t>控制之前因采用权益法核算或金融工具确认和计量准则核算而确认的其他综合收益，采用与被投资单位</w:t>
      </w:r>
      <w:r>
        <w:rPr>
          <w:spacing w:val="-101"/>
        </w:rPr>
        <w:t> </w:t>
      </w:r>
      <w:r>
        <w:rPr>
          <w:spacing w:val="-101"/>
        </w:rPr>
      </w:r>
      <w:r>
        <w:rPr>
          <w:spacing w:val="-1"/>
        </w:rPr>
        <w:t>直接处置相关资产或负债相同的基础进行会计处理，并按比例结转当期损益；因采用权益法核算而确认</w:t>
      </w:r>
      <w:r>
        <w:rPr>
          <w:spacing w:val="-100"/>
        </w:rPr>
        <w:t> </w:t>
      </w:r>
      <w:r>
        <w:rPr>
          <w:spacing w:val="-100"/>
        </w:rPr>
      </w:r>
      <w:r>
        <w:rPr>
          <w:spacing w:val="-1"/>
        </w:rPr>
        <w:t>的被投资单位净资产中除净损益、其他综合收益和利润分配以外的其他所有者权益变动按比例结转当期</w:t>
      </w:r>
      <w:r>
        <w:rPr>
          <w:spacing w:val="-101"/>
        </w:rPr>
        <w:t> </w:t>
      </w:r>
      <w:r>
        <w:rPr>
          <w:spacing w:val="-101"/>
        </w:rPr>
      </w:r>
      <w:r>
        <w:rPr/>
        <w:t>损益。</w:t>
      </w:r>
    </w:p>
    <w:p>
      <w:pPr>
        <w:spacing w:after="0" w:line="273" w:lineRule="auto"/>
        <w:jc w:val="both"/>
        <w:sectPr>
          <w:footerReference w:type="default" r:id="rId45"/>
          <w:pgSz w:w="11910" w:h="16840"/>
          <w:pgMar w:footer="1219" w:header="883"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51" w:firstLine="421"/>
        <w:jc w:val="both"/>
      </w:pPr>
      <w:r>
        <w:rPr>
          <w:spacing w:val="-1"/>
        </w:rPr>
        <w:t>本公司因处置部分股权投资丧失了对被投资单位的控制的，在编制个别财务报表时，处置后的剩余</w:t>
      </w:r>
      <w:r>
        <w:rPr/>
        <w:t> </w:t>
      </w:r>
      <w:r>
        <w:rPr>
          <w:spacing w:val="-1"/>
        </w:rPr>
        <w:t>股权能够对被投资单位实施共同控制或施加重大影响的，改按权益法核算，并对该剩余股权视同自取得</w:t>
      </w:r>
      <w:r>
        <w:rPr>
          <w:spacing w:val="-100"/>
        </w:rPr>
        <w:t> </w:t>
      </w:r>
      <w:r>
        <w:rPr>
          <w:spacing w:val="-100"/>
        </w:rPr>
      </w:r>
      <w:r>
        <w:rPr/>
        <w:t>时即采用权益法核算进行调整；处置后的剩余股权不能对被投资单位实施共同控制或施加重大影响的， </w:t>
      </w:r>
      <w:r>
        <w:rPr>
          <w:spacing w:val="-1"/>
        </w:rPr>
        <w:t>改按金融工具确认和计量准则的有关规定进行会计处理，其在丧失控制之日的公允价值与账面价值之间</w:t>
      </w:r>
      <w:r>
        <w:rPr>
          <w:spacing w:val="-101"/>
        </w:rPr>
        <w:t> </w:t>
      </w:r>
      <w:r>
        <w:rPr>
          <w:spacing w:val="-101"/>
        </w:rPr>
      </w:r>
      <w:r>
        <w:rPr>
          <w:spacing w:val="-1"/>
        </w:rPr>
        <w:t>的差额计入当期损益。对于本公司取得对被投资单位的控制之前，因采用权益法核算或金融工具确认和</w:t>
      </w:r>
      <w:r>
        <w:rPr>
          <w:spacing w:val="-100"/>
        </w:rPr>
        <w:t> </w:t>
      </w:r>
      <w:r>
        <w:rPr>
          <w:spacing w:val="-100"/>
        </w:rPr>
      </w:r>
      <w:r>
        <w:rPr>
          <w:spacing w:val="-1"/>
        </w:rPr>
        <w:t>计量准则核算而确认的其他综合收益，在丧失对被投资单位控制时采用与被投资单位直接处置相关资产</w:t>
      </w:r>
      <w:r>
        <w:rPr>
          <w:spacing w:val="-101"/>
        </w:rPr>
        <w:t> </w:t>
      </w:r>
      <w:r>
        <w:rPr>
          <w:spacing w:val="-101"/>
        </w:rPr>
      </w:r>
      <w:r>
        <w:rPr>
          <w:spacing w:val="-1"/>
        </w:rPr>
        <w:t>或负债相同的基础进行会计处理，因采用权益法核算而确认的被投资单位净资产中除净损益、其他综合</w:t>
      </w:r>
      <w:r>
        <w:rPr>
          <w:spacing w:val="-100"/>
        </w:rPr>
        <w:t> </w:t>
      </w:r>
      <w:r>
        <w:rPr>
          <w:spacing w:val="-100"/>
        </w:rPr>
      </w:r>
      <w:r>
        <w:rPr>
          <w:spacing w:val="-1"/>
        </w:rPr>
        <w:t>收益和利润分配以外的其他所有者权益变动在丧失对被投资单位控制时结转入当期损益。其中，处置后</w:t>
      </w:r>
      <w:r>
        <w:rPr>
          <w:spacing w:val="-100"/>
        </w:rPr>
        <w:t> </w:t>
      </w:r>
      <w:r>
        <w:rPr>
          <w:spacing w:val="-100"/>
        </w:rPr>
      </w:r>
      <w:r>
        <w:rPr>
          <w:spacing w:val="-1"/>
        </w:rPr>
        <w:t>的剩余股权采用权益法核算的，其他综合收益和其他所有者权益按比例结转；处置后的剩余股权改按金</w:t>
      </w:r>
      <w:r>
        <w:rPr>
          <w:spacing w:val="-100"/>
        </w:rPr>
        <w:t> </w:t>
      </w:r>
      <w:r>
        <w:rPr>
          <w:spacing w:val="-100"/>
        </w:rPr>
      </w:r>
      <w:r>
        <w:rPr/>
        <w:t>融工具确认和计量准则进行会计处理的，其他综合收益和其他所有者权益全部结转。</w:t>
      </w:r>
    </w:p>
    <w:p>
      <w:pPr>
        <w:pStyle w:val="BodyText"/>
        <w:spacing w:line="273" w:lineRule="auto"/>
        <w:ind w:left="144" w:right="1151" w:firstLine="420"/>
        <w:jc w:val="right"/>
      </w:pPr>
      <w:r>
        <w:rPr>
          <w:spacing w:val="-1"/>
        </w:rPr>
        <w:t>本公司因处置部分股权投资丧失了对被投资单位的共同控制或重大影响的，处置后的剩余股权改按</w:t>
      </w:r>
      <w:r>
        <w:rPr/>
        <w:t> </w:t>
      </w:r>
      <w:r>
        <w:rPr>
          <w:spacing w:val="-1"/>
        </w:rPr>
        <w:t>金融工具确认和计量准则核算，其在丧失共同控制或重大影响之日的公允价值与账面价值之间的差额计</w:t>
      </w:r>
      <w:r>
        <w:rPr/>
        <w:t> </w:t>
      </w:r>
      <w:r>
        <w:rPr>
          <w:spacing w:val="-1"/>
        </w:rPr>
        <w:t>入当期损益。原股权投资因采用权益法核算而确认的其他综合收益，在终止采用权益法核算时采用与被</w:t>
      </w:r>
      <w:r>
        <w:rPr/>
        <w:t> </w:t>
      </w:r>
      <w:r>
        <w:rPr>
          <w:spacing w:val="-1"/>
        </w:rPr>
        <w:t>投资单位直接处置相关资产或负债相同的基础进行会计处理，因被投资方除净损益、其他综合收益和利</w:t>
      </w:r>
      <w:r>
        <w:rPr/>
        <w:t> 润分配以外的其他所有者权益变动而确认的所有者权益，在终止采用权益法时全部转入当期投资收益。 </w:t>
      </w:r>
      <w:r>
        <w:rPr>
          <w:spacing w:val="3"/>
        </w:rPr>
        <w:t>本公司通过多次交易分步处置对子公司股权投资直至丧失控制权，如果上述交易属于一揽子交易</w:t>
      </w:r>
      <w:r>
        <w:rPr/>
        <w:t> </w:t>
      </w:r>
      <w:r>
        <w:rPr>
          <w:spacing w:val="-1"/>
        </w:rPr>
        <w:t>的，将各项交易作为一项处置子公司股权投资并丧失控制权的交易进行会计处理，在丧失控制权之前每</w:t>
      </w:r>
      <w:r>
        <w:rPr/>
        <w:t> </w:t>
      </w:r>
      <w:r>
        <w:rPr>
          <w:spacing w:val="-1"/>
        </w:rPr>
        <w:t>一次处置价款与所处置的股权对应的长期股权投资账面价值之间的差额，先确认为其他综合收益，到丧</w:t>
      </w:r>
    </w:p>
    <w:p>
      <w:pPr>
        <w:pStyle w:val="BodyText"/>
        <w:spacing w:line="240" w:lineRule="auto"/>
        <w:ind w:left="144" w:right="1066"/>
        <w:jc w:val="left"/>
      </w:pPr>
      <w:r>
        <w:rPr/>
        <w:t>失控制权时再一并转入丧失控制权的当期损益。</w:t>
      </w:r>
    </w:p>
    <w:p>
      <w:pPr>
        <w:spacing w:line="240" w:lineRule="auto" w:before="10"/>
        <w:rPr>
          <w:rFonts w:ascii="宋体" w:hAnsi="宋体" w:cs="宋体" w:eastAsia="宋体" w:hint="default"/>
          <w:sz w:val="14"/>
          <w:szCs w:val="14"/>
        </w:rPr>
      </w:pPr>
    </w:p>
    <w:p>
      <w:pPr>
        <w:spacing w:line="273" w:lineRule="auto" w:before="0"/>
        <w:ind w:left="564" w:right="5122" w:firstLine="2"/>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99"/>
          <w:sz w:val="21"/>
          <w:szCs w:val="21"/>
        </w:rPr>
        <w:t> </w:t>
      </w:r>
      <w:r>
        <w:rPr>
          <w:rFonts w:ascii="宋体" w:hAnsi="宋体" w:cs="宋体" w:eastAsia="宋体" w:hint="default"/>
          <w:sz w:val="21"/>
          <w:szCs w:val="21"/>
        </w:rPr>
        <w:t>本公司投资性房地产是指为赚取租金而持有的房地产。</w:t>
      </w:r>
    </w:p>
    <w:p>
      <w:pPr>
        <w:pStyle w:val="BodyText"/>
        <w:spacing w:line="273" w:lineRule="auto"/>
        <w:ind w:left="144" w:right="1189" w:firstLine="420"/>
        <w:jc w:val="both"/>
      </w:pPr>
      <w:r>
        <w:rPr>
          <w:spacing w:val="-1"/>
        </w:rPr>
        <w:t>投资性房地产按取得时的实际成本入账，由建造该项资产达到预定可使用状态前所发生的必要支出</w:t>
      </w:r>
      <w:r>
        <w:rPr/>
        <w:t> 构成。</w:t>
      </w:r>
    </w:p>
    <w:p>
      <w:pPr>
        <w:pStyle w:val="BodyText"/>
        <w:spacing w:line="273" w:lineRule="auto"/>
        <w:ind w:left="144" w:right="1066" w:firstLine="420"/>
        <w:jc w:val="left"/>
      </w:pPr>
      <w:r>
        <w:rPr>
          <w:spacing w:val="-4"/>
        </w:rPr>
        <w:t>本公司对投资性房地产采用成本模式进行后续计量，折旧政策详见本附注“固定资产的标准、分类、</w:t>
      </w:r>
      <w:r>
        <w:rPr/>
        <w:t> </w:t>
      </w:r>
      <w:r>
        <w:rPr>
          <w:spacing w:val="-12"/>
        </w:rPr>
        <w:t>计价、折旧政策”。</w:t>
      </w:r>
    </w:p>
    <w:p>
      <w:pPr>
        <w:pStyle w:val="BodyText"/>
        <w:spacing w:line="273" w:lineRule="auto"/>
        <w:ind w:left="144" w:right="1188" w:firstLine="420"/>
        <w:jc w:val="both"/>
      </w:pPr>
      <w:r>
        <w:rPr>
          <w:spacing w:val="-1"/>
        </w:rPr>
        <w:t>本公司年末对投资性房地产按照账面净值与可收回金额孰低计量，按单项资产可收回金额低于账面</w:t>
      </w:r>
      <w:r>
        <w:rPr/>
        <w:t> </w:t>
      </w:r>
      <w:r>
        <w:rPr>
          <w:spacing w:val="-1"/>
        </w:rPr>
        <w:t>净值的差额，计提投资性房地产减值准备。资产减值损失一经确认，在以后会计期间不再转回。本公司</w:t>
      </w:r>
      <w:r>
        <w:rPr>
          <w:spacing w:val="-100"/>
        </w:rPr>
        <w:t> </w:t>
      </w:r>
      <w:r>
        <w:rPr>
          <w:spacing w:val="-100"/>
        </w:rPr>
      </w:r>
      <w:r>
        <w:rPr/>
        <w:t>投资性房地产按照取得时的成本进行初始计量，并采用成本模式进行后续计量。</w:t>
      </w:r>
    </w:p>
    <w:p>
      <w:pPr>
        <w:pStyle w:val="BodyText"/>
        <w:spacing w:line="273" w:lineRule="auto"/>
        <w:ind w:left="144" w:right="1189" w:firstLine="420"/>
        <w:jc w:val="both"/>
      </w:pPr>
      <w:r>
        <w:rPr>
          <w:spacing w:val="-1"/>
        </w:rPr>
        <w:t>本公司投资性房地产可收回金额低于其账面价值时，按单项投资性房地产可收回金额低于账面价值</w:t>
      </w:r>
      <w:r>
        <w:rPr/>
        <w:t> </w:t>
      </w:r>
      <w:r>
        <w:rPr>
          <w:spacing w:val="-1"/>
        </w:rPr>
        <w:t>的差额，确认投资性房地产减值准备。本公司投资性房地产减值准备一经确认，在以后会计期间不得转</w:t>
      </w:r>
      <w:r>
        <w:rPr>
          <w:spacing w:val="-102"/>
        </w:rPr>
        <w:t> </w:t>
      </w:r>
      <w:r>
        <w:rPr>
          <w:spacing w:val="-102"/>
        </w:rPr>
      </w:r>
      <w:r>
        <w:rPr/>
        <w:t>回。</w:t>
      </w:r>
    </w:p>
    <w:p>
      <w:pPr>
        <w:pStyle w:val="Heading3"/>
        <w:spacing w:line="326" w:lineRule="auto" w:before="163"/>
        <w:ind w:left="567" w:right="6786"/>
        <w:jc w:val="left"/>
        <w:rPr>
          <w:b w:val="0"/>
          <w:bCs w:val="0"/>
        </w:rPr>
      </w:pPr>
      <w:r>
        <w:rPr/>
        <w:t>（十四）固定资产的计价和折旧方法</w:t>
      </w:r>
      <w:r>
        <w:rPr>
          <w:w w:val="99"/>
        </w:rPr>
        <w:t> </w:t>
      </w:r>
      <w:r>
        <w:rPr>
          <w:rFonts w:ascii="宋体" w:hAnsi="宋体" w:cs="宋体" w:eastAsia="宋体" w:hint="default"/>
        </w:rPr>
        <w:t>1</w:t>
      </w:r>
      <w:r>
        <w:rPr/>
        <w:t>．固定资产确认条件</w:t>
      </w:r>
      <w:r>
        <w:rPr>
          <w:b w:val="0"/>
          <w:bCs w:val="0"/>
        </w:rPr>
      </w:r>
    </w:p>
    <w:p>
      <w:pPr>
        <w:pStyle w:val="BodyText"/>
        <w:spacing w:line="236" w:lineRule="exact" w:before="0"/>
        <w:ind w:left="564" w:right="1066"/>
        <w:jc w:val="left"/>
      </w:pPr>
      <w:r>
        <w:rPr/>
        <w:t>本公司固定资产是指为生产商品、提供劳务、出租或经营管理而持有，并且使用年限超过一年的有</w:t>
      </w:r>
    </w:p>
    <w:p>
      <w:pPr>
        <w:pStyle w:val="BodyText"/>
        <w:spacing w:line="240" w:lineRule="auto" w:before="37"/>
        <w:ind w:left="144" w:right="1066"/>
        <w:jc w:val="left"/>
      </w:pPr>
      <w:r>
        <w:rPr/>
        <w:t>形资产。固定资产在同时满足下列条件时予以确认：</w:t>
      </w:r>
    </w:p>
    <w:p>
      <w:pPr>
        <w:pStyle w:val="BodyText"/>
        <w:spacing w:line="240" w:lineRule="auto" w:before="37"/>
        <w:ind w:left="564" w:right="1066"/>
        <w:jc w:val="left"/>
      </w:pPr>
      <w:r>
        <w:rPr/>
        <w:t>（</w:t>
      </w:r>
      <w:r>
        <w:rPr>
          <w:rFonts w:ascii="宋体" w:hAnsi="宋体" w:cs="宋体" w:eastAsia="宋体" w:hint="default"/>
        </w:rPr>
        <w:t>1</w:t>
      </w:r>
      <w:r>
        <w:rPr/>
        <w:t>）与该固定资产有关的经济利益很可能流入企业；</w:t>
      </w:r>
    </w:p>
    <w:p>
      <w:pPr>
        <w:pStyle w:val="BodyText"/>
        <w:spacing w:line="240" w:lineRule="auto" w:before="37"/>
        <w:ind w:left="564" w:right="1066"/>
        <w:jc w:val="left"/>
      </w:pPr>
      <w:r>
        <w:rPr/>
        <w:t>（</w:t>
      </w:r>
      <w:r>
        <w:rPr>
          <w:rFonts w:ascii="宋体" w:hAnsi="宋体" w:cs="宋体" w:eastAsia="宋体" w:hint="default"/>
        </w:rPr>
        <w:t>2</w:t>
      </w:r>
      <w:r>
        <w:rPr/>
        <w:t>）该固定资产的成本能够可靠地计量。</w:t>
      </w:r>
    </w:p>
    <w:p>
      <w:pPr>
        <w:spacing w:line="271" w:lineRule="auto" w:before="99"/>
        <w:ind w:left="564" w:right="554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本公司固定资产通常按照实际成本作为初始计量。</w:t>
      </w:r>
    </w:p>
    <w:p>
      <w:pPr>
        <w:pStyle w:val="BodyText"/>
        <w:spacing w:line="273" w:lineRule="auto" w:before="10"/>
        <w:ind w:left="144" w:right="1187" w:firstLine="420"/>
        <w:jc w:val="both"/>
      </w:pPr>
      <w:r>
        <w:rPr>
          <w:spacing w:val="-1"/>
        </w:rPr>
        <w:t>本公司购买固定资产的价款超过正常信用条件延期支付，实质上具有融资性质的，固定资产的成本</w:t>
      </w:r>
      <w:r>
        <w:rPr/>
        <w:t> 以购买价款的现值为基础确定。</w:t>
      </w:r>
    </w:p>
    <w:p>
      <w:pPr>
        <w:pStyle w:val="BodyText"/>
        <w:spacing w:line="273" w:lineRule="auto"/>
        <w:ind w:left="144" w:right="1189" w:firstLine="420"/>
        <w:jc w:val="both"/>
      </w:pPr>
      <w:r>
        <w:rPr>
          <w:spacing w:val="3"/>
        </w:rPr>
        <w:t>本公司债务重组取得债务人用以抵债的固定资产，以该固定资产的公允价值为基础确定其入账价</w:t>
      </w:r>
      <w:r>
        <w:rPr/>
        <w:t> </w:t>
      </w:r>
      <w:r>
        <w:rPr>
          <w:spacing w:val="-1"/>
        </w:rPr>
        <w:t>值，并将重组债务的账面价值与该用以抵债的固定资产公允价值之间的差额，计入当期损益；在非货币</w:t>
      </w:r>
    </w:p>
    <w:p>
      <w:pPr>
        <w:spacing w:after="0" w:line="273" w:lineRule="auto"/>
        <w:jc w:val="both"/>
        <w:sectPr>
          <w:footerReference w:type="default" r:id="rId46"/>
          <w:pgSz w:w="11910" w:h="16840"/>
          <w:pgMar w:footer="1219" w:header="883" w:top="1140" w:bottom="1400" w:left="1160" w:right="0"/>
          <w:pgNumType w:start="71"/>
        </w:sectPr>
      </w:pPr>
    </w:p>
    <w:p>
      <w:pPr>
        <w:spacing w:line="240" w:lineRule="auto" w:before="9"/>
        <w:rPr>
          <w:rFonts w:ascii="宋体" w:hAnsi="宋体" w:cs="宋体" w:eastAsia="宋体" w:hint="default"/>
          <w:sz w:val="17"/>
          <w:szCs w:val="17"/>
        </w:rPr>
      </w:pPr>
    </w:p>
    <w:p>
      <w:pPr>
        <w:pStyle w:val="BodyText"/>
        <w:spacing w:line="273" w:lineRule="auto" w:before="35"/>
        <w:ind w:right="1188"/>
        <w:jc w:val="both"/>
      </w:pPr>
      <w:r>
        <w:rPr>
          <w:spacing w:val="-1"/>
        </w:rPr>
        <w:t>性资产交换具备商业实质和换入资产或换出资产的公允价值能够可靠计量的前提下，非货币性资产交换</w:t>
      </w:r>
      <w:r>
        <w:rPr>
          <w:spacing w:val="-101"/>
        </w:rPr>
        <w:t> </w:t>
      </w:r>
      <w:r>
        <w:rPr>
          <w:spacing w:val="-101"/>
        </w:rPr>
      </w:r>
      <w:r>
        <w:rPr>
          <w:spacing w:val="-1"/>
        </w:rPr>
        <w:t>换入的固定资产通常以换出资产的公允价值为基础确定其入账价值，除非有确凿证据表明换入资产的公</w:t>
      </w:r>
      <w:r>
        <w:rPr>
          <w:spacing w:val="-101"/>
        </w:rPr>
        <w:t> </w:t>
      </w:r>
      <w:r>
        <w:rPr>
          <w:spacing w:val="-101"/>
        </w:rPr>
      </w:r>
      <w:r>
        <w:rPr>
          <w:spacing w:val="-1"/>
        </w:rPr>
        <w:t>允价值更加可靠；不满足上述前提的非货币性资产交换，以换出资产的账面价值和应支付的相关税费作</w:t>
      </w:r>
      <w:r>
        <w:rPr>
          <w:spacing w:val="-100"/>
        </w:rPr>
        <w:t> </w:t>
      </w:r>
      <w:r>
        <w:rPr>
          <w:spacing w:val="-100"/>
        </w:rPr>
      </w:r>
      <w:r>
        <w:rPr/>
        <w:t>为换入固定资产的成本，不确认损益。</w:t>
      </w:r>
    </w:p>
    <w:p>
      <w:pPr>
        <w:pStyle w:val="BodyText"/>
        <w:spacing w:line="273" w:lineRule="auto" w:before="8"/>
        <w:ind w:right="1149" w:firstLine="420"/>
        <w:jc w:val="both"/>
      </w:pPr>
      <w:r>
        <w:rPr/>
        <w:t>本公司以同一控制下的企业吸收合并方式取得的固定资产按被合并方的账面价值确定其入账价值； 以非同一控制下的企业吸收合并方式取得的固定资产按公允价值确定其入账价值。</w:t>
      </w:r>
    </w:p>
    <w:p>
      <w:pPr>
        <w:pStyle w:val="BodyText"/>
        <w:spacing w:line="273" w:lineRule="auto"/>
        <w:ind w:right="1189" w:firstLine="420"/>
        <w:jc w:val="both"/>
      </w:pPr>
      <w:r>
        <w:rPr>
          <w:spacing w:val="-1"/>
        </w:rPr>
        <w:t>本公司融资租入的固定资产，按租赁开始日租赁资产公允价值与最低租赁付款额现值两者中较低者</w:t>
      </w:r>
      <w:r>
        <w:rPr/>
        <w:t> 作为入账价值。</w:t>
      </w:r>
    </w:p>
    <w:p>
      <w:pPr>
        <w:spacing w:line="273" w:lineRule="auto" w:before="7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本公司固定资产折旧采用年限平均法分类计提，根据固定资产类别、预计使用年限和预计净残值率</w:t>
      </w:r>
    </w:p>
    <w:p>
      <w:pPr>
        <w:pStyle w:val="BodyText"/>
        <w:spacing w:line="240" w:lineRule="auto"/>
        <w:ind w:right="0"/>
        <w:jc w:val="both"/>
      </w:pPr>
      <w:r>
        <w:rPr/>
        <w:t>确定折旧率。</w:t>
      </w:r>
    </w:p>
    <w:p>
      <w:pPr>
        <w:pStyle w:val="BodyText"/>
        <w:spacing w:line="273" w:lineRule="auto" w:before="37"/>
        <w:ind w:right="1189" w:firstLine="420"/>
        <w:jc w:val="both"/>
      </w:pPr>
      <w:r>
        <w:rPr>
          <w:spacing w:val="-1"/>
        </w:rPr>
        <w:t>符合资本化条件的固定资产装修费用，在两次装修期间与固定资产尚可使用年限两者中较短的期间</w:t>
      </w:r>
      <w:r>
        <w:rPr/>
        <w:t> 内，采用年限平均法单独计提折旧。</w:t>
      </w:r>
    </w:p>
    <w:p>
      <w:pPr>
        <w:pStyle w:val="BodyText"/>
        <w:spacing w:line="273" w:lineRule="auto"/>
        <w:ind w:right="1187" w:firstLine="420"/>
        <w:jc w:val="both"/>
      </w:pPr>
      <w:r>
        <w:rPr>
          <w:spacing w:val="-1"/>
        </w:rPr>
        <w:t>融资租赁方式租入的固定资产，能合理确定租赁期届满时将会取得租赁资产所有权的，在租赁资产</w:t>
      </w:r>
      <w:r>
        <w:rPr/>
        <w:t> </w:t>
      </w:r>
      <w:r>
        <w:rPr>
          <w:spacing w:val="-1"/>
        </w:rPr>
        <w:t>尚可使用年限内计提折旧；无法合理确定租赁期届满时能够取得租赁资产所有权的，在租赁期与租赁资</w:t>
      </w:r>
      <w:r>
        <w:rPr>
          <w:spacing w:val="-100"/>
        </w:rPr>
        <w:t> </w:t>
      </w:r>
      <w:r>
        <w:rPr>
          <w:spacing w:val="-100"/>
        </w:rPr>
      </w:r>
      <w:r>
        <w:rPr/>
        <w:t>产尚可使用年限两者中较短的期间内计提折旧。</w:t>
      </w:r>
    </w:p>
    <w:p>
      <w:pPr>
        <w:pStyle w:val="BodyText"/>
        <w:spacing w:line="240" w:lineRule="auto"/>
        <w:ind w:left="824" w:right="5945"/>
        <w:jc w:val="left"/>
      </w:pPr>
      <w:r>
        <w:rPr/>
        <w:t>各类固定资产折旧年限和年折旧率如下：</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87"/>
        <w:gridCol w:w="3209"/>
        <w:gridCol w:w="3329"/>
      </w:tblGrid>
      <w:tr>
        <w:trPr>
          <w:trHeight w:val="349"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b/>
                <w:bCs/>
                <w:w w:val="95"/>
                <w:sz w:val="18"/>
                <w:szCs w:val="18"/>
              </w:rPr>
              <w:t>预计使用寿命</w:t>
            </w:r>
            <w:r>
              <w:rPr>
                <w:rFonts w:ascii="宋体" w:hAnsi="宋体" w:cs="宋体" w:eastAsia="宋体" w:hint="default"/>
                <w:sz w:val="18"/>
                <w:szCs w:val="18"/>
              </w:rPr>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b/>
                <w:bCs/>
                <w:w w:val="95"/>
                <w:sz w:val="18"/>
                <w:szCs w:val="18"/>
              </w:rPr>
              <w:t>年折旧率</w:t>
            </w:r>
            <w:r>
              <w:rPr>
                <w:rFonts w:ascii="宋体" w:hAnsi="宋体" w:cs="宋体" w:eastAsia="宋体" w:hint="default"/>
                <w:sz w:val="18"/>
                <w:szCs w:val="18"/>
              </w:rPr>
            </w:r>
          </w:p>
        </w:tc>
      </w:tr>
      <w:tr>
        <w:trPr>
          <w:trHeight w:val="32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4.75-1.9%</w:t>
            </w:r>
          </w:p>
        </w:tc>
      </w:tr>
      <w:tr>
        <w:trPr>
          <w:trHeight w:val="322"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7-15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13.57-6.33%</w:t>
            </w:r>
          </w:p>
        </w:tc>
      </w:tr>
      <w:tr>
        <w:trPr>
          <w:trHeight w:val="322"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11.88%</w:t>
            </w:r>
          </w:p>
        </w:tc>
      </w:tr>
      <w:tr>
        <w:trPr>
          <w:trHeight w:val="35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11.88-7.92%</w:t>
            </w:r>
          </w:p>
        </w:tc>
      </w:tr>
    </w:tbl>
    <w:p>
      <w:pPr>
        <w:spacing w:line="240" w:lineRule="auto" w:before="1"/>
        <w:rPr>
          <w:rFonts w:ascii="宋体" w:hAnsi="宋体" w:cs="宋体" w:eastAsia="宋体" w:hint="default"/>
          <w:sz w:val="8"/>
          <w:szCs w:val="8"/>
        </w:rPr>
      </w:pPr>
    </w:p>
    <w:p>
      <w:pPr>
        <w:spacing w:line="273" w:lineRule="auto" w:before="35"/>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．固定资产减值测试方法、减值准备计提方法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资产负债表日，固定资产按照账面价值与可收回金额孰低计价。 </w:t>
      </w:r>
      <w:r>
        <w:rPr>
          <w:rFonts w:ascii="宋体" w:hAnsi="宋体" w:cs="宋体" w:eastAsia="宋体" w:hint="default"/>
          <w:spacing w:val="-1"/>
          <w:sz w:val="21"/>
          <w:szCs w:val="21"/>
        </w:rPr>
        <w:t>存在减值迹象的，本公司估计其可收回金额。可收回金额低于其账面价值的，按差额计提资产减值</w:t>
      </w:r>
    </w:p>
    <w:p>
      <w:pPr>
        <w:pStyle w:val="BodyText"/>
        <w:spacing w:line="273" w:lineRule="auto"/>
        <w:ind w:right="1189"/>
        <w:jc w:val="both"/>
      </w:pPr>
      <w:r>
        <w:rPr>
          <w:spacing w:val="-1"/>
        </w:rPr>
        <w:t>准备。可收回金额根据固定资产的公允价值减去处置费用后的净额与资产预计未来现金流量的现值两者</w:t>
      </w:r>
      <w:r>
        <w:rPr>
          <w:spacing w:val="-101"/>
        </w:rPr>
        <w:t> </w:t>
      </w:r>
      <w:r>
        <w:rPr>
          <w:spacing w:val="-101"/>
        </w:rPr>
      </w:r>
      <w:r>
        <w:rPr/>
        <w:t>之间较高者确定。</w:t>
      </w:r>
    </w:p>
    <w:p>
      <w:pPr>
        <w:pStyle w:val="BodyText"/>
        <w:spacing w:line="240" w:lineRule="auto"/>
        <w:ind w:left="930" w:right="418"/>
        <w:jc w:val="left"/>
      </w:pPr>
      <w:r>
        <w:rPr/>
        <w:t>固定资产减值损失一经确认，在以后会计期间不再转回。</w:t>
      </w:r>
    </w:p>
    <w:p>
      <w:pPr>
        <w:spacing w:line="240" w:lineRule="auto" w:before="10"/>
        <w:rPr>
          <w:rFonts w:ascii="宋体" w:hAnsi="宋体" w:cs="宋体" w:eastAsia="宋体" w:hint="default"/>
          <w:sz w:val="14"/>
          <w:szCs w:val="14"/>
        </w:rPr>
      </w:pPr>
    </w:p>
    <w:p>
      <w:pPr>
        <w:pStyle w:val="Heading3"/>
        <w:spacing w:line="240" w:lineRule="auto" w:before="0"/>
        <w:ind w:right="5945"/>
        <w:jc w:val="left"/>
        <w:rPr>
          <w:b w:val="0"/>
          <w:bCs w:val="0"/>
        </w:rPr>
      </w:pPr>
      <w:r>
        <w:rPr/>
        <w:t>（十五）在建工程核算方法</w:t>
      </w:r>
      <w:r>
        <w:rPr>
          <w:b w:val="0"/>
          <w:bCs w:val="0"/>
        </w:rPr>
      </w:r>
    </w:p>
    <w:p>
      <w:pPr>
        <w:spacing w:line="273" w:lineRule="auto" w:before="99"/>
        <w:ind w:left="824" w:right="6592"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w w:val="99"/>
          <w:sz w:val="21"/>
          <w:szCs w:val="21"/>
        </w:rPr>
        <w:t> </w:t>
      </w:r>
      <w:r>
        <w:rPr>
          <w:rFonts w:ascii="宋体" w:hAnsi="宋体" w:cs="宋体" w:eastAsia="宋体" w:hint="default"/>
          <w:sz w:val="21"/>
          <w:szCs w:val="21"/>
        </w:rPr>
        <w:t>本公司在建工程以立项项目分类核算。</w:t>
      </w:r>
    </w:p>
    <w:p>
      <w:pPr>
        <w:spacing w:line="273" w:lineRule="auto" w:before="7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．在建工程的初始计量和后续计量</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本公司在建工程按照实际发生的支出确定其工程成本，并单独核算。工程达到预定可使用状态前因</w:t>
      </w:r>
    </w:p>
    <w:p>
      <w:pPr>
        <w:pStyle w:val="BodyText"/>
        <w:spacing w:line="273" w:lineRule="auto"/>
        <w:ind w:right="1187"/>
        <w:jc w:val="both"/>
      </w:pPr>
      <w:r>
        <w:rPr>
          <w:spacing w:val="-1"/>
        </w:rPr>
        <w:t>进行试运转所发生的净支出，计入工程成本。在建工程项目在达到预定可使用状态前所取得的试运转过</w:t>
      </w:r>
      <w:r>
        <w:rPr>
          <w:spacing w:val="-100"/>
        </w:rPr>
        <w:t> </w:t>
      </w:r>
      <w:r>
        <w:rPr>
          <w:spacing w:val="-100"/>
        </w:rPr>
      </w:r>
      <w:r>
        <w:rPr>
          <w:spacing w:val="-1"/>
        </w:rPr>
        <w:t>程中形成的、能够对外销售的产品，其发生的成本，计入在建工程成本，销售或转为库存商品时，按实</w:t>
      </w:r>
      <w:r>
        <w:rPr/>
        <w:t> </w:t>
      </w:r>
      <w:r>
        <w:rPr>
          <w:spacing w:val="-1"/>
        </w:rPr>
        <w:t>际销售收入或按预计售价冲减工程成本。在建工程发生的借款费用，符合借款费用资本化条件的，在所</w:t>
      </w:r>
      <w:r>
        <w:rPr>
          <w:spacing w:val="-102"/>
        </w:rPr>
        <w:t> </w:t>
      </w:r>
      <w:r>
        <w:rPr>
          <w:spacing w:val="-102"/>
        </w:rPr>
      </w:r>
      <w:r>
        <w:rPr/>
        <w:t>购建的固定资产达到预计可使用状态前，计入在建工程成本。</w:t>
      </w:r>
    </w:p>
    <w:p>
      <w:pPr>
        <w:spacing w:line="271" w:lineRule="auto" w:before="70"/>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本公司在建工程项目按建造该项资产达到预定可使用状态前所发生的全部支出，作为固定资产的入</w:t>
      </w:r>
    </w:p>
    <w:p>
      <w:pPr>
        <w:pStyle w:val="BodyText"/>
        <w:spacing w:line="273" w:lineRule="auto" w:before="10"/>
        <w:ind w:right="1188"/>
        <w:jc w:val="both"/>
      </w:pPr>
      <w:r>
        <w:rPr>
          <w:spacing w:val="-1"/>
        </w:rPr>
        <w:t>账价值。所建造的固定资产在建工程已达到预定可使用状态，但尚未办理竣工决算的，自达到预定可使</w:t>
      </w:r>
      <w:r>
        <w:rPr>
          <w:spacing w:val="-102"/>
        </w:rPr>
        <w:t> </w:t>
      </w:r>
      <w:r>
        <w:rPr>
          <w:spacing w:val="-102"/>
        </w:rPr>
      </w:r>
      <w:r>
        <w:rPr>
          <w:spacing w:val="-1"/>
        </w:rPr>
        <w:t>用状态之日起，根据工程预算、造价或者工程实际成本等，按估计的价值转入固定资产，并按本公司固</w:t>
      </w:r>
      <w:r>
        <w:rPr>
          <w:spacing w:val="-100"/>
        </w:rPr>
        <w:t> </w:t>
      </w:r>
      <w:r>
        <w:rPr>
          <w:spacing w:val="-100"/>
        </w:rPr>
      </w:r>
      <w:r>
        <w:rPr>
          <w:spacing w:val="-1"/>
        </w:rPr>
        <w:t>定资产折旧政策计提固定资产的折旧，待办理竣工决算后，再按实际成本调整原来的暂估价值，但不调</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564" w:right="1176" w:hanging="421"/>
        <w:jc w:val="left"/>
      </w:pPr>
      <w:r>
        <w:rPr/>
        <w:t>整原已计提的折旧额。 </w:t>
      </w:r>
      <w:r>
        <w:rPr>
          <w:spacing w:val="-1"/>
        </w:rPr>
        <w:t>上述</w:t>
      </w:r>
      <w:r>
        <w:rPr>
          <w:rFonts w:ascii="宋体" w:hAnsi="宋体" w:cs="宋体" w:eastAsia="宋体" w:hint="default"/>
          <w:spacing w:val="-1"/>
        </w:rPr>
        <w:t>"</w:t>
      </w:r>
      <w:r>
        <w:rPr>
          <w:spacing w:val="-1"/>
        </w:rPr>
        <w:t>达到预定可使用状态</w:t>
      </w:r>
      <w:r>
        <w:rPr>
          <w:rFonts w:ascii="宋体" w:hAnsi="宋体" w:cs="宋体" w:eastAsia="宋体" w:hint="default"/>
          <w:spacing w:val="-1"/>
        </w:rPr>
        <w:t>"</w:t>
      </w:r>
      <w:r>
        <w:rPr>
          <w:spacing w:val="-1"/>
        </w:rPr>
        <w:t>，是指固定资产已达到本公司预定的可使用状态。当存在下列情况之一</w:t>
      </w:r>
    </w:p>
    <w:p>
      <w:pPr>
        <w:pStyle w:val="BodyText"/>
        <w:spacing w:line="240" w:lineRule="auto"/>
        <w:ind w:left="144" w:right="1066"/>
        <w:jc w:val="left"/>
      </w:pPr>
      <w:r>
        <w:rPr/>
        <w:t>时，则认为所购建的固定资产已达到预定可使用状态：</w:t>
      </w:r>
    </w:p>
    <w:p>
      <w:pPr>
        <w:pStyle w:val="BodyText"/>
        <w:spacing w:line="240" w:lineRule="auto" w:before="37"/>
        <w:ind w:left="564" w:right="1066"/>
        <w:jc w:val="left"/>
      </w:pPr>
      <w:r>
        <w:rPr/>
        <w:t>①固定资产的实体建造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p>
    <w:p>
      <w:pPr>
        <w:pStyle w:val="BodyText"/>
        <w:spacing w:line="273" w:lineRule="auto" w:before="37"/>
        <w:ind w:left="144" w:right="1149" w:firstLine="420"/>
        <w:jc w:val="both"/>
      </w:pPr>
      <w:r>
        <w:rPr/>
        <w:t>②已经过试生产或试运行，并且其结果表明资产能够正常运行或者能够稳定地生产出合格产品时， 或者试运行结果表明能够正常运转或营业时；</w:t>
      </w:r>
    </w:p>
    <w:p>
      <w:pPr>
        <w:pStyle w:val="BodyText"/>
        <w:spacing w:line="240" w:lineRule="auto"/>
        <w:ind w:left="564" w:right="1066"/>
        <w:jc w:val="left"/>
      </w:pPr>
      <w:r>
        <w:rPr/>
        <w:t>③该项建造的固定资产上的支出金额很少或者几乎不再发生；</w:t>
      </w:r>
    </w:p>
    <w:p>
      <w:pPr>
        <w:pStyle w:val="BodyText"/>
        <w:spacing w:line="273" w:lineRule="auto" w:before="37"/>
        <w:ind w:left="144" w:right="1187" w:firstLine="420"/>
        <w:jc w:val="both"/>
      </w:pPr>
      <w:r>
        <w:rPr>
          <w:spacing w:val="-1"/>
        </w:rPr>
        <w:t>④所购建的固定资产已经达到设计或合同要求，或与设计或合同要求相符或基本相符，即使有极个</w:t>
      </w:r>
      <w:r>
        <w:rPr/>
        <w:t> 别地方与设计或合同要求不相符，也不足以影响其正常使用。</w:t>
      </w:r>
    </w:p>
    <w:p>
      <w:pPr>
        <w:pStyle w:val="BodyText"/>
        <w:spacing w:line="273" w:lineRule="auto" w:before="163"/>
        <w:ind w:left="564" w:right="1175" w:firstLine="2"/>
        <w:jc w:val="left"/>
      </w:pPr>
      <w:r>
        <w:rPr>
          <w:rFonts w:ascii="宋体" w:hAnsi="宋体" w:cs="宋体" w:eastAsia="宋体" w:hint="default"/>
          <w:b/>
          <w:bCs/>
        </w:rPr>
        <w:t>（十六）借款费用</w:t>
      </w:r>
      <w:r>
        <w:rPr>
          <w:rFonts w:ascii="宋体" w:hAnsi="宋体" w:cs="宋体" w:eastAsia="宋体" w:hint="default"/>
          <w:b/>
          <w:bCs/>
          <w:w w:val="99"/>
        </w:rPr>
        <w:t> </w:t>
      </w:r>
      <w:r>
        <w:rPr>
          <w:spacing w:val="-1"/>
        </w:rPr>
        <w:t>本公司发生的借款费用，可直接归属于符合资本化条件的资产的购建或者生产的，予以资本化，计</w:t>
      </w:r>
    </w:p>
    <w:p>
      <w:pPr>
        <w:pStyle w:val="BodyText"/>
        <w:spacing w:line="273" w:lineRule="auto"/>
        <w:ind w:left="144" w:right="1188"/>
        <w:jc w:val="both"/>
      </w:pPr>
      <w:r>
        <w:rPr>
          <w:spacing w:val="-1"/>
        </w:rPr>
        <w:t>入相关资产成本；其他借款费用，在发生时根据其发生额确认为费用，计入当期损益。符合资本化条件</w:t>
      </w:r>
      <w:r>
        <w:rPr>
          <w:spacing w:val="-100"/>
        </w:rPr>
        <w:t> </w:t>
      </w:r>
      <w:r>
        <w:rPr>
          <w:spacing w:val="-100"/>
        </w:rPr>
      </w:r>
      <w:r>
        <w:rPr>
          <w:spacing w:val="3"/>
        </w:rPr>
        <w:t>的资产，是指需要经过相当长时间的购建或者生产活动才能达到预定可使用或者可销售状态的固定资</w:t>
      </w:r>
      <w:r>
        <w:rPr>
          <w:spacing w:val="-95"/>
        </w:rPr>
        <w:t> </w:t>
      </w:r>
      <w:r>
        <w:rPr>
          <w:spacing w:val="-95"/>
        </w:rPr>
      </w:r>
      <w:r>
        <w:rPr/>
        <w:t>产、投资性房地产和存货等资产。</w:t>
      </w:r>
    </w:p>
    <w:p>
      <w:pPr>
        <w:pStyle w:val="BodyText"/>
        <w:spacing w:line="273" w:lineRule="auto"/>
        <w:ind w:left="144" w:right="1188" w:firstLine="420"/>
        <w:jc w:val="both"/>
      </w:pPr>
      <w:r>
        <w:rPr/>
        <w:t>同时满足下列条件时</w:t>
      </w:r>
      <w:r>
        <w:rPr>
          <w:spacing w:val="-10"/>
        </w:rPr>
        <w:t>，</w:t>
      </w:r>
      <w:r>
        <w:rPr/>
        <w:t>借款费用开始资本化</w:t>
      </w:r>
      <w:r>
        <w:rPr>
          <w:spacing w:val="-115"/>
        </w:rPr>
        <w:t>：</w:t>
      </w:r>
      <w:r>
        <w:rPr>
          <w:spacing w:val="-1"/>
        </w:rPr>
        <w:t>（</w:t>
      </w:r>
      <w:r>
        <w:rPr>
          <w:rFonts w:ascii="宋体" w:hAnsi="宋体" w:cs="宋体" w:eastAsia="宋体" w:hint="default"/>
        </w:rPr>
        <w:t>1</w:t>
      </w:r>
      <w:r>
        <w:rPr>
          <w:spacing w:val="-10"/>
        </w:rPr>
        <w:t>）</w:t>
      </w:r>
      <w:r>
        <w:rPr/>
        <w:t>资产支</w:t>
      </w:r>
      <w:r>
        <w:rPr>
          <w:spacing w:val="-2"/>
        </w:rPr>
        <w:t>出</w:t>
      </w:r>
      <w:r>
        <w:rPr/>
        <w:t>已经发生</w:t>
      </w:r>
      <w:r>
        <w:rPr>
          <w:spacing w:val="-10"/>
        </w:rPr>
        <w:t>，</w:t>
      </w:r>
      <w:r>
        <w:rPr/>
        <w:t>资产支出包括为购建或者生</w:t>
      </w:r>
      <w:r>
        <w:rPr/>
        <w:t> 产符合资本化条件的资产而以支付现金</w:t>
      </w:r>
      <w:r>
        <w:rPr>
          <w:spacing w:val="-14"/>
        </w:rPr>
        <w:t>、</w:t>
      </w:r>
      <w:r>
        <w:rPr/>
        <w:t>转移非现金资产或者承担带息债务形式发生的支出</w:t>
      </w:r>
      <w:r>
        <w:rPr>
          <w:spacing w:val="-119"/>
        </w:rPr>
        <w:t>；</w:t>
      </w:r>
      <w:r>
        <w:rPr>
          <w:spacing w:val="1"/>
        </w:rPr>
        <w:t>（</w:t>
      </w:r>
      <w:r>
        <w:rPr>
          <w:rFonts w:ascii="宋体" w:hAnsi="宋体" w:cs="宋体" w:eastAsia="宋体" w:hint="default"/>
        </w:rPr>
        <w:t>2</w:t>
      </w:r>
      <w:r>
        <w:rPr>
          <w:spacing w:val="-14"/>
        </w:rPr>
        <w:t>）</w:t>
      </w:r>
      <w:r>
        <w:rPr/>
        <w:t>借款</w:t>
      </w:r>
      <w:r>
        <w:rPr/>
        <w:t> 费用已经发生</w:t>
      </w:r>
      <w:r>
        <w:rPr>
          <w:spacing w:val="-105"/>
        </w:rPr>
        <w:t>；</w:t>
      </w:r>
      <w:r>
        <w:rPr/>
        <w:t>（</w:t>
      </w:r>
      <w:r>
        <w:rPr>
          <w:rFonts w:ascii="宋体" w:hAnsi="宋体" w:cs="宋体" w:eastAsia="宋体" w:hint="default"/>
        </w:rPr>
        <w:t>3</w:t>
      </w:r>
      <w:r>
        <w:rPr/>
        <w:t>）</w:t>
      </w:r>
      <w:r>
        <w:rPr>
          <w:spacing w:val="-2"/>
        </w:rPr>
        <w:t>为</w:t>
      </w:r>
      <w:r>
        <w:rPr/>
        <w:t>使资产达到预定可使用或者可销售状态所必要的购建或者生产活动已经开始。</w:t>
      </w:r>
    </w:p>
    <w:p>
      <w:pPr>
        <w:pStyle w:val="BodyText"/>
        <w:spacing w:line="273" w:lineRule="auto"/>
        <w:ind w:left="144" w:right="1151" w:firstLine="420"/>
        <w:jc w:val="right"/>
      </w:pPr>
      <w:r>
        <w:rPr>
          <w:spacing w:val="-1"/>
        </w:rPr>
        <w:t>在资本化期间内，每一会计期间的资本化金额，为购建或者生产符合资本化条件的资产而借入专门</w:t>
      </w:r>
      <w:r>
        <w:rPr/>
        <w:t> </w:t>
      </w:r>
      <w:r>
        <w:rPr>
          <w:spacing w:val="-1"/>
        </w:rPr>
        <w:t>借款的，以专门借款当期实际发生的利息费用，减去将尚未动用的借款资金存入银行取得的利息收入或</w:t>
      </w:r>
      <w:r>
        <w:rPr/>
        <w:t> </w:t>
      </w:r>
      <w:r>
        <w:rPr>
          <w:spacing w:val="-1"/>
        </w:rPr>
        <w:t>进行暂时性投资取得的投资收益后的金额确定。为购建或者生产符合资本化条件的资产而占用了一般借</w:t>
      </w:r>
      <w:r>
        <w:rPr/>
        <w:t> </w:t>
      </w:r>
      <w:r>
        <w:rPr>
          <w:spacing w:val="-1"/>
        </w:rPr>
        <w:t>款的，根据累计资产支出超过专门借款部分的资产支出加权平均数乘以所占用一般借款的资本化率，计</w:t>
      </w:r>
      <w:r>
        <w:rPr/>
        <w:t> 算确定一般借款应予资本化的利息金额。利息资本化金额，不超过当期相关借款实际发生的利息金额。 符合资本化条件的资产在购建或者生产过程中发生非正常中断、且中断时间连续超过</w:t>
      </w:r>
      <w:r>
        <w:rPr>
          <w:spacing w:val="-67"/>
        </w:rPr>
        <w:t> </w:t>
      </w:r>
      <w:r>
        <w:rPr>
          <w:rFonts w:ascii="宋体" w:hAnsi="宋体" w:cs="宋体" w:eastAsia="宋体" w:hint="default"/>
        </w:rPr>
        <w:t>3</w:t>
      </w:r>
      <w:r>
        <w:rPr>
          <w:rFonts w:ascii="宋体" w:hAnsi="宋体" w:cs="宋体" w:eastAsia="宋体" w:hint="default"/>
          <w:spacing w:val="-29"/>
        </w:rPr>
        <w:t> </w:t>
      </w:r>
      <w:r>
        <w:rPr>
          <w:spacing w:val="-10"/>
        </w:rPr>
        <w:t>个月的，暂</w:t>
      </w:r>
      <w:r>
        <w:rPr/>
        <w:t> </w:t>
      </w:r>
      <w:r>
        <w:rPr>
          <w:spacing w:val="-1"/>
        </w:rPr>
        <w:t>停借款费用的资本化。在中断期间发生的借款费用确认为费用，计入当期损益，直至资产的购建或者生</w:t>
      </w:r>
      <w:r>
        <w:rPr/>
        <w:t> </w:t>
      </w:r>
      <w:r>
        <w:rPr>
          <w:spacing w:val="-1"/>
        </w:rPr>
        <w:t>产活动重新开始。如果中断是所购建或者生产的符合资本化条件的资产达到预定可使用或者可销售状态</w:t>
      </w:r>
    </w:p>
    <w:p>
      <w:pPr>
        <w:pStyle w:val="BodyText"/>
        <w:spacing w:line="273" w:lineRule="auto"/>
        <w:ind w:left="670" w:right="1236" w:hanging="526"/>
        <w:jc w:val="left"/>
      </w:pPr>
      <w:r>
        <w:rPr/>
        <w:t>必要的程序，借款费用继续资本化。 购建或者生产符合资本化条件的资产达到预定可使用或者可销售状态时，停止借款费用资本化。</w:t>
      </w:r>
    </w:p>
    <w:p>
      <w:pPr>
        <w:pStyle w:val="Heading3"/>
        <w:spacing w:line="326" w:lineRule="auto" w:before="163"/>
        <w:ind w:left="567" w:right="7945"/>
        <w:jc w:val="left"/>
        <w:rPr>
          <w:b w:val="0"/>
          <w:bCs w:val="0"/>
        </w:rPr>
      </w:pPr>
      <w:r>
        <w:rPr/>
        <w:t>（十七）无形资产</w:t>
      </w:r>
      <w:r>
        <w:rPr>
          <w:w w:val="99"/>
        </w:rPr>
        <w:t> </w:t>
      </w:r>
      <w:r>
        <w:rPr>
          <w:rFonts w:ascii="宋体" w:hAnsi="宋体" w:cs="宋体" w:eastAsia="宋体" w:hint="default"/>
        </w:rPr>
        <w:t>1</w:t>
      </w:r>
      <w:r>
        <w:rPr/>
        <w:t>．无形资产的确认条件</w:t>
      </w:r>
      <w:r>
        <w:rPr>
          <w:b w:val="0"/>
          <w:bCs w:val="0"/>
        </w:rPr>
      </w:r>
    </w:p>
    <w:p>
      <w:pPr>
        <w:pStyle w:val="BodyText"/>
        <w:spacing w:line="236" w:lineRule="exact" w:before="0"/>
        <w:ind w:left="564" w:right="1066"/>
        <w:jc w:val="left"/>
      </w:pPr>
      <w:r>
        <w:rPr/>
        <w:t>本公司无形资产是指拥有或者控制的没有实物形态的可辨认非货币性资产。无形资产同时满足下列</w:t>
      </w:r>
    </w:p>
    <w:p>
      <w:pPr>
        <w:pStyle w:val="BodyText"/>
        <w:spacing w:line="240" w:lineRule="auto" w:before="37"/>
        <w:ind w:left="144" w:right="1066"/>
        <w:jc w:val="left"/>
      </w:pPr>
      <w:r>
        <w:rPr/>
        <w:t>条件的，才能予以确认：</w:t>
      </w:r>
    </w:p>
    <w:p>
      <w:pPr>
        <w:pStyle w:val="BodyText"/>
        <w:spacing w:line="240" w:lineRule="auto" w:before="37"/>
        <w:ind w:left="564" w:right="1066"/>
        <w:jc w:val="left"/>
      </w:pPr>
      <w:r>
        <w:rPr/>
        <w:t>（</w:t>
      </w:r>
      <w:r>
        <w:rPr>
          <w:rFonts w:ascii="宋体" w:hAnsi="宋体" w:cs="宋体" w:eastAsia="宋体" w:hint="default"/>
        </w:rPr>
        <w:t>1</w:t>
      </w:r>
      <w:r>
        <w:rPr/>
        <w:t>）与该无形资产有关的经济利益很可能流入企业；</w:t>
      </w:r>
    </w:p>
    <w:p>
      <w:pPr>
        <w:pStyle w:val="BodyText"/>
        <w:spacing w:line="240" w:lineRule="auto" w:before="37"/>
        <w:ind w:left="564" w:right="1066"/>
        <w:jc w:val="left"/>
      </w:pPr>
      <w:r>
        <w:rPr/>
        <w:t>（</w:t>
      </w:r>
      <w:r>
        <w:rPr>
          <w:rFonts w:ascii="宋体" w:hAnsi="宋体" w:cs="宋体" w:eastAsia="宋体" w:hint="default"/>
        </w:rPr>
        <w:t>2</w:t>
      </w:r>
      <w:r>
        <w:rPr/>
        <w:t>）该无形资产的成本能够可靠地计量。</w:t>
      </w:r>
    </w:p>
    <w:p>
      <w:pPr>
        <w:spacing w:line="271" w:lineRule="auto" w:before="99"/>
        <w:ind w:left="564" w:right="554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本公司无形资产应当按照实际成本进行初始计量。</w:t>
      </w:r>
    </w:p>
    <w:p>
      <w:pPr>
        <w:pStyle w:val="BodyText"/>
        <w:spacing w:line="273" w:lineRule="auto" w:before="10"/>
        <w:ind w:left="144" w:right="1187" w:firstLine="420"/>
        <w:jc w:val="both"/>
      </w:pPr>
      <w:r>
        <w:rPr>
          <w:spacing w:val="-1"/>
        </w:rPr>
        <w:t>本公司购买无形资产的价款超过正常信用条件延期支付，实质上具有融资性质的，无形资产的成本</w:t>
      </w:r>
      <w:r>
        <w:rPr/>
        <w:t> 以购买价款的现值为基础确定。</w:t>
      </w:r>
    </w:p>
    <w:p>
      <w:pPr>
        <w:pStyle w:val="BodyText"/>
        <w:spacing w:line="273" w:lineRule="auto"/>
        <w:ind w:left="144" w:right="1188" w:firstLine="420"/>
        <w:jc w:val="both"/>
      </w:pPr>
      <w:r>
        <w:rPr>
          <w:spacing w:val="3"/>
        </w:rPr>
        <w:t>本公司债务重组取得债务人用以抵债的无形资产，以该无形资产的公允价值为基础确定其入账价</w:t>
      </w:r>
      <w:r>
        <w:rPr/>
        <w:t> </w:t>
      </w:r>
      <w:r>
        <w:rPr>
          <w:spacing w:val="-1"/>
        </w:rPr>
        <w:t>值，并将重组债务的账面价值与该用以抵债的无形资产公允价值之间的差额，计入当期损益；在非货币</w:t>
      </w:r>
      <w:r>
        <w:rPr>
          <w:spacing w:val="-102"/>
        </w:rPr>
        <w:t> </w:t>
      </w:r>
      <w:r>
        <w:rPr>
          <w:spacing w:val="-102"/>
        </w:rPr>
      </w:r>
      <w:r>
        <w:rPr>
          <w:spacing w:val="-1"/>
        </w:rPr>
        <w:t>性资产交换具备商业实质和换入资产或换出资产的公允价值能够可靠计量的前提下，非货币性资产交换</w:t>
      </w:r>
      <w:r>
        <w:rPr>
          <w:spacing w:val="-101"/>
        </w:rPr>
        <w:t> </w:t>
      </w:r>
      <w:r>
        <w:rPr>
          <w:spacing w:val="-101"/>
        </w:rPr>
      </w:r>
      <w:r>
        <w:rPr>
          <w:spacing w:val="-1"/>
        </w:rPr>
        <w:t>换入的无形资产通常以换出资产的公允价值为基础确定其入账价值，除非有确凿证据表明换入资产的公</w:t>
      </w:r>
      <w:r>
        <w:rPr>
          <w:spacing w:val="-101"/>
        </w:rPr>
        <w:t> </w:t>
      </w:r>
      <w:r>
        <w:rPr>
          <w:spacing w:val="-101"/>
        </w:rPr>
      </w:r>
      <w:r>
        <w:rPr>
          <w:spacing w:val="-1"/>
        </w:rPr>
        <w:t>允价值更加可靠；不满足上述前提的非货币性资产交换，以换出资产的账面价值和应支付的相关税费作</w:t>
      </w:r>
      <w:r>
        <w:rPr>
          <w:spacing w:val="-100"/>
        </w:rPr>
        <w:t> </w:t>
      </w:r>
      <w:r>
        <w:rPr>
          <w:spacing w:val="-100"/>
        </w:rPr>
      </w:r>
      <w:r>
        <w:rPr/>
        <w:t>为换入无形资产的成本，不确认损益。</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32" w:firstLine="420"/>
        <w:jc w:val="left"/>
      </w:pPr>
      <w:r>
        <w:rPr/>
        <w:t>本公司以同一控制下的企业吸收合并方式取得的无形资产按被合并方的账面价值确定其入账价值； 以非同一控制下的企业吸收合并方式取得的无形资产按公允价值确定其入账价值。</w:t>
      </w:r>
    </w:p>
    <w:p>
      <w:pPr>
        <w:spacing w:line="273" w:lineRule="auto" w:before="70"/>
        <w:ind w:left="564" w:right="1175"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．无形资产使用寿命及摊销</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本公司于取得无形资产时分析判断其使用寿命。无形资产的使用寿命为有限的，估计该使用寿命的</w:t>
      </w:r>
    </w:p>
    <w:p>
      <w:pPr>
        <w:pStyle w:val="BodyText"/>
        <w:spacing w:line="273" w:lineRule="auto" w:before="8"/>
        <w:ind w:left="144" w:right="1188"/>
        <w:jc w:val="both"/>
      </w:pPr>
      <w:r>
        <w:rPr>
          <w:spacing w:val="-1"/>
        </w:rPr>
        <w:t>年限或者构成使用寿命的产量等类似计量单位数量；无法预见无形资产为企业带来经济利益期限的，视</w:t>
      </w:r>
      <w:r>
        <w:rPr>
          <w:spacing w:val="-100"/>
        </w:rPr>
        <w:t> </w:t>
      </w:r>
      <w:r>
        <w:rPr>
          <w:spacing w:val="-100"/>
        </w:rPr>
      </w:r>
      <w:r>
        <w:rPr>
          <w:spacing w:val="-1"/>
        </w:rPr>
        <w:t>为使用寿命不确定的无形资产。使用寿命有限的无形资产在使用寿命内采用直线法摊销，使用寿命不确</w:t>
      </w:r>
      <w:r>
        <w:rPr>
          <w:spacing w:val="-100"/>
        </w:rPr>
        <w:t> </w:t>
      </w:r>
      <w:r>
        <w:rPr>
          <w:spacing w:val="-100"/>
        </w:rPr>
      </w:r>
      <w:r>
        <w:rPr/>
        <w:t>定的无形资产不予摊销。</w:t>
      </w:r>
    </w:p>
    <w:p>
      <w:pPr>
        <w:pStyle w:val="BodyText"/>
        <w:spacing w:line="273" w:lineRule="auto"/>
        <w:ind w:left="144" w:right="1177" w:firstLine="420"/>
        <w:jc w:val="left"/>
      </w:pPr>
      <w:r>
        <w:rPr/>
        <w:t>本公司报告期内使用寿命有限的无形资产包括土地使用权，使用寿命根据土地使用年限确定为</w:t>
      </w:r>
      <w:r>
        <w:rPr>
          <w:spacing w:val="60"/>
        </w:rPr>
        <w:t> </w:t>
      </w:r>
      <w:r>
        <w:rPr>
          <w:rFonts w:ascii="宋体" w:hAnsi="宋体" w:cs="宋体" w:eastAsia="宋体" w:hint="default"/>
        </w:rPr>
        <w:t>50</w:t>
      </w:r>
      <w:r>
        <w:rPr>
          <w:rFonts w:ascii="宋体" w:hAnsi="宋体" w:cs="宋体" w:eastAsia="宋体" w:hint="default"/>
          <w:spacing w:val="-1"/>
        </w:rPr>
        <w:t> </w:t>
      </w:r>
      <w:r>
        <w:rPr/>
        <w:t>年，在使用寿命内直线法摊销。</w:t>
      </w:r>
    </w:p>
    <w:p>
      <w:pPr>
        <w:pStyle w:val="BodyText"/>
        <w:spacing w:line="271" w:lineRule="auto" w:before="70"/>
        <w:ind w:left="564" w:right="1175" w:firstLine="2"/>
        <w:jc w:val="left"/>
      </w:pPr>
      <w:r>
        <w:rPr>
          <w:rFonts w:ascii="宋体" w:hAnsi="宋体" w:cs="宋体" w:eastAsia="宋体" w:hint="default"/>
          <w:b/>
          <w:bCs/>
        </w:rPr>
        <w:t>4</w:t>
      </w:r>
      <w:r>
        <w:rPr>
          <w:rFonts w:ascii="宋体" w:hAnsi="宋体" w:cs="宋体" w:eastAsia="宋体" w:hint="default"/>
          <w:b/>
          <w:bCs/>
        </w:rPr>
        <w:t>．研究开发费用的会计处理</w:t>
      </w:r>
      <w:r>
        <w:rPr>
          <w:rFonts w:ascii="宋体" w:hAnsi="宋体" w:cs="宋体" w:eastAsia="宋体" w:hint="default"/>
          <w:b/>
          <w:bCs/>
          <w:w w:val="99"/>
        </w:rPr>
        <w:t> </w:t>
      </w:r>
      <w:r>
        <w:rPr/>
        <w:t>本公司内部研究开发项目的支出，区分为研究阶段支出与开发阶段支出。 </w:t>
      </w:r>
      <w:r>
        <w:rPr>
          <w:spacing w:val="-1"/>
        </w:rPr>
        <w:t>本公司划分内部研究开发项目研究阶段支出和开发阶段支出的具体标准为：研究阶段支出是指本公</w:t>
      </w:r>
    </w:p>
    <w:p>
      <w:pPr>
        <w:pStyle w:val="BodyText"/>
        <w:spacing w:line="273" w:lineRule="auto" w:before="10"/>
        <w:ind w:left="144" w:right="1187"/>
        <w:jc w:val="both"/>
      </w:pPr>
      <w:r>
        <w:rPr>
          <w:spacing w:val="-1"/>
        </w:rPr>
        <w:t>司为获取并理解新的科学或技术知识而进行的独创性的、探索性的有计划调查所发生的支出，是为进一</w:t>
      </w:r>
      <w:r>
        <w:rPr>
          <w:spacing w:val="-100"/>
        </w:rPr>
        <w:t> </w:t>
      </w:r>
      <w:r>
        <w:rPr>
          <w:spacing w:val="-100"/>
        </w:rPr>
      </w:r>
      <w:r>
        <w:rPr>
          <w:spacing w:val="-1"/>
        </w:rPr>
        <w:t>步开发活动进行资料及相关方面的准备，已进行的研究活动将来是否会转入开发、开发后是否会形成无</w:t>
      </w:r>
      <w:r>
        <w:rPr>
          <w:spacing w:val="-100"/>
        </w:rPr>
        <w:t> </w:t>
      </w:r>
      <w:r>
        <w:rPr>
          <w:spacing w:val="-100"/>
        </w:rPr>
      </w:r>
      <w:r>
        <w:rPr>
          <w:spacing w:val="-1"/>
        </w:rPr>
        <w:t>形资产等均具有较大的不确定性；开发阶段支出是指在进行商业性生产或使用前，将研究成果或其他知</w:t>
      </w:r>
      <w:r>
        <w:rPr>
          <w:spacing w:val="-100"/>
        </w:rPr>
        <w:t> </w:t>
      </w:r>
      <w:r>
        <w:rPr>
          <w:spacing w:val="-100"/>
        </w:rPr>
      </w:r>
      <w:r>
        <w:rPr>
          <w:spacing w:val="-1"/>
        </w:rPr>
        <w:t>识应用于某项计划或设计，以生产出新的或具有实质性改进的材料、装置、产品等所发生的支出。相对</w:t>
      </w:r>
      <w:r>
        <w:rPr>
          <w:spacing w:val="-100"/>
        </w:rPr>
        <w:t> </w:t>
      </w:r>
      <w:r>
        <w:rPr>
          <w:spacing w:val="-100"/>
        </w:rPr>
      </w:r>
      <w:r>
        <w:rPr>
          <w:spacing w:val="-1"/>
        </w:rPr>
        <w:t>于研究阶段而言，开发阶段是已完成研究阶段的工作，在很大程度上具备了形成一项新产品或新技术的</w:t>
      </w:r>
      <w:r>
        <w:rPr>
          <w:spacing w:val="-100"/>
        </w:rPr>
        <w:t> </w:t>
      </w:r>
      <w:r>
        <w:rPr>
          <w:spacing w:val="-100"/>
        </w:rPr>
      </w:r>
      <w:r>
        <w:rPr/>
        <w:t>基本条件。</w:t>
      </w:r>
    </w:p>
    <w:p>
      <w:pPr>
        <w:pStyle w:val="BodyText"/>
        <w:spacing w:line="240" w:lineRule="auto"/>
        <w:ind w:left="564" w:right="1066"/>
        <w:jc w:val="left"/>
      </w:pPr>
      <w:r>
        <w:rPr/>
        <w:t>研究阶段支出，于发生时计入当期损益；开发阶段支出，同时满足下列条件时确认为无形资产：</w:t>
      </w:r>
    </w:p>
    <w:p>
      <w:pPr>
        <w:pStyle w:val="BodyText"/>
        <w:spacing w:line="240" w:lineRule="auto" w:before="37"/>
        <w:ind w:left="564" w:right="1066"/>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left="564" w:right="1066"/>
        <w:jc w:val="left"/>
      </w:pPr>
      <w:r>
        <w:rPr/>
        <w:t>（</w:t>
      </w:r>
      <w:r>
        <w:rPr>
          <w:rFonts w:ascii="宋体" w:hAnsi="宋体" w:cs="宋体" w:eastAsia="宋体" w:hint="default"/>
        </w:rPr>
        <w:t>2</w:t>
      </w:r>
      <w:r>
        <w:rPr/>
        <w:t>）具有完成该无形资产并使用或出售的意图；</w:t>
      </w:r>
    </w:p>
    <w:p>
      <w:pPr>
        <w:pStyle w:val="BodyText"/>
        <w:spacing w:line="273" w:lineRule="auto" w:before="37"/>
        <w:ind w:left="144" w:right="1066" w:firstLine="420"/>
        <w:jc w:val="left"/>
      </w:pPr>
      <w:r>
        <w:rPr/>
        <w:t>（</w:t>
      </w:r>
      <w:r>
        <w:rPr>
          <w:rFonts w:ascii="宋体" w:hAnsi="宋体" w:cs="宋体" w:eastAsia="宋体" w:hint="default"/>
        </w:rPr>
        <w:t>3</w:t>
      </w:r>
      <w:r>
        <w:rPr/>
        <w:t>）无形资产产生经济利益的方式，包括能够证明运用该无形资产生产的产品存在市场或无形资 产自身存在市场，无形资产将在内部使用的，能够证明其有用性；</w:t>
      </w:r>
    </w:p>
    <w:p>
      <w:pPr>
        <w:pStyle w:val="BodyText"/>
        <w:spacing w:line="273" w:lineRule="auto"/>
        <w:ind w:left="144" w:right="1066" w:firstLine="420"/>
        <w:jc w:val="left"/>
      </w:pPr>
      <w:r>
        <w:rPr/>
        <w:t>（</w:t>
      </w:r>
      <w:r>
        <w:rPr>
          <w:rFonts w:ascii="宋体" w:hAnsi="宋体" w:cs="宋体" w:eastAsia="宋体" w:hint="default"/>
        </w:rPr>
        <w:t>4</w:t>
      </w:r>
      <w:r>
        <w:rPr/>
        <w:t>）有足够的技术、财务资源和其他资源支持，以完成该无形资产的开发，并有能力使用或出售 该无形资产；</w:t>
      </w:r>
    </w:p>
    <w:p>
      <w:pPr>
        <w:pStyle w:val="BodyText"/>
        <w:spacing w:line="273" w:lineRule="auto"/>
        <w:ind w:left="564" w:right="1175"/>
        <w:jc w:val="left"/>
      </w:pPr>
      <w:r>
        <w:rPr/>
        <w:t>（</w:t>
      </w:r>
      <w:r>
        <w:rPr>
          <w:rFonts w:ascii="宋体" w:hAnsi="宋体" w:cs="宋体" w:eastAsia="宋体" w:hint="default"/>
        </w:rPr>
        <w:t>5</w:t>
      </w:r>
      <w:r>
        <w:rPr/>
        <w:t>）归属于该无形资产开发阶段的支出能够可靠地计量。 </w:t>
      </w:r>
      <w:r>
        <w:rPr>
          <w:spacing w:val="-1"/>
        </w:rPr>
        <w:t>归属于该无形资产开发阶段的支出使用寿命有限的，按该无形资产使用寿命的年限采用直线法进行</w:t>
      </w:r>
    </w:p>
    <w:p>
      <w:pPr>
        <w:pStyle w:val="BodyText"/>
        <w:spacing w:line="240" w:lineRule="auto"/>
        <w:ind w:left="144" w:right="0"/>
        <w:jc w:val="both"/>
      </w:pPr>
      <w:r>
        <w:rPr/>
        <w:t>摊销；使用寿命不确定的，不予摊销。</w:t>
      </w:r>
    </w:p>
    <w:p>
      <w:pPr>
        <w:spacing w:line="240" w:lineRule="auto" w:before="10"/>
        <w:rPr>
          <w:rFonts w:ascii="宋体" w:hAnsi="宋体" w:cs="宋体" w:eastAsia="宋体" w:hint="default"/>
          <w:sz w:val="14"/>
          <w:szCs w:val="14"/>
        </w:rPr>
      </w:pPr>
    </w:p>
    <w:p>
      <w:pPr>
        <w:pStyle w:val="BodyText"/>
        <w:spacing w:line="273" w:lineRule="auto" w:before="0"/>
        <w:ind w:left="564" w:right="1066" w:firstLine="2"/>
        <w:jc w:val="left"/>
      </w:pPr>
      <w:r>
        <w:rPr>
          <w:rFonts w:ascii="宋体" w:hAnsi="宋体" w:cs="宋体" w:eastAsia="宋体" w:hint="default"/>
          <w:b/>
          <w:bCs/>
        </w:rPr>
        <w:t>（十八）长期资产减值</w:t>
      </w:r>
      <w:r>
        <w:rPr>
          <w:rFonts w:ascii="宋体" w:hAnsi="宋体" w:cs="宋体" w:eastAsia="宋体" w:hint="default"/>
          <w:b/>
          <w:bCs/>
          <w:w w:val="99"/>
        </w:rPr>
        <w:t> </w:t>
      </w:r>
      <w:r>
        <w:rPr>
          <w:spacing w:val="-4"/>
        </w:rPr>
        <w:t>对于固定资产、在建工程、使用寿命有限的无形资产、以成本模式计量的投资性房地产及对子公司、</w:t>
      </w:r>
    </w:p>
    <w:p>
      <w:pPr>
        <w:pStyle w:val="BodyText"/>
        <w:spacing w:line="273" w:lineRule="auto"/>
        <w:ind w:left="144" w:right="1188"/>
        <w:jc w:val="both"/>
      </w:pPr>
      <w:r>
        <w:rPr>
          <w:spacing w:val="-1"/>
        </w:rPr>
        <w:t>合营企业、联营企业的长期股权投资等非流动非金融资产，本公司于资产负债表日判断是否存在减值迹</w:t>
      </w:r>
      <w:r>
        <w:rPr>
          <w:spacing w:val="-100"/>
        </w:rPr>
        <w:t> </w:t>
      </w:r>
      <w:r>
        <w:rPr>
          <w:spacing w:val="-100"/>
        </w:rPr>
      </w:r>
      <w:r>
        <w:rPr>
          <w:spacing w:val="-2"/>
        </w:rPr>
        <w:t>象。如存在减值迹象的，则估计其可收回金额，进行减值测试。商誉、使用寿命不确定的无形资产和尚</w:t>
      </w:r>
      <w:r>
        <w:rPr>
          <w:spacing w:val="-61"/>
        </w:rPr>
        <w:t> </w:t>
      </w:r>
      <w:r>
        <w:rPr>
          <w:spacing w:val="-61"/>
        </w:rPr>
      </w:r>
      <w:r>
        <w:rPr/>
        <w:t>未达到可使用状态的无形资产，无论是否存在减值迹象，每年均进行减值测试。</w:t>
      </w:r>
    </w:p>
    <w:p>
      <w:pPr>
        <w:pStyle w:val="BodyText"/>
        <w:spacing w:line="273" w:lineRule="auto"/>
        <w:ind w:left="144" w:right="1149" w:firstLine="420"/>
        <w:jc w:val="both"/>
      </w:pPr>
      <w:r>
        <w:rPr/>
        <w:t>减值测试结果表明资产的可收回金额低于其账面价值的，按其差额计提减值准备并计入减值损失。 </w:t>
      </w:r>
      <w:r>
        <w:rPr>
          <w:spacing w:val="3"/>
        </w:rPr>
        <w:t>可收回金额为资产的公允价值减去处置费用后的净额与资产预计未来现金流量的现值两者之间的较高</w:t>
      </w:r>
      <w:r>
        <w:rPr>
          <w:spacing w:val="-95"/>
        </w:rPr>
        <w:t> </w:t>
      </w:r>
      <w:r>
        <w:rPr>
          <w:spacing w:val="-95"/>
        </w:rPr>
      </w:r>
      <w:r>
        <w:rPr>
          <w:spacing w:val="-1"/>
        </w:rPr>
        <w:t>者。资产的公允价值根据公平交易中销售协议价格确定；不存在销售协议但存在资产活跃市场的，公允</w:t>
      </w:r>
      <w:r>
        <w:rPr>
          <w:spacing w:val="-102"/>
        </w:rPr>
        <w:t> </w:t>
      </w:r>
      <w:r>
        <w:rPr>
          <w:spacing w:val="-102"/>
        </w:rPr>
      </w:r>
      <w:r>
        <w:rPr>
          <w:spacing w:val="-1"/>
        </w:rPr>
        <w:t>价值按照该资产的买方出价确定；不存在销售协议和资产活跃市场的，则以可获取的最佳信息为基础估</w:t>
      </w:r>
      <w:r>
        <w:rPr>
          <w:spacing w:val="-100"/>
        </w:rPr>
        <w:t> </w:t>
      </w:r>
      <w:r>
        <w:rPr>
          <w:spacing w:val="-100"/>
        </w:rPr>
      </w:r>
      <w:r>
        <w:rPr>
          <w:spacing w:val="-1"/>
        </w:rPr>
        <w:t>计资产的公允价值。处置费用包括与资产处置有关的法律费用、相关税费、搬运费以及为使资产达到可</w:t>
      </w:r>
      <w:r>
        <w:rPr>
          <w:spacing w:val="-102"/>
        </w:rPr>
        <w:t> </w:t>
      </w:r>
      <w:r>
        <w:rPr>
          <w:spacing w:val="-102"/>
        </w:rPr>
      </w:r>
      <w:r>
        <w:rPr>
          <w:spacing w:val="-1"/>
        </w:rPr>
        <w:t>销售状态所发生的直接费用。资产预计未来现金流量的现值，按照资产在持续使用过程中和最终处置时</w:t>
      </w:r>
      <w:r>
        <w:rPr>
          <w:spacing w:val="-100"/>
        </w:rPr>
        <w:t> </w:t>
      </w:r>
      <w:r>
        <w:rPr>
          <w:spacing w:val="-100"/>
        </w:rPr>
      </w:r>
      <w:r>
        <w:rPr>
          <w:spacing w:val="-1"/>
        </w:rPr>
        <w:t>所产生的预计未来现金流量，选择恰当的折现率对其进行折现后的金额加以确定。资产减值准备按单项</w:t>
      </w:r>
      <w:r>
        <w:rPr>
          <w:spacing w:val="-100"/>
        </w:rPr>
        <w:t> </w:t>
      </w:r>
      <w:r>
        <w:rPr>
          <w:spacing w:val="-100"/>
        </w:rPr>
      </w:r>
      <w:r>
        <w:rPr>
          <w:spacing w:val="-1"/>
        </w:rPr>
        <w:t>资产为基础计算并确认，如果难以对单项资产的可收回金额进行估计的，以该资产所属的资产组确定资</w:t>
      </w:r>
      <w:r>
        <w:rPr>
          <w:spacing w:val="-100"/>
        </w:rPr>
        <w:t> </w:t>
      </w:r>
      <w:r>
        <w:rPr>
          <w:spacing w:val="-100"/>
        </w:rPr>
      </w:r>
      <w:r>
        <w:rPr/>
        <w:t>产组的可收回金额。资产组是能够独立产生现金流入的最小资产组合。</w:t>
      </w:r>
    </w:p>
    <w:p>
      <w:pPr>
        <w:pStyle w:val="BodyText"/>
        <w:spacing w:line="240" w:lineRule="auto"/>
        <w:ind w:left="564" w:right="1066"/>
        <w:jc w:val="left"/>
      </w:pPr>
      <w:r>
        <w:rPr/>
        <w:t>在财务报表中单独列示的商誉，在进行减值测试时，将商誉的账面价值分摊至预期从企业合并的协</w:t>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88"/>
        <w:jc w:val="both"/>
      </w:pPr>
      <w:r>
        <w:rPr>
          <w:spacing w:val="-1"/>
        </w:rPr>
        <w:t>同效应中受益的资产组或资产组组合。测试结果表明包含分摊的商誉的资产组或资产组组合的可收回金</w:t>
      </w:r>
      <w:r>
        <w:rPr>
          <w:spacing w:val="-101"/>
        </w:rPr>
        <w:t> </w:t>
      </w:r>
      <w:r>
        <w:rPr>
          <w:spacing w:val="-101"/>
        </w:rPr>
      </w:r>
      <w:r>
        <w:rPr>
          <w:spacing w:val="-1"/>
        </w:rPr>
        <w:t>额低于其账面价值的，确认相应的减值损失。减值损失金额先抵减分摊至该资产组或资产组组合的商誉</w:t>
      </w:r>
      <w:r>
        <w:rPr>
          <w:spacing w:val="-100"/>
        </w:rPr>
        <w:t> </w:t>
      </w:r>
      <w:r>
        <w:rPr>
          <w:spacing w:val="-100"/>
        </w:rPr>
      </w:r>
      <w:r>
        <w:rPr>
          <w:spacing w:val="-1"/>
        </w:rPr>
        <w:t>的账面价值，再根据资产组或资产组组合中除商誉以外的其他各项资产的账面价值所占比重，按比例抵</w:t>
      </w:r>
      <w:r>
        <w:rPr>
          <w:spacing w:val="-100"/>
        </w:rPr>
        <w:t> </w:t>
      </w:r>
      <w:r>
        <w:rPr>
          <w:spacing w:val="-100"/>
        </w:rPr>
      </w:r>
      <w:r>
        <w:rPr/>
        <w:t>减其他各项资产的账面价值。</w:t>
      </w:r>
    </w:p>
    <w:p>
      <w:pPr>
        <w:pStyle w:val="BodyText"/>
        <w:spacing w:line="240" w:lineRule="auto" w:before="8"/>
        <w:ind w:left="564" w:right="1066"/>
        <w:jc w:val="left"/>
      </w:pPr>
      <w:r>
        <w:rPr/>
        <w:t>上述资产减值损失一经确认，以后期间不予转回价值得以恢复的部分。</w:t>
      </w:r>
    </w:p>
    <w:p>
      <w:pPr>
        <w:spacing w:line="240" w:lineRule="auto" w:before="10"/>
        <w:rPr>
          <w:rFonts w:ascii="宋体" w:hAnsi="宋体" w:cs="宋体" w:eastAsia="宋体" w:hint="default"/>
          <w:sz w:val="14"/>
          <w:szCs w:val="14"/>
        </w:rPr>
      </w:pPr>
    </w:p>
    <w:p>
      <w:pPr>
        <w:pStyle w:val="BodyText"/>
        <w:spacing w:line="273" w:lineRule="auto" w:before="0"/>
        <w:ind w:left="564" w:right="4082" w:firstLine="2"/>
        <w:jc w:val="left"/>
      </w:pPr>
      <w:r>
        <w:rPr>
          <w:rFonts w:ascii="宋体" w:hAnsi="宋体" w:cs="宋体" w:eastAsia="宋体" w:hint="default"/>
          <w:b/>
          <w:bCs/>
        </w:rPr>
        <w:t>（十九）长期待摊费用</w:t>
      </w:r>
      <w:r>
        <w:rPr>
          <w:rFonts w:ascii="宋体" w:hAnsi="宋体" w:cs="宋体" w:eastAsia="宋体" w:hint="default"/>
          <w:b/>
          <w:bCs/>
          <w:w w:val="99"/>
        </w:rPr>
        <w:t> </w:t>
      </w:r>
      <w:r>
        <w:rPr/>
        <w:t>长期待摊费用在受益期内平均摊销，其中： 预付经营租入固定资产的租金，按租赁合同规定的期限平均摊销。</w:t>
      </w:r>
    </w:p>
    <w:p>
      <w:pPr>
        <w:pStyle w:val="BodyText"/>
        <w:spacing w:line="273" w:lineRule="auto"/>
        <w:ind w:left="144" w:right="1189" w:firstLine="420"/>
        <w:jc w:val="both"/>
      </w:pPr>
      <w:r>
        <w:rPr>
          <w:spacing w:val="-1"/>
        </w:rPr>
        <w:t>经营租赁方式租入的固定资产改良支出，按剩余租赁期与租赁资产尚可使用年限两者中较短的期限</w:t>
      </w:r>
      <w:r>
        <w:rPr/>
        <w:t> 平均摊销。</w:t>
      </w:r>
    </w:p>
    <w:p>
      <w:pPr>
        <w:pStyle w:val="BodyText"/>
        <w:spacing w:line="273" w:lineRule="auto"/>
        <w:ind w:left="144" w:right="1187" w:firstLine="420"/>
        <w:jc w:val="both"/>
      </w:pPr>
      <w:r>
        <w:rPr>
          <w:spacing w:val="-1"/>
        </w:rPr>
        <w:t>融资租赁方式租入的固定资产的符合资本化条件的装修费用，按两次装修间隔期间、剩余租赁期与</w:t>
      </w:r>
      <w:r>
        <w:rPr/>
        <w:t> 固定资产尚可使用年限三者中较短的期限平均摊销。</w:t>
      </w:r>
    </w:p>
    <w:p>
      <w:pPr>
        <w:pStyle w:val="BodyText"/>
        <w:spacing w:line="273" w:lineRule="auto" w:before="163"/>
        <w:ind w:left="556" w:right="2190" w:firstLine="10"/>
        <w:jc w:val="left"/>
      </w:pPr>
      <w:r>
        <w:rPr>
          <w:rFonts w:ascii="宋体" w:hAnsi="宋体" w:cs="宋体" w:eastAsia="宋体" w:hint="default"/>
          <w:b/>
          <w:bCs/>
        </w:rPr>
        <w:t>（二十）职工薪酬</w:t>
      </w:r>
      <w:r>
        <w:rPr>
          <w:rFonts w:ascii="宋体" w:hAnsi="宋体" w:cs="宋体" w:eastAsia="宋体" w:hint="default"/>
          <w:b/>
          <w:bCs/>
          <w:w w:val="99"/>
        </w:rPr>
        <w:t> </w:t>
      </w:r>
      <w:r>
        <w:rPr/>
        <w:t>本公司职工薪酬主要包括短期职工薪酬、离职后福利、辞退福利和其他长期职工薪酬。</w:t>
      </w:r>
    </w:p>
    <w:p>
      <w:pPr>
        <w:pStyle w:val="BodyText"/>
        <w:spacing w:line="273" w:lineRule="auto"/>
        <w:ind w:left="144" w:right="1188" w:firstLine="412"/>
        <w:jc w:val="both"/>
      </w:pPr>
      <w:r>
        <w:rPr/>
        <w:t>其中：</w:t>
      </w:r>
      <w:r>
        <w:rPr>
          <w:spacing w:val="53"/>
        </w:rPr>
        <w:t> </w:t>
      </w:r>
      <w:r>
        <w:rPr/>
        <w:t>短期薪酬主要包括工资、奖金、津贴和补贴、职工福利费、医疗保险费、生育保险费、工</w:t>
      </w:r>
      <w:r>
        <w:rPr/>
        <w:t> </w:t>
      </w:r>
      <w:r>
        <w:rPr>
          <w:spacing w:val="-1"/>
        </w:rPr>
        <w:t>伤保险费、住房公积金、工会经费和职工教育经费、非货币性福利等。本公司在职工为本公司提供服务</w:t>
      </w:r>
      <w:r>
        <w:rPr>
          <w:spacing w:val="-100"/>
        </w:rPr>
        <w:t> </w:t>
      </w:r>
      <w:r>
        <w:rPr>
          <w:spacing w:val="-100"/>
        </w:rPr>
      </w:r>
      <w:r>
        <w:rPr>
          <w:spacing w:val="-1"/>
        </w:rPr>
        <w:t>的会计期间将实际发生的短期职工薪酬确认为负债，并计入当期损益或相关资产成本。其中非货币性福</w:t>
      </w:r>
      <w:r>
        <w:rPr>
          <w:spacing w:val="-100"/>
        </w:rPr>
        <w:t> </w:t>
      </w:r>
      <w:r>
        <w:rPr>
          <w:spacing w:val="-100"/>
        </w:rPr>
      </w:r>
      <w:r>
        <w:rPr/>
        <w:t>利按公允价值计量。</w:t>
      </w:r>
    </w:p>
    <w:p>
      <w:pPr>
        <w:pStyle w:val="BodyText"/>
        <w:spacing w:line="273" w:lineRule="auto"/>
        <w:ind w:left="144" w:right="1188" w:firstLine="412"/>
        <w:jc w:val="both"/>
      </w:pPr>
      <w:r>
        <w:rPr>
          <w:spacing w:val="-1"/>
        </w:rPr>
        <w:t>离职后福利主要包括设定提存计划。设定提存计划主要包括基本养老保险、失业保险，相应的应缴</w:t>
      </w:r>
      <w:r>
        <w:rPr/>
        <w:t> 存金额于发生时计入相关资产成本或当期损益。</w:t>
      </w:r>
    </w:p>
    <w:p>
      <w:pPr>
        <w:pStyle w:val="BodyText"/>
        <w:spacing w:line="273" w:lineRule="auto"/>
        <w:ind w:left="144" w:right="1151" w:firstLine="412"/>
        <w:jc w:val="both"/>
      </w:pPr>
      <w:r>
        <w:rPr>
          <w:spacing w:val="-1"/>
        </w:rPr>
        <w:t>在职工劳动合同到期之前解除与职工的劳动关系，或为鼓励职工自愿接受裁减而提出给予补偿的建</w:t>
      </w:r>
      <w:r>
        <w:rPr/>
        <w:t> </w:t>
      </w:r>
      <w:r>
        <w:rPr>
          <w:spacing w:val="-1"/>
        </w:rPr>
        <w:t>议，在本公司不能单方面撤回因解除劳动关系计划或裁减建议所提供的辞退福利时，和本公司确认与涉</w:t>
      </w:r>
      <w:r>
        <w:rPr>
          <w:spacing w:val="-100"/>
        </w:rPr>
        <w:t> </w:t>
      </w:r>
      <w:r>
        <w:rPr>
          <w:spacing w:val="-100"/>
        </w:rPr>
      </w:r>
      <w:r>
        <w:rPr/>
        <w:t>及支付辞退福利的重组相关的成本两者孰早日，确认辞退福利产生的职工薪酬负债，并计入当期损益。 但辞退福利预期在年度报告期结束后十二个月不能完全支付的，按照其他长期职工薪酬处理。</w:t>
      </w:r>
    </w:p>
    <w:p>
      <w:pPr>
        <w:pStyle w:val="BodyText"/>
        <w:spacing w:line="273" w:lineRule="auto"/>
        <w:ind w:left="144" w:right="1177" w:firstLine="517"/>
        <w:jc w:val="left"/>
      </w:pPr>
      <w:r>
        <w:rPr/>
        <w:t>职工内部退休计划采用上述辞退福利相同的原则处理。本公司将自职工停止提供服务日至正常退 </w:t>
      </w:r>
      <w:r>
        <w:rPr>
          <w:spacing w:val="-1"/>
        </w:rPr>
        <w:t>休日的期间拟支付的内退人员工资和缴纳的社会保险费等，在符合预计负债确认条件时，计入当期损益</w:t>
      </w:r>
    </w:p>
    <w:p>
      <w:pPr>
        <w:pStyle w:val="BodyText"/>
        <w:spacing w:line="240" w:lineRule="auto"/>
        <w:ind w:left="144" w:right="1066"/>
        <w:jc w:val="left"/>
      </w:pPr>
      <w:r>
        <w:rPr/>
        <w:t>（辞退福利</w:t>
      </w:r>
      <w:r>
        <w:rPr>
          <w:spacing w:val="-106"/>
        </w:rPr>
        <w:t>）</w:t>
      </w:r>
      <w:r>
        <w:rPr/>
        <w:t>。</w:t>
      </w:r>
    </w:p>
    <w:p>
      <w:pPr>
        <w:pStyle w:val="BodyText"/>
        <w:spacing w:line="273" w:lineRule="auto" w:before="37"/>
        <w:ind w:left="144" w:right="1159" w:firstLine="412"/>
        <w:jc w:val="both"/>
      </w:pPr>
      <w:r>
        <w:rPr/>
        <w:t>本公司向职工提供的其他长期职工福利，符合设定提存计划的，按照设定提存计划进行会计处理， 除此之外按照设定收益计划进行会计处理。</w:t>
      </w:r>
    </w:p>
    <w:p>
      <w:pPr>
        <w:pStyle w:val="BodyText"/>
        <w:spacing w:line="273" w:lineRule="auto" w:before="163"/>
        <w:ind w:left="556" w:right="1066" w:firstLine="10"/>
        <w:jc w:val="left"/>
      </w:pPr>
      <w:r>
        <w:rPr>
          <w:rFonts w:ascii="宋体" w:hAnsi="宋体" w:cs="宋体" w:eastAsia="宋体" w:hint="default"/>
          <w:b/>
          <w:bCs/>
        </w:rPr>
        <w:t>（二十一）预计负债</w:t>
      </w:r>
      <w:r>
        <w:rPr>
          <w:rFonts w:ascii="宋体" w:hAnsi="宋体" w:cs="宋体" w:eastAsia="宋体" w:hint="default"/>
          <w:b/>
          <w:bCs/>
          <w:w w:val="99"/>
        </w:rPr>
        <w:t> </w:t>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）该义务是本公司承担的现时义</w:t>
      </w:r>
    </w:p>
    <w:p>
      <w:pPr>
        <w:pStyle w:val="BodyText"/>
        <w:spacing w:line="273" w:lineRule="auto"/>
        <w:ind w:left="460" w:right="1066" w:hanging="316"/>
        <w:jc w:val="left"/>
      </w:pPr>
      <w:r>
        <w:rPr>
          <w:spacing w:val="-6"/>
        </w:rPr>
        <w:t>务；（</w:t>
      </w:r>
      <w:r>
        <w:rPr>
          <w:rFonts w:ascii="宋体" w:hAnsi="宋体" w:cs="宋体" w:eastAsia="宋体" w:hint="default"/>
          <w:spacing w:val="-6"/>
        </w:rPr>
        <w:t>2</w:t>
      </w:r>
      <w:r>
        <w:rPr>
          <w:spacing w:val="-6"/>
        </w:rPr>
        <w:t>）履行该义务很可能导致经济利益流出；（</w:t>
      </w:r>
      <w:r>
        <w:rPr>
          <w:rFonts w:ascii="宋体" w:hAnsi="宋体" w:cs="宋体" w:eastAsia="宋体" w:hint="default"/>
          <w:spacing w:val="-6"/>
        </w:rPr>
        <w:t>3</w:t>
      </w:r>
      <w:r>
        <w:rPr>
          <w:spacing w:val="-6"/>
        </w:rPr>
        <w:t>）该义务的金额能够可靠地计量。</w:t>
      </w:r>
      <w:r>
        <w:rPr>
          <w:spacing w:val="-86"/>
        </w:rPr>
        <w:t> </w:t>
      </w:r>
      <w:r>
        <w:rPr>
          <w:spacing w:val="-86"/>
        </w:rPr>
      </w:r>
      <w:r>
        <w:rPr/>
        <w:t>在资产负债表日，考虑与或有事项有关的风险、不确定性和货币时间价值等因素，按照履行相关现</w:t>
      </w:r>
    </w:p>
    <w:p>
      <w:pPr>
        <w:pStyle w:val="BodyText"/>
        <w:spacing w:line="273" w:lineRule="auto"/>
        <w:ind w:left="556" w:right="1183" w:hanging="412"/>
        <w:jc w:val="left"/>
      </w:pPr>
      <w:r>
        <w:rPr/>
        <w:t>时义务所需支出的最佳估计数对预计负债进行计量。 </w:t>
      </w:r>
      <w:r>
        <w:rPr>
          <w:spacing w:val="-1"/>
        </w:rPr>
        <w:t>如果清偿预计负债所需支出全部或部分预期由第三方补偿的，补偿金额在基本确定能够收到时，作</w:t>
      </w:r>
    </w:p>
    <w:p>
      <w:pPr>
        <w:pStyle w:val="BodyText"/>
        <w:spacing w:line="240" w:lineRule="auto"/>
        <w:ind w:left="144" w:right="1066"/>
        <w:jc w:val="left"/>
      </w:pPr>
      <w:r>
        <w:rPr/>
        <w:t>为资产单独确认，且确认的补偿金额不超过预计负债的账面价值。</w:t>
      </w:r>
    </w:p>
    <w:p>
      <w:pPr>
        <w:spacing w:line="240" w:lineRule="auto" w:before="10"/>
        <w:rPr>
          <w:rFonts w:ascii="宋体" w:hAnsi="宋体" w:cs="宋体" w:eastAsia="宋体" w:hint="default"/>
          <w:sz w:val="14"/>
          <w:szCs w:val="14"/>
        </w:rPr>
      </w:pPr>
    </w:p>
    <w:p>
      <w:pPr>
        <w:pStyle w:val="Heading3"/>
        <w:spacing w:line="326" w:lineRule="auto" w:before="0"/>
        <w:ind w:left="567" w:right="8683"/>
        <w:jc w:val="left"/>
        <w:rPr>
          <w:b w:val="0"/>
          <w:bCs w:val="0"/>
        </w:rPr>
      </w:pPr>
      <w:r>
        <w:rPr/>
        <w:t>（二十二）收入</w:t>
      </w:r>
      <w:r>
        <w:rPr>
          <w:w w:val="99"/>
        </w:rPr>
        <w:t> </w:t>
      </w:r>
      <w:r>
        <w:rPr>
          <w:rFonts w:ascii="宋体" w:hAnsi="宋体" w:cs="宋体" w:eastAsia="宋体" w:hint="default"/>
        </w:rPr>
        <w:t>1</w:t>
      </w:r>
      <w:r>
        <w:rPr/>
        <w:t>．销售商品</w:t>
      </w:r>
      <w:r>
        <w:rPr>
          <w:b w:val="0"/>
          <w:bCs w:val="0"/>
        </w:rPr>
      </w:r>
    </w:p>
    <w:p>
      <w:pPr>
        <w:pStyle w:val="BodyText"/>
        <w:spacing w:line="237" w:lineRule="exact" w:before="0"/>
        <w:ind w:left="144" w:right="1066" w:firstLine="420"/>
        <w:jc w:val="left"/>
      </w:pPr>
      <w:r>
        <w:rPr/>
        <w:t>本公司已将商品所有权上的主要风险和报酬转移给购买方；既没有保留通常与所有权相联系的继续</w:t>
      </w:r>
    </w:p>
    <w:p>
      <w:pPr>
        <w:pStyle w:val="BodyText"/>
        <w:spacing w:line="273" w:lineRule="auto" w:before="37"/>
        <w:ind w:left="144" w:right="1189"/>
        <w:jc w:val="both"/>
      </w:pPr>
      <w:r>
        <w:rPr>
          <w:spacing w:val="-1"/>
        </w:rPr>
        <w:t>管理权，也没有对已售出的商品实施有效控制；收入的金额能够可靠地计量；相关的经济利益很可能流</w:t>
      </w:r>
      <w:r>
        <w:rPr>
          <w:spacing w:val="-102"/>
        </w:rPr>
        <w:t> </w:t>
      </w:r>
      <w:r>
        <w:rPr>
          <w:spacing w:val="-102"/>
        </w:rPr>
      </w:r>
      <w:r>
        <w:rPr/>
        <w:t>入企业；相关的已发生或将发生的成本能够可靠地计量时，确认营业收入实现。</w:t>
      </w:r>
    </w:p>
    <w:p>
      <w:pPr>
        <w:pStyle w:val="Heading3"/>
        <w:spacing w:line="240" w:lineRule="auto" w:before="70"/>
        <w:ind w:left="567" w:right="1066"/>
        <w:jc w:val="left"/>
        <w:rPr>
          <w:b w:val="0"/>
          <w:bCs w:val="0"/>
        </w:rPr>
      </w:pPr>
      <w:r>
        <w:rPr>
          <w:rFonts w:ascii="宋体" w:hAnsi="宋体" w:cs="宋体" w:eastAsia="宋体" w:hint="default"/>
        </w:rPr>
        <w:t>2</w:t>
      </w:r>
      <w:r>
        <w:rPr/>
        <w:t>．对房地产开发产品，本公司确认收入实现的具体条件包括：</w:t>
      </w:r>
      <w:r>
        <w:rPr>
          <w:b w:val="0"/>
          <w:bCs w:val="0"/>
        </w:rPr>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b/>
          <w:bCs/>
          <w:sz w:val="17"/>
          <w:szCs w:val="17"/>
        </w:rPr>
      </w:pPr>
    </w:p>
    <w:p>
      <w:pPr>
        <w:pStyle w:val="BodyText"/>
        <w:spacing w:line="240" w:lineRule="auto" w:before="35"/>
        <w:ind w:left="564" w:right="1066"/>
        <w:jc w:val="left"/>
      </w:pPr>
      <w:r>
        <w:rPr/>
        <w:t>①具备房地产开发相关的“五证</w:t>
      </w:r>
      <w:r>
        <w:rPr>
          <w:spacing w:val="-105"/>
        </w:rPr>
        <w:t>”</w:t>
      </w:r>
      <w:r>
        <w:rPr/>
        <w:t>；</w:t>
      </w:r>
    </w:p>
    <w:p>
      <w:pPr>
        <w:pStyle w:val="BodyText"/>
        <w:spacing w:line="240" w:lineRule="auto" w:before="37"/>
        <w:ind w:left="564" w:right="1066"/>
        <w:jc w:val="left"/>
      </w:pPr>
      <w:r>
        <w:rPr/>
        <w:t>②工程已经完工并经验收；</w:t>
      </w:r>
    </w:p>
    <w:p>
      <w:pPr>
        <w:pStyle w:val="BodyText"/>
        <w:spacing w:line="240" w:lineRule="auto" w:before="37"/>
        <w:ind w:left="564" w:right="1066"/>
        <w:jc w:val="left"/>
      </w:pPr>
      <w:r>
        <w:rPr/>
        <w:t>③签订了《商品房买卖合同</w:t>
      </w:r>
      <w:r>
        <w:rPr>
          <w:spacing w:val="-105"/>
        </w:rPr>
        <w:t>》</w:t>
      </w:r>
      <w:r>
        <w:rPr/>
        <w:t>；</w:t>
      </w:r>
    </w:p>
    <w:p>
      <w:pPr>
        <w:pStyle w:val="BodyText"/>
        <w:spacing w:line="240" w:lineRule="auto" w:before="37"/>
        <w:ind w:left="564" w:right="1066"/>
        <w:jc w:val="left"/>
      </w:pPr>
      <w:r>
        <w:rPr/>
        <w:t>④商品房已交付、买受人已付款，或出卖人确信可以取得该款；</w:t>
      </w:r>
    </w:p>
    <w:p>
      <w:pPr>
        <w:pStyle w:val="BodyText"/>
        <w:spacing w:line="240" w:lineRule="auto" w:before="37"/>
        <w:ind w:left="564" w:right="1066"/>
        <w:jc w:val="left"/>
      </w:pPr>
      <w:r>
        <w:rPr/>
        <w:t>⑤成本能够可靠计量。</w:t>
      </w:r>
    </w:p>
    <w:p>
      <w:pPr>
        <w:spacing w:line="273" w:lineRule="auto" w:before="99"/>
        <w:ind w:left="564" w:right="701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．提供劳务</w:t>
      </w:r>
      <w:r>
        <w:rPr>
          <w:rFonts w:ascii="宋体" w:hAnsi="宋体" w:cs="宋体" w:eastAsia="宋体" w:hint="default"/>
          <w:b/>
          <w:bCs/>
          <w:w w:val="99"/>
          <w:sz w:val="21"/>
          <w:szCs w:val="21"/>
        </w:rPr>
        <w:t> </w:t>
      </w:r>
      <w:r>
        <w:rPr>
          <w:rFonts w:ascii="宋体" w:hAnsi="宋体" w:cs="宋体" w:eastAsia="宋体" w:hint="default"/>
          <w:sz w:val="21"/>
          <w:szCs w:val="21"/>
        </w:rPr>
        <w:t>在下列条件均能满足时予以确认：</w:t>
      </w:r>
    </w:p>
    <w:p>
      <w:pPr>
        <w:pStyle w:val="BodyText"/>
        <w:spacing w:line="240" w:lineRule="auto"/>
        <w:ind w:left="564" w:right="1066"/>
        <w:jc w:val="left"/>
      </w:pPr>
      <w:r>
        <w:rPr/>
        <w:t>①收入的金额能够可靠地计量；</w:t>
      </w:r>
    </w:p>
    <w:p>
      <w:pPr>
        <w:pStyle w:val="BodyText"/>
        <w:spacing w:line="240" w:lineRule="auto" w:before="37"/>
        <w:ind w:left="564" w:right="1066"/>
        <w:jc w:val="left"/>
      </w:pPr>
      <w:r>
        <w:rPr/>
        <w:t>②相关的经济利益很可能流入企业；</w:t>
      </w:r>
    </w:p>
    <w:p>
      <w:pPr>
        <w:pStyle w:val="BodyText"/>
        <w:spacing w:line="240" w:lineRule="auto" w:before="37"/>
        <w:ind w:left="564" w:right="1066"/>
        <w:jc w:val="left"/>
      </w:pPr>
      <w:r>
        <w:rPr/>
        <w:t>③交易的完工进度能够可靠地确定；</w:t>
      </w:r>
    </w:p>
    <w:p>
      <w:pPr>
        <w:spacing w:line="326" w:lineRule="auto" w:before="37"/>
        <w:ind w:left="567" w:right="5542" w:hanging="3"/>
        <w:jc w:val="left"/>
        <w:rPr>
          <w:rFonts w:ascii="宋体" w:hAnsi="宋体" w:cs="宋体" w:eastAsia="宋体" w:hint="default"/>
          <w:sz w:val="21"/>
          <w:szCs w:val="21"/>
        </w:rPr>
      </w:pPr>
      <w:r>
        <w:rPr>
          <w:rFonts w:ascii="宋体" w:hAnsi="宋体" w:cs="宋体" w:eastAsia="宋体" w:hint="default"/>
          <w:sz w:val="21"/>
          <w:szCs w:val="21"/>
        </w:rPr>
        <w:t>④交易中已发生或将发生的成本能够可靠地计量。 </w:t>
      </w:r>
      <w:r>
        <w:rPr>
          <w:rFonts w:ascii="宋体" w:hAnsi="宋体" w:cs="宋体" w:eastAsia="宋体" w:hint="default"/>
          <w:b/>
          <w:bCs/>
          <w:sz w:val="21"/>
          <w:szCs w:val="21"/>
        </w:rPr>
        <w:t>4</w:t>
      </w:r>
      <w:r>
        <w:rPr>
          <w:rFonts w:ascii="宋体" w:hAnsi="宋体" w:cs="宋体" w:eastAsia="宋体" w:hint="default"/>
          <w:b/>
          <w:bCs/>
          <w:sz w:val="21"/>
          <w:szCs w:val="21"/>
        </w:rPr>
        <w:t>．让渡资产使用权</w:t>
      </w:r>
      <w:r>
        <w:rPr>
          <w:rFonts w:ascii="宋体" w:hAnsi="宋体" w:cs="宋体" w:eastAsia="宋体" w:hint="default"/>
          <w:sz w:val="21"/>
          <w:szCs w:val="21"/>
        </w:rPr>
      </w:r>
    </w:p>
    <w:p>
      <w:pPr>
        <w:pStyle w:val="BodyText"/>
        <w:spacing w:line="235" w:lineRule="exact" w:before="0"/>
        <w:ind w:left="564" w:right="1066"/>
        <w:jc w:val="left"/>
      </w:pPr>
      <w:r>
        <w:rPr/>
        <w:t>与交易相关的经济利益很可能流入企业，收入的金额能够可靠地计量时，分别下列情况确定让渡资</w:t>
      </w:r>
    </w:p>
    <w:p>
      <w:pPr>
        <w:pStyle w:val="BodyText"/>
        <w:spacing w:line="240" w:lineRule="auto" w:before="37"/>
        <w:ind w:left="144" w:right="0"/>
        <w:jc w:val="both"/>
      </w:pPr>
      <w:r>
        <w:rPr/>
        <w:t>产使用权收入金额：</w:t>
      </w:r>
    </w:p>
    <w:p>
      <w:pPr>
        <w:pStyle w:val="BodyText"/>
        <w:spacing w:line="240" w:lineRule="auto" w:before="37"/>
        <w:ind w:left="564" w:right="1066"/>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326" w:lineRule="auto" w:before="37"/>
        <w:ind w:left="567" w:right="2917" w:hanging="3"/>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b/>
          <w:bCs/>
        </w:rPr>
        <w:t>5</w:t>
      </w:r>
      <w:r>
        <w:rPr>
          <w:rFonts w:ascii="宋体" w:hAnsi="宋体" w:cs="宋体" w:eastAsia="宋体" w:hint="default"/>
          <w:b/>
          <w:bCs/>
        </w:rPr>
        <w:t>．电信服务收入</w:t>
      </w:r>
      <w:r>
        <w:rPr>
          <w:rFonts w:ascii="宋体" w:hAnsi="宋体" w:cs="宋体" w:eastAsia="宋体" w:hint="default"/>
        </w:rPr>
      </w:r>
    </w:p>
    <w:p>
      <w:pPr>
        <w:pStyle w:val="BodyText"/>
        <w:spacing w:line="236" w:lineRule="exact" w:before="0"/>
        <w:ind w:left="564" w:right="1066"/>
        <w:jc w:val="left"/>
      </w:pPr>
      <w:r>
        <w:rPr/>
        <w:t>（</w:t>
      </w:r>
      <w:r>
        <w:rPr>
          <w:rFonts w:ascii="宋体" w:hAnsi="宋体" w:cs="宋体" w:eastAsia="宋体" w:hint="default"/>
        </w:rPr>
        <w:t>1</w:t>
      </w:r>
      <w:r>
        <w:rPr/>
        <w:t>）行业短信收入</w:t>
      </w:r>
    </w:p>
    <w:p>
      <w:pPr>
        <w:pStyle w:val="BodyText"/>
        <w:spacing w:line="273" w:lineRule="auto" w:before="37"/>
        <w:ind w:left="144" w:right="1175" w:firstLine="420"/>
        <w:jc w:val="left"/>
      </w:pPr>
      <w:r>
        <w:rPr>
          <w:spacing w:val="-1"/>
        </w:rPr>
        <w:t>公司系统收到客户提交的短信，内部审核符合国家法律法规规定，将其提交到移动通信运营商平台</w:t>
      </w:r>
      <w:r>
        <w:rPr/>
        <w:t> 后确认收入。</w:t>
      </w:r>
    </w:p>
    <w:p>
      <w:pPr>
        <w:pStyle w:val="BodyText"/>
        <w:spacing w:line="273" w:lineRule="auto"/>
        <w:ind w:left="556" w:right="1980" w:firstLine="8"/>
        <w:jc w:val="left"/>
      </w:pPr>
      <w:r>
        <w:rPr/>
        <w:t>（</w:t>
      </w:r>
      <w:r>
        <w:rPr>
          <w:rFonts w:ascii="宋体" w:hAnsi="宋体" w:cs="宋体" w:eastAsia="宋体" w:hint="default"/>
        </w:rPr>
        <w:t>2</w:t>
      </w:r>
      <w:r>
        <w:rPr/>
        <w:t>）运营商业务酬金收入 公司根据与移动通信运营商的合作协议，按约定比例获取业务酬金，于结算时确认收入。</w:t>
      </w:r>
    </w:p>
    <w:p>
      <w:pPr>
        <w:pStyle w:val="BodyText"/>
        <w:spacing w:line="273" w:lineRule="auto" w:before="164"/>
        <w:ind w:left="564" w:right="1175" w:firstLine="2"/>
        <w:jc w:val="left"/>
      </w:pPr>
      <w:r>
        <w:rPr>
          <w:rFonts w:ascii="宋体" w:hAnsi="宋体" w:cs="宋体" w:eastAsia="宋体" w:hint="default"/>
          <w:b/>
          <w:bCs/>
        </w:rPr>
        <w:t>（二十三）政府补助</w:t>
      </w:r>
      <w:r>
        <w:rPr>
          <w:rFonts w:ascii="宋体" w:hAnsi="宋体" w:cs="宋体" w:eastAsia="宋体" w:hint="default"/>
          <w:b/>
          <w:bCs/>
          <w:w w:val="99"/>
        </w:rPr>
        <w:t> </w:t>
      </w:r>
      <w:r>
        <w:rPr>
          <w:spacing w:val="-1"/>
        </w:rPr>
        <w:t>政府补助，是本公司从政府无偿取得货币性资产或非货币性资产，但不包括政府作为企业所有者投</w:t>
      </w:r>
    </w:p>
    <w:p>
      <w:pPr>
        <w:pStyle w:val="BodyText"/>
        <w:spacing w:line="273" w:lineRule="auto"/>
        <w:ind w:left="564" w:right="1066" w:hanging="421"/>
        <w:jc w:val="left"/>
      </w:pPr>
      <w:r>
        <w:rPr/>
        <w:t>入的资本。政府补助分为与资产相关的政府补助和与收益相关的政府助。 </w:t>
      </w:r>
      <w:r>
        <w:rPr>
          <w:spacing w:val="-4"/>
        </w:rPr>
        <w:t>与资产相关的政府补助，应当确认为递延收益，并在相关资产使用寿命内平均分配，计入当期损益。</w:t>
      </w:r>
    </w:p>
    <w:p>
      <w:pPr>
        <w:pStyle w:val="BodyText"/>
        <w:spacing w:line="273" w:lineRule="auto"/>
        <w:ind w:left="144" w:right="1188"/>
        <w:jc w:val="both"/>
      </w:pPr>
      <w:r>
        <w:rPr>
          <w:spacing w:val="-1"/>
        </w:rPr>
        <w:t>但是，按照名义金额计量的政府补助，直接计入当期损益。与收益相关的政府补助，如果用于补偿企业</w:t>
      </w:r>
      <w:r>
        <w:rPr>
          <w:spacing w:val="-100"/>
        </w:rPr>
        <w:t> </w:t>
      </w:r>
      <w:r>
        <w:rPr>
          <w:spacing w:val="-100"/>
        </w:rPr>
      </w:r>
      <w:r>
        <w:rPr>
          <w:spacing w:val="-1"/>
        </w:rPr>
        <w:t>以后期间的相关费用或损失的，确认为递延收益，并在确认相关费用的期间，计入当期损益；如果用于</w:t>
      </w:r>
      <w:r>
        <w:rPr>
          <w:spacing w:val="-100"/>
        </w:rPr>
        <w:t> </w:t>
      </w:r>
      <w:r>
        <w:rPr>
          <w:spacing w:val="-100"/>
        </w:rPr>
      </w:r>
      <w:r>
        <w:rPr/>
        <w:t>补偿企业已发生的相关费用或损失的，直接计入当期损益。</w:t>
      </w:r>
    </w:p>
    <w:p>
      <w:pPr>
        <w:pStyle w:val="BodyText"/>
        <w:spacing w:line="273" w:lineRule="auto"/>
        <w:ind w:left="144" w:right="1175" w:firstLine="420"/>
        <w:jc w:val="left"/>
      </w:pPr>
      <w:r>
        <w:rPr>
          <w:spacing w:val="-1"/>
        </w:rPr>
        <w:t>已确认的政府补助需要返还的，如果存在相关递延收益的，冲减相关递延收益账面余额，超出部分</w:t>
      </w:r>
      <w:r>
        <w:rPr/>
        <w:t> 计入当期损益；如果不存在相关递延收益的，直接计入当期损益。</w:t>
      </w:r>
    </w:p>
    <w:p>
      <w:pPr>
        <w:pStyle w:val="Heading3"/>
        <w:spacing w:line="240" w:lineRule="auto" w:before="163"/>
        <w:ind w:left="567" w:right="1066"/>
        <w:jc w:val="left"/>
        <w:rPr>
          <w:b w:val="0"/>
          <w:bCs w:val="0"/>
        </w:rPr>
      </w:pPr>
      <w:r>
        <w:rPr/>
        <w:t>（二十四）递延所得税资产、递延所得税负债</w:t>
      </w:r>
      <w:r>
        <w:rPr>
          <w:b w:val="0"/>
          <w:bCs w:val="0"/>
        </w:rPr>
      </w:r>
    </w:p>
    <w:p>
      <w:pPr>
        <w:pStyle w:val="BodyText"/>
        <w:spacing w:line="273" w:lineRule="auto" w:before="37"/>
        <w:ind w:left="564" w:right="1066"/>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w:t>
      </w:r>
    </w:p>
    <w:p>
      <w:pPr>
        <w:pStyle w:val="BodyText"/>
        <w:spacing w:line="273" w:lineRule="auto"/>
        <w:ind w:left="144" w:right="1189"/>
        <w:jc w:val="both"/>
      </w:pPr>
      <w:r>
        <w:rPr>
          <w:spacing w:val="-1"/>
        </w:rPr>
        <w:t>期应交纳（或返还）的所得税金额计量。计算当期所得税费用所依据的应纳税所得额系根据有关税法规</w:t>
      </w:r>
      <w:r>
        <w:rPr>
          <w:spacing w:val="-102"/>
        </w:rPr>
        <w:t> </w:t>
      </w:r>
      <w:r>
        <w:rPr>
          <w:spacing w:val="-102"/>
        </w:rPr>
      </w:r>
      <w:r>
        <w:rPr/>
        <w:t>定对本报告期税前会计利润作相应调整后计算得出。</w:t>
      </w:r>
    </w:p>
    <w:p>
      <w:pPr>
        <w:pStyle w:val="BodyText"/>
        <w:spacing w:line="273" w:lineRule="auto"/>
        <w:ind w:left="670" w:right="1066" w:hanging="106"/>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某些资产、负债项目的账面价值与其计税基础之间的差额，以及未作为资产和负债确认但按照税</w:t>
      </w:r>
    </w:p>
    <w:p>
      <w:pPr>
        <w:pStyle w:val="BodyText"/>
        <w:spacing w:line="273" w:lineRule="auto" w:before="8"/>
        <w:ind w:left="144" w:right="1189"/>
        <w:jc w:val="both"/>
      </w:pPr>
      <w:r>
        <w:rPr>
          <w:spacing w:val="-1"/>
        </w:rPr>
        <w:t>法规定可以确定其计税基础的项目的账面价值与计税基础之间的差额产生的暂时性差异，采用资产负债</w:t>
      </w:r>
      <w:r>
        <w:rPr>
          <w:spacing w:val="-101"/>
        </w:rPr>
        <w:t> </w:t>
      </w:r>
      <w:r>
        <w:rPr>
          <w:spacing w:val="-101"/>
        </w:rPr>
      </w:r>
      <w:r>
        <w:rPr/>
        <w:t>表债务法确认递延所得税资产及递延所得税负债。</w:t>
      </w:r>
    </w:p>
    <w:p>
      <w:pPr>
        <w:pStyle w:val="BodyText"/>
        <w:spacing w:line="273" w:lineRule="auto"/>
        <w:ind w:left="144" w:right="1188" w:firstLine="420"/>
        <w:jc w:val="both"/>
      </w:pPr>
      <w:r>
        <w:rPr>
          <w:spacing w:val="-1"/>
        </w:rPr>
        <w:t>与商誉的初始确认有关，以及与既不是企业合并、发生时也不影响会计利润和应纳税所得额（或可</w:t>
      </w:r>
      <w:r>
        <w:rPr/>
        <w:t> </w:t>
      </w:r>
      <w:r>
        <w:rPr>
          <w:spacing w:val="-1"/>
        </w:rPr>
        <w:t>抵扣亏损）的交易中产生的资产或负债的初始确认有关的应纳税暂时性差异，不予确认有关的递延所得</w:t>
      </w:r>
      <w:r>
        <w:rPr>
          <w:spacing w:val="-100"/>
        </w:rPr>
        <w:t> </w:t>
      </w:r>
      <w:r>
        <w:rPr>
          <w:spacing w:val="-100"/>
        </w:rPr>
      </w:r>
      <w:r>
        <w:rPr>
          <w:spacing w:val="-1"/>
        </w:rPr>
        <w:t>税负债。此外，对与子公司、联营企业及合营企业投资相关的应纳税暂时性差异，如果本公司能够控制</w:t>
      </w:r>
    </w:p>
    <w:p>
      <w:pPr>
        <w:spacing w:after="0" w:line="273" w:lineRule="auto"/>
        <w:jc w:val="both"/>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right="1188"/>
        <w:jc w:val="both"/>
      </w:pPr>
      <w:r>
        <w:rPr>
          <w:spacing w:val="-1"/>
        </w:rPr>
        <w:t>暂时性差异转回的时间，而且该暂时性差异在可预见的未来很可能不会转回，也不予确认有关的递延所</w:t>
      </w:r>
      <w:r>
        <w:rPr>
          <w:spacing w:val="-100"/>
        </w:rPr>
        <w:t> </w:t>
      </w:r>
      <w:r>
        <w:rPr>
          <w:spacing w:val="-100"/>
        </w:rPr>
      </w:r>
      <w:r>
        <w:rPr/>
        <w:t>得税负债。除上述例外情况，本公司确认其他所有应纳税暂时性差异产生的递延所得税负债。</w:t>
      </w:r>
    </w:p>
    <w:p>
      <w:pPr>
        <w:pStyle w:val="BodyText"/>
        <w:spacing w:line="273" w:lineRule="auto"/>
        <w:ind w:right="1151" w:firstLine="420"/>
        <w:jc w:val="both"/>
      </w:pPr>
      <w:r>
        <w:rPr>
          <w:spacing w:val="-1"/>
        </w:rPr>
        <w:t>与既不是企业合并、发生时也不影响会计利润和应纳税所得额（或可抵扣亏损）的交易中产生的资</w:t>
      </w:r>
      <w:r>
        <w:rPr/>
        <w:t> 产或负债的初始确认有关的可抵扣暂时性差异，不予确认有关的递延所得税资产。此外，对与子公司、 联营企业及合营企业投资相关的可抵扣暂时性差异，如果暂时性差异在可预见的未来不是很可能转回， </w:t>
      </w:r>
      <w:r>
        <w:rPr>
          <w:spacing w:val="3"/>
        </w:rPr>
        <w:t>或者未来不是很可能获得用来抵扣可抵扣暂时性差异的应纳税所得额，不予确认有关的递延所得税资</w:t>
      </w:r>
      <w:r>
        <w:rPr>
          <w:spacing w:val="-95"/>
        </w:rPr>
        <w:t> </w:t>
      </w:r>
      <w:r>
        <w:rPr>
          <w:spacing w:val="-95"/>
        </w:rPr>
      </w:r>
      <w:r>
        <w:rPr>
          <w:spacing w:val="-1"/>
        </w:rPr>
        <w:t>产。除上述例外情况，本公司以很可能取得用来抵扣可抵扣暂时性差异的应纳税所得额为限，确认其他</w:t>
      </w:r>
      <w:r>
        <w:rPr>
          <w:spacing w:val="-102"/>
        </w:rPr>
        <w:t> </w:t>
      </w:r>
      <w:r>
        <w:rPr>
          <w:spacing w:val="-102"/>
        </w:rPr>
      </w:r>
      <w:r>
        <w:rPr/>
        <w:t>可抵扣暂时性差异产生的递延所得税资产。</w:t>
      </w:r>
    </w:p>
    <w:p>
      <w:pPr>
        <w:pStyle w:val="BodyText"/>
        <w:spacing w:line="273" w:lineRule="auto"/>
        <w:ind w:right="1188" w:firstLine="420"/>
        <w:jc w:val="both"/>
      </w:pPr>
      <w:r>
        <w:rPr>
          <w:spacing w:val="-1"/>
        </w:rPr>
        <w:t>对于能够结转以后年度的可抵扣亏损和税款抵减，以很可能获得用来抵扣可抵扣亏损和税款抵减的</w:t>
      </w:r>
      <w:r>
        <w:rPr/>
        <w:t> 未来应纳税所得额为限，确认相应的递延所得税资产。</w:t>
      </w:r>
    </w:p>
    <w:p>
      <w:pPr>
        <w:pStyle w:val="BodyText"/>
        <w:spacing w:line="273" w:lineRule="auto"/>
        <w:ind w:right="1189" w:firstLine="420"/>
        <w:jc w:val="both"/>
      </w:pPr>
      <w:r>
        <w:rPr>
          <w:spacing w:val="-1"/>
        </w:rPr>
        <w:t>资产负债表日，对于递延所得税资产和递延所得税负债，根据税法规定，按照预期收回相关资产或</w:t>
      </w:r>
      <w:r>
        <w:rPr/>
        <w:t> 清偿相关负债期间的适用税率计量。</w:t>
      </w:r>
    </w:p>
    <w:p>
      <w:pPr>
        <w:pStyle w:val="BodyText"/>
        <w:spacing w:line="273" w:lineRule="auto"/>
        <w:ind w:right="1187" w:firstLine="420"/>
        <w:jc w:val="both"/>
      </w:pPr>
      <w:r>
        <w:rPr>
          <w:spacing w:val="-1"/>
        </w:rPr>
        <w:t>于资产负债表日，对递延所得税资产的账面价值进行复核，如果未来很可能无法获得足够的应纳税</w:t>
      </w:r>
      <w:r>
        <w:rPr/>
        <w:t> </w:t>
      </w:r>
      <w:r>
        <w:rPr>
          <w:spacing w:val="-1"/>
        </w:rPr>
        <w:t>所得额用以抵扣递延所得税资产的利益，则减记递延所得税资产的账面价值。在很可能获得足够的应纳</w:t>
      </w:r>
      <w:r>
        <w:rPr>
          <w:spacing w:val="-100"/>
        </w:rPr>
        <w:t> </w:t>
      </w:r>
      <w:r>
        <w:rPr>
          <w:spacing w:val="-100"/>
        </w:rPr>
      </w:r>
      <w:r>
        <w:rPr/>
        <w:t>税所得额时，减记的金额予以转回。</w:t>
      </w:r>
    </w:p>
    <w:p>
      <w:pPr>
        <w:pStyle w:val="BodyText"/>
        <w:spacing w:line="273" w:lineRule="auto"/>
        <w:ind w:left="930" w:right="6066" w:hanging="106"/>
        <w:jc w:val="left"/>
      </w:pPr>
      <w:r>
        <w:rPr/>
        <w:t>（</w:t>
      </w:r>
      <w:r>
        <w:rPr>
          <w:rFonts w:ascii="宋体" w:hAnsi="宋体" w:cs="宋体" w:eastAsia="宋体" w:hint="default"/>
        </w:rPr>
        <w:t>3</w:t>
      </w:r>
      <w:r>
        <w:rPr/>
        <w:t>）所得税费用 所得税费用包括当期所得税和递延所得税。</w:t>
      </w:r>
    </w:p>
    <w:p>
      <w:pPr>
        <w:pStyle w:val="BodyText"/>
        <w:spacing w:line="273" w:lineRule="auto"/>
        <w:ind w:right="1188" w:firstLine="420"/>
        <w:jc w:val="both"/>
      </w:pPr>
      <w:r>
        <w:rPr>
          <w:spacing w:val="3"/>
        </w:rPr>
        <w:t>除确认为其他综合收益或直接计入股东权益的交易和事项相关的当期所得税和递延所得税计入其</w:t>
      </w:r>
      <w:r>
        <w:rPr/>
        <w:t> </w:t>
      </w:r>
      <w:r>
        <w:rPr>
          <w:spacing w:val="-1"/>
        </w:rPr>
        <w:t>他综合收益或股东权益，以及企业合并产生的递延所得税调整商誉的账面价值外，其余当期所得税和递</w:t>
      </w:r>
      <w:r>
        <w:rPr>
          <w:spacing w:val="-100"/>
        </w:rPr>
        <w:t> </w:t>
      </w:r>
      <w:r>
        <w:rPr>
          <w:spacing w:val="-100"/>
        </w:rPr>
      </w:r>
      <w:r>
        <w:rPr/>
        <w:t>延所得税费用或收益计入当期损益。</w:t>
      </w:r>
    </w:p>
    <w:p>
      <w:pPr>
        <w:pStyle w:val="BodyText"/>
        <w:spacing w:line="273" w:lineRule="auto"/>
        <w:ind w:left="824" w:right="1175"/>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w:t>
      </w:r>
    </w:p>
    <w:p>
      <w:pPr>
        <w:pStyle w:val="BodyText"/>
        <w:spacing w:line="273" w:lineRule="auto" w:before="8"/>
        <w:ind w:left="824" w:right="1175" w:hanging="421"/>
        <w:jc w:val="left"/>
      </w:pPr>
      <w:r>
        <w:rPr/>
        <w:t>所得税资产及当期所得税负债以抵销后的净额列报。 </w:t>
      </w:r>
      <w:r>
        <w:rPr>
          <w:spacing w:val="-1"/>
        </w:rPr>
        <w:t>当拥有以净额结算当期所得税资产及当期所得税负债的法定权利，且递延所得税资产及递延所得税</w:t>
      </w:r>
    </w:p>
    <w:p>
      <w:pPr>
        <w:pStyle w:val="BodyText"/>
        <w:spacing w:line="273" w:lineRule="auto"/>
        <w:ind w:right="1188"/>
        <w:jc w:val="both"/>
      </w:pPr>
      <w:r>
        <w:rPr>
          <w:spacing w:val="-1"/>
        </w:rPr>
        <w:t>负债是与同一税收征管部门对同一纳税主体征收的所得税相关或者是对不同的纳税主体相关，但在未来</w:t>
      </w:r>
      <w:r>
        <w:rPr>
          <w:spacing w:val="-100"/>
        </w:rPr>
        <w:t> </w:t>
      </w:r>
      <w:r>
        <w:rPr>
          <w:spacing w:val="-100"/>
        </w:rPr>
      </w:r>
      <w:r>
        <w:rPr>
          <w:spacing w:val="-1"/>
        </w:rPr>
        <w:t>每一具有重要性的递延所得税资产及负债转回的期间内，涉及的纳税主体意图以净额结算当期所得税资</w:t>
      </w:r>
      <w:r>
        <w:rPr>
          <w:spacing w:val="-101"/>
        </w:rPr>
        <w:t> </w:t>
      </w:r>
      <w:r>
        <w:rPr>
          <w:spacing w:val="-101"/>
        </w:rPr>
      </w:r>
      <w:r>
        <w:rPr>
          <w:spacing w:val="-1"/>
        </w:rPr>
        <w:t>产和负债或是同时取得资产、清偿负债时，本公司递延所得税资产及递延所得税负债以抵销后的净额列</w:t>
      </w:r>
      <w:r>
        <w:rPr>
          <w:spacing w:val="-100"/>
        </w:rPr>
        <w:t> </w:t>
      </w:r>
      <w:r>
        <w:rPr>
          <w:spacing w:val="-100"/>
        </w:rPr>
      </w:r>
      <w:r>
        <w:rPr/>
        <w:t>报。</w:t>
      </w:r>
    </w:p>
    <w:p>
      <w:pPr>
        <w:pStyle w:val="Heading3"/>
        <w:spacing w:line="240" w:lineRule="auto" w:before="163"/>
        <w:ind w:right="5945"/>
        <w:jc w:val="left"/>
        <w:rPr>
          <w:b w:val="0"/>
          <w:bCs w:val="0"/>
        </w:rPr>
      </w:pPr>
      <w:r>
        <w:rPr/>
        <w:t>（二十五）重要会计政策和会计估计变更</w:t>
      </w:r>
      <w:r>
        <w:rPr>
          <w:b w:val="0"/>
          <w:bCs w:val="0"/>
        </w:rPr>
      </w:r>
    </w:p>
    <w:p>
      <w:pPr>
        <w:pStyle w:val="BodyText"/>
        <w:spacing w:line="240" w:lineRule="auto" w:before="37"/>
        <w:ind w:left="824" w:right="5945"/>
        <w:jc w:val="left"/>
      </w:pPr>
      <w:r>
        <w:rPr/>
        <w:t>（</w:t>
      </w:r>
      <w:r>
        <w:rPr>
          <w:rFonts w:ascii="宋体" w:hAnsi="宋体" w:cs="宋体" w:eastAsia="宋体" w:hint="default"/>
        </w:rPr>
        <w:t>1</w:t>
      </w:r>
      <w:r>
        <w:rPr/>
        <w:t>）会计政策变更</w:t>
      </w:r>
    </w:p>
    <w:p>
      <w:pPr>
        <w:pStyle w:val="BodyText"/>
        <w:spacing w:line="273" w:lineRule="auto" w:before="37"/>
        <w:ind w:right="1082" w:firstLine="420"/>
        <w:jc w:val="both"/>
      </w:pPr>
      <w:r>
        <w:rPr>
          <w:rFonts w:ascii="宋体" w:hAnsi="宋体" w:cs="宋体" w:eastAsia="宋体" w:hint="default"/>
        </w:rPr>
        <w:t>2014</w:t>
      </w:r>
      <w:r>
        <w:rPr>
          <w:rFonts w:ascii="宋体" w:hAnsi="宋体" w:cs="宋体" w:eastAsia="宋体" w:hint="default"/>
          <w:spacing w:val="-51"/>
        </w:rPr>
        <w:t> </w:t>
      </w:r>
      <w:r>
        <w:rPr/>
        <w:t>年初，财政部分别以财会</w:t>
      </w:r>
      <w:r>
        <w:rPr>
          <w:rFonts w:ascii="宋体" w:hAnsi="宋体" w:cs="宋体" w:eastAsia="宋体" w:hint="default"/>
        </w:rPr>
        <w:t>[2014]6</w:t>
      </w:r>
      <w:r>
        <w:rPr>
          <w:rFonts w:ascii="宋体" w:hAnsi="宋体" w:cs="宋体" w:eastAsia="宋体" w:hint="default"/>
          <w:spacing w:val="-51"/>
        </w:rPr>
        <w:t> </w:t>
      </w:r>
      <w:r>
        <w:rPr/>
        <w:t>号、</w:t>
      </w:r>
      <w:r>
        <w:rPr>
          <w:rFonts w:ascii="宋体" w:hAnsi="宋体" w:cs="宋体" w:eastAsia="宋体" w:hint="default"/>
        </w:rPr>
        <w:t>7</w:t>
      </w:r>
      <w:r>
        <w:rPr>
          <w:rFonts w:ascii="宋体" w:hAnsi="宋体" w:cs="宋体" w:eastAsia="宋体" w:hint="default"/>
          <w:spacing w:val="-52"/>
        </w:rPr>
        <w:t> </w:t>
      </w:r>
      <w:r>
        <w:rPr/>
        <w:t>号、</w:t>
      </w:r>
      <w:r>
        <w:rPr>
          <w:rFonts w:ascii="宋体" w:hAnsi="宋体" w:cs="宋体" w:eastAsia="宋体" w:hint="default"/>
        </w:rPr>
        <w:t>8</w:t>
      </w:r>
      <w:r>
        <w:rPr>
          <w:rFonts w:ascii="宋体" w:hAnsi="宋体" w:cs="宋体" w:eastAsia="宋体" w:hint="default"/>
          <w:spacing w:val="-52"/>
        </w:rPr>
        <w:t> </w:t>
      </w:r>
      <w:r>
        <w:rPr/>
        <w:t>号、</w:t>
      </w:r>
      <w:r>
        <w:rPr>
          <w:rFonts w:ascii="宋体" w:hAnsi="宋体" w:cs="宋体" w:eastAsia="宋体" w:hint="default"/>
        </w:rPr>
        <w:t>10</w:t>
      </w:r>
      <w:r>
        <w:rPr>
          <w:rFonts w:ascii="宋体" w:hAnsi="宋体" w:cs="宋体" w:eastAsia="宋体" w:hint="default"/>
          <w:spacing w:val="-53"/>
        </w:rPr>
        <w:t> </w:t>
      </w:r>
      <w:r>
        <w:rPr/>
        <w:t>号、</w:t>
      </w:r>
      <w:r>
        <w:rPr>
          <w:rFonts w:ascii="宋体" w:hAnsi="宋体" w:cs="宋体" w:eastAsia="宋体" w:hint="default"/>
        </w:rPr>
        <w:t>11</w:t>
      </w:r>
      <w:r>
        <w:rPr>
          <w:rFonts w:ascii="宋体" w:hAnsi="宋体" w:cs="宋体" w:eastAsia="宋体" w:hint="default"/>
          <w:spacing w:val="-52"/>
        </w:rPr>
        <w:t> </w:t>
      </w:r>
      <w:r>
        <w:rPr/>
        <w:t>号、</w:t>
      </w:r>
      <w:r>
        <w:rPr>
          <w:rFonts w:ascii="宋体" w:hAnsi="宋体" w:cs="宋体" w:eastAsia="宋体" w:hint="default"/>
        </w:rPr>
        <w:t>14</w:t>
      </w:r>
      <w:r>
        <w:rPr>
          <w:rFonts w:ascii="宋体" w:hAnsi="宋体" w:cs="宋体" w:eastAsia="宋体" w:hint="default"/>
          <w:spacing w:val="-52"/>
        </w:rPr>
        <w:t> </w:t>
      </w:r>
      <w:r>
        <w:rPr/>
        <w:t>号及</w:t>
      </w:r>
      <w:r>
        <w:rPr>
          <w:spacing w:val="-52"/>
        </w:rPr>
        <w:t> </w:t>
      </w:r>
      <w:r>
        <w:rPr>
          <w:rFonts w:ascii="宋体" w:hAnsi="宋体" w:cs="宋体" w:eastAsia="宋体" w:hint="default"/>
        </w:rPr>
        <w:t>16</w:t>
      </w:r>
      <w:r>
        <w:rPr>
          <w:rFonts w:ascii="宋体" w:hAnsi="宋体" w:cs="宋体" w:eastAsia="宋体" w:hint="default"/>
          <w:spacing w:val="-52"/>
        </w:rPr>
        <w:t> </w:t>
      </w:r>
      <w:r>
        <w:rPr/>
        <w:t>号发布了《企业 会计准则第</w:t>
      </w:r>
      <w:r>
        <w:rPr>
          <w:spacing w:val="-46"/>
        </w:rPr>
        <w:t> </w:t>
      </w:r>
      <w:r>
        <w:rPr>
          <w:rFonts w:ascii="宋体" w:hAnsi="宋体" w:cs="宋体" w:eastAsia="宋体" w:hint="default"/>
          <w:spacing w:val="-1"/>
        </w:rPr>
        <w:t>39</w:t>
      </w:r>
      <w:r>
        <w:rPr>
          <w:rFonts w:ascii="宋体" w:hAnsi="宋体" w:cs="宋体" w:eastAsia="宋体" w:hint="default"/>
          <w:spacing w:val="-46"/>
        </w:rPr>
        <w:t> </w:t>
      </w:r>
      <w:r>
        <w:rPr>
          <w:spacing w:val="-12"/>
        </w:rPr>
        <w:t>号——公允价值计量》、《企业会计准则第</w:t>
      </w:r>
      <w:r>
        <w:rPr>
          <w:spacing w:val="-46"/>
        </w:rPr>
        <w:t> </w:t>
      </w:r>
      <w:r>
        <w:rPr>
          <w:rFonts w:ascii="宋体" w:hAnsi="宋体" w:cs="宋体" w:eastAsia="宋体" w:hint="default"/>
        </w:rPr>
        <w:t>30</w:t>
      </w:r>
      <w:r>
        <w:rPr>
          <w:rFonts w:ascii="宋体" w:hAnsi="宋体" w:cs="宋体" w:eastAsia="宋体" w:hint="default"/>
          <w:spacing w:val="-46"/>
        </w:rPr>
        <w:t> </w:t>
      </w:r>
      <w:r>
        <w:rPr>
          <w:spacing w:val="-1"/>
        </w:rPr>
        <w:t>号——财务报表列报（</w:t>
      </w:r>
      <w:r>
        <w:rPr>
          <w:rFonts w:ascii="宋体" w:hAnsi="宋体" w:cs="宋体" w:eastAsia="宋体" w:hint="default"/>
          <w:spacing w:val="-1"/>
        </w:rPr>
        <w:t>2014</w:t>
      </w:r>
      <w:r>
        <w:rPr>
          <w:rFonts w:ascii="宋体" w:hAnsi="宋体" w:cs="宋体" w:eastAsia="宋体" w:hint="default"/>
          <w:spacing w:val="-46"/>
        </w:rPr>
        <w:t> </w:t>
      </w:r>
      <w:r>
        <w:rPr>
          <w:spacing w:val="-40"/>
        </w:rPr>
        <w:t>年修订）》、《企</w:t>
      </w:r>
      <w:r>
        <w:rPr>
          <w:spacing w:val="-96"/>
        </w:rPr>
        <w:t> </w:t>
      </w:r>
      <w:r>
        <w:rPr>
          <w:spacing w:val="-96"/>
        </w:rPr>
      </w:r>
      <w:r>
        <w:rPr/>
        <w:t>业会计准则第</w:t>
      </w:r>
      <w:r>
        <w:rPr>
          <w:spacing w:val="-38"/>
        </w:rPr>
        <w:t> </w:t>
      </w:r>
      <w:r>
        <w:rPr>
          <w:rFonts w:ascii="宋体" w:hAnsi="宋体" w:cs="宋体" w:eastAsia="宋体" w:hint="default"/>
        </w:rPr>
        <w:t>9</w:t>
      </w:r>
      <w:r>
        <w:rPr>
          <w:rFonts w:ascii="宋体" w:hAnsi="宋体" w:cs="宋体" w:eastAsia="宋体" w:hint="default"/>
          <w:spacing w:val="-38"/>
        </w:rPr>
        <w:t> </w:t>
      </w:r>
      <w:r>
        <w:rPr>
          <w:spacing w:val="-1"/>
        </w:rPr>
        <w:t>号——职工薪酬（</w:t>
      </w:r>
      <w:r>
        <w:rPr>
          <w:rFonts w:ascii="宋体" w:hAnsi="宋体" w:cs="宋体" w:eastAsia="宋体" w:hint="default"/>
          <w:spacing w:val="-1"/>
        </w:rPr>
        <w:t>2014</w:t>
      </w:r>
      <w:r>
        <w:rPr>
          <w:rFonts w:ascii="宋体" w:hAnsi="宋体" w:cs="宋体" w:eastAsia="宋体" w:hint="default"/>
          <w:spacing w:val="-38"/>
        </w:rPr>
        <w:t> </w:t>
      </w:r>
      <w:r>
        <w:rPr>
          <w:spacing w:val="-23"/>
        </w:rPr>
        <w:t>年修订）》、《企业会计准则第</w:t>
      </w:r>
      <w:r>
        <w:rPr>
          <w:spacing w:val="-39"/>
        </w:rPr>
        <w:t> </w:t>
      </w:r>
      <w:r>
        <w:rPr>
          <w:rFonts w:ascii="宋体" w:hAnsi="宋体" w:cs="宋体" w:eastAsia="宋体" w:hint="default"/>
        </w:rPr>
        <w:t>33</w:t>
      </w:r>
      <w:r>
        <w:rPr>
          <w:rFonts w:ascii="宋体" w:hAnsi="宋体" w:cs="宋体" w:eastAsia="宋体" w:hint="default"/>
          <w:spacing w:val="-38"/>
        </w:rPr>
        <w:t> </w:t>
      </w:r>
      <w:r>
        <w:rPr>
          <w:spacing w:val="-1"/>
        </w:rPr>
        <w:t>号——合并财务报表（</w:t>
      </w:r>
      <w:r>
        <w:rPr>
          <w:rFonts w:ascii="宋体" w:hAnsi="宋体" w:cs="宋体" w:eastAsia="宋体" w:hint="default"/>
          <w:spacing w:val="-1"/>
        </w:rPr>
        <w:t>2014</w:t>
      </w:r>
      <w:r>
        <w:rPr>
          <w:rFonts w:ascii="宋体" w:hAnsi="宋体" w:cs="宋体" w:eastAsia="宋体" w:hint="default"/>
          <w:spacing w:val="-36"/>
        </w:rPr>
        <w:t> </w:t>
      </w:r>
      <w:r>
        <w:rPr/>
        <w:t>年</w:t>
      </w:r>
      <w:r>
        <w:rPr>
          <w:spacing w:val="-99"/>
        </w:rPr>
        <w:t> </w:t>
      </w:r>
      <w:r>
        <w:rPr>
          <w:spacing w:val="-33"/>
        </w:rPr>
        <w:t>修订）》、《企业会计准则第</w:t>
      </w:r>
      <w:r>
        <w:rPr>
          <w:spacing w:val="-46"/>
        </w:rPr>
        <w:t> </w:t>
      </w:r>
      <w:r>
        <w:rPr>
          <w:rFonts w:ascii="宋体" w:hAnsi="宋体" w:cs="宋体" w:eastAsia="宋体" w:hint="default"/>
          <w:spacing w:val="-1"/>
        </w:rPr>
        <w:t>40</w:t>
      </w:r>
      <w:r>
        <w:rPr>
          <w:rFonts w:ascii="宋体" w:hAnsi="宋体" w:cs="宋体" w:eastAsia="宋体" w:hint="default"/>
          <w:spacing w:val="-46"/>
        </w:rPr>
        <w:t> </w:t>
      </w:r>
      <w:r>
        <w:rPr>
          <w:spacing w:val="-19"/>
        </w:rPr>
        <w:t>号——合营安排》、《企业会计准则第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spacing w:val="-8"/>
        </w:rPr>
        <w:t>号——长期股权投资（</w:t>
      </w:r>
      <w:r>
        <w:rPr>
          <w:rFonts w:ascii="宋体" w:hAnsi="宋体" w:cs="宋体" w:eastAsia="宋体" w:hint="default"/>
          <w:spacing w:val="-8"/>
        </w:rPr>
        <w:t>2014</w:t>
      </w:r>
      <w:r>
        <w:rPr>
          <w:rFonts w:ascii="宋体" w:hAnsi="宋体" w:cs="宋体" w:eastAsia="宋体" w:hint="default"/>
          <w:spacing w:val="-47"/>
        </w:rPr>
        <w:t> </w:t>
      </w:r>
      <w:r>
        <w:rPr>
          <w:spacing w:val="-22"/>
        </w:rPr>
        <w:t>年修订）》</w:t>
      </w:r>
    </w:p>
    <w:p>
      <w:pPr>
        <w:pStyle w:val="BodyText"/>
        <w:spacing w:line="273" w:lineRule="auto"/>
        <w:ind w:right="1187"/>
        <w:jc w:val="both"/>
      </w:pPr>
      <w:r>
        <w:rPr/>
        <w:t>及《企业会计准则第</w:t>
      </w:r>
      <w:r>
        <w:rPr>
          <w:spacing w:val="-43"/>
        </w:rPr>
        <w:t> </w:t>
      </w:r>
      <w:r>
        <w:rPr>
          <w:rFonts w:ascii="宋体" w:hAnsi="宋体" w:cs="宋体" w:eastAsia="宋体" w:hint="default"/>
          <w:spacing w:val="-1"/>
        </w:rPr>
        <w:t>41</w:t>
      </w:r>
      <w:r>
        <w:rPr>
          <w:rFonts w:ascii="宋体" w:hAnsi="宋体" w:cs="宋体" w:eastAsia="宋体" w:hint="default"/>
          <w:spacing w:val="-44"/>
        </w:rPr>
        <w:t> </w:t>
      </w:r>
      <w:r>
        <w:rPr>
          <w:spacing w:val="-6"/>
        </w:rPr>
        <w:t>号——在其他主体中权益的披露》，要求自</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3"/>
        </w:rPr>
        <w:t> </w:t>
      </w:r>
      <w:r>
        <w:rPr>
          <w:rFonts w:ascii="宋体" w:hAnsi="宋体" w:cs="宋体" w:eastAsia="宋体" w:hint="default"/>
        </w:rPr>
        <w:t>7</w:t>
      </w:r>
      <w:r>
        <w:rPr>
          <w:rFonts w:ascii="宋体" w:hAnsi="宋体" w:cs="宋体" w:eastAsia="宋体" w:hint="default"/>
          <w:spacing w:val="-44"/>
        </w:rPr>
        <w:t> </w:t>
      </w:r>
      <w:r>
        <w:rPr/>
        <w:t>月</w:t>
      </w:r>
      <w:r>
        <w:rPr>
          <w:spacing w:val="-44"/>
        </w:rPr>
        <w:t> </w:t>
      </w:r>
      <w:r>
        <w:rPr>
          <w:rFonts w:ascii="宋体" w:hAnsi="宋体" w:cs="宋体" w:eastAsia="宋体" w:hint="default"/>
        </w:rPr>
        <w:t>1</w:t>
      </w:r>
      <w:r>
        <w:rPr>
          <w:rFonts w:ascii="宋体" w:hAnsi="宋体" w:cs="宋体" w:eastAsia="宋体" w:hint="default"/>
          <w:spacing w:val="-43"/>
        </w:rPr>
        <w:t> </w:t>
      </w:r>
      <w:r>
        <w:rPr>
          <w:spacing w:val="-1"/>
        </w:rPr>
        <w:t>日起在所有执行企业</w:t>
      </w:r>
      <w:r>
        <w:rPr/>
        <w:t> </w:t>
      </w:r>
      <w:r>
        <w:rPr>
          <w:spacing w:val="-3"/>
        </w:rPr>
        <w:t>会计准则的企业范围内施行，鼓励在境外上市的企业提前执行。同时，财政部以财会</w:t>
      </w:r>
      <w:r>
        <w:rPr>
          <w:rFonts w:ascii="宋体" w:hAnsi="宋体" w:cs="宋体" w:eastAsia="宋体" w:hint="default"/>
          <w:spacing w:val="-3"/>
        </w:rPr>
        <w:t>[2014]23</w:t>
      </w:r>
      <w:r>
        <w:rPr>
          <w:rFonts w:ascii="宋体" w:hAnsi="宋体" w:cs="宋体" w:eastAsia="宋体" w:hint="default"/>
          <w:spacing w:val="-11"/>
        </w:rPr>
        <w:t> </w:t>
      </w:r>
      <w:r>
        <w:rPr/>
        <w:t>号发布了</w:t>
      </w:r>
    </w:p>
    <w:p>
      <w:pPr>
        <w:pStyle w:val="BodyText"/>
        <w:spacing w:line="273" w:lineRule="auto"/>
        <w:ind w:right="1188"/>
        <w:jc w:val="both"/>
      </w:pPr>
      <w:r>
        <w:rPr/>
        <w:t>《企业会计准则第</w:t>
      </w:r>
      <w:r>
        <w:rPr>
          <w:spacing w:val="-49"/>
        </w:rPr>
        <w:t> </w:t>
      </w:r>
      <w:r>
        <w:rPr>
          <w:rFonts w:ascii="宋体" w:hAnsi="宋体" w:cs="宋体" w:eastAsia="宋体" w:hint="default"/>
        </w:rPr>
        <w:t>37</w:t>
      </w:r>
      <w:r>
        <w:rPr>
          <w:rFonts w:ascii="宋体" w:hAnsi="宋体" w:cs="宋体" w:eastAsia="宋体" w:hint="default"/>
          <w:spacing w:val="-48"/>
        </w:rPr>
        <w:t> </w:t>
      </w:r>
      <w:r>
        <w:rPr/>
        <w:t>号——金融工具列报（</w:t>
      </w:r>
      <w:r>
        <w:rPr>
          <w:rFonts w:ascii="宋体" w:hAnsi="宋体" w:cs="宋体" w:eastAsia="宋体" w:hint="default"/>
        </w:rPr>
        <w:t>2014</w:t>
      </w:r>
      <w:r>
        <w:rPr>
          <w:rFonts w:ascii="宋体" w:hAnsi="宋体" w:cs="宋体" w:eastAsia="宋体" w:hint="default"/>
          <w:spacing w:val="-49"/>
        </w:rPr>
        <w:t> </w:t>
      </w:r>
      <w:r>
        <w:rPr>
          <w:spacing w:val="-17"/>
        </w:rPr>
        <w:t>年修订）》（以下简称“金融工具列报准则”），要求在</w:t>
      </w:r>
      <w:r>
        <w:rPr/>
        <w:t> </w:t>
      </w:r>
      <w:r>
        <w:rPr>
          <w:rFonts w:ascii="宋体" w:hAnsi="宋体" w:cs="宋体" w:eastAsia="宋体" w:hint="default"/>
        </w:rPr>
        <w:t>2014</w:t>
      </w:r>
      <w:r>
        <w:rPr>
          <w:rFonts w:ascii="宋体" w:hAnsi="宋体" w:cs="宋体" w:eastAsia="宋体" w:hint="default"/>
          <w:spacing w:val="-53"/>
        </w:rPr>
        <w:t> </w:t>
      </w:r>
      <w:r>
        <w:rPr/>
        <w:t>年年度及以后期间的财务报告中按照该准则的要求对金融工具进行列报。</w:t>
      </w:r>
    </w:p>
    <w:p>
      <w:pPr>
        <w:pStyle w:val="BodyText"/>
        <w:spacing w:line="240" w:lineRule="auto"/>
        <w:ind w:left="824" w:right="418"/>
        <w:jc w:val="left"/>
      </w:pPr>
      <w:r>
        <w:rPr/>
        <w:t>本公司于</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5"/>
        </w:rPr>
        <w:t> </w:t>
      </w:r>
      <w:r>
        <w:rPr/>
        <w:t>日开始执行前述除金融工具列报准则以外的</w:t>
      </w:r>
      <w:r>
        <w:rPr>
          <w:spacing w:val="-44"/>
        </w:rPr>
        <w:t> </w:t>
      </w:r>
      <w:r>
        <w:rPr>
          <w:rFonts w:ascii="宋体" w:hAnsi="宋体" w:cs="宋体" w:eastAsia="宋体" w:hint="default"/>
        </w:rPr>
        <w:t>7</w:t>
      </w:r>
      <w:r>
        <w:rPr>
          <w:rFonts w:ascii="宋体" w:hAnsi="宋体" w:cs="宋体" w:eastAsia="宋体" w:hint="default"/>
          <w:spacing w:val="-44"/>
        </w:rPr>
        <w:t> </w:t>
      </w:r>
      <w:r>
        <w:rPr/>
        <w:t>项新颁布或修订的企业会计</w:t>
      </w:r>
    </w:p>
    <w:p>
      <w:pPr>
        <w:pStyle w:val="BodyText"/>
        <w:spacing w:line="273" w:lineRule="auto" w:before="37"/>
        <w:ind w:right="1069"/>
        <w:jc w:val="left"/>
      </w:pPr>
      <w:r>
        <w:rPr>
          <w:spacing w:val="-4"/>
        </w:rPr>
        <w:t>准则，在编制</w:t>
      </w:r>
      <w:r>
        <w:rPr>
          <w:spacing w:val="-61"/>
        </w:rPr>
        <w:t> </w:t>
      </w:r>
      <w:r>
        <w:rPr>
          <w:rFonts w:ascii="宋体" w:hAnsi="宋体" w:cs="宋体" w:eastAsia="宋体" w:hint="default"/>
        </w:rPr>
        <w:t>2014</w:t>
      </w:r>
      <w:r>
        <w:rPr>
          <w:rFonts w:ascii="宋体" w:hAnsi="宋体" w:cs="宋体" w:eastAsia="宋体" w:hint="default"/>
          <w:spacing w:val="-62"/>
        </w:rPr>
        <w:t> </w:t>
      </w:r>
      <w:r>
        <w:rPr/>
        <w:t>年年度财务报告时开始执行金融工具列报准则，并根据各准则衔接要求进行了调整， 对可比期间财务报表项目及金额的影响如下：</w:t>
      </w:r>
    </w:p>
    <w:tbl>
      <w:tblPr>
        <w:tblW w:w="0" w:type="auto"/>
        <w:jc w:val="left"/>
        <w:tblInd w:w="115" w:type="dxa"/>
        <w:tblLayout w:type="fixed"/>
        <w:tblCellMar>
          <w:top w:w="0" w:type="dxa"/>
          <w:left w:w="0" w:type="dxa"/>
          <w:bottom w:w="0" w:type="dxa"/>
          <w:right w:w="0" w:type="dxa"/>
        </w:tblCellMar>
        <w:tblLook w:val="01E0"/>
      </w:tblPr>
      <w:tblGrid>
        <w:gridCol w:w="3407"/>
        <w:gridCol w:w="2691"/>
        <w:gridCol w:w="1702"/>
        <w:gridCol w:w="2125"/>
      </w:tblGrid>
      <w:tr>
        <w:trPr>
          <w:trHeight w:val="39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hAnsi="宋体" w:cs="宋体" w:eastAsia="宋体" w:hint="default"/>
                <w:sz w:val="18"/>
                <w:szCs w:val="18"/>
              </w:rPr>
              <w:t>影响报表项目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年末影响报表金额</w:t>
            </w:r>
          </w:p>
        </w:tc>
      </w:tr>
      <w:tr>
        <w:trPr>
          <w:trHeight w:val="50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02"/>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号——财务报表列 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2,561,231.580</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407"/>
        <w:gridCol w:w="2691"/>
        <w:gridCol w:w="1702"/>
        <w:gridCol w:w="2125"/>
      </w:tblGrid>
      <w:tr>
        <w:trPr>
          <w:trHeight w:val="53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103" w:right="102"/>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号——财务报表列 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-2,561,231.580</w:t>
            </w:r>
          </w:p>
        </w:tc>
      </w:tr>
      <w:tr>
        <w:trPr>
          <w:trHeight w:val="52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103" w:right="102"/>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32</w:t>
            </w:r>
            <w:r>
              <w:rPr>
                <w:rFonts w:ascii="宋体" w:hAnsi="宋体" w:cs="宋体" w:eastAsia="宋体" w:hint="default"/>
                <w:spacing w:val="-51"/>
                <w:sz w:val="18"/>
                <w:szCs w:val="18"/>
              </w:rPr>
              <w:t> </w:t>
            </w:r>
            <w:r>
              <w:rPr>
                <w:rFonts w:ascii="宋体" w:hAnsi="宋体" w:cs="宋体" w:eastAsia="宋体" w:hint="default"/>
                <w:sz w:val="18"/>
                <w:szCs w:val="18"/>
              </w:rPr>
              <w:t>号——财务报表列 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-714,787.230</w:t>
            </w:r>
          </w:p>
        </w:tc>
      </w:tr>
      <w:tr>
        <w:trPr>
          <w:trHeight w:val="71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2"/>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33</w:t>
            </w:r>
            <w:r>
              <w:rPr>
                <w:rFonts w:ascii="宋体" w:hAnsi="宋体" w:cs="宋体" w:eastAsia="宋体" w:hint="default"/>
                <w:spacing w:val="-51"/>
                <w:sz w:val="18"/>
                <w:szCs w:val="18"/>
              </w:rPr>
              <w:t> </w:t>
            </w:r>
            <w:r>
              <w:rPr>
                <w:rFonts w:ascii="宋体" w:hAnsi="宋体" w:cs="宋体" w:eastAsia="宋体" w:hint="default"/>
                <w:sz w:val="18"/>
                <w:szCs w:val="18"/>
              </w:rPr>
              <w:t>号——财务报表列 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以公允价值计量且</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4"/>
                <w:sz w:val="18"/>
                <w:szCs w:val="18"/>
              </w:rPr>
              <w:t>其变动计入当期损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益的金融资产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714,787.230</w:t>
            </w:r>
          </w:p>
        </w:tc>
      </w:tr>
      <w:tr>
        <w:trPr>
          <w:trHeight w:val="75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10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17"/>
                <w:sz w:val="18"/>
                <w:szCs w:val="18"/>
              </w:rPr>
              <w:t> </w:t>
            </w:r>
            <w:r>
              <w:rPr>
                <w:rFonts w:ascii="宋体" w:hAnsi="宋体" w:cs="宋体" w:eastAsia="宋体" w:hint="default"/>
                <w:sz w:val="18"/>
                <w:szCs w:val="18"/>
              </w:rPr>
              <w:t>2</w:t>
            </w:r>
            <w:r>
              <w:rPr>
                <w:rFonts w:ascii="宋体" w:hAnsi="宋体" w:cs="宋体" w:eastAsia="宋体" w:hint="default"/>
                <w:spacing w:val="15"/>
                <w:sz w:val="18"/>
                <w:szCs w:val="18"/>
              </w:rPr>
              <w:t> </w:t>
            </w:r>
            <w:r>
              <w:rPr>
                <w:rFonts w:ascii="宋体" w:hAnsi="宋体" w:cs="宋体" w:eastAsia="宋体" w:hint="default"/>
                <w:sz w:val="18"/>
                <w:szCs w:val="18"/>
              </w:rPr>
              <w:t>号——长期股权投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资》（修订）、</w:t>
            </w:r>
            <w:r>
              <w:rPr>
                <w:rFonts w:ascii="宋体" w:hAnsi="宋体" w:cs="宋体" w:eastAsia="宋体" w:hint="default"/>
                <w:spacing w:val="-18"/>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z w:val="18"/>
                <w:szCs w:val="18"/>
              </w:rPr>
              <w:t>37</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——金融工具列报》（修订）、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r>
      <w:tr>
        <w:trPr>
          <w:trHeight w:val="69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2</w:t>
            </w:r>
            <w:r>
              <w:rPr>
                <w:rFonts w:ascii="宋体" w:hAnsi="宋体" w:cs="宋体" w:eastAsia="宋体" w:hint="default"/>
                <w:spacing w:val="35"/>
                <w:sz w:val="18"/>
                <w:szCs w:val="18"/>
              </w:rPr>
              <w:t> </w:t>
            </w:r>
            <w:r>
              <w:rPr>
                <w:rFonts w:ascii="宋体" w:hAnsi="宋体" w:cs="宋体" w:eastAsia="宋体" w:hint="default"/>
                <w:sz w:val="18"/>
                <w:szCs w:val="18"/>
              </w:rPr>
              <w:t>号——长期股权投</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资》（修订）、</w:t>
            </w:r>
            <w:r>
              <w:rPr>
                <w:rFonts w:ascii="宋体" w:hAnsi="宋体" w:cs="宋体" w:eastAsia="宋体" w:hint="default"/>
                <w:spacing w:val="-18"/>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z w:val="18"/>
                <w:szCs w:val="18"/>
              </w:rPr>
              <w:t>38</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——金融工具列报》（修订）、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r>
      <w:tr>
        <w:trPr>
          <w:trHeight w:val="51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9</w:t>
            </w:r>
            <w:r>
              <w:rPr>
                <w:rFonts w:ascii="宋体" w:hAnsi="宋体" w:cs="宋体" w:eastAsia="宋体" w:hint="default"/>
                <w:spacing w:val="35"/>
                <w:sz w:val="18"/>
                <w:szCs w:val="18"/>
              </w:rPr>
              <w:t> </w:t>
            </w:r>
            <w:r>
              <w:rPr>
                <w:rFonts w:ascii="宋体" w:hAnsi="宋体" w:cs="宋体" w:eastAsia="宋体" w:hint="default"/>
                <w:sz w:val="18"/>
                <w:szCs w:val="18"/>
              </w:rPr>
              <w:t>号——职工薪酬》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-2,919,119.930</w:t>
            </w:r>
          </w:p>
        </w:tc>
      </w:tr>
      <w:tr>
        <w:trPr>
          <w:trHeight w:val="53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号——职工薪酬》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（修订）、</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1"/>
              <w:jc w:val="right"/>
              <w:rPr>
                <w:rFonts w:ascii="宋体" w:hAnsi="宋体" w:cs="宋体" w:eastAsia="宋体" w:hint="default"/>
                <w:sz w:val="18"/>
                <w:szCs w:val="18"/>
              </w:rPr>
            </w:pPr>
            <w:r>
              <w:rPr>
                <w:rFonts w:ascii="宋体" w:hAnsi="宋体" w:cs="宋体" w:eastAsia="宋体" w:hint="default"/>
                <w:sz w:val="18"/>
                <w:szCs w:val="18"/>
              </w:rPr>
              <w:t>第六届董事会第十次会议通过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2,919,119.930</w:t>
            </w:r>
          </w:p>
        </w:tc>
      </w:tr>
    </w:tbl>
    <w:p>
      <w:pPr>
        <w:spacing w:line="240" w:lineRule="auto" w:before="0"/>
        <w:rPr>
          <w:rFonts w:ascii="宋体" w:hAnsi="宋体" w:cs="宋体" w:eastAsia="宋体" w:hint="default"/>
          <w:sz w:val="20"/>
          <w:szCs w:val="20"/>
        </w:rPr>
      </w:pPr>
    </w:p>
    <w:p>
      <w:pPr>
        <w:pStyle w:val="BodyText"/>
        <w:spacing w:line="273" w:lineRule="auto" w:before="35"/>
        <w:ind w:left="824" w:right="8272"/>
        <w:jc w:val="left"/>
      </w:pPr>
      <w:r>
        <w:rPr/>
        <w:t>（二）会计估计变更 无。</w:t>
      </w:r>
    </w:p>
    <w:p>
      <w:pPr>
        <w:pStyle w:val="BodyText"/>
        <w:spacing w:line="273" w:lineRule="auto"/>
        <w:ind w:left="824" w:right="8272"/>
        <w:jc w:val="left"/>
      </w:pPr>
      <w:r>
        <w:rPr/>
        <w:t>（三）会计差错更正 无。</w:t>
      </w:r>
    </w:p>
    <w:p>
      <w:pPr>
        <w:pStyle w:val="BodyText"/>
        <w:spacing w:line="273" w:lineRule="auto"/>
        <w:ind w:left="824" w:right="1175"/>
        <w:jc w:val="left"/>
      </w:pPr>
      <w:r>
        <w:rPr/>
        <w:t>（四）重大会计判断和会计估计 </w:t>
      </w:r>
      <w:r>
        <w:rPr>
          <w:spacing w:val="-1"/>
        </w:rPr>
        <w:t>本公司在运用会计政策过程中，由于经营活动内在的不确定性，本公司需要对无法准确计量的报表</w:t>
      </w:r>
    </w:p>
    <w:p>
      <w:pPr>
        <w:pStyle w:val="BodyText"/>
        <w:spacing w:line="273" w:lineRule="auto"/>
        <w:ind w:right="1151"/>
        <w:jc w:val="both"/>
      </w:pPr>
      <w:r>
        <w:rPr/>
        <w:t>项目的账面价值进行判断、估计和假设。这些判断、估计和假设是基于本公司管理层过去的历史经验， </w:t>
      </w:r>
      <w:r>
        <w:rPr>
          <w:spacing w:val="-1"/>
        </w:rPr>
        <w:t>并在考虑其他相关因素的基础上做出的。这些判断、估计和假设会影响收入、费用、资产和负债的报告</w:t>
      </w:r>
      <w:r>
        <w:rPr>
          <w:spacing w:val="-100"/>
        </w:rPr>
        <w:t> </w:t>
      </w:r>
      <w:r>
        <w:rPr>
          <w:spacing w:val="-100"/>
        </w:rPr>
      </w:r>
      <w:r>
        <w:rPr>
          <w:spacing w:val="-1"/>
        </w:rPr>
        <w:t>金额以及资产负债表日或有负债的披露。然而，这些估计的不确定性所导致的实际结果可能与本公司管</w:t>
      </w:r>
      <w:r>
        <w:rPr>
          <w:spacing w:val="-101"/>
        </w:rPr>
        <w:t> </w:t>
      </w:r>
      <w:r>
        <w:rPr>
          <w:spacing w:val="-101"/>
        </w:rPr>
      </w:r>
      <w:r>
        <w:rPr/>
        <w:t>理层当前的估计存在差异，进而造成对未来受影响的资产或负债的账面金额进行重大调整。</w:t>
      </w:r>
    </w:p>
    <w:p>
      <w:pPr>
        <w:pStyle w:val="BodyText"/>
        <w:spacing w:line="273" w:lineRule="auto"/>
        <w:ind w:right="1188" w:firstLine="526"/>
        <w:jc w:val="both"/>
      </w:pPr>
      <w:r>
        <w:rPr/>
        <w:t>本公司对前述判断、估计和假设在持续经营的基础上进行定期复核，会计估计的变更仅影响变更 </w:t>
      </w:r>
      <w:r>
        <w:rPr>
          <w:spacing w:val="-1"/>
        </w:rPr>
        <w:t>当期的，其影响数在变更当期予以确认；既影响变更当期又影响未来期间的，其影响数在变更当期和未</w:t>
      </w:r>
      <w:r>
        <w:rPr>
          <w:spacing w:val="-102"/>
        </w:rPr>
        <w:t> </w:t>
      </w:r>
      <w:r>
        <w:rPr>
          <w:spacing w:val="-102"/>
        </w:rPr>
      </w:r>
      <w:r>
        <w:rPr/>
        <w:t>来期间予以确认。</w:t>
      </w:r>
    </w:p>
    <w:p>
      <w:pPr>
        <w:pStyle w:val="BodyText"/>
        <w:spacing w:line="240" w:lineRule="auto"/>
        <w:ind w:left="826" w:right="418"/>
        <w:jc w:val="left"/>
      </w:pPr>
      <w:r>
        <w:rPr/>
        <w:t>于资产负债表日，本公司需对财务报表项目金额进行判断、估计和假设的重要领域如下：</w:t>
      </w:r>
    </w:p>
    <w:p>
      <w:pPr>
        <w:pStyle w:val="BodyText"/>
        <w:spacing w:line="273" w:lineRule="auto" w:before="37"/>
        <w:ind w:left="930" w:right="418" w:hanging="106"/>
        <w:jc w:val="left"/>
      </w:pPr>
      <w:r>
        <w:rPr/>
        <w:t>（</w:t>
      </w:r>
      <w:r>
        <w:rPr>
          <w:rFonts w:ascii="宋体" w:hAnsi="宋体" w:cs="宋体" w:eastAsia="宋体" w:hint="default"/>
        </w:rPr>
        <w:t>1</w:t>
      </w:r>
      <w:r>
        <w:rPr/>
        <w:t>）坏账准备计提 本公司根据应收款项的会计政策，采用备抵法核算坏账损失。应收账款减值是基于评估应收账款</w:t>
      </w:r>
    </w:p>
    <w:p>
      <w:pPr>
        <w:pStyle w:val="BodyText"/>
        <w:spacing w:line="273" w:lineRule="auto"/>
        <w:ind w:right="1188"/>
        <w:jc w:val="both"/>
      </w:pPr>
      <w:r>
        <w:rPr>
          <w:spacing w:val="-1"/>
        </w:rPr>
        <w:t>的可收回性。鉴定应收账款减值要求管理层的判断和估计。实际的结果与原先估计的差异将在估计被改</w:t>
      </w:r>
      <w:r>
        <w:rPr>
          <w:spacing w:val="-100"/>
        </w:rPr>
        <w:t> </w:t>
      </w:r>
      <w:r>
        <w:rPr>
          <w:spacing w:val="-100"/>
        </w:rPr>
      </w:r>
      <w:r>
        <w:rPr/>
        <w:t>变的期间影响应收账款的账面价值及应收账款坏账准备的计提或转回。</w:t>
      </w:r>
    </w:p>
    <w:p>
      <w:pPr>
        <w:pStyle w:val="BodyText"/>
        <w:spacing w:line="273" w:lineRule="auto"/>
        <w:ind w:left="930" w:right="418" w:hanging="106"/>
        <w:jc w:val="left"/>
      </w:pPr>
      <w:r>
        <w:rPr/>
        <w:t>（</w:t>
      </w:r>
      <w:r>
        <w:rPr>
          <w:rFonts w:ascii="宋体" w:hAnsi="宋体" w:cs="宋体" w:eastAsia="宋体" w:hint="default"/>
        </w:rPr>
        <w:t>2</w:t>
      </w:r>
      <w:r>
        <w:rPr/>
        <w:t>）存货跌价准备 本公司根据存货会计政策，按照成本与可变现净值孰低计量，对成本高于可变现净值及陈旧和滞</w:t>
      </w:r>
    </w:p>
    <w:p>
      <w:pPr>
        <w:pStyle w:val="BodyText"/>
        <w:spacing w:line="273" w:lineRule="auto"/>
        <w:ind w:right="1188"/>
        <w:jc w:val="both"/>
      </w:pPr>
      <w:r>
        <w:rPr>
          <w:spacing w:val="-1"/>
        </w:rPr>
        <w:t>销的存货，计提存货跌价准备。存货减值至可变现净值是基于评估存货的可售性及其可变现净值。鉴定</w:t>
      </w:r>
      <w:r>
        <w:rPr>
          <w:spacing w:val="-102"/>
        </w:rPr>
        <w:t> </w:t>
      </w:r>
      <w:r>
        <w:rPr>
          <w:spacing w:val="-102"/>
        </w:rPr>
      </w:r>
      <w:r>
        <w:rPr>
          <w:spacing w:val="-1"/>
        </w:rPr>
        <w:t>存货减值要求管理层在取得确凿证据，并且考虑持有存货的目的、资产负债表日后事项的影响等因素的</w:t>
      </w:r>
      <w:r>
        <w:rPr>
          <w:spacing w:val="-100"/>
        </w:rPr>
        <w:t> </w:t>
      </w:r>
      <w:r>
        <w:rPr>
          <w:spacing w:val="-100"/>
        </w:rPr>
      </w:r>
      <w:r>
        <w:rPr>
          <w:spacing w:val="-1"/>
        </w:rPr>
        <w:t>基础上作出判断和估计。实际的结果与原先估计的差异将在估计被改变的期间影响存货的账面价值及存</w:t>
      </w:r>
      <w:r>
        <w:rPr>
          <w:spacing w:val="-100"/>
        </w:rPr>
        <w:t> </w:t>
      </w:r>
      <w:r>
        <w:rPr>
          <w:spacing w:val="-100"/>
        </w:rPr>
      </w:r>
      <w:r>
        <w:rPr/>
        <w:t>货跌价准备的计提或转回。</w:t>
      </w:r>
    </w:p>
    <w:p>
      <w:pPr>
        <w:pStyle w:val="BodyText"/>
        <w:spacing w:line="273" w:lineRule="auto"/>
        <w:ind w:left="930" w:right="418" w:hanging="106"/>
        <w:jc w:val="left"/>
      </w:pPr>
      <w:r>
        <w:rPr/>
        <w:t>（</w:t>
      </w:r>
      <w:r>
        <w:rPr>
          <w:rFonts w:ascii="宋体" w:hAnsi="宋体" w:cs="宋体" w:eastAsia="宋体" w:hint="default"/>
        </w:rPr>
        <w:t>3</w:t>
      </w:r>
      <w:r>
        <w:rPr/>
        <w:t>）持有至到期投资 本公司将符合条件的有固定或可确定还款金额和固定到期日且本公司有明确意图和能力持有至到</w:t>
      </w:r>
    </w:p>
    <w:p>
      <w:pPr>
        <w:pStyle w:val="BodyText"/>
        <w:spacing w:line="273" w:lineRule="auto"/>
        <w:ind w:right="1188"/>
        <w:jc w:val="both"/>
      </w:pPr>
      <w:r>
        <w:rPr>
          <w:spacing w:val="-1"/>
        </w:rPr>
        <w:t>期的非衍生金融资产归类为持有至到期投资。进行此项归类工作需涉及大量的判断。在进行判断的过程</w:t>
      </w:r>
      <w:r>
        <w:rPr>
          <w:spacing w:val="-100"/>
        </w:rPr>
        <w:t> </w:t>
      </w:r>
      <w:r>
        <w:rPr>
          <w:spacing w:val="-100"/>
        </w:rPr>
      </w:r>
      <w:r>
        <w:rPr>
          <w:spacing w:val="-1"/>
        </w:rPr>
        <w:t>中，本公司会对其持有该类投资至到期日的意愿和能力进行评估。除特定情况外（例如在接近到期日时</w:t>
      </w:r>
      <w:r>
        <w:rPr>
          <w:spacing w:val="-102"/>
        </w:rPr>
        <w:t> </w:t>
      </w:r>
      <w:r>
        <w:rPr>
          <w:spacing w:val="-102"/>
        </w:rPr>
      </w:r>
      <w:r>
        <w:rPr>
          <w:spacing w:val="-2"/>
        </w:rPr>
        <w:t>出售金额不重大的投资），如果本公司未能将这些投资持有至到期日，则须将全部该类投资重分类至可</w:t>
      </w:r>
      <w:r>
        <w:rPr>
          <w:spacing w:val="-68"/>
        </w:rPr>
        <w:t> </w:t>
      </w:r>
      <w:r>
        <w:rPr>
          <w:spacing w:val="-68"/>
        </w:rPr>
      </w:r>
      <w:r>
        <w:rPr>
          <w:spacing w:val="-1"/>
        </w:rPr>
        <w:t>供出售金融资产，且在本会计年度及以后两个完整的会计年度内不得再将该金融资产划分为持有至到期</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89"/>
        <w:jc w:val="both"/>
      </w:pPr>
      <w:r>
        <w:rPr>
          <w:spacing w:val="-1"/>
        </w:rPr>
        <w:t>投资。如出现此类情况，可能对财务报表上所列报的相关金融资产价值产生重大的影响，并且可能影响</w:t>
      </w:r>
      <w:r>
        <w:rPr>
          <w:spacing w:val="-102"/>
        </w:rPr>
        <w:t> </w:t>
      </w:r>
      <w:r>
        <w:rPr>
          <w:spacing w:val="-102"/>
        </w:rPr>
      </w:r>
      <w:r>
        <w:rPr/>
        <w:t>本公司的金融工具风险管理策略。</w:t>
      </w:r>
    </w:p>
    <w:p>
      <w:pPr>
        <w:pStyle w:val="BodyText"/>
        <w:spacing w:line="273" w:lineRule="auto"/>
        <w:ind w:left="670" w:right="1066" w:hanging="106"/>
        <w:jc w:val="left"/>
      </w:pPr>
      <w:r>
        <w:rPr/>
        <w:t>（</w:t>
      </w:r>
      <w:r>
        <w:rPr>
          <w:rFonts w:ascii="宋体" w:hAnsi="宋体" w:cs="宋体" w:eastAsia="宋体" w:hint="default"/>
        </w:rPr>
        <w:t>4</w:t>
      </w:r>
      <w:r>
        <w:rPr/>
        <w:t>）持有至到期投资减值 本公司确定持有至到期投资是否减值在很大程度上依赖于管理层的判断。发生减值的客观证据包</w:t>
      </w:r>
    </w:p>
    <w:p>
      <w:pPr>
        <w:pStyle w:val="BodyText"/>
        <w:spacing w:line="273" w:lineRule="auto" w:before="8"/>
        <w:ind w:left="144" w:right="1188"/>
        <w:jc w:val="both"/>
      </w:pPr>
      <w:r>
        <w:rPr>
          <w:spacing w:val="-1"/>
        </w:rPr>
        <w:t>括发行方发生严重财务困难使该金融资产无法在活跃市场继续交易、无法履行合同条款（例如，偿付利</w:t>
      </w:r>
      <w:r>
        <w:rPr>
          <w:spacing w:val="-102"/>
        </w:rPr>
        <w:t> </w:t>
      </w:r>
      <w:r>
        <w:rPr>
          <w:spacing w:val="-102"/>
        </w:rPr>
      </w:r>
      <w:r>
        <w:rPr>
          <w:spacing w:val="-1"/>
        </w:rPr>
        <w:t>息或本金发生违约）等。在进行判断的过程中，本公司需评估发生减值的客观证据对该项投资预计未来</w:t>
      </w:r>
      <w:r>
        <w:rPr>
          <w:spacing w:val="-102"/>
        </w:rPr>
        <w:t> </w:t>
      </w:r>
      <w:r>
        <w:rPr>
          <w:spacing w:val="-102"/>
        </w:rPr>
      </w:r>
      <w:r>
        <w:rPr/>
        <w:t>现金流的影响。</w:t>
      </w:r>
    </w:p>
    <w:p>
      <w:pPr>
        <w:pStyle w:val="BodyText"/>
        <w:spacing w:line="273" w:lineRule="auto"/>
        <w:ind w:left="670" w:right="1066" w:hanging="106"/>
        <w:jc w:val="left"/>
      </w:pPr>
      <w:r>
        <w:rPr/>
        <w:t>（</w:t>
      </w:r>
      <w:r>
        <w:rPr>
          <w:rFonts w:ascii="宋体" w:hAnsi="宋体" w:cs="宋体" w:eastAsia="宋体" w:hint="default"/>
        </w:rPr>
        <w:t>5</w:t>
      </w:r>
      <w:r>
        <w:rPr/>
        <w:t>）可供出售金融资产减值 本公司确定可供出售金融资产是否减值在很大程度上依赖于管理层的判断和假设，以确定是否需</w:t>
      </w:r>
    </w:p>
    <w:p>
      <w:pPr>
        <w:pStyle w:val="BodyText"/>
        <w:spacing w:line="273" w:lineRule="auto"/>
        <w:ind w:left="144" w:right="1188"/>
        <w:jc w:val="both"/>
      </w:pPr>
      <w:r>
        <w:rPr>
          <w:spacing w:val="-1"/>
        </w:rPr>
        <w:t>要在利润表中确认其减值损失。在进行判断和作出假设的过程中，本公司需评估该项投资的公允价值低</w:t>
      </w:r>
      <w:r>
        <w:rPr>
          <w:spacing w:val="-100"/>
        </w:rPr>
        <w:t> </w:t>
      </w:r>
      <w:r>
        <w:rPr>
          <w:spacing w:val="-100"/>
        </w:rPr>
      </w:r>
      <w:r>
        <w:rPr>
          <w:spacing w:val="-1"/>
        </w:rPr>
        <w:t>于成本的程度和持续期间，以及被投资对象的财务状况和短期业务展望，包括行业状况、技术变革、信</w:t>
      </w:r>
      <w:r>
        <w:rPr>
          <w:spacing w:val="-100"/>
        </w:rPr>
        <w:t> </w:t>
      </w:r>
      <w:r>
        <w:rPr>
          <w:spacing w:val="-100"/>
        </w:rPr>
      </w:r>
      <w:r>
        <w:rPr/>
        <w:t>用评级、违约率和对手方的风险。</w:t>
      </w:r>
    </w:p>
    <w:p>
      <w:pPr>
        <w:pStyle w:val="BodyText"/>
        <w:spacing w:line="273" w:lineRule="auto"/>
        <w:ind w:left="670" w:right="1066"/>
        <w:jc w:val="left"/>
      </w:pPr>
      <w:r>
        <w:rPr/>
        <w:t>（</w:t>
      </w:r>
      <w:r>
        <w:rPr>
          <w:rFonts w:ascii="宋体" w:hAnsi="宋体" w:cs="宋体" w:eastAsia="宋体" w:hint="default"/>
        </w:rPr>
        <w:t>6</w:t>
      </w:r>
      <w:r>
        <w:rPr/>
        <w:t>）非金融非流动资产减值准备 本公司于资产负债表日对除金融资产之外的非流动资产判断是否存在可能发生减值的迹象。对使</w:t>
      </w:r>
    </w:p>
    <w:p>
      <w:pPr>
        <w:pStyle w:val="BodyText"/>
        <w:spacing w:line="273" w:lineRule="auto"/>
        <w:ind w:left="144" w:right="1188"/>
        <w:jc w:val="both"/>
      </w:pPr>
      <w:r>
        <w:rPr>
          <w:spacing w:val="-1"/>
        </w:rPr>
        <w:t>用寿命不确定的无形资产，除每年进行的减值测试外，当其存在减值迹象时，也进行减值测试。其他除</w:t>
      </w:r>
      <w:r>
        <w:rPr>
          <w:spacing w:val="-100"/>
        </w:rPr>
        <w:t> </w:t>
      </w:r>
      <w:r>
        <w:rPr>
          <w:spacing w:val="-100"/>
        </w:rPr>
      </w:r>
      <w:r>
        <w:rPr/>
        <w:t>金融资产之外的非流动资产，当存在迹象表明其账面金额不可收回时，进行减值测试。</w:t>
      </w:r>
    </w:p>
    <w:p>
      <w:pPr>
        <w:pStyle w:val="BodyText"/>
        <w:spacing w:line="273" w:lineRule="auto"/>
        <w:ind w:left="144" w:right="1066" w:firstLine="526"/>
        <w:jc w:val="left"/>
      </w:pPr>
      <w:r>
        <w:rPr/>
        <w:t>当资产或资产组的账面价值高于可收回金额，即公允价值减去处置费用后的净额和预计未来现金 流量的现值中的较高者，表明发生了减值。</w:t>
      </w:r>
    </w:p>
    <w:p>
      <w:pPr>
        <w:pStyle w:val="BodyText"/>
        <w:spacing w:line="273" w:lineRule="auto"/>
        <w:ind w:left="144" w:right="1066" w:firstLine="526"/>
        <w:jc w:val="left"/>
      </w:pPr>
      <w:r>
        <w:rPr/>
        <w:t>公允价值减去处置费用后的净额，参考公平交易中类似资产的销售协议价格或可观察到的市场价 格，减去可直接归属于该资产处置的增量成本确定。</w:t>
      </w:r>
    </w:p>
    <w:p>
      <w:pPr>
        <w:pStyle w:val="BodyText"/>
        <w:spacing w:line="273" w:lineRule="auto"/>
        <w:ind w:left="144" w:right="1188" w:firstLine="420"/>
        <w:jc w:val="both"/>
      </w:pPr>
      <w:r>
        <w:rPr>
          <w:spacing w:val="-2"/>
        </w:rPr>
        <w:t>在预计未来现金流量现值时，需要对该资产（或资产组）的产量、售价、相关经营成本以及计算现</w:t>
      </w:r>
      <w:r>
        <w:rPr/>
        <w:t> </w:t>
      </w:r>
      <w:r>
        <w:rPr>
          <w:spacing w:val="-1"/>
        </w:rPr>
        <w:t>值时使用的折现率等作出重大判断。本公司在估计可收回金额时会采用所有能够获得的相关资料，包括</w:t>
      </w:r>
      <w:r>
        <w:rPr>
          <w:spacing w:val="-100"/>
        </w:rPr>
        <w:t> </w:t>
      </w:r>
      <w:r>
        <w:rPr>
          <w:spacing w:val="-100"/>
        </w:rPr>
      </w:r>
      <w:r>
        <w:rPr/>
        <w:t>根据合理和可支持的假设所作出有关产量、售价和相关经营成本的预测。</w:t>
      </w:r>
    </w:p>
    <w:p>
      <w:pPr>
        <w:pStyle w:val="BodyText"/>
        <w:spacing w:line="273" w:lineRule="auto"/>
        <w:ind w:left="144" w:right="1188" w:firstLine="420"/>
        <w:jc w:val="both"/>
      </w:pPr>
      <w:r>
        <w:rPr>
          <w:spacing w:val="-1"/>
        </w:rPr>
        <w:t>本公司至少每年测试商誉是否发生减值。这要求对分配了商誉的资产组或者资产组组合的未来现金</w:t>
      </w:r>
      <w:r>
        <w:rPr/>
        <w:t> </w:t>
      </w:r>
      <w:r>
        <w:rPr>
          <w:spacing w:val="-1"/>
        </w:rPr>
        <w:t>流量的现值进行预计。对未来现金流量的现值进行预计时，本公司需要预计未来资产组或者资产组组合</w:t>
      </w:r>
      <w:r>
        <w:rPr>
          <w:spacing w:val="-100"/>
        </w:rPr>
        <w:t> </w:t>
      </w:r>
      <w:r>
        <w:rPr>
          <w:spacing w:val="-100"/>
        </w:rPr>
      </w:r>
      <w:r>
        <w:rPr/>
        <w:t>产生的现金流量，同时选择恰当的折现率确定未来现金流量的现值。</w:t>
      </w:r>
    </w:p>
    <w:p>
      <w:pPr>
        <w:pStyle w:val="BodyText"/>
        <w:spacing w:line="273" w:lineRule="auto"/>
        <w:ind w:left="564" w:right="1175"/>
        <w:jc w:val="left"/>
      </w:pPr>
      <w:r>
        <w:rPr/>
        <w:t>（</w:t>
      </w:r>
      <w:r>
        <w:rPr>
          <w:rFonts w:ascii="宋体" w:hAnsi="宋体" w:cs="宋体" w:eastAsia="宋体" w:hint="default"/>
        </w:rPr>
        <w:t>7</w:t>
      </w:r>
      <w:r>
        <w:rPr/>
        <w:t>）折旧和摊销 </w:t>
      </w:r>
      <w:r>
        <w:rPr>
          <w:spacing w:val="-1"/>
        </w:rPr>
        <w:t>本公司对投资性房地产、固定资产和无形资产在考虑其残值后，在使用寿命内按直线法计提折旧和</w:t>
      </w:r>
    </w:p>
    <w:p>
      <w:pPr>
        <w:pStyle w:val="BodyText"/>
        <w:spacing w:line="273" w:lineRule="auto"/>
        <w:ind w:left="144" w:right="1189"/>
        <w:jc w:val="both"/>
      </w:pPr>
      <w:r>
        <w:rPr>
          <w:spacing w:val="-1"/>
        </w:rPr>
        <w:t>摊销。本公司定期复核使用寿命，以决定将计入每个报告期的折旧和摊销费用数额。使用寿命是本公司</w:t>
      </w:r>
      <w:r>
        <w:rPr>
          <w:spacing w:val="-102"/>
        </w:rPr>
        <w:t> </w:t>
      </w:r>
      <w:r>
        <w:rPr>
          <w:spacing w:val="-102"/>
        </w:rPr>
      </w:r>
      <w:r>
        <w:rPr/>
        <w:t>根据对同类资产的以往经验并结合预期的技术更新而确定的。</w:t>
      </w:r>
    </w:p>
    <w:p>
      <w:pPr>
        <w:pStyle w:val="BodyText"/>
        <w:spacing w:line="240" w:lineRule="auto"/>
        <w:ind w:left="564" w:right="1066"/>
        <w:jc w:val="left"/>
      </w:pPr>
      <w:r>
        <w:rPr/>
        <w:t>如果以前的估计发生重大变化，则会在未来期间对折旧和摊销费用进行调整。</w:t>
      </w:r>
    </w:p>
    <w:p>
      <w:pPr>
        <w:pStyle w:val="BodyText"/>
        <w:spacing w:line="273" w:lineRule="auto" w:before="37"/>
        <w:ind w:left="564" w:right="1175" w:hanging="105"/>
        <w:jc w:val="left"/>
      </w:pPr>
      <w:r>
        <w:rPr/>
        <w:t>（</w:t>
      </w:r>
      <w:r>
        <w:rPr>
          <w:rFonts w:ascii="宋体" w:hAnsi="宋体" w:cs="宋体" w:eastAsia="宋体" w:hint="default"/>
        </w:rPr>
        <w:t>8</w:t>
      </w:r>
      <w:r>
        <w:rPr/>
        <w:t>）所得税 </w:t>
      </w:r>
      <w:r>
        <w:rPr>
          <w:spacing w:val="-1"/>
        </w:rPr>
        <w:t>本公司在正常的经营活动中，有部分交易其最终的税务处理和计算存在一定的不确定性。部分项目</w:t>
      </w:r>
    </w:p>
    <w:p>
      <w:pPr>
        <w:pStyle w:val="BodyText"/>
        <w:spacing w:line="273" w:lineRule="auto"/>
        <w:ind w:left="144" w:right="1189"/>
        <w:jc w:val="both"/>
      </w:pPr>
      <w:r>
        <w:rPr>
          <w:spacing w:val="-1"/>
        </w:rPr>
        <w:t>是否能够在税前列支需要税收主管机关的审批。如果这些税务事项的最终认定结果同最初估计的金额存</w:t>
      </w:r>
      <w:r>
        <w:rPr>
          <w:spacing w:val="-100"/>
        </w:rPr>
        <w:t> </w:t>
      </w:r>
      <w:r>
        <w:rPr>
          <w:spacing w:val="-100"/>
        </w:rPr>
      </w:r>
      <w:r>
        <w:rPr/>
        <w:t>在差异，则该差异将对其最终认定期间的当期所得税和递延所得税产生影响。</w:t>
      </w:r>
    </w:p>
    <w:p>
      <w:pPr>
        <w:pStyle w:val="BodyText"/>
        <w:spacing w:line="273" w:lineRule="auto"/>
        <w:ind w:left="564" w:right="1175"/>
        <w:jc w:val="left"/>
      </w:pPr>
      <w:r>
        <w:rPr/>
        <w:t>（</w:t>
      </w:r>
      <w:r>
        <w:rPr>
          <w:rFonts w:ascii="宋体" w:hAnsi="宋体" w:cs="宋体" w:eastAsia="宋体" w:hint="default"/>
        </w:rPr>
        <w:t>9</w:t>
      </w:r>
      <w:r>
        <w:rPr/>
        <w:t>）内部退养福利及补充退休福利 本公司内部退养福利和补充退休福利费用支出及负债的金额依据各种假设条件确定。 </w:t>
      </w:r>
      <w:r>
        <w:rPr>
          <w:spacing w:val="-1"/>
        </w:rPr>
        <w:t>这些假设条件包括折现率、平均医疗费用增长率、内退人员及离退人员补贴增长率和其他因素。实</w:t>
      </w:r>
    </w:p>
    <w:p>
      <w:pPr>
        <w:pStyle w:val="BodyText"/>
        <w:spacing w:line="273" w:lineRule="auto"/>
        <w:ind w:left="144" w:right="1188"/>
        <w:jc w:val="both"/>
      </w:pPr>
      <w:r>
        <w:rPr>
          <w:spacing w:val="-1"/>
        </w:rPr>
        <w:t>际结果和假设的差异将在发生时立即确认并计入当年费用。尽管管理层认为已采用了合理假设，但实际</w:t>
      </w:r>
      <w:r>
        <w:rPr>
          <w:spacing w:val="-100"/>
        </w:rPr>
        <w:t> </w:t>
      </w:r>
      <w:r>
        <w:rPr>
          <w:spacing w:val="-100"/>
        </w:rPr>
      </w:r>
      <w:r>
        <w:rPr/>
        <w:t>经验值及假设条件的变化仍将影响本公司内部退养福利和补充退休福利的费用及负债余额。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40" w:lineRule="auto" w:before="0"/>
        <w:ind w:left="567" w:right="1066"/>
        <w:jc w:val="left"/>
        <w:rPr>
          <w:b w:val="0"/>
          <w:bCs w:val="0"/>
        </w:rPr>
      </w:pPr>
      <w:r>
        <w:rPr/>
        <w:t>四、税项</w:t>
      </w:r>
      <w:r>
        <w:rPr>
          <w:b w:val="0"/>
          <w:bCs w:val="0"/>
        </w:rPr>
      </w:r>
    </w:p>
    <w:p>
      <w:pPr>
        <w:spacing w:after="0" w:line="240" w:lineRule="auto"/>
        <w:jc w:val="left"/>
        <w:sectPr>
          <w:pgSz w:w="11910" w:h="16840"/>
          <w:pgMar w:header="883" w:footer="1219" w:top="1140" w:bottom="1400" w:left="1160" w:right="0"/>
        </w:sectPr>
      </w:pPr>
    </w:p>
    <w:p>
      <w:pPr>
        <w:spacing w:line="240" w:lineRule="auto" w:before="9"/>
        <w:rPr>
          <w:rFonts w:ascii="宋体" w:hAnsi="宋体" w:cs="宋体" w:eastAsia="宋体" w:hint="default"/>
          <w:b/>
          <w:bCs/>
          <w:sz w:val="17"/>
          <w:szCs w:val="17"/>
        </w:rPr>
      </w:pPr>
    </w:p>
    <w:p>
      <w:pPr>
        <w:pStyle w:val="BodyText"/>
        <w:spacing w:line="240" w:lineRule="auto" w:before="35"/>
        <w:ind w:left="824" w:right="5945"/>
        <w:jc w:val="left"/>
      </w:pPr>
      <w:r>
        <w:rPr>
          <w:rFonts w:ascii="宋体" w:hAnsi="宋体" w:cs="宋体" w:eastAsia="宋体" w:hint="default"/>
        </w:rPr>
        <w:t>1</w:t>
      </w:r>
      <w:r>
        <w:rPr/>
        <w:t>、主要税种及税率</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46"/>
        <w:gridCol w:w="3402"/>
        <w:gridCol w:w="2976"/>
      </w:tblGrid>
      <w:tr>
        <w:trPr>
          <w:trHeight w:val="36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36"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3%</w:t>
            </w:r>
          </w:p>
        </w:tc>
      </w:tr>
      <w:tr>
        <w:trPr>
          <w:trHeight w:val="36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36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33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宋体" w:hAnsi="宋体" w:cs="宋体" w:eastAsia="宋体" w:hint="default"/>
                <w:sz w:val="18"/>
                <w:szCs w:val="18"/>
              </w:rPr>
              <w:t>*70%</w:t>
            </w:r>
            <w:r>
              <w:rPr>
                <w:rFonts w:ascii="宋体" w:hAnsi="宋体" w:cs="宋体" w:eastAsia="宋体" w:hint="default"/>
                <w:sz w:val="18"/>
                <w:szCs w:val="18"/>
              </w:rPr>
              <w:t>或租金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36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rFonts w:ascii="宋体" w:hAnsi="宋体" w:cs="宋体" w:eastAsia="宋体" w:hint="default"/>
        </w:rPr>
        <w:t>2</w:t>
      </w:r>
      <w:r>
        <w:rPr/>
        <w:t>、税收优惠及批文</w:t>
      </w:r>
    </w:p>
    <w:p>
      <w:pPr>
        <w:pStyle w:val="BodyText"/>
        <w:spacing w:line="240" w:lineRule="auto" w:before="37"/>
        <w:ind w:left="824" w:right="418"/>
        <w:jc w:val="left"/>
      </w:pPr>
      <w:r>
        <w:rPr>
          <w:spacing w:val="6"/>
        </w:rPr>
        <w:t>本公司之子公司北京创世漫道科技有限公司于 </w:t>
      </w:r>
      <w:r>
        <w:rPr>
          <w:rFonts w:ascii="宋体" w:hAnsi="宋体" w:cs="宋体" w:eastAsia="宋体" w:hint="default"/>
        </w:rPr>
        <w:t>2013 </w:t>
      </w:r>
      <w:r>
        <w:rPr/>
        <w:t>年 </w:t>
      </w:r>
      <w:r>
        <w:rPr>
          <w:rFonts w:ascii="宋体" w:hAnsi="宋体" w:cs="宋体" w:eastAsia="宋体" w:hint="default"/>
        </w:rPr>
        <w:t>11 </w:t>
      </w:r>
      <w:r>
        <w:rPr/>
        <w:t>月 </w:t>
      </w:r>
      <w:r>
        <w:rPr>
          <w:rFonts w:ascii="宋体" w:hAnsi="宋体" w:cs="宋体" w:eastAsia="宋体" w:hint="default"/>
        </w:rPr>
        <w:t>11</w:t>
      </w:r>
      <w:r>
        <w:rPr>
          <w:rFonts w:ascii="宋体" w:hAnsi="宋体" w:cs="宋体" w:eastAsia="宋体" w:hint="default"/>
          <w:spacing w:val="50"/>
        </w:rPr>
        <w:t> </w:t>
      </w:r>
      <w:r>
        <w:rPr>
          <w:spacing w:val="5"/>
        </w:rPr>
        <w:t>日获得《高新技术企业证书》</w:t>
      </w:r>
    </w:p>
    <w:p>
      <w:pPr>
        <w:pStyle w:val="BodyText"/>
        <w:spacing w:line="273" w:lineRule="auto" w:before="37"/>
        <w:ind w:right="1188"/>
        <w:jc w:val="both"/>
      </w:pPr>
      <w:r>
        <w:rPr>
          <w:spacing w:val="-1"/>
        </w:rPr>
        <w:t>（</w:t>
      </w:r>
      <w:r>
        <w:rPr>
          <w:rFonts w:ascii="宋体" w:hAnsi="宋体" w:cs="宋体" w:eastAsia="宋体" w:hint="default"/>
          <w:spacing w:val="-1"/>
        </w:rPr>
        <w:t>GF201311000353</w:t>
      </w:r>
      <w:r>
        <w:rPr>
          <w:spacing w:val="-1"/>
        </w:rPr>
        <w:t>），根据《中华人民共和国企业所得税法》的规定，经北京市海淀区地方税务局科技</w:t>
      </w:r>
      <w:r>
        <w:rPr/>
        <w:t> 园税务所出具的《海淀区地方税务局减免税备案表》批准，创世漫道 </w:t>
      </w:r>
      <w:r>
        <w:rPr>
          <w:rFonts w:ascii="宋体" w:hAnsi="宋体" w:cs="宋体" w:eastAsia="宋体" w:hint="default"/>
        </w:rPr>
        <w:t>2014</w:t>
      </w:r>
      <w:r>
        <w:rPr>
          <w:rFonts w:ascii="宋体" w:hAnsi="宋体" w:cs="宋体" w:eastAsia="宋体" w:hint="default"/>
          <w:spacing w:val="-40"/>
        </w:rPr>
        <w:t> </w:t>
      </w:r>
      <w:r>
        <w:rPr/>
        <w:t>年度享受高新技术企业减按 </w:t>
      </w:r>
      <w:r>
        <w:rPr>
          <w:rFonts w:ascii="宋体" w:hAnsi="宋体" w:cs="宋体" w:eastAsia="宋体" w:hint="default"/>
        </w:rPr>
        <w:t>15%</w:t>
      </w:r>
      <w:r>
        <w:rPr/>
        <w:t>税率优惠征收企业所得税的政策。</w:t>
      </w:r>
    </w:p>
    <w:p>
      <w:pPr>
        <w:pStyle w:val="Heading3"/>
        <w:spacing w:line="326" w:lineRule="auto" w:before="163"/>
        <w:ind w:right="7629"/>
        <w:jc w:val="left"/>
        <w:rPr>
          <w:b w:val="0"/>
          <w:bCs w:val="0"/>
        </w:rPr>
      </w:pPr>
      <w:r>
        <w:rPr/>
        <w:pict>
          <v:shape style="position:absolute;margin-left:50.759998pt;margin-top:43.213673pt;width:496.95pt;height:90.6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3"/>
                    <w:gridCol w:w="4085"/>
                    <w:gridCol w:w="3736"/>
                  </w:tblGrid>
                  <w:tr>
                    <w:trPr>
                      <w:trHeight w:val="362"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1"/>
                          <w:ind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8"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1,143,376.82</w:t>
                        </w:r>
                      </w:p>
                    </w:tc>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1,582,261.96</w:t>
                        </w:r>
                      </w:p>
                    </w:tc>
                  </w:tr>
                  <w:tr>
                    <w:trPr>
                      <w:trHeight w:val="34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227,907,999.79</w:t>
                        </w:r>
                      </w:p>
                    </w:tc>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167,184,639.53</w:t>
                        </w:r>
                      </w:p>
                    </w:tc>
                  </w:tr>
                  <w:tr>
                    <w:trPr>
                      <w:trHeight w:val="335"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54,069,091.33</w:t>
                        </w:r>
                      </w:p>
                    </w:tc>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21,589,156.03</w:t>
                        </w:r>
                      </w:p>
                    </w:tc>
                  </w:tr>
                  <w:tr>
                    <w:trPr>
                      <w:trHeight w:val="408"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53"/>
                          <w:ind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b/>
                            <w:w w:val="95"/>
                            <w:sz w:val="18"/>
                          </w:rPr>
                          <w:t>283,120,467.94</w:t>
                        </w:r>
                        <w:r>
                          <w:rPr>
                            <w:rFonts w:ascii="宋体"/>
                            <w:sz w:val="18"/>
                          </w:rPr>
                        </w:r>
                      </w:p>
                    </w:tc>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b/>
                            <w:w w:val="95"/>
                            <w:sz w:val="18"/>
                          </w:rPr>
                          <w:t>190,356,057.52</w:t>
                        </w:r>
                        <w:r>
                          <w:rPr>
                            <w:rFonts w:ascii="宋体"/>
                            <w:sz w:val="18"/>
                          </w:rPr>
                        </w:r>
                      </w:p>
                    </w:tc>
                  </w:tr>
                </w:tbl>
                <w:p>
                  <w:pPr/>
                </w:p>
              </w:txbxContent>
            </v:textbox>
            <w10:wrap type="none"/>
          </v:shape>
        </w:pict>
      </w:r>
      <w:r>
        <w:rPr/>
        <w:t>五、合并财务报表项目注释</w:t>
      </w:r>
      <w:r>
        <w:rPr>
          <w:w w:val="99"/>
        </w:rPr>
        <w:t> </w:t>
      </w:r>
      <w:r>
        <w:rPr/>
        <w:t>注释</w:t>
      </w:r>
      <w:r>
        <w:rPr>
          <w:spacing w:val="-57"/>
        </w:rPr>
        <w:t> </w:t>
      </w:r>
      <w:r>
        <w:rPr>
          <w:rFonts w:ascii="宋体" w:hAnsi="宋体" w:cs="宋体" w:eastAsia="宋体" w:hint="default"/>
        </w:rPr>
        <w:t>1</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73" w:lineRule="auto" w:before="0"/>
        <w:ind w:right="1188" w:firstLine="420"/>
        <w:jc w:val="both"/>
      </w:pPr>
      <w:r>
        <w:rPr/>
        <w:t>注：本公司其他货币资金共计：</w:t>
      </w:r>
      <w:r>
        <w:rPr>
          <w:rFonts w:ascii="宋体" w:hAnsi="宋体" w:cs="宋体" w:eastAsia="宋体" w:hint="default"/>
        </w:rPr>
        <w:t>54,069,091.33</w:t>
      </w:r>
      <w:r>
        <w:rPr>
          <w:rFonts w:ascii="宋体" w:hAnsi="宋体" w:cs="宋体" w:eastAsia="宋体" w:hint="default"/>
          <w:spacing w:val="-34"/>
        </w:rPr>
        <w:t> </w:t>
      </w:r>
      <w:r>
        <w:rPr>
          <w:spacing w:val="-5"/>
        </w:rPr>
        <w:t>元，其中：（</w:t>
      </w:r>
      <w:r>
        <w:rPr>
          <w:rFonts w:ascii="宋体" w:hAnsi="宋体" w:cs="宋体" w:eastAsia="宋体" w:hint="default"/>
          <w:spacing w:val="-5"/>
        </w:rPr>
        <w:t>1</w:t>
      </w:r>
      <w:r>
        <w:rPr>
          <w:spacing w:val="-5"/>
        </w:rPr>
        <w:t>）子公司安徽国润投资发展有限公司</w:t>
      </w:r>
      <w:r>
        <w:rPr/>
        <w:t> </w:t>
      </w:r>
      <w:r>
        <w:rPr>
          <w:spacing w:val="-1"/>
        </w:rPr>
        <w:t>之子公司滁州茂业投资发展有限公司根据当地房产管理局的要求，在指定的银行存入项目资本金及工程</w:t>
      </w:r>
      <w:r>
        <w:rPr>
          <w:spacing w:val="-101"/>
        </w:rPr>
        <w:t> </w:t>
      </w:r>
      <w:r>
        <w:rPr>
          <w:spacing w:val="-101"/>
        </w:rPr>
      </w:r>
      <w:r>
        <w:rPr/>
        <w:t>质量保证金 </w:t>
      </w:r>
      <w:r>
        <w:rPr>
          <w:rFonts w:ascii="宋体" w:hAnsi="宋体" w:cs="宋体" w:eastAsia="宋体" w:hint="default"/>
          <w:spacing w:val="-1"/>
        </w:rPr>
        <w:t>14,069,091.33</w:t>
      </w:r>
      <w:r>
        <w:rPr>
          <w:rFonts w:ascii="宋体" w:hAnsi="宋体" w:cs="宋体" w:eastAsia="宋体" w:hint="default"/>
          <w:spacing w:val="-71"/>
        </w:rPr>
        <w:t> </w:t>
      </w:r>
      <w:r>
        <w:rPr>
          <w:spacing w:val="-5"/>
        </w:rPr>
        <w:t>元，该项资金可根据工程进度申请使用。（</w:t>
      </w:r>
      <w:r>
        <w:rPr>
          <w:rFonts w:ascii="宋体" w:hAnsi="宋体" w:cs="宋体" w:eastAsia="宋体" w:hint="default"/>
          <w:spacing w:val="-5"/>
        </w:rPr>
        <w:t>2</w:t>
      </w:r>
      <w:r>
        <w:rPr>
          <w:spacing w:val="-5"/>
        </w:rPr>
        <w:t>）本公司购买中国工商银行保本</w:t>
      </w:r>
    </w:p>
    <w:p>
      <w:pPr>
        <w:spacing w:line="326" w:lineRule="auto" w:before="7"/>
        <w:ind w:left="827" w:right="4738" w:hanging="423"/>
        <w:jc w:val="left"/>
        <w:rPr>
          <w:rFonts w:ascii="宋体" w:hAnsi="宋体" w:cs="宋体" w:eastAsia="宋体" w:hint="default"/>
          <w:sz w:val="21"/>
          <w:szCs w:val="21"/>
        </w:rPr>
      </w:pPr>
      <w:r>
        <w:rPr/>
        <w:pict>
          <v:shape style="position:absolute;margin-left:50.759998pt;margin-top:35.353683pt;width:497pt;height:69.6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49"/>
                    <w:gridCol w:w="3088"/>
                    <w:gridCol w:w="2988"/>
                  </w:tblGrid>
                  <w:tr>
                    <w:trPr>
                      <w:trHeight w:val="348" w:hRule="exact"/>
                    </w:trPr>
                    <w:tc>
                      <w:tcPr>
                        <w:tcW w:w="3849"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40" w:lineRule="auto" w:before="23"/>
                          <w:ind w:left="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8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3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88" w:type="dxa"/>
                        <w:tcBorders>
                          <w:top w:val="single" w:sz="4" w:space="0" w:color="000000"/>
                          <w:left w:val="single" w:sz="4" w:space="0" w:color="000000"/>
                          <w:bottom w:val="single" w:sz="4" w:space="0" w:color="000000"/>
                          <w:right w:val="single" w:sz="4" w:space="0" w:color="000000"/>
                        </w:tcBorders>
                      </w:tcPr>
                      <w:p>
                        <w:pPr/>
                      </w:p>
                    </w:tc>
                    <w:tc>
                      <w:tcPr>
                        <w:tcW w:w="298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1,180,045.12</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714,787.23</w:t>
                        </w:r>
                      </w:p>
                    </w:tc>
                  </w:tr>
                  <w:tr>
                    <w:trPr>
                      <w:trHeight w:val="364" w:hRule="exact"/>
                    </w:trPr>
                    <w:tc>
                      <w:tcPr>
                        <w:tcW w:w="3849" w:type="dxa"/>
                        <w:tcBorders>
                          <w:top w:val="single" w:sz="4" w:space="0" w:color="000000"/>
                          <w:left w:val="single" w:sz="4" w:space="0" w:color="000000"/>
                          <w:bottom w:val="single" w:sz="4" w:space="0" w:color="000000"/>
                          <w:right w:val="single" w:sz="4" w:space="0" w:color="000000"/>
                        </w:tcBorders>
                      </w:tcPr>
                      <w:p>
                        <w:pPr>
                          <w:pStyle w:val="TableParagraph"/>
                          <w:tabs>
                            <w:tab w:pos="457" w:val="left" w:leader="none"/>
                          </w:tabs>
                          <w:spacing w:line="240" w:lineRule="auto" w:before="31"/>
                          <w:ind w:left="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right"/>
                          <w:rPr>
                            <w:rFonts w:ascii="宋体" w:hAnsi="宋体" w:cs="宋体" w:eastAsia="宋体" w:hint="default"/>
                            <w:sz w:val="18"/>
                            <w:szCs w:val="18"/>
                          </w:rPr>
                        </w:pPr>
                        <w:r>
                          <w:rPr>
                            <w:rFonts w:ascii="宋体"/>
                            <w:b/>
                            <w:w w:val="95"/>
                            <w:sz w:val="18"/>
                          </w:rPr>
                          <w:t>1,180,045.12</w:t>
                        </w:r>
                        <w:r>
                          <w:rPr>
                            <w:rFonts w:ascii="宋体"/>
                            <w:sz w:val="18"/>
                          </w:rPr>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8"/>
                            <w:szCs w:val="18"/>
                          </w:rPr>
                        </w:pPr>
                        <w:r>
                          <w:rPr>
                            <w:rFonts w:ascii="宋体"/>
                            <w:b/>
                            <w:w w:val="95"/>
                            <w:sz w:val="18"/>
                          </w:rPr>
                          <w:t>714,787.23</w:t>
                        </w:r>
                        <w:r>
                          <w:rPr>
                            <w:rFonts w:ascii="宋体"/>
                            <w:sz w:val="18"/>
                          </w:rPr>
                        </w:r>
                      </w:p>
                    </w:tc>
                  </w:tr>
                </w:tbl>
                <w:p>
                  <w:pPr/>
                </w:p>
              </w:txbxContent>
            </v:textbox>
            <w10:wrap type="none"/>
          </v:shape>
        </w:pict>
      </w:r>
      <w:r>
        <w:rPr>
          <w:rFonts w:ascii="宋体" w:hAnsi="宋体" w:cs="宋体" w:eastAsia="宋体" w:hint="default"/>
          <w:sz w:val="21"/>
          <w:szCs w:val="21"/>
        </w:rPr>
        <w:t>型法人</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天穏利人民币理财产品，共计</w:t>
      </w:r>
      <w:r>
        <w:rPr>
          <w:rFonts w:ascii="宋体" w:hAnsi="宋体" w:cs="宋体" w:eastAsia="宋体" w:hint="default"/>
          <w:spacing w:val="-53"/>
          <w:sz w:val="21"/>
          <w:szCs w:val="21"/>
        </w:rPr>
        <w:t> </w:t>
      </w:r>
      <w:r>
        <w:rPr>
          <w:rFonts w:ascii="宋体" w:hAnsi="宋体" w:cs="宋体" w:eastAsia="宋体" w:hint="default"/>
          <w:sz w:val="21"/>
          <w:szCs w:val="21"/>
        </w:rPr>
        <w:t>40,000,000.00</w:t>
      </w:r>
      <w:r>
        <w:rPr>
          <w:rFonts w:ascii="宋体" w:hAnsi="宋体" w:cs="宋体" w:eastAsia="宋体" w:hint="default"/>
          <w:spacing w:val="-53"/>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注释</w:t>
      </w:r>
      <w:r>
        <w:rPr>
          <w:rFonts w:ascii="宋体" w:hAnsi="宋体" w:cs="宋体" w:eastAsia="宋体" w:hint="default"/>
          <w:b/>
          <w:bCs/>
          <w:spacing w:val="-61"/>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273" w:lineRule="auto" w:before="0"/>
        <w:ind w:left="824" w:right="7747" w:firstLine="2"/>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5"/>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应收账款按种类披露：</w:t>
      </w:r>
    </w:p>
    <w:tbl>
      <w:tblPr>
        <w:tblW w:w="0" w:type="auto"/>
        <w:jc w:val="left"/>
        <w:tblInd w:w="115" w:type="dxa"/>
        <w:tblLayout w:type="fixed"/>
        <w:tblCellMar>
          <w:top w:w="0" w:type="dxa"/>
          <w:left w:w="0" w:type="dxa"/>
          <w:bottom w:w="0" w:type="dxa"/>
          <w:right w:w="0" w:type="dxa"/>
        </w:tblCellMar>
        <w:tblLook w:val="01E0"/>
      </w:tblPr>
      <w:tblGrid>
        <w:gridCol w:w="2270"/>
        <w:gridCol w:w="1702"/>
        <w:gridCol w:w="1133"/>
        <w:gridCol w:w="1703"/>
        <w:gridCol w:w="1415"/>
        <w:gridCol w:w="1703"/>
      </w:tblGrid>
      <w:tr>
        <w:trPr>
          <w:trHeight w:val="432"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0" w:hRule="exact"/>
        </w:trPr>
        <w:tc>
          <w:tcPr>
            <w:tcW w:w="2270" w:type="dxa"/>
            <w:vMerge/>
            <w:tcBorders>
              <w:left w:val="single" w:sz="4" w:space="0" w:color="000000"/>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48" w:hRule="exact"/>
        </w:trPr>
        <w:tc>
          <w:tcPr>
            <w:tcW w:w="227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703" w:type="dxa"/>
            <w:vMerge/>
            <w:tcBorders>
              <w:left w:val="single" w:sz="4" w:space="0" w:color="000000"/>
              <w:bottom w:val="single" w:sz="4" w:space="0" w:color="000000"/>
              <w:right w:val="single" w:sz="4" w:space="0" w:color="000000"/>
            </w:tcBorders>
          </w:tcPr>
          <w:p>
            <w:pPr/>
          </w:p>
        </w:tc>
      </w:tr>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78,241,718.39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51.84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30,118,194.33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48,123,524.06</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72,236,658.00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47.86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4,272,631.42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5-20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67,964,026.58</w:t>
            </w:r>
          </w:p>
        </w:tc>
      </w:tr>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455,605.47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0.30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455,605.47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150,933,981.86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34,846,431.22</w:t>
            </w:r>
          </w:p>
        </w:tc>
        <w:tc>
          <w:tcPr>
            <w:tcW w:w="1415"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116,087,550.64</w:t>
            </w:r>
          </w:p>
        </w:tc>
      </w:tr>
    </w:tbl>
    <w:p>
      <w:pPr>
        <w:spacing w:after="0" w:line="240" w:lineRule="auto"/>
        <w:jc w:val="right"/>
        <w:rPr>
          <w:rFonts w:ascii="宋体" w:hAnsi="宋体" w:cs="宋体" w:eastAsia="宋体" w:hint="default"/>
          <w:sz w:val="18"/>
          <w:szCs w:val="18"/>
        </w:rPr>
        <w:sectPr>
          <w:footerReference w:type="default" r:id="rId47"/>
          <w:pgSz w:w="11910" w:h="16840"/>
          <w:pgMar w:footer="1219" w:header="883"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right="5945"/>
        <w:jc w:val="left"/>
      </w:pPr>
      <w:r>
        <w:rPr/>
        <w:t>续上表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70"/>
        <w:gridCol w:w="1702"/>
        <w:gridCol w:w="1133"/>
        <w:gridCol w:w="1703"/>
        <w:gridCol w:w="1415"/>
        <w:gridCol w:w="1703"/>
      </w:tblGrid>
      <w:tr>
        <w:trPr>
          <w:trHeight w:val="336"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76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2270" w:type="dxa"/>
            <w:vMerge/>
            <w:tcBorders>
              <w:left w:val="single" w:sz="4" w:space="0" w:color="000000"/>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65" w:hRule="exact"/>
        </w:trPr>
        <w:tc>
          <w:tcPr>
            <w:tcW w:w="227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703" w:type="dxa"/>
            <w:vMerge/>
            <w:tcBorders>
              <w:left w:val="single" w:sz="4" w:space="0" w:color="000000"/>
              <w:bottom w:val="single" w:sz="4" w:space="0" w:color="000000"/>
              <w:right w:val="single" w:sz="4" w:space="0" w:color="000000"/>
            </w:tcBorders>
          </w:tcPr>
          <w:p>
            <w:pPr/>
          </w:p>
        </w:tc>
      </w:tr>
      <w:tr>
        <w:trPr>
          <w:trHeight w:val="47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49,101,476.46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93.36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14,020,869.34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10-100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35,080,607.12</w:t>
            </w:r>
          </w:p>
        </w:tc>
      </w:tr>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2,916,428.11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5.54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330,773.38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5-20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2,585,654.73</w:t>
            </w: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580,085.57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1.10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580,085.57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52,597,990.14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14,931,728.29</w:t>
            </w:r>
          </w:p>
        </w:tc>
        <w:tc>
          <w:tcPr>
            <w:tcW w:w="1415"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37,666,261.85</w:t>
            </w: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期末单项金额重大并单项计提坏账准备的应收账款：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4"/>
        <w:gridCol w:w="1558"/>
        <w:gridCol w:w="1560"/>
        <w:gridCol w:w="1133"/>
        <w:gridCol w:w="3120"/>
      </w:tblGrid>
      <w:tr>
        <w:trPr>
          <w:trHeight w:val="294" w:hRule="exact"/>
        </w:trPr>
        <w:tc>
          <w:tcPr>
            <w:tcW w:w="25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应收账款（按单位）</w:t>
            </w:r>
            <w:r>
              <w:rPr>
                <w:rFonts w:ascii="宋体" w:hAnsi="宋体" w:cs="宋体" w:eastAsia="宋体" w:hint="default"/>
                <w:sz w:val="18"/>
                <w:szCs w:val="18"/>
              </w:rPr>
            </w:r>
          </w:p>
        </w:tc>
        <w:tc>
          <w:tcPr>
            <w:tcW w:w="73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9" w:hRule="exact"/>
        </w:trPr>
        <w:tc>
          <w:tcPr>
            <w:tcW w:w="255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92"/>
              <w:jc w:val="right"/>
              <w:rPr>
                <w:rFonts w:ascii="宋体" w:hAnsi="宋体" w:cs="宋体" w:eastAsia="宋体" w:hint="default"/>
                <w:sz w:val="18"/>
                <w:szCs w:val="18"/>
              </w:rPr>
            </w:pPr>
            <w:r>
              <w:rPr>
                <w:rFonts w:ascii="宋体" w:hAnsi="宋体" w:cs="宋体" w:eastAsia="宋体" w:hint="default"/>
                <w:b/>
                <w:bCs/>
                <w:w w:val="95"/>
                <w:sz w:val="18"/>
                <w:szCs w:val="18"/>
              </w:rPr>
              <w:t>计提理由</w:t>
            </w:r>
            <w:r>
              <w:rPr>
                <w:rFonts w:ascii="宋体" w:hAnsi="宋体" w:cs="宋体" w:eastAsia="宋体" w:hint="default"/>
                <w:sz w:val="18"/>
                <w:szCs w:val="18"/>
              </w:rPr>
            </w:r>
          </w:p>
        </w:tc>
      </w:tr>
      <w:tr>
        <w:trPr>
          <w:trHeight w:val="7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5"/>
              <w:jc w:val="left"/>
              <w:rPr>
                <w:rFonts w:ascii="宋体" w:hAnsi="宋体" w:cs="宋体" w:eastAsia="宋体" w:hint="default"/>
                <w:sz w:val="18"/>
                <w:szCs w:val="18"/>
              </w:rPr>
            </w:pPr>
            <w:r>
              <w:rPr>
                <w:rFonts w:ascii="宋体" w:hAnsi="宋体" w:cs="宋体" w:eastAsia="宋体" w:hint="default"/>
                <w:spacing w:val="14"/>
                <w:sz w:val="18"/>
                <w:szCs w:val="18"/>
              </w:rPr>
              <w:t>合肥德胜房地产经纪有限公</w:t>
            </w:r>
            <w:r>
              <w:rPr>
                <w:rFonts w:ascii="宋体" w:hAnsi="宋体" w:cs="宋体" w:eastAsia="宋体" w:hint="default"/>
                <w:sz w:val="18"/>
                <w:szCs w:val="18"/>
              </w:rPr>
              <w:t> 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17,058,097.40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17,058,097.40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因对方两次违约，故在扣除报表日期</w:t>
            </w:r>
          </w:p>
          <w:p>
            <w:pPr>
              <w:pStyle w:val="TableParagraph"/>
              <w:spacing w:line="240" w:lineRule="auto"/>
              <w:ind w:left="103" w:right="105"/>
              <w:jc w:val="left"/>
              <w:rPr>
                <w:rFonts w:ascii="宋体" w:hAnsi="宋体" w:cs="宋体" w:eastAsia="宋体" w:hint="default"/>
                <w:sz w:val="18"/>
                <w:szCs w:val="18"/>
              </w:rPr>
            </w:pPr>
            <w:r>
              <w:rPr>
                <w:rFonts w:ascii="宋体" w:hAnsi="宋体" w:cs="宋体" w:eastAsia="宋体" w:hint="default"/>
                <w:sz w:val="18"/>
                <w:szCs w:val="18"/>
              </w:rPr>
              <w:t>后收到的款项后基于谨慎性原则全额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计提</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14,129,159.40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706,457.97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大唐云动力科技股份有限公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47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秦皇岛市金原房地产开发有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限公司应收</w:t>
            </w:r>
            <w:r>
              <w:rPr>
                <w:rFonts w:ascii="宋体" w:hAnsi="宋体" w:cs="宋体" w:eastAsia="宋体" w:hint="default"/>
                <w:spacing w:val="-47"/>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号楼业主余款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9,644,295.42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9,644,295.42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个别认定收回存在重大不确定性，董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年确定全额计提</w:t>
            </w: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中国农业银行股份有限公司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滁州南谯支行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5,194,935.00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259,746.75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47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北京时空立方数字科技有限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4,712,000.00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235,600.00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4,639,017.08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231,950.85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32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4,612,938.69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682,253.77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47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中国移动通信集团广东有限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4,278,991.40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213,949.57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程道良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3,872,284.00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580,842.60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5"/>
              <w:jc w:val="right"/>
              <w:rPr>
                <w:rFonts w:ascii="宋体" w:hAnsi="宋体" w:cs="宋体" w:eastAsia="宋体" w:hint="default"/>
                <w:sz w:val="18"/>
                <w:szCs w:val="18"/>
              </w:rPr>
            </w:pPr>
            <w:r>
              <w:rPr>
                <w:rFonts w:ascii="宋体" w:hAnsi="宋体" w:cs="宋体" w:eastAsia="宋体" w:hint="default"/>
                <w:sz w:val="18"/>
                <w:szCs w:val="18"/>
              </w:rPr>
              <w:t>正常应收，按账龄计提</w:t>
            </w:r>
          </w:p>
        </w:tc>
      </w:tr>
      <w:tr>
        <w:trPr>
          <w:trHeight w:val="37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b/>
                <w:w w:val="95"/>
                <w:sz w:val="18"/>
              </w:rPr>
              <w:t>78,241,718.39</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b/>
                <w:w w:val="95"/>
                <w:sz w:val="18"/>
              </w:rPr>
              <w:t>30,118,194.33</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组合中，按账龄分析法计提坏账准备的应收账款：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86"/>
        <w:gridCol w:w="2420"/>
        <w:gridCol w:w="2410"/>
        <w:gridCol w:w="2410"/>
      </w:tblGrid>
      <w:tr>
        <w:trPr>
          <w:trHeight w:val="322" w:hRule="exact"/>
        </w:trPr>
        <w:tc>
          <w:tcPr>
            <w:tcW w:w="26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2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3" w:hRule="exact"/>
        </w:trPr>
        <w:tc>
          <w:tcPr>
            <w:tcW w:w="2686" w:type="dxa"/>
            <w:vMerge/>
            <w:tcBorders>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0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62,906,724.29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3,145,336.22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5,804,075.22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580,407.52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w:t>
            </w:r>
          </w:p>
        </w:tc>
      </w:tr>
      <w:tr>
        <w:trPr>
          <w:trHeight w:val="323"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3,165,680.28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474,852.04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w:t>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54,061.30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10,812.26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w:t>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w:t>
            </w:r>
          </w:p>
        </w:tc>
      </w:tr>
      <w:tr>
        <w:trPr>
          <w:trHeight w:val="323"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286,116.91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57,223.38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w:t>
            </w:r>
          </w:p>
        </w:tc>
      </w:tr>
      <w:tr>
        <w:trPr>
          <w:trHeight w:val="32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72,236,658.00</w:t>
            </w:r>
            <w:r>
              <w:rPr>
                <w:rFonts w:ascii="宋体"/>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4,272,631.42</w:t>
            </w:r>
            <w:r>
              <w:rPr>
                <w:rFonts w:ascii="宋体"/>
                <w:sz w:val="18"/>
              </w:rPr>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8"/>
          <w:szCs w:val="8"/>
        </w:rPr>
      </w:pPr>
    </w:p>
    <w:p>
      <w:pPr>
        <w:pStyle w:val="BodyText"/>
        <w:spacing w:line="240" w:lineRule="auto" w:before="35"/>
        <w:ind w:left="824" w:right="418"/>
        <w:jc w:val="left"/>
      </w:pPr>
      <w:r>
        <w:rPr/>
        <w:t>期末单项金额虽不重大但单独进行减值测试的应收账款坏账准备计提：</w:t>
      </w:r>
    </w:p>
    <w:p>
      <w:pPr>
        <w:spacing w:line="240" w:lineRule="auto" w:before="0"/>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661"/>
        <w:gridCol w:w="1418"/>
        <w:gridCol w:w="1418"/>
        <w:gridCol w:w="1132"/>
        <w:gridCol w:w="3322"/>
      </w:tblGrid>
      <w:tr>
        <w:trPr>
          <w:trHeight w:val="32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理由</w:t>
            </w:r>
            <w:r>
              <w:rPr>
                <w:rFonts w:ascii="宋体" w:hAnsi="宋体" w:cs="宋体" w:eastAsia="宋体" w:hint="default"/>
                <w:sz w:val="18"/>
                <w:szCs w:val="18"/>
              </w:rPr>
            </w:r>
          </w:p>
        </w:tc>
      </w:tr>
      <w:tr>
        <w:trPr>
          <w:trHeight w:val="478"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周小平</w:t>
            </w:r>
            <w:r>
              <w:rPr>
                <w:rFonts w:ascii="宋体" w:hAnsi="宋体" w:cs="宋体" w:eastAsia="宋体" w:hint="default"/>
                <w:spacing w:val="-76"/>
                <w:sz w:val="18"/>
                <w:szCs w:val="18"/>
              </w:rPr>
              <w:t>、</w:t>
            </w:r>
            <w:r>
              <w:rPr>
                <w:rFonts w:ascii="宋体" w:hAnsi="宋体" w:cs="宋体" w:eastAsia="宋体" w:hint="default"/>
                <w:sz w:val="18"/>
                <w:szCs w:val="18"/>
              </w:rPr>
              <w:t>曹静等芜湖新长江市场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一期售房尾款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4" w:right="0"/>
              <w:jc w:val="left"/>
              <w:rPr>
                <w:rFonts w:ascii="宋体" w:hAnsi="宋体" w:cs="宋体" w:eastAsia="宋体" w:hint="default"/>
                <w:sz w:val="18"/>
                <w:szCs w:val="18"/>
              </w:rPr>
            </w:pPr>
            <w:r>
              <w:rPr>
                <w:rFonts w:ascii="宋体"/>
                <w:sz w:val="18"/>
              </w:rPr>
              <w:t>455,605.47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5" w:right="0"/>
              <w:jc w:val="left"/>
              <w:rPr>
                <w:rFonts w:ascii="宋体" w:hAnsi="宋体" w:cs="宋体" w:eastAsia="宋体" w:hint="default"/>
                <w:sz w:val="18"/>
                <w:szCs w:val="18"/>
              </w:rPr>
            </w:pPr>
            <w:r>
              <w:rPr>
                <w:rFonts w:ascii="宋体"/>
                <w:sz w:val="18"/>
              </w:rPr>
              <w:t>455,605.47</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58" w:right="0"/>
              <w:jc w:val="left"/>
              <w:rPr>
                <w:rFonts w:ascii="宋体" w:hAnsi="宋体" w:cs="宋体" w:eastAsia="宋体" w:hint="default"/>
                <w:sz w:val="18"/>
                <w:szCs w:val="18"/>
              </w:rPr>
            </w:pPr>
            <w:r>
              <w:rPr>
                <w:rFonts w:ascii="宋体"/>
                <w:sz w:val="18"/>
              </w:rPr>
              <w:t>100%</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个别认定收回存在重大不确定性，子公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司董事会</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年确定全额计提</w:t>
            </w:r>
          </w:p>
        </w:tc>
      </w:tr>
    </w:tbl>
    <w:p>
      <w:pPr>
        <w:spacing w:after="0" w:line="235" w:lineRule="exact"/>
        <w:jc w:val="left"/>
        <w:rPr>
          <w:rFonts w:ascii="宋体" w:hAnsi="宋体" w:cs="宋体" w:eastAsia="宋体" w:hint="default"/>
          <w:sz w:val="18"/>
          <w:szCs w:val="18"/>
        </w:rPr>
        <w:sectPr>
          <w:footerReference w:type="default" r:id="rId48"/>
          <w:pgSz w:w="11910" w:h="16840"/>
          <w:pgMar w:footer="1219" w:header="883" w:top="1140" w:bottom="1400" w:left="900" w:right="0"/>
          <w:pgNumType w:start="81"/>
        </w:sectPr>
      </w:pPr>
    </w:p>
    <w:p>
      <w:pPr>
        <w:spacing w:line="240" w:lineRule="auto" w:before="7"/>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661"/>
        <w:gridCol w:w="1418"/>
        <w:gridCol w:w="1418"/>
        <w:gridCol w:w="1132"/>
        <w:gridCol w:w="3322"/>
      </w:tblGrid>
      <w:tr>
        <w:trPr>
          <w:trHeight w:val="426"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63"/>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4" w:right="0"/>
              <w:jc w:val="left"/>
              <w:rPr>
                <w:rFonts w:ascii="宋体" w:hAnsi="宋体" w:cs="宋体" w:eastAsia="宋体" w:hint="default"/>
                <w:sz w:val="18"/>
                <w:szCs w:val="18"/>
              </w:rPr>
            </w:pPr>
            <w:r>
              <w:rPr>
                <w:rFonts w:ascii="宋体"/>
                <w:sz w:val="18"/>
              </w:rPr>
              <w:t>455,605.47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5" w:right="0"/>
              <w:jc w:val="left"/>
              <w:rPr>
                <w:rFonts w:ascii="宋体" w:hAnsi="宋体" w:cs="宋体" w:eastAsia="宋体" w:hint="default"/>
                <w:sz w:val="18"/>
                <w:szCs w:val="18"/>
              </w:rPr>
            </w:pPr>
            <w:r>
              <w:rPr>
                <w:rFonts w:ascii="宋体"/>
                <w:sz w:val="18"/>
              </w:rPr>
              <w:t>455,605.47</w:t>
            </w:r>
          </w:p>
        </w:tc>
        <w:tc>
          <w:tcPr>
            <w:tcW w:w="1132"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w:t>
      </w:r>
      <w:r>
        <w:rPr>
          <w:rFonts w:ascii="宋体" w:hAnsi="宋体" w:cs="宋体" w:eastAsia="宋体" w:hint="default"/>
        </w:rPr>
        <w:t>2</w:t>
      </w:r>
      <w:r>
        <w:rPr/>
        <w:t>）本报告期实际核销的应收账款情况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72"/>
        <w:gridCol w:w="1417"/>
        <w:gridCol w:w="1418"/>
        <w:gridCol w:w="1133"/>
        <w:gridCol w:w="3686"/>
      </w:tblGrid>
      <w:tr>
        <w:trPr>
          <w:trHeight w:val="479"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89"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1"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理由</w:t>
            </w:r>
            <w:r>
              <w:rPr>
                <w:rFonts w:ascii="宋体" w:hAnsi="宋体" w:cs="宋体" w:eastAsia="宋体" w:hint="default"/>
                <w:sz w:val="18"/>
                <w:szCs w:val="18"/>
              </w:rPr>
            </w:r>
          </w:p>
        </w:tc>
      </w:tr>
      <w:tr>
        <w:trPr>
          <w:trHeight w:val="584"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原天华酒店账款未收回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3" w:right="0"/>
              <w:jc w:val="left"/>
              <w:rPr>
                <w:rFonts w:ascii="宋体" w:hAnsi="宋体" w:cs="宋体" w:eastAsia="宋体" w:hint="default"/>
                <w:sz w:val="18"/>
                <w:szCs w:val="18"/>
              </w:rPr>
            </w:pPr>
            <w:r>
              <w:rPr>
                <w:rFonts w:ascii="宋体"/>
                <w:sz w:val="18"/>
              </w:rPr>
              <w:t>124,480.10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3" w:right="0"/>
              <w:jc w:val="left"/>
              <w:rPr>
                <w:rFonts w:ascii="宋体" w:hAnsi="宋体" w:cs="宋体" w:eastAsia="宋体" w:hint="default"/>
                <w:sz w:val="18"/>
                <w:szCs w:val="18"/>
              </w:rPr>
            </w:pPr>
            <w:r>
              <w:rPr>
                <w:rFonts w:ascii="宋体"/>
                <w:sz w:val="18"/>
              </w:rPr>
              <w:t>124,480.10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58" w:right="0"/>
              <w:jc w:val="left"/>
              <w:rPr>
                <w:rFonts w:ascii="宋体" w:hAnsi="宋体" w:cs="宋体" w:eastAsia="宋体" w:hint="default"/>
                <w:sz w:val="18"/>
                <w:szCs w:val="18"/>
              </w:rPr>
            </w:pPr>
            <w:r>
              <w:rPr>
                <w:rFonts w:ascii="宋体"/>
                <w:sz w:val="18"/>
              </w:rPr>
              <w:t>100%</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153"/>
              <w:jc w:val="left"/>
              <w:rPr>
                <w:rFonts w:ascii="宋体" w:hAnsi="宋体" w:cs="宋体" w:eastAsia="宋体" w:hint="default"/>
                <w:sz w:val="18"/>
                <w:szCs w:val="18"/>
              </w:rPr>
            </w:pPr>
            <w:r>
              <w:rPr>
                <w:rFonts w:ascii="宋体" w:hAnsi="宋体" w:cs="宋体" w:eastAsia="宋体" w:hint="default"/>
                <w:sz w:val="18"/>
                <w:szCs w:val="18"/>
              </w:rPr>
              <w:t>原天华酒店应收耀华集团、秦皇岛煤气公司 等账款无法收回，故核销</w:t>
            </w: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w:t>
      </w:r>
      <w:r>
        <w:rPr>
          <w:rFonts w:ascii="宋体" w:hAnsi="宋体" w:cs="宋体" w:eastAsia="宋体" w:hint="default"/>
        </w:rPr>
        <w:t>3</w:t>
      </w:r>
      <w:r>
        <w:rPr/>
        <w:t>）本期末应收账款中持本公司</w:t>
      </w:r>
      <w:r>
        <w:rPr>
          <w:spacing w:val="-56"/>
        </w:rPr>
        <w:t> </w:t>
      </w:r>
      <w:r>
        <w:rPr>
          <w:rFonts w:ascii="宋体" w:hAnsi="宋体" w:cs="宋体" w:eastAsia="宋体" w:hint="default"/>
        </w:rPr>
        <w:t>5%</w:t>
      </w:r>
      <w:r>
        <w:rPr/>
        <w:t>（含）以上股份股东单位款项：无</w:t>
      </w:r>
    </w:p>
    <w:p>
      <w:pPr>
        <w:pStyle w:val="BodyText"/>
        <w:spacing w:line="240" w:lineRule="auto" w:before="99"/>
        <w:ind w:left="824" w:right="418"/>
        <w:jc w:val="left"/>
      </w:pPr>
      <w:r>
        <w:rPr/>
        <w:t>（</w:t>
      </w:r>
      <w:r>
        <w:rPr>
          <w:rFonts w:ascii="宋体" w:hAnsi="宋体" w:cs="宋体" w:eastAsia="宋体" w:hint="default"/>
        </w:rPr>
        <w:t>4</w:t>
      </w:r>
      <w:r>
        <w:rPr/>
        <w:t>）按欠款方归集的期末余额前五名的应收账款情况：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822"/>
        <w:gridCol w:w="1844"/>
        <w:gridCol w:w="1556"/>
        <w:gridCol w:w="1703"/>
      </w:tblGrid>
      <w:tr>
        <w:trPr>
          <w:trHeight w:val="492"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
              <w:ind w:left="101" w:right="89"/>
              <w:jc w:val="left"/>
              <w:rPr>
                <w:rFonts w:ascii="宋体" w:hAnsi="宋体" w:cs="宋体" w:eastAsia="宋体" w:hint="default"/>
                <w:sz w:val="18"/>
                <w:szCs w:val="18"/>
              </w:rPr>
            </w:pPr>
            <w:r>
              <w:rPr>
                <w:rFonts w:ascii="宋体" w:hAnsi="宋体" w:cs="宋体" w:eastAsia="宋体" w:hint="default"/>
                <w:b/>
                <w:bCs/>
                <w:spacing w:val="13"/>
                <w:sz w:val="18"/>
                <w:szCs w:val="18"/>
              </w:rPr>
              <w:t>占应收账款总额</w:t>
            </w:r>
            <w:r>
              <w:rPr>
                <w:rFonts w:ascii="宋体" w:hAnsi="宋体" w:cs="宋体" w:eastAsia="宋体" w:hint="default"/>
                <w:b/>
                <w:bCs/>
                <w:spacing w:val="13"/>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sz w:val="18"/>
                <w:szCs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7"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17,058,097.40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11.30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17,058,097.40</w:t>
            </w:r>
          </w:p>
        </w:tc>
      </w:tr>
      <w:tr>
        <w:trPr>
          <w:trHeight w:val="397"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14,129,159.40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9.36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706,457.97</w:t>
            </w:r>
          </w:p>
        </w:tc>
      </w:tr>
      <w:tr>
        <w:trPr>
          <w:trHeight w:val="397"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大唐云动力科技股份有限公司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10,100,000.00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6.69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505,000.00</w:t>
            </w:r>
          </w:p>
        </w:tc>
      </w:tr>
      <w:tr>
        <w:trPr>
          <w:trHeight w:val="397"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秦皇岛市金原房地产开发有限公司应收</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号楼业主余款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9,644,295.42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6.39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9,644,295.42</w:t>
            </w:r>
          </w:p>
        </w:tc>
      </w:tr>
      <w:tr>
        <w:trPr>
          <w:trHeight w:val="396"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中国农业银行股份有限公司滁州南谯支行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5,194,935.00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3.44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259,746.75</w:t>
            </w:r>
          </w:p>
        </w:tc>
      </w:tr>
      <w:tr>
        <w:trPr>
          <w:trHeight w:val="398" w:hRule="exact"/>
        </w:trPr>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56,126,487.22</w:t>
            </w:r>
            <w:r>
              <w:rPr>
                <w:rFonts w:ascii="宋体"/>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37.18</w:t>
            </w:r>
            <w:r>
              <w:rPr>
                <w:rFonts w:ascii="宋体"/>
                <w:sz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28,173,597.54</w:t>
            </w:r>
            <w:r>
              <w:rPr>
                <w:rFonts w:ascii="宋体"/>
                <w:sz w:val="18"/>
              </w:rPr>
            </w:r>
          </w:p>
        </w:tc>
      </w:tr>
    </w:tbl>
    <w:p>
      <w:pPr>
        <w:spacing w:line="240" w:lineRule="auto" w:before="1"/>
        <w:rPr>
          <w:rFonts w:ascii="宋体" w:hAnsi="宋体" w:cs="宋体" w:eastAsia="宋体" w:hint="default"/>
          <w:sz w:val="8"/>
          <w:szCs w:val="8"/>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4</w:t>
      </w:r>
      <w:r>
        <w:rPr/>
        <w:t>．预付账款</w:t>
      </w:r>
      <w:r>
        <w:rPr>
          <w:b w:val="0"/>
          <w:bCs w:val="0"/>
        </w:rPr>
      </w:r>
    </w:p>
    <w:p>
      <w:pPr>
        <w:pStyle w:val="BodyText"/>
        <w:spacing w:line="240" w:lineRule="auto" w:before="37"/>
        <w:ind w:left="824" w:right="5945"/>
        <w:jc w:val="left"/>
      </w:pPr>
      <w:r>
        <w:rPr/>
        <w:t>（</w:t>
      </w:r>
      <w:r>
        <w:rPr>
          <w:rFonts w:ascii="宋体" w:hAnsi="宋体" w:cs="宋体" w:eastAsia="宋体" w:hint="default"/>
        </w:rPr>
        <w:t>1</w:t>
      </w:r>
      <w:r>
        <w:rPr/>
        <w:t>）账龄分析</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278"/>
        <w:gridCol w:w="2009"/>
        <w:gridCol w:w="1804"/>
        <w:gridCol w:w="1805"/>
        <w:gridCol w:w="2029"/>
      </w:tblGrid>
      <w:tr>
        <w:trPr>
          <w:trHeight w:val="430" w:hRule="exact"/>
        </w:trPr>
        <w:tc>
          <w:tcPr>
            <w:tcW w:w="22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3" w:hRule="exact"/>
        </w:trPr>
        <w:tc>
          <w:tcPr>
            <w:tcW w:w="2278"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27"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比</w:t>
            </w:r>
            <w:r>
              <w:rPr>
                <w:rFonts w:ascii="宋体" w:hAnsi="宋体" w:cs="宋体" w:eastAsia="宋体" w:hint="default"/>
                <w:b/>
                <w:bCs/>
                <w:spacing w:val="90"/>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2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比</w:t>
            </w:r>
            <w:r>
              <w:rPr>
                <w:rFonts w:ascii="宋体" w:hAnsi="宋体" w:cs="宋体" w:eastAsia="宋体" w:hint="default"/>
                <w:b/>
                <w:bCs/>
                <w:spacing w:val="90"/>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24" w:right="0"/>
              <w:jc w:val="left"/>
              <w:rPr>
                <w:rFonts w:ascii="宋体" w:hAnsi="宋体" w:cs="宋体" w:eastAsia="宋体" w:hint="default"/>
                <w:sz w:val="18"/>
                <w:szCs w:val="18"/>
              </w:rPr>
            </w:pPr>
            <w:r>
              <w:rPr>
                <w:rFonts w:ascii="宋体"/>
                <w:sz w:val="18"/>
              </w:rPr>
              <w:t>17,491,670.82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10" w:right="0"/>
              <w:jc w:val="left"/>
              <w:rPr>
                <w:rFonts w:ascii="宋体" w:hAnsi="宋体" w:cs="宋体" w:eastAsia="宋体" w:hint="default"/>
                <w:sz w:val="18"/>
                <w:szCs w:val="18"/>
              </w:rPr>
            </w:pPr>
            <w:r>
              <w:rPr>
                <w:rFonts w:ascii="宋体"/>
                <w:sz w:val="18"/>
              </w:rPr>
              <w:t>4,587,659.51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00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5" w:right="0"/>
              <w:jc w:val="left"/>
              <w:rPr>
                <w:rFonts w:ascii="宋体" w:hAnsi="宋体" w:cs="宋体" w:eastAsia="宋体" w:hint="default"/>
                <w:sz w:val="18"/>
                <w:szCs w:val="18"/>
              </w:rPr>
            </w:pPr>
            <w:r>
              <w:rPr>
                <w:rFonts w:ascii="宋体"/>
                <w:b/>
                <w:sz w:val="18"/>
              </w:rPr>
              <w:t>17,491,670.82</w:t>
            </w:r>
            <w:r>
              <w:rPr>
                <w:rFonts w:ascii="宋体"/>
                <w:sz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2" w:right="0"/>
              <w:jc w:val="left"/>
              <w:rPr>
                <w:rFonts w:ascii="宋体" w:hAnsi="宋体" w:cs="宋体" w:eastAsia="宋体" w:hint="default"/>
                <w:sz w:val="18"/>
                <w:szCs w:val="18"/>
              </w:rPr>
            </w:pPr>
            <w:r>
              <w:rPr>
                <w:rFonts w:ascii="宋体"/>
                <w:b/>
                <w:sz w:val="18"/>
              </w:rPr>
              <w:t>4,587,659.51</w:t>
            </w:r>
            <w:r>
              <w:rPr>
                <w:rFonts w:ascii="宋体"/>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line="240" w:lineRule="auto" w:before="1"/>
        <w:rPr>
          <w:rFonts w:ascii="宋体" w:hAnsi="宋体" w:cs="宋体" w:eastAsia="宋体" w:hint="default"/>
          <w:sz w:val="8"/>
          <w:szCs w:val="8"/>
        </w:rPr>
      </w:pPr>
    </w:p>
    <w:p>
      <w:pPr>
        <w:spacing w:line="326" w:lineRule="auto" w:before="35"/>
        <w:ind w:left="824" w:right="7537" w:firstLine="2"/>
        <w:jc w:val="left"/>
        <w:rPr>
          <w:rFonts w:ascii="宋体" w:hAnsi="宋体" w:cs="宋体" w:eastAsia="宋体" w:hint="default"/>
          <w:sz w:val="21"/>
          <w:szCs w:val="21"/>
        </w:rPr>
      </w:pPr>
      <w:r>
        <w:rPr/>
        <w:pict>
          <v:shape style="position:absolute;margin-left:50.759998pt;margin-top:36.813663pt;width:497pt;height:182.1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560"/>
                    <w:gridCol w:w="1276"/>
                    <w:gridCol w:w="1559"/>
                    <w:gridCol w:w="1134"/>
                    <w:gridCol w:w="1560"/>
                  </w:tblGrid>
                  <w:tr>
                    <w:trPr>
                      <w:trHeight w:val="397"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0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7" w:hRule="exact"/>
                    </w:trPr>
                    <w:tc>
                      <w:tcPr>
                        <w:tcW w:w="2836" w:type="dxa"/>
                        <w:vMerge/>
                        <w:tcBorders>
                          <w:left w:val="single" w:sz="4" w:space="0" w:color="000000"/>
                          <w:right w:val="single" w:sz="4" w:space="0" w:color="000000"/>
                        </w:tcBorders>
                      </w:tcPr>
                      <w:p>
                        <w:pP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7" w:hRule="exact"/>
                    </w:trPr>
                    <w:tc>
                      <w:tcPr>
                        <w:tcW w:w="283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60" w:type="dxa"/>
                        <w:vMerge/>
                        <w:tcBorders>
                          <w:left w:val="single" w:sz="4" w:space="0" w:color="000000"/>
                          <w:bottom w:val="single" w:sz="4" w:space="0" w:color="000000"/>
                          <w:right w:val="single" w:sz="4" w:space="0" w:color="000000"/>
                        </w:tcBorders>
                      </w:tcPr>
                      <w:p>
                        <w:pPr/>
                      </w:p>
                    </w:tc>
                  </w:tr>
                  <w:tr>
                    <w:trPr>
                      <w:trHeight w:val="60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4"/>
                          <w:jc w:val="left"/>
                          <w:rPr>
                            <w:rFonts w:ascii="宋体" w:hAnsi="宋体" w:cs="宋体" w:eastAsia="宋体" w:hint="default"/>
                            <w:sz w:val="18"/>
                            <w:szCs w:val="18"/>
                          </w:rPr>
                        </w:pPr>
                        <w:r>
                          <w:rPr>
                            <w:rFonts w:ascii="宋体" w:hAnsi="宋体" w:cs="宋体" w:eastAsia="宋体" w:hint="default"/>
                            <w:spacing w:val="6"/>
                            <w:sz w:val="18"/>
                            <w:szCs w:val="18"/>
                          </w:rPr>
                          <w:t>单项金额重大并单独计提坏账准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4,003,982.14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54.23%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713,961.08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3,290,021.06</w:t>
                        </w:r>
                      </w:p>
                    </w:tc>
                  </w:tr>
                  <w:tr>
                    <w:trPr>
                      <w:trHeight w:val="57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104"/>
                          <w:jc w:val="left"/>
                          <w:rPr>
                            <w:rFonts w:ascii="宋体" w:hAnsi="宋体" w:cs="宋体" w:eastAsia="宋体" w:hint="default"/>
                            <w:sz w:val="18"/>
                            <w:szCs w:val="18"/>
                          </w:rPr>
                        </w:pPr>
                        <w:r>
                          <w:rPr>
                            <w:rFonts w:ascii="宋体" w:hAnsi="宋体" w:cs="宋体" w:eastAsia="宋体" w:hint="default"/>
                            <w:spacing w:val="6"/>
                            <w:sz w:val="18"/>
                            <w:szCs w:val="18"/>
                          </w:rPr>
                          <w:t>按信用风险特征组合计提坏账准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3,298,865.41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44.67%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300,291.47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5-%20%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2,998,573.94</w:t>
                        </w:r>
                      </w:p>
                    </w:tc>
                  </w:tr>
                  <w:tr>
                    <w:trPr>
                      <w:trHeight w:val="70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4"/>
                          <w:jc w:val="left"/>
                          <w:rPr>
                            <w:rFonts w:ascii="宋体" w:hAnsi="宋体" w:cs="宋体" w:eastAsia="宋体" w:hint="default"/>
                            <w:sz w:val="18"/>
                            <w:szCs w:val="18"/>
                          </w:rPr>
                        </w:pPr>
                        <w:r>
                          <w:rPr>
                            <w:rFonts w:ascii="宋体" w:hAnsi="宋体" w:cs="宋体" w:eastAsia="宋体" w:hint="default"/>
                            <w:spacing w:val="6"/>
                            <w:sz w:val="18"/>
                            <w:szCs w:val="18"/>
                          </w:rPr>
                          <w:t>单项金额不重大但单独计提坏账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80,900.64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80,900.64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b/>
                            <w:w w:val="95"/>
                            <w:sz w:val="18"/>
                          </w:rPr>
                          <w:t>7,383,748.19</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b/>
                            <w:w w:val="95"/>
                            <w:sz w:val="18"/>
                          </w:rPr>
                          <w:t>1,095,153.19</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b/>
                            <w:w w:val="95"/>
                            <w:sz w:val="18"/>
                          </w:rPr>
                          <w:t>6,288,595.00</w:t>
                        </w:r>
                        <w:r>
                          <w:rPr>
                            <w:rFonts w:ascii="宋体"/>
                            <w:sz w:val="18"/>
                          </w:rPr>
                        </w:r>
                      </w:p>
                    </w:tc>
                  </w:tr>
                </w:tbl>
                <w:p>
                  <w:pPr/>
                </w:p>
              </w:txbxContent>
            </v:textbox>
            <w10:wrap type="none"/>
          </v:shape>
        </w:pict>
      </w:r>
      <w:r>
        <w:rPr>
          <w:rFonts w:ascii="宋体" w:hAnsi="宋体" w:cs="宋体" w:eastAsia="宋体" w:hint="default"/>
          <w:b/>
          <w:bCs/>
          <w:sz w:val="21"/>
          <w:szCs w:val="21"/>
        </w:rPr>
        <w:t>注释</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其他应收款按种类披露：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824" w:right="5945"/>
        <w:jc w:val="left"/>
      </w:pPr>
      <w:r>
        <w:rPr/>
        <w:t>续上表：</w:t>
      </w:r>
    </w:p>
    <w:p>
      <w:pPr>
        <w:spacing w:after="0" w:line="240" w:lineRule="auto"/>
        <w:jc w:val="left"/>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838"/>
        <w:gridCol w:w="1558"/>
        <w:gridCol w:w="1276"/>
        <w:gridCol w:w="1559"/>
        <w:gridCol w:w="1134"/>
        <w:gridCol w:w="1560"/>
      </w:tblGrid>
      <w:tr>
        <w:trPr>
          <w:trHeight w:val="336" w:hRule="exact"/>
        </w:trPr>
        <w:tc>
          <w:tcPr>
            <w:tcW w:w="28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0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0" w:hRule="exact"/>
        </w:trPr>
        <w:tc>
          <w:tcPr>
            <w:tcW w:w="2838" w:type="dxa"/>
            <w:vMerge/>
            <w:tcBorders>
              <w:left w:val="single" w:sz="4" w:space="0" w:color="000000"/>
              <w:right w:val="single" w:sz="4" w:space="0" w:color="000000"/>
            </w:tcBorders>
          </w:tcPr>
          <w:p>
            <w:pP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51"/>
              <w:ind w:left="4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3" w:hRule="exact"/>
        </w:trPr>
        <w:tc>
          <w:tcPr>
            <w:tcW w:w="283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60" w:type="dxa"/>
            <w:vMerge/>
            <w:tcBorders>
              <w:left w:val="single" w:sz="4" w:space="0" w:color="000000"/>
              <w:bottom w:val="single" w:sz="4" w:space="0" w:color="000000"/>
              <w:right w:val="single" w:sz="4" w:space="0" w:color="000000"/>
            </w:tcBorders>
          </w:tcPr>
          <w:p>
            <w:pPr/>
          </w:p>
        </w:tc>
      </w:tr>
      <w:tr>
        <w:trPr>
          <w:trHeight w:val="5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03"/>
              <w:jc w:val="left"/>
              <w:rPr>
                <w:rFonts w:ascii="宋体" w:hAnsi="宋体" w:cs="宋体" w:eastAsia="宋体" w:hint="default"/>
                <w:sz w:val="18"/>
                <w:szCs w:val="18"/>
              </w:rPr>
            </w:pPr>
            <w:r>
              <w:rPr>
                <w:rFonts w:ascii="宋体" w:hAnsi="宋体" w:cs="宋体" w:eastAsia="宋体" w:hint="default"/>
                <w:spacing w:val="7"/>
                <w:sz w:val="18"/>
                <w:szCs w:val="18"/>
              </w:rPr>
              <w:t>单项金额重大并单独计提坏账准</w:t>
            </w:r>
            <w:r>
              <w:rPr>
                <w:rFonts w:ascii="宋体" w:hAnsi="宋体" w:cs="宋体" w:eastAsia="宋体" w:hint="default"/>
                <w:sz w:val="18"/>
                <w:szCs w:val="18"/>
              </w:rPr>
              <w:t> 备的其他应收款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7,214,345.60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80.43%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5,684,088.91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1,530,256.69</w:t>
            </w:r>
          </w:p>
        </w:tc>
      </w:tr>
      <w:tr>
        <w:trPr>
          <w:trHeight w:val="48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按信用风险特征组合计提坏账准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1,754,909.19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19.57%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185,298.24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1,569,610.95</w:t>
            </w:r>
          </w:p>
        </w:tc>
      </w:tr>
      <w:tr>
        <w:trPr>
          <w:trHeight w:val="5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104"/>
              <w:jc w:val="left"/>
              <w:rPr>
                <w:rFonts w:ascii="宋体" w:hAnsi="宋体" w:cs="宋体" w:eastAsia="宋体" w:hint="default"/>
                <w:sz w:val="18"/>
                <w:szCs w:val="18"/>
              </w:rPr>
            </w:pPr>
            <w:r>
              <w:rPr>
                <w:rFonts w:ascii="宋体" w:hAnsi="宋体" w:cs="宋体" w:eastAsia="宋体" w:hint="default"/>
                <w:spacing w:val="6"/>
                <w:sz w:val="18"/>
                <w:szCs w:val="18"/>
              </w:rPr>
              <w:t>单项金额不重大但单独计提坏账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准备的其他应收款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8"/>
                <w:szCs w:val="18"/>
              </w:rPr>
            </w:pPr>
            <w:r>
              <w:rPr>
                <w:rFonts w:ascii="宋体"/>
                <w:b/>
                <w:w w:val="95"/>
                <w:sz w:val="18"/>
              </w:rPr>
              <w:t>8,969,254.79</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8"/>
                <w:szCs w:val="18"/>
              </w:rPr>
            </w:pPr>
            <w:r>
              <w:rPr>
                <w:rFonts w:ascii="宋体"/>
                <w:b/>
                <w:w w:val="95"/>
                <w:sz w:val="18"/>
              </w:rPr>
              <w:t>5,869,387.15</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b/>
                <w:w w:val="95"/>
                <w:sz w:val="18"/>
              </w:rPr>
              <w:t>5%-100%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18"/>
                <w:szCs w:val="18"/>
              </w:rPr>
            </w:pPr>
            <w:r>
              <w:rPr>
                <w:rFonts w:ascii="宋体"/>
                <w:b/>
                <w:w w:val="95"/>
                <w:sz w:val="18"/>
              </w:rPr>
              <w:t>3,099,867.64</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1244" w:right="418"/>
        <w:jc w:val="left"/>
      </w:pPr>
      <w:r>
        <w:rPr/>
        <w:t>期末单项金额重大并单项计提坏账准备的其他应收款：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084"/>
        <w:gridCol w:w="1584"/>
        <w:gridCol w:w="1278"/>
        <w:gridCol w:w="1163"/>
        <w:gridCol w:w="2815"/>
      </w:tblGrid>
      <w:tr>
        <w:trPr>
          <w:trHeight w:val="335"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68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7" w:hRule="exact"/>
        </w:trPr>
        <w:tc>
          <w:tcPr>
            <w:tcW w:w="3084"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r>
              <w:rPr>
                <w:rFonts w:ascii="宋体" w:hAnsi="宋体" w:cs="宋体" w:eastAsia="宋体" w:hint="default"/>
                <w:sz w:val="18"/>
                <w:szCs w:val="18"/>
              </w:rPr>
              <w:t>(</w:t>
            </w:r>
            <w:r>
              <w:rPr>
                <w:rFonts w:ascii="宋体" w:hAnsi="宋体" w:cs="宋体" w:eastAsia="宋体" w:hint="default"/>
                <w:sz w:val="18"/>
                <w:szCs w:val="18"/>
              </w:rPr>
              <w:t>淮南</w:t>
            </w:r>
            <w:r>
              <w:rPr>
                <w:rFonts w:ascii="宋体" w:hAnsi="宋体" w:cs="宋体" w:eastAsia="宋体" w:hint="default"/>
                <w:sz w:val="18"/>
                <w:szCs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1,700,000.00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85,000.00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5%</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北京泰禾信康科技孵化器有限公司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886,950.00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177,390.00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谢月萍</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429,593.26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209,169.75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10%-100%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陈晓锋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226,724.93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45,344.99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52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89"/>
              <w:jc w:val="left"/>
              <w:rPr>
                <w:rFonts w:ascii="宋体" w:hAnsi="宋体" w:cs="宋体" w:eastAsia="宋体" w:hint="default"/>
                <w:sz w:val="18"/>
                <w:szCs w:val="18"/>
              </w:rPr>
            </w:pPr>
            <w:r>
              <w:rPr>
                <w:rFonts w:ascii="宋体" w:hAnsi="宋体" w:cs="宋体" w:eastAsia="宋体" w:hint="default"/>
                <w:spacing w:val="12"/>
                <w:sz w:val="18"/>
                <w:szCs w:val="18"/>
              </w:rPr>
              <w:t>中国移动通信集团广东有限公司广 </w:t>
            </w:r>
            <w:r>
              <w:rPr>
                <w:rFonts w:ascii="宋体" w:hAnsi="宋体" w:cs="宋体" w:eastAsia="宋体" w:hint="default"/>
                <w:sz w:val="18"/>
                <w:szCs w:val="18"/>
              </w:rPr>
              <w:t>州分公司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200,000.00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10,000.00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5%</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潘辰瑶</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131,122.19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131,122.19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100%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秦皇岛海港意萨比萨餐厅</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125,000.00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6,250.00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5%</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内部职工应扣社保个人部分</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104,591.76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9,684.15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5%-10%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中国移动通信集团北京有限公司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100,000.00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20,000.00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20%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1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中国电信股份有限公司上海分公司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100,000.00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20,000.00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8"/>
                <w:szCs w:val="18"/>
              </w:rPr>
            </w:pPr>
            <w:r>
              <w:rPr>
                <w:rFonts w:ascii="宋体"/>
                <w:sz w:val="18"/>
              </w:rPr>
              <w:t>20%</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w w:val="95"/>
                <w:sz w:val="18"/>
              </w:rPr>
              <w:t>4,003,982.14</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w w:val="95"/>
                <w:sz w:val="18"/>
              </w:rPr>
              <w:t>713,961.08</w:t>
            </w:r>
            <w:r>
              <w:rPr>
                <w:rFonts w:ascii="宋体"/>
                <w:sz w:val="18"/>
              </w:rPr>
            </w:r>
          </w:p>
        </w:tc>
        <w:tc>
          <w:tcPr>
            <w:tcW w:w="1163" w:type="dxa"/>
            <w:tcBorders>
              <w:top w:val="single" w:sz="4" w:space="0" w:color="000000"/>
              <w:left w:val="single" w:sz="4" w:space="0" w:color="000000"/>
              <w:bottom w:val="single" w:sz="4" w:space="0" w:color="000000"/>
              <w:right w:val="single" w:sz="4" w:space="0" w:color="000000"/>
            </w:tcBorders>
          </w:tcPr>
          <w:p>
            <w:pPr/>
          </w:p>
        </w:tc>
        <w:tc>
          <w:tcPr>
            <w:tcW w:w="28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组合中，按账龄分析法计提坏账准备的其他应收款：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83"/>
        <w:gridCol w:w="2408"/>
        <w:gridCol w:w="2408"/>
        <w:gridCol w:w="2527"/>
      </w:tblGrid>
      <w:tr>
        <w:trPr>
          <w:trHeight w:val="322" w:hRule="exact"/>
        </w:trPr>
        <w:tc>
          <w:tcPr>
            <w:tcW w:w="258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9" w:hRule="exact"/>
        </w:trPr>
        <w:tc>
          <w:tcPr>
            <w:tcW w:w="2583" w:type="dxa"/>
            <w:vMerge/>
            <w:tcBorders>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1,891,984.98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94,599.25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w:t>
            </w:r>
          </w:p>
        </w:tc>
      </w:tr>
      <w:tr>
        <w:trPr>
          <w:trHeight w:val="34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528,681.33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52,868.13</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w:t>
            </w:r>
          </w:p>
        </w:tc>
      </w:tr>
      <w:tr>
        <w:trPr>
          <w:trHeight w:val="34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456,314.36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68,447.15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w:t>
            </w:r>
          </w:p>
        </w:tc>
      </w:tr>
      <w:tr>
        <w:trPr>
          <w:trHeight w:val="34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240,240.81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48,048.16</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w:t>
            </w:r>
          </w:p>
        </w:tc>
      </w:tr>
      <w:tr>
        <w:trPr>
          <w:trHeight w:val="34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160,448.33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32,089.66</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w:t>
            </w:r>
          </w:p>
        </w:tc>
      </w:tr>
      <w:tr>
        <w:trPr>
          <w:trHeight w:val="34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21,195.60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4,239.12</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w:t>
            </w:r>
          </w:p>
        </w:tc>
      </w:tr>
      <w:tr>
        <w:trPr>
          <w:trHeight w:val="34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3,298,865.41</w:t>
            </w:r>
            <w:r>
              <w:rPr>
                <w:rFonts w:ascii="宋体"/>
                <w:sz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w w:val="95"/>
                <w:sz w:val="18"/>
              </w:rPr>
              <w:t>300,291.47</w:t>
            </w:r>
            <w:r>
              <w:rPr>
                <w:rFonts w:ascii="宋体"/>
                <w:sz w:val="18"/>
              </w:rPr>
            </w:r>
          </w:p>
        </w:tc>
        <w:tc>
          <w:tcPr>
            <w:tcW w:w="25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rFonts w:ascii="宋体" w:hAnsi="宋体" w:cs="宋体" w:eastAsia="宋体" w:hint="default"/>
        </w:rPr>
        <w:t>(2)</w:t>
      </w:r>
      <w:r>
        <w:rPr/>
        <w:t>其他应收款按款项性质分类情况：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86"/>
        <w:gridCol w:w="3209"/>
        <w:gridCol w:w="3330"/>
      </w:tblGrid>
      <w:tr>
        <w:trPr>
          <w:trHeight w:val="397"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7"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40"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224,700.39</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145,405.10</w:t>
            </w:r>
          </w:p>
        </w:tc>
      </w:tr>
      <w:tr>
        <w:trPr>
          <w:trHeight w:val="340"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260,677.58</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304,769.30</w:t>
            </w:r>
          </w:p>
        </w:tc>
      </w:tr>
      <w:tr>
        <w:trPr>
          <w:trHeight w:val="341"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业主代垫款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998,939.09</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2,491,353.87</w:t>
            </w:r>
          </w:p>
        </w:tc>
      </w:tr>
      <w:tr>
        <w:trPr>
          <w:trHeight w:val="340"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256,482.15</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106,580.00</w:t>
            </w:r>
          </w:p>
        </w:tc>
      </w:tr>
      <w:tr>
        <w:trPr>
          <w:trHeight w:val="341"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1,135,445.60</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1,134,545.60</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386"/>
        <w:gridCol w:w="3209"/>
        <w:gridCol w:w="3330"/>
      </w:tblGrid>
      <w:tr>
        <w:trPr>
          <w:trHeight w:val="340"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793,468.00</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330,000.00</w:t>
            </w:r>
          </w:p>
        </w:tc>
      </w:tr>
      <w:tr>
        <w:trPr>
          <w:trHeight w:val="341"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1,700,000.00</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往来及其他款项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2,014,035.38</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4,456,600.92</w:t>
            </w:r>
          </w:p>
        </w:tc>
      </w:tr>
      <w:tr>
        <w:trPr>
          <w:trHeight w:val="341" w:hRule="exact"/>
        </w:trPr>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7,383,748.19</w:t>
            </w:r>
            <w:r>
              <w:rPr>
                <w:rFonts w:ascii="宋体"/>
                <w:sz w:val="18"/>
              </w:rPr>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8,969,254.79</w:t>
            </w:r>
            <w:r>
              <w:rPr>
                <w:rFonts w:ascii="宋体"/>
                <w:sz w:val="18"/>
              </w:rPr>
            </w:r>
          </w:p>
        </w:tc>
      </w:tr>
    </w:tbl>
    <w:p>
      <w:pPr>
        <w:spacing w:line="240" w:lineRule="auto" w:before="1"/>
        <w:rPr>
          <w:rFonts w:ascii="宋体" w:hAnsi="宋体" w:cs="宋体" w:eastAsia="宋体" w:hint="default"/>
          <w:sz w:val="8"/>
          <w:szCs w:val="8"/>
        </w:rPr>
      </w:pPr>
    </w:p>
    <w:p>
      <w:pPr>
        <w:pStyle w:val="BodyText"/>
        <w:spacing w:line="316" w:lineRule="auto" w:before="35"/>
        <w:ind w:left="824" w:right="5017"/>
        <w:jc w:val="left"/>
      </w:pPr>
      <w:r>
        <w:rPr>
          <w:rFonts w:ascii="宋体" w:hAnsi="宋体" w:cs="宋体" w:eastAsia="宋体" w:hint="default"/>
        </w:rPr>
        <w:t>(3)</w:t>
      </w:r>
      <w:r>
        <w:rPr/>
        <w:t>本期收回和转回的情况：无。 </w:t>
      </w:r>
      <w:r>
        <w:rPr>
          <w:rFonts w:ascii="宋体" w:hAnsi="宋体" w:cs="宋体" w:eastAsia="宋体" w:hint="default"/>
        </w:rPr>
        <w:t>(4)</w:t>
      </w:r>
      <w:r>
        <w:rPr/>
        <w:t>本报告期实际核销的其他应收款情况：无 </w:t>
      </w:r>
      <w:r>
        <w:rPr>
          <w:rFonts w:ascii="宋体" w:hAnsi="宋体" w:cs="宋体" w:eastAsia="宋体" w:hint="default"/>
        </w:rPr>
        <w:t>(5)</w:t>
      </w:r>
      <w:r>
        <w:rPr/>
        <w:t>按欠款方归集的期末余额前五名的其他应收款情况：</w:t>
      </w:r>
    </w:p>
    <w:tbl>
      <w:tblPr>
        <w:tblW w:w="0" w:type="auto"/>
        <w:jc w:val="left"/>
        <w:tblInd w:w="115" w:type="dxa"/>
        <w:tblLayout w:type="fixed"/>
        <w:tblCellMar>
          <w:top w:w="0" w:type="dxa"/>
          <w:left w:w="0" w:type="dxa"/>
          <w:bottom w:w="0" w:type="dxa"/>
          <w:right w:w="0" w:type="dxa"/>
        </w:tblCellMar>
        <w:tblLook w:val="01E0"/>
      </w:tblPr>
      <w:tblGrid>
        <w:gridCol w:w="2979"/>
        <w:gridCol w:w="1136"/>
        <w:gridCol w:w="1560"/>
        <w:gridCol w:w="1084"/>
        <w:gridCol w:w="1894"/>
        <w:gridCol w:w="1273"/>
      </w:tblGrid>
      <w:tr>
        <w:trPr>
          <w:trHeight w:val="4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01"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5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3" w:right="0" w:hanging="46"/>
              <w:jc w:val="left"/>
              <w:rPr>
                <w:rFonts w:ascii="宋体" w:hAnsi="宋体" w:cs="宋体" w:eastAsia="宋体" w:hint="default"/>
                <w:sz w:val="18"/>
                <w:szCs w:val="18"/>
              </w:rPr>
            </w:pPr>
            <w:r>
              <w:rPr>
                <w:rFonts w:ascii="宋体" w:hAnsi="宋体" w:cs="宋体" w:eastAsia="宋体" w:hint="default"/>
                <w:b/>
                <w:bCs/>
                <w:sz w:val="18"/>
                <w:szCs w:val="18"/>
              </w:rPr>
              <w:t>占其他应收款期末余</w:t>
            </w:r>
            <w:r>
              <w:rPr>
                <w:rFonts w:ascii="宋体" w:hAnsi="宋体" w:cs="宋体" w:eastAsia="宋体" w:hint="default"/>
                <w:sz w:val="18"/>
                <w:szCs w:val="18"/>
              </w:rPr>
            </w:r>
          </w:p>
          <w:p>
            <w:pPr>
              <w:pStyle w:val="TableParagraph"/>
              <w:spacing w:line="235"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额合计数的比例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安徽省永安建筑有限公司 </w:t>
            </w:r>
            <w:r>
              <w:rPr>
                <w:rFonts w:ascii="宋体" w:hAnsi="宋体" w:cs="宋体" w:eastAsia="宋体" w:hint="default"/>
                <w:sz w:val="18"/>
                <w:szCs w:val="18"/>
              </w:rPr>
              <w:t>(</w:t>
            </w:r>
            <w:r>
              <w:rPr>
                <w:rFonts w:ascii="宋体" w:hAnsi="宋体" w:cs="宋体" w:eastAsia="宋体" w:hint="default"/>
                <w:sz w:val="18"/>
                <w:szCs w:val="18"/>
              </w:rPr>
              <w:t>淮南</w:t>
            </w: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23.02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85,000.00</w:t>
            </w:r>
          </w:p>
        </w:tc>
      </w:tr>
      <w:tr>
        <w:trPr>
          <w:trHeight w:val="349"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北京泰禾信康科技孵化器有限公司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886,950.00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443,475.00</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谢月萍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业主代垫款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429,593.26</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209,169.75</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陈晓锋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业主代垫款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226,724.93</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45,344.99</w:t>
            </w:r>
          </w:p>
        </w:tc>
      </w:tr>
      <w:tr>
        <w:trPr>
          <w:trHeight w:val="4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中国移动通信集团广东有限公司广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州分公司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8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200,000.00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2.71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10,000.00</w:t>
            </w:r>
          </w:p>
        </w:tc>
      </w:tr>
      <w:tr>
        <w:trPr>
          <w:trHeight w:val="40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b/>
                <w:w w:val="95"/>
                <w:sz w:val="18"/>
              </w:rPr>
              <w:t>3,443,268.19</w:t>
            </w:r>
            <w:r>
              <w:rPr>
                <w:rFonts w:ascii="宋体"/>
                <w:sz w:val="18"/>
              </w:rPr>
            </w:r>
          </w:p>
        </w:tc>
        <w:tc>
          <w:tcPr>
            <w:tcW w:w="108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b/>
                <w:w w:val="95"/>
                <w:sz w:val="18"/>
              </w:rPr>
              <w:t>46.63</w:t>
            </w:r>
            <w:r>
              <w:rPr>
                <w:rFonts w:ascii="宋体"/>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b/>
                <w:w w:val="95"/>
                <w:sz w:val="18"/>
              </w:rPr>
              <w:t>792,989.74</w:t>
            </w:r>
            <w:r>
              <w:rPr>
                <w:rFonts w:ascii="宋体"/>
                <w:sz w:val="18"/>
              </w:rPr>
            </w:r>
          </w:p>
        </w:tc>
      </w:tr>
    </w:tbl>
    <w:p>
      <w:pPr>
        <w:pStyle w:val="BodyText"/>
        <w:spacing w:line="271" w:lineRule="auto" w:before="32"/>
        <w:ind w:right="418" w:firstLine="420"/>
        <w:jc w:val="left"/>
      </w:pPr>
      <w:r>
        <w:rPr>
          <w:spacing w:val="3"/>
        </w:rPr>
        <w:t>注</w:t>
      </w:r>
      <w:r>
        <w:rPr>
          <w:rFonts w:ascii="宋体" w:hAnsi="宋体" w:cs="宋体" w:eastAsia="宋体" w:hint="default"/>
          <w:spacing w:val="3"/>
        </w:rPr>
        <w:t>:</w:t>
      </w:r>
      <w:r>
        <w:rPr>
          <w:spacing w:val="3"/>
        </w:rPr>
        <w:t>上述前五位其他应收款往来帐龄均非一次性发生</w:t>
      </w:r>
      <w:r>
        <w:rPr>
          <w:rFonts w:ascii="宋体" w:hAnsi="宋体" w:cs="宋体" w:eastAsia="宋体" w:hint="default"/>
          <w:spacing w:val="3"/>
        </w:rPr>
        <w:t>,</w:t>
      </w:r>
      <w:r>
        <w:rPr>
          <w:spacing w:val="3"/>
        </w:rPr>
        <w:t>本公司计算坏账准备时均根据实际发生时间</w:t>
      </w:r>
      <w:r>
        <w:rPr/>
        <w:t> 分析计提。</w:t>
      </w:r>
    </w:p>
    <w:p>
      <w:pPr>
        <w:pStyle w:val="BodyText"/>
        <w:spacing w:line="376" w:lineRule="auto" w:before="72"/>
        <w:ind w:left="817" w:right="3498" w:firstLine="7"/>
        <w:jc w:val="left"/>
        <w:rPr>
          <w:rFonts w:ascii="宋体" w:hAnsi="宋体" w:cs="宋体" w:eastAsia="宋体" w:hint="default"/>
        </w:rPr>
      </w:pPr>
      <w:r>
        <w:rPr/>
        <w:t>（</w:t>
      </w:r>
      <w:r>
        <w:rPr>
          <w:rFonts w:ascii="宋体" w:hAnsi="宋体" w:cs="宋体" w:eastAsia="宋体" w:hint="default"/>
        </w:rPr>
        <w:t>6</w:t>
      </w:r>
      <w:r>
        <w:rPr/>
        <w:t>）期末其他应收款中持本公司</w:t>
      </w:r>
      <w:r>
        <w:rPr>
          <w:spacing w:val="-56"/>
        </w:rPr>
        <w:t> </w:t>
      </w:r>
      <w:r>
        <w:rPr>
          <w:rFonts w:ascii="宋体" w:hAnsi="宋体" w:cs="宋体" w:eastAsia="宋体" w:hint="default"/>
        </w:rPr>
        <w:t>5%</w:t>
      </w:r>
      <w:r>
        <w:rPr/>
        <w:t>（含）以上股份的股东单位款：无。 </w:t>
      </w:r>
      <w:r>
        <w:rPr>
          <w:rFonts w:ascii="宋体" w:hAnsi="宋体" w:cs="宋体" w:eastAsia="宋体" w:hint="default"/>
          <w:b/>
          <w:bCs/>
        </w:rPr>
        <w:t>注释</w:t>
      </w:r>
      <w:r>
        <w:rPr>
          <w:rFonts w:ascii="宋体" w:hAnsi="宋体" w:cs="宋体" w:eastAsia="宋体" w:hint="default"/>
          <w:b/>
          <w:bCs/>
          <w:spacing w:val="-56"/>
        </w:rPr>
        <w:t> </w:t>
      </w:r>
      <w:r>
        <w:rPr>
          <w:rFonts w:ascii="宋体" w:hAnsi="宋体" w:cs="宋体" w:eastAsia="宋体" w:hint="default"/>
          <w:b/>
          <w:bCs/>
        </w:rPr>
        <w:t>6</w:t>
      </w:r>
      <w:r>
        <w:rPr>
          <w:rFonts w:ascii="宋体" w:hAnsi="宋体" w:cs="宋体" w:eastAsia="宋体" w:hint="default"/>
          <w:b/>
          <w:bCs/>
        </w:rPr>
        <w:t>．存货</w:t>
      </w:r>
      <w:r>
        <w:rPr>
          <w:rFonts w:ascii="宋体" w:hAnsi="宋体" w:cs="宋体" w:eastAsia="宋体" w:hint="default"/>
        </w:rPr>
      </w:r>
    </w:p>
    <w:p>
      <w:pPr>
        <w:pStyle w:val="BodyText"/>
        <w:spacing w:line="243" w:lineRule="exact" w:before="0"/>
        <w:ind w:left="824" w:right="5945"/>
        <w:jc w:val="left"/>
      </w:pPr>
      <w:r>
        <w:rPr>
          <w:rFonts w:ascii="宋体" w:hAnsi="宋体" w:cs="宋体" w:eastAsia="宋体" w:hint="default"/>
        </w:rPr>
        <w:t>(1)</w:t>
      </w:r>
      <w:r>
        <w:rPr/>
        <w:t>存货分类</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994"/>
        <w:gridCol w:w="1559"/>
        <w:gridCol w:w="1418"/>
        <w:gridCol w:w="1560"/>
        <w:gridCol w:w="1558"/>
        <w:gridCol w:w="1229"/>
        <w:gridCol w:w="1608"/>
      </w:tblGrid>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9" w:hRule="exact"/>
        </w:trPr>
        <w:tc>
          <w:tcPr>
            <w:tcW w:w="994"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1"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7"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center"/>
              <w:rPr>
                <w:rFonts w:ascii="宋体" w:hAnsi="宋体" w:cs="宋体" w:eastAsia="宋体" w:hint="default"/>
                <w:sz w:val="18"/>
                <w:szCs w:val="18"/>
              </w:rPr>
            </w:pPr>
            <w:r>
              <w:rPr>
                <w:rFonts w:ascii="宋体"/>
                <w:sz w:val="18"/>
              </w:rPr>
              <w:t>26,692,175.56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70,971.50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26,621,204.06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18,469,167.66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6" w:right="0"/>
              <w:jc w:val="left"/>
              <w:rPr>
                <w:rFonts w:ascii="宋体" w:hAnsi="宋体" w:cs="宋体" w:eastAsia="宋体" w:hint="default"/>
                <w:sz w:val="18"/>
                <w:szCs w:val="18"/>
              </w:rPr>
            </w:pPr>
            <w:r>
              <w:rPr>
                <w:rFonts w:ascii="宋体"/>
                <w:sz w:val="18"/>
              </w:rPr>
              <w:t>249,278.61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18,219,889.05</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center"/>
              <w:rPr>
                <w:rFonts w:ascii="宋体" w:hAnsi="宋体" w:cs="宋体" w:eastAsia="宋体" w:hint="default"/>
                <w:sz w:val="18"/>
                <w:szCs w:val="18"/>
              </w:rPr>
            </w:pPr>
            <w:r>
              <w:rPr>
                <w:rFonts w:ascii="宋体"/>
                <w:sz w:val="18"/>
              </w:rPr>
              <w:t>41,135,484.49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7,789,802.23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33,345,682.26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261,690,656.95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261,690,656.95</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8"/>
                <w:szCs w:val="18"/>
              </w:rPr>
            </w:pPr>
            <w:r>
              <w:rPr>
                <w:rFonts w:ascii="宋体"/>
                <w:sz w:val="18"/>
              </w:rPr>
              <w:t>452,198,833.65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452,198,833.65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376,680,576.75</w:t>
            </w:r>
          </w:p>
        </w:tc>
        <w:tc>
          <w:tcPr>
            <w:tcW w:w="122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376,680,576.75</w:t>
            </w:r>
          </w:p>
        </w:tc>
      </w:tr>
      <w:tr>
        <w:trPr>
          <w:trHeight w:val="40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 w:right="0"/>
              <w:jc w:val="center"/>
              <w:rPr>
                <w:rFonts w:ascii="宋体" w:hAnsi="宋体" w:cs="宋体" w:eastAsia="宋体" w:hint="default"/>
                <w:sz w:val="18"/>
                <w:szCs w:val="18"/>
              </w:rPr>
            </w:pPr>
            <w:r>
              <w:rPr>
                <w:rFonts w:ascii="宋体"/>
                <w:b/>
                <w:sz w:val="18"/>
              </w:rPr>
              <w:t>520,026,493.70</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7,860,773.73</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512,165,719.97</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656,840,401.36</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9" w:right="0"/>
              <w:jc w:val="left"/>
              <w:rPr>
                <w:rFonts w:ascii="宋体" w:hAnsi="宋体" w:cs="宋体" w:eastAsia="宋体" w:hint="default"/>
                <w:sz w:val="18"/>
                <w:szCs w:val="18"/>
              </w:rPr>
            </w:pPr>
            <w:r>
              <w:rPr>
                <w:rFonts w:ascii="宋体"/>
                <w:b/>
                <w:sz w:val="18"/>
              </w:rPr>
              <w:t>249,278.61</w:t>
            </w:r>
            <w:r>
              <w:rPr>
                <w:rFonts w:ascii="宋体"/>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656,591,122.75</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w:t>
      </w:r>
      <w:r>
        <w:rPr>
          <w:rFonts w:ascii="宋体" w:hAnsi="宋体" w:cs="宋体" w:eastAsia="宋体" w:hint="default"/>
        </w:rPr>
        <w:t>2</w:t>
      </w:r>
      <w:r>
        <w:rPr/>
        <w:t>）存货跌价准备情况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560"/>
        <w:gridCol w:w="1417"/>
        <w:gridCol w:w="1560"/>
        <w:gridCol w:w="1278"/>
        <w:gridCol w:w="1415"/>
        <w:gridCol w:w="1104"/>
        <w:gridCol w:w="1590"/>
      </w:tblGrid>
      <w:tr>
        <w:trPr>
          <w:trHeight w:val="32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42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156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b/>
                <w:bCs/>
                <w:sz w:val="18"/>
                <w:szCs w:val="18"/>
              </w:rPr>
              <w:t>本期计提额</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90" w:type="dxa"/>
            <w:vMerge/>
            <w:tcBorders>
              <w:left w:val="single" w:sz="4" w:space="0" w:color="000000"/>
              <w:bottom w:val="single" w:sz="4" w:space="0" w:color="000000"/>
              <w:right w:val="single" w:sz="4" w:space="0" w:color="000000"/>
            </w:tcBorders>
          </w:tcPr>
          <w:p>
            <w:pP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4" w:right="0"/>
              <w:jc w:val="left"/>
              <w:rPr>
                <w:rFonts w:ascii="宋体" w:hAnsi="宋体" w:cs="宋体" w:eastAsia="宋体" w:hint="default"/>
                <w:sz w:val="18"/>
                <w:szCs w:val="18"/>
              </w:rPr>
            </w:pPr>
            <w:r>
              <w:rPr>
                <w:rFonts w:ascii="宋体"/>
                <w:sz w:val="18"/>
              </w:rPr>
              <w:t>249,278.61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70,971.50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249,278.61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70,971.50</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7,789,802.23</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7,789,802.23</w:t>
            </w: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7" w:right="0"/>
              <w:jc w:val="left"/>
              <w:rPr>
                <w:rFonts w:ascii="宋体" w:hAnsi="宋体" w:cs="宋体" w:eastAsia="宋体" w:hint="default"/>
                <w:sz w:val="18"/>
                <w:szCs w:val="18"/>
              </w:rPr>
            </w:pPr>
            <w:r>
              <w:rPr>
                <w:rFonts w:ascii="宋体"/>
                <w:b/>
                <w:sz w:val="18"/>
              </w:rPr>
              <w:t>249,278.61</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7,860,773.73</w:t>
            </w:r>
            <w:r>
              <w:rPr>
                <w:rFonts w:ascii="宋体"/>
                <w:sz w:val="18"/>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249,278.61</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7,860,773.73</w:t>
            </w:r>
            <w:r>
              <w:rPr>
                <w:rFonts w:ascii="宋体"/>
                <w:sz w:val="18"/>
              </w:rPr>
            </w:r>
          </w:p>
        </w:tc>
      </w:tr>
    </w:tbl>
    <w:p>
      <w:pPr>
        <w:spacing w:line="240" w:lineRule="auto" w:before="2"/>
        <w:rPr>
          <w:rFonts w:ascii="宋体" w:hAnsi="宋体" w:cs="宋体" w:eastAsia="宋体" w:hint="default"/>
          <w:sz w:val="8"/>
          <w:szCs w:val="8"/>
        </w:rPr>
      </w:pPr>
    </w:p>
    <w:p>
      <w:pPr>
        <w:pStyle w:val="BodyText"/>
        <w:spacing w:line="240" w:lineRule="auto" w:before="35"/>
        <w:ind w:left="824" w:right="418"/>
        <w:jc w:val="left"/>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Heading3"/>
        <w:tabs>
          <w:tab w:pos="1724" w:val="left" w:leader="none"/>
        </w:tabs>
        <w:spacing w:line="240" w:lineRule="auto"/>
        <w:ind w:right="5945"/>
        <w:jc w:val="left"/>
        <w:rPr>
          <w:b w:val="0"/>
          <w:bCs w:val="0"/>
        </w:rPr>
      </w:pPr>
      <w:r>
        <w:rPr/>
        <w:t>注释</w:t>
      </w:r>
      <w:r>
        <w:rPr>
          <w:spacing w:val="-56"/>
        </w:rPr>
        <w:t> </w:t>
      </w:r>
      <w:r>
        <w:rPr>
          <w:rFonts w:ascii="宋体" w:hAnsi="宋体" w:cs="宋体" w:eastAsia="宋体" w:hint="default"/>
        </w:rPr>
        <w:t>7.</w:t>
        <w:tab/>
      </w:r>
      <w:r>
        <w:rPr/>
        <w:t>其他流动资产</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046"/>
        <w:gridCol w:w="3278"/>
        <w:gridCol w:w="3602"/>
      </w:tblGrid>
      <w:tr>
        <w:trPr>
          <w:trHeight w:val="35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50,033,387.63</w:t>
            </w:r>
          </w:p>
        </w:tc>
        <w:tc>
          <w:tcPr>
            <w:tcW w:w="3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849,244.23</w:t>
            </w:r>
          </w:p>
        </w:tc>
        <w:tc>
          <w:tcPr>
            <w:tcW w:w="360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b/>
                <w:w w:val="95"/>
                <w:sz w:val="18"/>
              </w:rPr>
              <w:t>50,882,631.86</w:t>
            </w:r>
            <w:r>
              <w:rPr>
                <w:rFonts w:ascii="宋体"/>
                <w:sz w:val="18"/>
              </w:rPr>
            </w:r>
          </w:p>
        </w:tc>
        <w:tc>
          <w:tcPr>
            <w:tcW w:w="36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 </w:t>
      </w:r>
      <w:r>
        <w:rPr>
          <w:rFonts w:ascii="宋体" w:hAnsi="宋体" w:cs="宋体" w:eastAsia="宋体" w:hint="default"/>
          <w:b/>
          <w:bCs/>
          <w:sz w:val="21"/>
          <w:szCs w:val="21"/>
        </w:rPr>
        <w:t>8.</w:t>
      </w:r>
      <w:r>
        <w:rPr>
          <w:rFonts w:ascii="宋体" w:hAnsi="宋体" w:cs="宋体" w:eastAsia="宋体" w:hint="default"/>
          <w:b/>
          <w:bCs/>
          <w:spacing w:val="-58"/>
          <w:sz w:val="21"/>
          <w:szCs w:val="21"/>
        </w:rPr>
        <w:t> </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pStyle w:val="BodyText"/>
        <w:spacing w:line="240" w:lineRule="auto" w:before="157"/>
        <w:ind w:left="824" w:right="5945"/>
        <w:jc w:val="left"/>
      </w:pPr>
      <w:r>
        <w:rPr/>
        <w:t>（</w:t>
      </w:r>
      <w:r>
        <w:rPr>
          <w:rFonts w:ascii="宋体" w:hAnsi="宋体" w:cs="宋体" w:eastAsia="宋体" w:hint="default"/>
        </w:rPr>
        <w:t>1</w:t>
      </w:r>
      <w:r>
        <w:rPr/>
        <w:t>）可供出售金融资产情况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26"/>
        <w:gridCol w:w="1403"/>
        <w:gridCol w:w="1305"/>
        <w:gridCol w:w="1306"/>
        <w:gridCol w:w="1305"/>
        <w:gridCol w:w="1306"/>
        <w:gridCol w:w="1375"/>
      </w:tblGrid>
      <w:tr>
        <w:trPr>
          <w:trHeight w:val="349" w:hRule="exact"/>
        </w:trPr>
        <w:tc>
          <w:tcPr>
            <w:tcW w:w="19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1926" w:type="dxa"/>
            <w:vMerge/>
            <w:tcBorders>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2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其中：按成本法计量</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center"/>
              <w:rPr>
                <w:rFonts w:ascii="宋体" w:hAnsi="宋体" w:cs="宋体" w:eastAsia="宋体" w:hint="default"/>
                <w:sz w:val="18"/>
                <w:szCs w:val="18"/>
              </w:rPr>
            </w:pPr>
            <w:r>
              <w:rPr>
                <w:rFonts w:ascii="宋体"/>
                <w:sz w:val="18"/>
              </w:rPr>
              <w:t>8,200,000.00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sz w:val="18"/>
              </w:rPr>
              <w:t>3,200,000.00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18"/>
                <w:szCs w:val="18"/>
              </w:rPr>
            </w:pPr>
            <w:r>
              <w:rPr>
                <w:rFonts w:ascii="宋体"/>
                <w:sz w:val="18"/>
              </w:rPr>
              <w:t>5,000,000.00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sz w:val="18"/>
              </w:rPr>
              <w:t>8,200,000.00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18"/>
                <w:szCs w:val="18"/>
              </w:rPr>
            </w:pPr>
            <w:r>
              <w:rPr>
                <w:rFonts w:ascii="宋体"/>
                <w:sz w:val="18"/>
              </w:rPr>
              <w:t>3,200,000.00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 w:right="0"/>
              <w:jc w:val="center"/>
              <w:rPr>
                <w:rFonts w:ascii="宋体" w:hAnsi="宋体" w:cs="宋体" w:eastAsia="宋体" w:hint="default"/>
                <w:sz w:val="18"/>
                <w:szCs w:val="18"/>
              </w:rPr>
            </w:pPr>
            <w:r>
              <w:rPr>
                <w:rFonts w:ascii="宋体"/>
                <w:sz w:val="18"/>
              </w:rPr>
              <w:t>5,000,000.00</w:t>
            </w:r>
          </w:p>
        </w:tc>
      </w:tr>
      <w:tr>
        <w:trPr>
          <w:trHeight w:val="40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5" w:right="0"/>
              <w:jc w:val="center"/>
              <w:rPr>
                <w:rFonts w:ascii="宋体" w:hAnsi="宋体" w:cs="宋体" w:eastAsia="宋体" w:hint="default"/>
                <w:sz w:val="18"/>
                <w:szCs w:val="18"/>
              </w:rPr>
            </w:pPr>
            <w:r>
              <w:rPr>
                <w:rFonts w:ascii="宋体"/>
                <w:b/>
                <w:sz w:val="18"/>
              </w:rPr>
              <w:t>8,200,000.00</w:t>
            </w:r>
            <w:r>
              <w:rPr>
                <w:rFonts w:ascii="宋体"/>
                <w:sz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b/>
                <w:sz w:val="18"/>
              </w:rPr>
              <w:t>3,200,000.00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b/>
                <w:sz w:val="18"/>
              </w:rPr>
              <w:t>5,000,000.00</w:t>
            </w:r>
            <w:r>
              <w:rPr>
                <w:rFonts w:ascii="宋体"/>
                <w:sz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b/>
                <w:sz w:val="18"/>
              </w:rPr>
              <w:t>8,200,000.00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b/>
                <w:sz w:val="18"/>
              </w:rPr>
              <w:t>3,200,000.00</w:t>
            </w:r>
            <w:r>
              <w:rPr>
                <w:rFonts w:ascii="宋体"/>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9" w:right="0"/>
              <w:jc w:val="center"/>
              <w:rPr>
                <w:rFonts w:ascii="宋体" w:hAnsi="宋体" w:cs="宋体" w:eastAsia="宋体" w:hint="default"/>
                <w:sz w:val="18"/>
                <w:szCs w:val="18"/>
              </w:rPr>
            </w:pPr>
            <w:r>
              <w:rPr>
                <w:rFonts w:ascii="宋体"/>
                <w:b/>
                <w:sz w:val="18"/>
              </w:rPr>
              <w:t>5,000,000.00</w:t>
            </w:r>
            <w:r>
              <w:rPr>
                <w:rFonts w:ascii="宋体"/>
                <w:sz w:val="18"/>
              </w:rPr>
            </w:r>
          </w:p>
        </w:tc>
      </w:tr>
    </w:tbl>
    <w:p>
      <w:pPr>
        <w:spacing w:line="240" w:lineRule="auto" w:before="7"/>
        <w:rPr>
          <w:rFonts w:ascii="宋体" w:hAnsi="宋体" w:cs="宋体" w:eastAsia="宋体" w:hint="default"/>
          <w:sz w:val="14"/>
          <w:szCs w:val="14"/>
        </w:rPr>
      </w:pPr>
    </w:p>
    <w:p>
      <w:pPr>
        <w:pStyle w:val="BodyText"/>
        <w:spacing w:line="240" w:lineRule="auto" w:before="35"/>
        <w:ind w:left="824" w:right="5945"/>
        <w:jc w:val="left"/>
      </w:pPr>
      <w:r>
        <w:rPr/>
        <w:t>（</w:t>
      </w:r>
      <w:r>
        <w:rPr>
          <w:rFonts w:ascii="宋体" w:hAnsi="宋体" w:cs="宋体" w:eastAsia="宋体" w:hint="default"/>
        </w:rPr>
        <w:t>2</w:t>
      </w:r>
      <w:r>
        <w:rPr/>
        <w:t>）期末按成本计量的可供出售金融资产：</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449"/>
        <w:gridCol w:w="1892"/>
        <w:gridCol w:w="1380"/>
        <w:gridCol w:w="1270"/>
        <w:gridCol w:w="1934"/>
      </w:tblGrid>
      <w:tr>
        <w:trPr>
          <w:trHeight w:val="350" w:hRule="exact"/>
        </w:trPr>
        <w:tc>
          <w:tcPr>
            <w:tcW w:w="344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64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50" w:hRule="exact"/>
        </w:trPr>
        <w:tc>
          <w:tcPr>
            <w:tcW w:w="3449"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3,000,000.00</w:t>
            </w:r>
          </w:p>
        </w:tc>
      </w:tr>
      <w:tr>
        <w:trPr>
          <w:trHeight w:val="32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5,000,000.00</w:t>
            </w:r>
          </w:p>
        </w:tc>
      </w:tr>
      <w:tr>
        <w:trPr>
          <w:trHeight w:val="32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200,000.00</w:t>
            </w:r>
          </w:p>
        </w:tc>
      </w:tr>
      <w:tr>
        <w:trPr>
          <w:trHeight w:val="407"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8,200,000.00</w:t>
            </w:r>
            <w:r>
              <w:rPr>
                <w:rFonts w:ascii="宋体"/>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8,200,000.00</w:t>
            </w:r>
            <w:r>
              <w:rPr>
                <w:rFonts w:ascii="宋体"/>
                <w:sz w:val="18"/>
              </w:rPr>
            </w:r>
          </w:p>
        </w:tc>
      </w:tr>
    </w:tbl>
    <w:p>
      <w:pPr>
        <w:spacing w:line="240" w:lineRule="auto" w:before="7"/>
        <w:rPr>
          <w:rFonts w:ascii="宋体" w:hAnsi="宋体" w:cs="宋体" w:eastAsia="宋体" w:hint="default"/>
          <w:sz w:val="14"/>
          <w:szCs w:val="14"/>
        </w:rPr>
      </w:pPr>
    </w:p>
    <w:p>
      <w:pPr>
        <w:pStyle w:val="BodyText"/>
        <w:spacing w:line="240" w:lineRule="auto" w:before="35"/>
        <w:ind w:left="824" w:right="5945"/>
        <w:jc w:val="left"/>
      </w:pPr>
      <w:r>
        <w:rPr/>
        <w:t>期末按成本计量的可供出售金融资产（续</w:t>
      </w:r>
      <w:r>
        <w:rPr>
          <w:spacing w:val="-105"/>
        </w:rPr>
        <w:t>）</w:t>
      </w:r>
      <w:r>
        <w:rPr/>
        <w:t>：</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6"/>
        <w:gridCol w:w="1418"/>
        <w:gridCol w:w="712"/>
        <w:gridCol w:w="710"/>
        <w:gridCol w:w="1572"/>
        <w:gridCol w:w="1104"/>
        <w:gridCol w:w="1433"/>
      </w:tblGrid>
      <w:tr>
        <w:trPr>
          <w:trHeight w:val="364"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44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34"/>
              <w:ind w:left="185" w:right="184"/>
              <w:jc w:val="both"/>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b/>
                <w:bCs/>
                <w:sz w:val="18"/>
                <w:szCs w:val="18"/>
              </w:rPr>
              <w:t>本期现金红利</w:t>
            </w:r>
            <w:r>
              <w:rPr>
                <w:rFonts w:ascii="宋体" w:hAnsi="宋体" w:cs="宋体" w:eastAsia="宋体" w:hint="default"/>
                <w:sz w:val="18"/>
                <w:szCs w:val="18"/>
              </w:rPr>
            </w:r>
          </w:p>
        </w:tc>
      </w:tr>
      <w:tr>
        <w:trPr>
          <w:trHeight w:val="476" w:hRule="exact"/>
        </w:trPr>
        <w:tc>
          <w:tcPr>
            <w:tcW w:w="29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104"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26.79</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0.99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500,000.00</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200,000.00</w:t>
            </w:r>
          </w:p>
        </w:tc>
        <w:tc>
          <w:tcPr>
            <w:tcW w:w="7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0.45</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3,200,000.00</w:t>
            </w:r>
            <w:r>
              <w:rPr>
                <w:rFonts w:ascii="宋体"/>
                <w:sz w:val="18"/>
              </w:rPr>
            </w:r>
          </w:p>
        </w:tc>
        <w:tc>
          <w:tcPr>
            <w:tcW w:w="7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3,200,000.00</w:t>
            </w:r>
            <w:r>
              <w:rPr>
                <w:rFonts w:ascii="宋体"/>
                <w:sz w:val="18"/>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500,000.00</w:t>
            </w:r>
            <w:r>
              <w:rPr>
                <w:rFonts w:ascii="宋体"/>
                <w:sz w:val="18"/>
              </w:rPr>
            </w:r>
          </w:p>
        </w:tc>
      </w:tr>
    </w:tbl>
    <w:p>
      <w:pPr>
        <w:spacing w:line="240" w:lineRule="auto" w:before="7"/>
        <w:rPr>
          <w:rFonts w:ascii="宋体" w:hAnsi="宋体" w:cs="宋体" w:eastAsia="宋体" w:hint="default"/>
          <w:sz w:val="14"/>
          <w:szCs w:val="14"/>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9</w:t>
      </w:r>
      <w:r>
        <w:rPr/>
        <w:t>．投资性房地产</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606"/>
        <w:gridCol w:w="2522"/>
        <w:gridCol w:w="1418"/>
        <w:gridCol w:w="2380"/>
      </w:tblGrid>
      <w:tr>
        <w:trPr>
          <w:trHeight w:val="407"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01"/>
              <w:jc w:val="right"/>
              <w:rPr>
                <w:rFonts w:ascii="宋体" w:hAnsi="宋体" w:cs="宋体" w:eastAsia="宋体" w:hint="default"/>
                <w:sz w:val="18"/>
                <w:szCs w:val="18"/>
              </w:rPr>
            </w:pPr>
            <w:r>
              <w:rPr>
                <w:rFonts w:ascii="宋体"/>
                <w:sz w:val="18"/>
              </w:rPr>
              <w:t>339,956,837.01</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95" w:right="0"/>
              <w:jc w:val="left"/>
              <w:rPr>
                <w:rFonts w:ascii="宋体" w:hAnsi="宋体" w:cs="宋体" w:eastAsia="宋体" w:hint="default"/>
                <w:sz w:val="18"/>
                <w:szCs w:val="18"/>
              </w:rPr>
            </w:pPr>
            <w:r>
              <w:rPr>
                <w:rFonts w:ascii="宋体"/>
                <w:b/>
                <w:sz w:val="18"/>
              </w:rPr>
              <w:t>339,956,837.01</w:t>
            </w:r>
            <w:r>
              <w:rPr>
                <w:rFonts w:ascii="宋体"/>
                <w:sz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26"/>
              <w:jc w:val="right"/>
              <w:rPr>
                <w:rFonts w:ascii="宋体" w:hAnsi="宋体" w:cs="宋体" w:eastAsia="宋体" w:hint="default"/>
                <w:sz w:val="18"/>
                <w:szCs w:val="18"/>
              </w:rPr>
            </w:pPr>
            <w:r>
              <w:rPr>
                <w:rFonts w:ascii="宋体"/>
                <w:sz w:val="18"/>
              </w:rPr>
              <w:t>339,956,837.01</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95" w:right="0"/>
              <w:jc w:val="left"/>
              <w:rPr>
                <w:rFonts w:ascii="宋体" w:hAnsi="宋体" w:cs="宋体" w:eastAsia="宋体" w:hint="default"/>
                <w:sz w:val="18"/>
                <w:szCs w:val="18"/>
              </w:rPr>
            </w:pPr>
            <w:r>
              <w:rPr>
                <w:rFonts w:ascii="宋体"/>
                <w:b/>
                <w:sz w:val="18"/>
              </w:rPr>
              <w:t>339,956,837.01</w:t>
            </w:r>
            <w:r>
              <w:rPr>
                <w:rFonts w:ascii="宋体"/>
                <w:sz w:val="18"/>
              </w:rPr>
            </w:r>
          </w:p>
        </w:tc>
      </w:tr>
    </w:tbl>
    <w:p>
      <w:pPr>
        <w:spacing w:after="0" w:line="231" w:lineRule="exact"/>
        <w:jc w:val="lef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606"/>
        <w:gridCol w:w="2522"/>
        <w:gridCol w:w="1418"/>
        <w:gridCol w:w="2380"/>
      </w:tblGrid>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88" w:right="0"/>
              <w:jc w:val="left"/>
              <w:rPr>
                <w:rFonts w:ascii="宋体" w:hAnsi="宋体" w:cs="宋体" w:eastAsia="宋体" w:hint="default"/>
                <w:sz w:val="18"/>
                <w:szCs w:val="18"/>
              </w:rPr>
            </w:pPr>
            <w:r>
              <w:rPr>
                <w:rFonts w:ascii="宋体"/>
                <w:sz w:val="18"/>
              </w:rPr>
              <w:t>80,458,532.55</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80,458,532.55</w:t>
            </w:r>
            <w:r>
              <w:rPr>
                <w:rFonts w:ascii="宋体"/>
                <w:sz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88" w:right="0"/>
              <w:jc w:val="left"/>
              <w:rPr>
                <w:rFonts w:ascii="宋体" w:hAnsi="宋体" w:cs="宋体" w:eastAsia="宋体" w:hint="default"/>
                <w:sz w:val="18"/>
                <w:szCs w:val="18"/>
              </w:rPr>
            </w:pPr>
            <w:r>
              <w:rPr>
                <w:rFonts w:ascii="宋体"/>
                <w:sz w:val="18"/>
              </w:rPr>
              <w:t>10,001,117.64</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10,001,117.64</w:t>
            </w:r>
            <w:r>
              <w:rPr>
                <w:rFonts w:ascii="宋体"/>
                <w:sz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90,459,650.19</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90,459,650.19</w:t>
            </w:r>
            <w:r>
              <w:rPr>
                <w:rFonts w:ascii="宋体"/>
                <w:sz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5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249,497,186.82</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249,497,186.82</w:t>
            </w:r>
            <w:r>
              <w:rPr>
                <w:rFonts w:ascii="宋体"/>
                <w:sz w:val="18"/>
              </w:rPr>
            </w:r>
          </w:p>
        </w:tc>
      </w:tr>
      <w:tr>
        <w:trPr>
          <w:trHeight w:val="29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259,498,304.46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259,498,304.46</w:t>
            </w:r>
            <w:r>
              <w:rPr>
                <w:rFonts w:ascii="宋体"/>
                <w:sz w:val="18"/>
              </w:rPr>
            </w:r>
          </w:p>
        </w:tc>
      </w:tr>
    </w:tbl>
    <w:p>
      <w:pPr>
        <w:spacing w:line="240" w:lineRule="auto" w:before="1"/>
        <w:rPr>
          <w:rFonts w:ascii="宋体" w:hAnsi="宋体" w:cs="宋体" w:eastAsia="宋体" w:hint="default"/>
          <w:b/>
          <w:bCs/>
          <w:sz w:val="8"/>
          <w:szCs w:val="8"/>
        </w:rPr>
      </w:pPr>
    </w:p>
    <w:p>
      <w:pPr>
        <w:pStyle w:val="BodyText"/>
        <w:spacing w:line="273" w:lineRule="auto" w:before="35"/>
        <w:ind w:right="1148" w:firstLine="420"/>
        <w:jc w:val="both"/>
      </w:pPr>
      <w:r>
        <w:rPr/>
        <w:t>注：本公司未办妥房产证的房地产共计十项，经咨询相关管理部门，芜湖</w:t>
      </w:r>
      <w:r>
        <w:rPr>
          <w:spacing w:val="-67"/>
        </w:rPr>
        <w:t> </w:t>
      </w:r>
      <w:r>
        <w:rPr>
          <w:rFonts w:ascii="宋体" w:hAnsi="宋体" w:cs="宋体" w:eastAsia="宋体" w:hint="default"/>
        </w:rPr>
        <w:t>Z</w:t>
      </w:r>
      <w:r>
        <w:rPr>
          <w:rFonts w:ascii="宋体" w:hAnsi="宋体" w:cs="宋体" w:eastAsia="宋体" w:hint="default"/>
          <w:spacing w:val="-67"/>
        </w:rPr>
        <w:t> </w:t>
      </w:r>
      <w:r>
        <w:rPr/>
        <w:t>区仓库、合肥牡丹路仓 储库是租用土地无法办理房产证，芜湖农贸市场、淮南木业大厅、滁州板材大棚、芜湖</w:t>
      </w:r>
      <w:r>
        <w:rPr>
          <w:spacing w:val="-54"/>
        </w:rPr>
        <w:t> </w:t>
      </w:r>
      <w:r>
        <w:rPr>
          <w:rFonts w:ascii="宋体" w:hAnsi="宋体" w:cs="宋体" w:eastAsia="宋体" w:hint="default"/>
        </w:rPr>
        <w:t>F</w:t>
      </w:r>
      <w:r>
        <w:rPr>
          <w:rFonts w:ascii="宋体" w:hAnsi="宋体" w:cs="宋体" w:eastAsia="宋体" w:hint="default"/>
          <w:spacing w:val="-53"/>
        </w:rPr>
        <w:t> </w:t>
      </w:r>
      <w:r>
        <w:rPr/>
        <w:t>区建材大棚、 芜湖</w:t>
      </w:r>
      <w:r>
        <w:rPr>
          <w:spacing w:val="-67"/>
        </w:rPr>
        <w:t> </w:t>
      </w:r>
      <w:r>
        <w:rPr>
          <w:rFonts w:ascii="宋体" w:hAnsi="宋体" w:cs="宋体" w:eastAsia="宋体" w:hint="default"/>
        </w:rPr>
        <w:t>C</w:t>
      </w:r>
      <w:r>
        <w:rPr>
          <w:rFonts w:ascii="宋体" w:hAnsi="宋体" w:cs="宋体" w:eastAsia="宋体" w:hint="default"/>
          <w:spacing w:val="-67"/>
        </w:rPr>
        <w:t> </w:t>
      </w:r>
      <w:r>
        <w:rPr/>
        <w:t>区仓库、芜湖商网配套联盟、滁州家具世界、滁州建材大棚均为市场配套建筑改出租，未达办证 条件。本公司 </w:t>
      </w:r>
      <w:r>
        <w:rPr>
          <w:rFonts w:ascii="宋体" w:hAnsi="宋体" w:cs="宋体" w:eastAsia="宋体" w:hint="default"/>
        </w:rPr>
        <w:t>2014</w:t>
      </w:r>
      <w:r>
        <w:rPr>
          <w:rFonts w:ascii="宋体" w:hAnsi="宋体" w:cs="宋体" w:eastAsia="宋体" w:hint="default"/>
          <w:spacing w:val="-41"/>
        </w:rPr>
        <w:t> </w:t>
      </w:r>
      <w:r>
        <w:rPr/>
        <w:t>年度已聘请安徽中正房地产评估有限公司对上述房地产进行了价值及尚可使用年限 评估，评估结果未发现上述房产存在减值迹象，尚可使用年限与本公司会计估计的尚余使用年限一致。 </w:t>
      </w:r>
      <w:r>
        <w:rPr>
          <w:rFonts w:ascii="宋体" w:hAnsi="宋体" w:cs="宋体" w:eastAsia="宋体" w:hint="default"/>
        </w:rPr>
        <w:t>2014</w:t>
      </w:r>
      <w:r>
        <w:rPr>
          <w:rFonts w:ascii="宋体" w:hAnsi="宋体" w:cs="宋体" w:eastAsia="宋体" w:hint="default"/>
          <w:spacing w:val="-33"/>
        </w:rPr>
        <w:t> </w:t>
      </w:r>
      <w:r>
        <w:rPr>
          <w:spacing w:val="-3"/>
        </w:rPr>
        <w:t>年上述未办理产权证的投资性房地产所属地区房产价格未出现重大波动，房产本身也未出现影响使</w:t>
      </w:r>
      <w:r>
        <w:rPr>
          <w:spacing w:val="-89"/>
        </w:rPr>
        <w:t> </w:t>
      </w:r>
      <w:r>
        <w:rPr>
          <w:spacing w:val="-89"/>
        </w:rPr>
      </w:r>
      <w:r>
        <w:rPr/>
        <w:t>用及价值的毁损。</w:t>
      </w:r>
    </w:p>
    <w:p>
      <w:pPr>
        <w:pStyle w:val="Heading3"/>
        <w:spacing w:line="240" w:lineRule="auto" w:before="163"/>
        <w:ind w:right="418"/>
        <w:jc w:val="left"/>
        <w:rPr>
          <w:b w:val="0"/>
          <w:bCs w:val="0"/>
        </w:rPr>
      </w:pPr>
      <w:r>
        <w:rPr/>
        <w:t>注释</w:t>
      </w:r>
      <w:r>
        <w:rPr>
          <w:spacing w:val="-60"/>
        </w:rPr>
        <w:t> </w:t>
      </w:r>
      <w:r>
        <w:rPr>
          <w:rFonts w:ascii="宋体" w:hAnsi="宋体" w:cs="宋体" w:eastAsia="宋体" w:hint="default"/>
        </w:rPr>
        <w:t>10</w:t>
      </w:r>
      <w:r>
        <w:rPr/>
        <w:t>．固定资产、累计折旧及固定资产减值准备</w:t>
      </w:r>
      <w:r>
        <w:rPr>
          <w:b w:val="0"/>
          <w:bCs w:val="0"/>
        </w:rPr>
      </w:r>
    </w:p>
    <w:p>
      <w:pPr>
        <w:pStyle w:val="BodyText"/>
        <w:spacing w:line="240" w:lineRule="auto" w:before="87"/>
        <w:ind w:left="824" w:right="5945"/>
        <w:jc w:val="left"/>
      </w:pPr>
      <w:r>
        <w:rPr/>
        <w:t>（</w:t>
      </w:r>
      <w:r>
        <w:rPr>
          <w:rFonts w:ascii="宋体" w:hAnsi="宋体" w:cs="宋体" w:eastAsia="宋体" w:hint="default"/>
          <w:b/>
          <w:bCs/>
        </w:rPr>
        <w:t>1</w:t>
      </w:r>
      <w:r>
        <w:rPr/>
        <w:t>）固定资产情况：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04"/>
        <w:gridCol w:w="1639"/>
        <w:gridCol w:w="1475"/>
        <w:gridCol w:w="1460"/>
        <w:gridCol w:w="1488"/>
        <w:gridCol w:w="1758"/>
      </w:tblGrid>
      <w:tr>
        <w:trPr>
          <w:trHeight w:val="397"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1"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b/>
                <w:bCs/>
                <w:sz w:val="18"/>
                <w:szCs w:val="18"/>
              </w:rPr>
              <w:t>其他设备</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656,252,403.39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7,410,721.45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15,349,079.07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17,774,356.46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696,786,560.37</w:t>
            </w:r>
            <w:r>
              <w:rPr>
                <w:rFonts w:ascii="宋体"/>
                <w:sz w:val="18"/>
              </w:rPr>
            </w:r>
          </w:p>
        </w:tc>
      </w:tr>
      <w:tr>
        <w:trPr>
          <w:trHeight w:val="282"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191,571,290.31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464,166.33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1,753,924.38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3,575,866.16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b/>
                <w:w w:val="95"/>
                <w:sz w:val="18"/>
              </w:rPr>
              <w:t>197,365,247.18</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80,666.33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1,753,924.38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1,280,989.15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3,115,579.86</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191,571,290.31</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191,571,290.31</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383,500.00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2,294,877.01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2,678,377.01</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4,594,501.75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352,656.00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3,549,276.27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749,120.83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9,245,554.85</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843,229,191.95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7,522,231.78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13,553,727.18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20,601,101.79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884,906,252.70</w:t>
            </w:r>
            <w:r>
              <w:rPr>
                <w:rFonts w:ascii="宋体"/>
                <w:sz w:val="18"/>
              </w:rPr>
            </w:r>
          </w:p>
        </w:tc>
      </w:tr>
      <w:tr>
        <w:trPr>
          <w:trHeight w:val="282"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b/>
                <w:w w:val="99"/>
                <w:sz w:val="18"/>
              </w:rPr>
              <w:t>-</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168,885,628.71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2,867,131.34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9,176,992.43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9,561,261.23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190,491,013.71</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21,864,908.22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1,124,636.78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841,239.35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3,273,967.24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27,104,751.59</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21,864,908.22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992,652.24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841,239.35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2,002,918.03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25,701,717.84</w:t>
            </w:r>
            <w:r>
              <w:rPr>
                <w:rFonts w:ascii="宋体"/>
                <w:sz w:val="18"/>
              </w:rPr>
            </w:r>
          </w:p>
        </w:tc>
      </w:tr>
      <w:tr>
        <w:trPr>
          <w:trHeight w:val="284"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131,984.54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1,271,049.21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1,403,033.75</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2,356,889.91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335,023.20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2,645,726.76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542,016.79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5,879,656.66</w:t>
            </w:r>
            <w:r>
              <w:rPr>
                <w:rFonts w:ascii="宋体"/>
                <w:sz w:val="18"/>
              </w:rPr>
            </w:r>
          </w:p>
        </w:tc>
      </w:tr>
      <w:tr>
        <w:trPr>
          <w:trHeight w:val="282"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188,393,647.02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3,656,744.92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7,372,505.02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12,293,211.68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b/>
                <w:w w:val="95"/>
                <w:sz w:val="18"/>
              </w:rPr>
              <w:t>211,716,108.64</w:t>
            </w:r>
            <w:r>
              <w:rPr>
                <w:rFonts w:ascii="宋体"/>
                <w:sz w:val="18"/>
              </w:rPr>
            </w:r>
          </w:p>
        </w:tc>
      </w:tr>
      <w:tr>
        <w:trPr>
          <w:trHeight w:val="284"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104"/>
        <w:gridCol w:w="1639"/>
        <w:gridCol w:w="1475"/>
        <w:gridCol w:w="1460"/>
        <w:gridCol w:w="1488"/>
        <w:gridCol w:w="1758"/>
      </w:tblGrid>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13,473,932.42</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562,233.45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56,043.33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14,092,209.20</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13,473,932.42</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562,233.45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56,043.33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14,092,209.20</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641,361,612.51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3,865,486.86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5,618,988.71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8,251,846.78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659,097,934.86</w:t>
            </w:r>
            <w:r>
              <w:rPr>
                <w:rFonts w:ascii="宋体"/>
                <w:sz w:val="18"/>
              </w:rPr>
            </w:r>
          </w:p>
        </w:tc>
      </w:tr>
      <w:tr>
        <w:trPr>
          <w:trHeight w:val="283"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473,892,842.26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4,543,590.11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5,609,853.19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8,157,051.90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492,203,337.46</w:t>
            </w:r>
            <w:r>
              <w:rPr>
                <w:rFonts w:ascii="宋体"/>
                <w:sz w:val="18"/>
              </w:rPr>
            </w:r>
          </w:p>
        </w:tc>
      </w:tr>
    </w:tbl>
    <w:p>
      <w:pPr>
        <w:spacing w:line="240" w:lineRule="auto" w:before="1"/>
        <w:rPr>
          <w:rFonts w:ascii="宋体" w:hAnsi="宋体" w:cs="宋体" w:eastAsia="宋体" w:hint="default"/>
          <w:sz w:val="8"/>
          <w:szCs w:val="8"/>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11</w:t>
      </w:r>
      <w:r>
        <w:rPr/>
        <w:t>．在建工程</w:t>
      </w:r>
      <w:r>
        <w:rPr>
          <w:b w:val="0"/>
          <w:bCs w:val="0"/>
        </w:rPr>
      </w:r>
    </w:p>
    <w:p>
      <w:pPr>
        <w:pStyle w:val="BodyText"/>
        <w:spacing w:line="240" w:lineRule="auto" w:before="99"/>
        <w:ind w:left="824" w:right="5945"/>
        <w:jc w:val="left"/>
      </w:pPr>
      <w:r>
        <w:rPr/>
        <w:t>（</w:t>
      </w:r>
      <w:r>
        <w:rPr>
          <w:rFonts w:ascii="宋体" w:hAnsi="宋体" w:cs="宋体" w:eastAsia="宋体" w:hint="default"/>
          <w:b/>
          <w:bCs/>
        </w:rPr>
        <w:t>1</w:t>
      </w:r>
      <w:r>
        <w:rPr/>
        <w:t>）在建工程情况：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02"/>
        <w:gridCol w:w="1445"/>
        <w:gridCol w:w="964"/>
        <w:gridCol w:w="1445"/>
        <w:gridCol w:w="1445"/>
        <w:gridCol w:w="964"/>
        <w:gridCol w:w="1561"/>
      </w:tblGrid>
      <w:tr>
        <w:trPr>
          <w:trHeight w:val="334" w:hRule="exact"/>
        </w:trPr>
        <w:tc>
          <w:tcPr>
            <w:tcW w:w="21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7" w:hRule="exact"/>
        </w:trPr>
        <w:tc>
          <w:tcPr>
            <w:tcW w:w="2102" w:type="dxa"/>
            <w:vMerge/>
            <w:tcBorders>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3"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SAP</w:t>
            </w:r>
            <w:r>
              <w:rPr>
                <w:rFonts w:ascii="宋体" w:hAnsi="宋体" w:cs="宋体" w:eastAsia="宋体" w:hint="default"/>
                <w:sz w:val="18"/>
                <w:szCs w:val="18"/>
              </w:rPr>
              <w:t>、</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5,228,549.83</w:t>
            </w:r>
          </w:p>
        </w:tc>
        <w:tc>
          <w:tcPr>
            <w:tcW w:w="96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5,228,549.83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2,775,870.59</w:t>
            </w:r>
          </w:p>
        </w:tc>
        <w:tc>
          <w:tcPr>
            <w:tcW w:w="9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2,775,870.59</w:t>
            </w:r>
          </w:p>
        </w:tc>
      </w:tr>
      <w:tr>
        <w:trPr>
          <w:trHeight w:val="28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酒店装修改造工程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75,542.20</w:t>
            </w:r>
          </w:p>
        </w:tc>
        <w:tc>
          <w:tcPr>
            <w:tcW w:w="96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75,542.20</w:t>
            </w:r>
          </w:p>
        </w:tc>
        <w:tc>
          <w:tcPr>
            <w:tcW w:w="144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5,304,092.03</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5,304,092.03</w:t>
            </w:r>
            <w:r>
              <w:rPr>
                <w:rFonts w:ascii="宋体"/>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2,775,870.59</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2,775,870.59</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w:t>
      </w:r>
      <w:r>
        <w:rPr>
          <w:rFonts w:ascii="宋体" w:hAnsi="宋体" w:cs="宋体" w:eastAsia="宋体" w:hint="default"/>
        </w:rPr>
        <w:t>2</w:t>
      </w:r>
      <w:r>
        <w:rPr/>
        <w:t>）重要在建工程项目本期变动情况：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30"/>
        <w:gridCol w:w="887"/>
        <w:gridCol w:w="1414"/>
        <w:gridCol w:w="1415"/>
        <w:gridCol w:w="1414"/>
        <w:gridCol w:w="1332"/>
        <w:gridCol w:w="1534"/>
      </w:tblGrid>
      <w:tr>
        <w:trPr>
          <w:trHeight w:val="52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5"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60"/>
              <w:jc w:val="right"/>
              <w:rPr>
                <w:rFonts w:ascii="宋体" w:hAnsi="宋体" w:cs="宋体" w:eastAsia="宋体" w:hint="default"/>
                <w:sz w:val="18"/>
                <w:szCs w:val="18"/>
              </w:rPr>
            </w:pPr>
            <w:r>
              <w:rPr>
                <w:rFonts w:ascii="宋体" w:hAnsi="宋体" w:cs="宋体" w:eastAsia="宋体" w:hint="default"/>
                <w:b/>
                <w:bCs/>
                <w:w w:val="95"/>
                <w:sz w:val="18"/>
                <w:szCs w:val="18"/>
              </w:rPr>
              <w:t>本期增加金额</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1" w:right="216"/>
              <w:jc w:val="left"/>
              <w:rPr>
                <w:rFonts w:ascii="宋体" w:hAnsi="宋体" w:cs="宋体" w:eastAsia="宋体" w:hint="default"/>
                <w:sz w:val="18"/>
                <w:szCs w:val="18"/>
              </w:rPr>
            </w:pPr>
            <w:r>
              <w:rPr>
                <w:rFonts w:ascii="宋体" w:hAnsi="宋体" w:cs="宋体" w:eastAsia="宋体" w:hint="default"/>
                <w:b/>
                <w:bCs/>
                <w:sz w:val="18"/>
                <w:szCs w:val="18"/>
              </w:rPr>
              <w:t>本期转入固定</w:t>
            </w:r>
            <w:r>
              <w:rPr>
                <w:rFonts w:ascii="宋体" w:hAnsi="宋体" w:cs="宋体" w:eastAsia="宋体" w:hint="default"/>
                <w:b/>
                <w:bCs/>
                <w:w w:val="99"/>
                <w:sz w:val="18"/>
                <w:szCs w:val="18"/>
              </w:rPr>
              <w:t> </w:t>
            </w:r>
            <w:r>
              <w:rPr>
                <w:rFonts w:ascii="宋体" w:hAnsi="宋体" w:cs="宋体" w:eastAsia="宋体" w:hint="default"/>
                <w:b/>
                <w:bCs/>
                <w:sz w:val="18"/>
                <w:szCs w:val="18"/>
              </w:rPr>
              <w:t>资产金额</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33"/>
              <w:jc w:val="left"/>
              <w:rPr>
                <w:rFonts w:ascii="宋体" w:hAnsi="宋体" w:cs="宋体" w:eastAsia="宋体" w:hint="default"/>
                <w:sz w:val="18"/>
                <w:szCs w:val="18"/>
              </w:rPr>
            </w:pPr>
            <w:r>
              <w:rPr>
                <w:rFonts w:ascii="宋体" w:hAnsi="宋体" w:cs="宋体" w:eastAsia="宋体" w:hint="default"/>
                <w:b/>
                <w:bCs/>
                <w:sz w:val="18"/>
                <w:szCs w:val="18"/>
              </w:rPr>
              <w:t>本期其他减少</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SAP</w:t>
            </w:r>
            <w:r>
              <w:rPr>
                <w:rFonts w:ascii="宋体" w:hAnsi="宋体" w:cs="宋体" w:eastAsia="宋体" w:hint="default"/>
                <w:sz w:val="18"/>
                <w:szCs w:val="18"/>
              </w:rPr>
              <w:t>、</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8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7" w:right="0"/>
              <w:jc w:val="center"/>
              <w:rPr>
                <w:rFonts w:ascii="宋体" w:hAnsi="宋体" w:cs="宋体" w:eastAsia="宋体" w:hint="default"/>
                <w:sz w:val="18"/>
                <w:szCs w:val="18"/>
              </w:rPr>
            </w:pPr>
            <w:r>
              <w:rPr>
                <w:rFonts w:ascii="宋体"/>
                <w:sz w:val="18"/>
              </w:rPr>
              <w:t>2,775,870.59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2,452,679.24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5,228,549.83</w:t>
            </w:r>
          </w:p>
        </w:tc>
      </w:tr>
      <w:tr>
        <w:trPr>
          <w:trHeight w:val="28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酒店装修工程</w:t>
            </w:r>
          </w:p>
        </w:tc>
        <w:tc>
          <w:tcPr>
            <w:tcW w:w="8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75,542.20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75,542.20</w:t>
            </w:r>
          </w:p>
        </w:tc>
      </w:tr>
      <w:tr>
        <w:trPr>
          <w:trHeight w:val="28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超市改造工程</w:t>
            </w:r>
          </w:p>
        </w:tc>
        <w:tc>
          <w:tcPr>
            <w:tcW w:w="8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1,988,613.92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1,157,615.05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830,998.87</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商城改造</w:t>
            </w:r>
          </w:p>
        </w:tc>
        <w:tc>
          <w:tcPr>
            <w:tcW w:w="8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3,605,241.76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3,482,456.85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122,784.91</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7" w:right="0"/>
              <w:jc w:val="center"/>
              <w:rPr>
                <w:rFonts w:ascii="宋体" w:hAnsi="宋体" w:cs="宋体" w:eastAsia="宋体" w:hint="default"/>
                <w:sz w:val="18"/>
                <w:szCs w:val="18"/>
              </w:rPr>
            </w:pPr>
            <w:r>
              <w:rPr>
                <w:rFonts w:ascii="宋体"/>
                <w:b/>
                <w:sz w:val="18"/>
              </w:rPr>
              <w:t>2,775,870.59</w:t>
            </w:r>
            <w:r>
              <w:rPr>
                <w:rFonts w:ascii="宋体"/>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8"/>
                <w:szCs w:val="18"/>
              </w:rPr>
            </w:pPr>
            <w:r>
              <w:rPr>
                <w:rFonts w:ascii="宋体"/>
                <w:b/>
                <w:w w:val="95"/>
                <w:sz w:val="18"/>
              </w:rPr>
              <w:t>8,122,077.12</w:t>
            </w:r>
            <w:r>
              <w:rPr>
                <w:rFonts w:ascii="宋体"/>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8"/>
                <w:szCs w:val="18"/>
              </w:rPr>
            </w:pPr>
            <w:r>
              <w:rPr>
                <w:rFonts w:ascii="宋体"/>
                <w:b/>
                <w:w w:val="95"/>
                <w:sz w:val="18"/>
              </w:rPr>
              <w:t>4,640,071.90</w:t>
            </w:r>
            <w:r>
              <w:rPr>
                <w:rFonts w:ascii="宋体"/>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18"/>
                <w:szCs w:val="18"/>
              </w:rPr>
            </w:pPr>
            <w:r>
              <w:rPr>
                <w:rFonts w:ascii="宋体"/>
                <w:b/>
                <w:w w:val="95"/>
                <w:sz w:val="18"/>
              </w:rPr>
              <w:t>953,783.78</w:t>
            </w:r>
            <w:r>
              <w:rPr>
                <w:rFonts w:ascii="宋体"/>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18"/>
                <w:szCs w:val="18"/>
              </w:rPr>
            </w:pPr>
            <w:r>
              <w:rPr>
                <w:rFonts w:ascii="宋体"/>
                <w:b/>
                <w:w w:val="95"/>
                <w:sz w:val="18"/>
              </w:rPr>
              <w:t>5,304,092.03</w:t>
            </w:r>
            <w:r>
              <w:rPr>
                <w:rFonts w:ascii="宋体"/>
                <w:sz w:val="18"/>
              </w:rPr>
            </w:r>
          </w:p>
        </w:tc>
      </w:tr>
    </w:tbl>
    <w:p>
      <w:pPr>
        <w:spacing w:line="240" w:lineRule="auto" w:before="1"/>
        <w:rPr>
          <w:rFonts w:ascii="宋体" w:hAnsi="宋体" w:cs="宋体" w:eastAsia="宋体" w:hint="default"/>
          <w:sz w:val="8"/>
          <w:szCs w:val="8"/>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12</w:t>
      </w:r>
      <w:r>
        <w:rPr/>
        <w:t>．无形资产</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270"/>
        <w:gridCol w:w="1994"/>
        <w:gridCol w:w="1901"/>
        <w:gridCol w:w="1901"/>
        <w:gridCol w:w="1860"/>
      </w:tblGrid>
      <w:tr>
        <w:trPr>
          <w:trHeight w:val="39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39"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3" w:right="0"/>
              <w:jc w:val="left"/>
              <w:rPr>
                <w:rFonts w:ascii="宋体" w:hAnsi="宋体" w:cs="宋体" w:eastAsia="宋体" w:hint="default"/>
                <w:sz w:val="18"/>
                <w:szCs w:val="18"/>
              </w:rPr>
            </w:pPr>
            <w:r>
              <w:rPr>
                <w:rFonts w:ascii="宋体" w:hAnsi="宋体" w:cs="宋体" w:eastAsia="宋体" w:hint="default"/>
                <w:b/>
                <w:bCs/>
                <w:sz w:val="18"/>
                <w:szCs w:val="18"/>
              </w:rPr>
              <w:t>电脑软件及其他</w:t>
            </w:r>
            <w:r>
              <w:rPr>
                <w:rFonts w:ascii="宋体" w:hAnsi="宋体" w:cs="宋体" w:eastAsia="宋体" w:hint="default"/>
                <w:sz w:val="18"/>
                <w:szCs w:val="18"/>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3" w:right="0"/>
              <w:jc w:val="left"/>
              <w:rPr>
                <w:rFonts w:ascii="宋体" w:hAnsi="宋体" w:cs="宋体" w:eastAsia="宋体" w:hint="default"/>
                <w:sz w:val="18"/>
                <w:szCs w:val="18"/>
              </w:rPr>
            </w:pPr>
            <w:r>
              <w:rPr>
                <w:rFonts w:ascii="宋体" w:hAnsi="宋体" w:cs="宋体" w:eastAsia="宋体" w:hint="default"/>
                <w:b/>
                <w:bCs/>
                <w:sz w:val="18"/>
                <w:szCs w:val="18"/>
              </w:rPr>
              <w:t>商业场地使用权</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17,926,247.29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602,923.08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85,036,300.00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103,565,470.37</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49,972,976.59</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49,972,976.59</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371,264.06</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371,264.06</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44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49,601,712.53</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49,601,712.53</w:t>
            </w:r>
            <w:r>
              <w:rPr>
                <w:rFonts w:ascii="宋体"/>
                <w:sz w:val="18"/>
              </w:rPr>
            </w:r>
          </w:p>
        </w:tc>
      </w:tr>
      <w:tr>
        <w:trPr>
          <w:trHeight w:val="28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17,926,247.29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50,575,899.67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85,036,300.00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153,538,446.96</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4,552,167.77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1"/>
              <w:jc w:val="right"/>
              <w:rPr>
                <w:rFonts w:ascii="宋体" w:hAnsi="宋体" w:cs="宋体" w:eastAsia="宋体" w:hint="default"/>
                <w:sz w:val="18"/>
                <w:szCs w:val="18"/>
              </w:rPr>
            </w:pPr>
            <w:r>
              <w:rPr>
                <w:rFonts w:ascii="宋体"/>
                <w:sz w:val="18"/>
              </w:rPr>
              <w:t>171,785.76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52,522,420.82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57,246,374.35</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572,769.66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1,074,372.26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10,004,270.64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11,651,412.56</w:t>
            </w:r>
            <w:r>
              <w:rPr>
                <w:rFonts w:ascii="宋体"/>
                <w:sz w:val="18"/>
              </w:rPr>
            </w:r>
          </w:p>
        </w:tc>
      </w:tr>
      <w:tr>
        <w:trPr>
          <w:trHeight w:val="28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572,769.66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674,315.57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10,004,270.64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b/>
                <w:w w:val="95"/>
                <w:sz w:val="18"/>
              </w:rPr>
              <w:t>11,251,355.87</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44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400,056.69</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400,056.69</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5,124,937.43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1,246,158.02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62,526,691.46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68,897,786.91</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2270"/>
        <w:gridCol w:w="1994"/>
        <w:gridCol w:w="1901"/>
        <w:gridCol w:w="1901"/>
        <w:gridCol w:w="1860"/>
      </w:tblGrid>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3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3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12,801,309.86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49,329,741.65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22,509,608.54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b/>
                <w:w w:val="95"/>
                <w:sz w:val="18"/>
              </w:rPr>
              <w:t>84,640,660.05</w:t>
            </w:r>
            <w:r>
              <w:rPr>
                <w:rFonts w:ascii="宋体"/>
                <w:sz w:val="18"/>
              </w:rPr>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13,374,079.52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431,137.32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32,513,879.18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46,319,096.02</w:t>
            </w:r>
            <w:r>
              <w:rPr>
                <w:rFonts w:ascii="宋体"/>
                <w:sz w:val="18"/>
              </w:rPr>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273"/>
        <w:gridCol w:w="1640"/>
        <w:gridCol w:w="1590"/>
        <w:gridCol w:w="1518"/>
        <w:gridCol w:w="1272"/>
        <w:gridCol w:w="1632"/>
      </w:tblGrid>
      <w:tr>
        <w:trPr>
          <w:trHeight w:val="40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4,974,600.37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51,303,246.05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5,043,930.88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51,233,915.54</w:t>
            </w:r>
          </w:p>
        </w:tc>
      </w:tr>
      <w:tr>
        <w:trPr>
          <w:trHeight w:val="29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柜台制作费</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1,970,864.02</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172,729.24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1,798,134.78</w:t>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照明系统改造</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1,862,671.50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57,476.80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1,805,194.70</w:t>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空调系统改造费</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47,999.86</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32,000.00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15,999.86</w:t>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玻璃幕墙改造</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64,883.26</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26,848.22</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38,035.04</w:t>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卫生间改造</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259,254.74</w:t>
            </w:r>
          </w:p>
        </w:tc>
        <w:tc>
          <w:tcPr>
            <w:tcW w:w="159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98,720.49</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160,534.25</w:t>
            </w:r>
          </w:p>
        </w:tc>
      </w:tr>
      <w:tr>
        <w:trPr>
          <w:trHeight w:val="29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6,853,169.35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4,156,890.95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3,693,381.59</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7,316,678.71</w:t>
            </w:r>
          </w:p>
        </w:tc>
      </w:tr>
      <w:tr>
        <w:trPr>
          <w:trHeight w:val="294"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64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962,100.11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35,633.33</w:t>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926,466.78</w:t>
            </w:r>
          </w:p>
        </w:tc>
      </w:tr>
      <w:tr>
        <w:trPr>
          <w:trHeight w:val="407"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16,033,443.10</w:t>
            </w:r>
            <w:r>
              <w:rPr>
                <w:rFonts w:ascii="宋体"/>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56,422,237.11</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9,160,720.55</w:t>
            </w:r>
            <w:r>
              <w:rPr>
                <w:rFonts w:ascii="宋体"/>
                <w:sz w:val="18"/>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63,294,959.66</w:t>
            </w:r>
            <w:r>
              <w:rPr>
                <w:rFonts w:ascii="宋体"/>
                <w:sz w:val="18"/>
              </w:rPr>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14</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387"/>
        <w:gridCol w:w="2088"/>
        <w:gridCol w:w="1768"/>
        <w:gridCol w:w="1928"/>
        <w:gridCol w:w="1754"/>
      </w:tblGrid>
      <w:tr>
        <w:trPr>
          <w:trHeight w:val="349" w:hRule="exact"/>
        </w:trPr>
        <w:tc>
          <w:tcPr>
            <w:tcW w:w="23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7" w:hRule="exact"/>
        </w:trPr>
        <w:tc>
          <w:tcPr>
            <w:tcW w:w="2387" w:type="dxa"/>
            <w:vMerge/>
            <w:tcBorders>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84"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44,428,059.40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11,107,014.85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25,433,709.60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6,358,427.40</w:t>
            </w:r>
          </w:p>
        </w:tc>
      </w:tr>
      <w:tr>
        <w:trPr>
          <w:trHeight w:val="397"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8"/>
                <w:szCs w:val="18"/>
              </w:rPr>
            </w:pPr>
            <w:r>
              <w:rPr>
                <w:rFonts w:ascii="宋体"/>
                <w:b/>
                <w:w w:val="95"/>
                <w:sz w:val="18"/>
              </w:rPr>
              <w:t>44,428,059.40</w:t>
            </w:r>
            <w:r>
              <w:rPr>
                <w:rFonts w:ascii="宋体"/>
                <w:sz w:val="18"/>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8"/>
                <w:szCs w:val="18"/>
              </w:rPr>
            </w:pPr>
            <w:r>
              <w:rPr>
                <w:rFonts w:ascii="宋体"/>
                <w:b/>
                <w:w w:val="95"/>
                <w:sz w:val="18"/>
              </w:rPr>
              <w:t>11,107,014.85</w:t>
            </w:r>
            <w:r>
              <w:rPr>
                <w:rFonts w:ascii="宋体"/>
                <w:sz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b/>
                <w:w w:val="95"/>
                <w:sz w:val="18"/>
              </w:rPr>
              <w:t>25,433,709.60</w:t>
            </w:r>
            <w:r>
              <w:rPr>
                <w:rFonts w:ascii="宋体"/>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8"/>
                <w:szCs w:val="18"/>
              </w:rPr>
            </w:pPr>
            <w:r>
              <w:rPr>
                <w:rFonts w:ascii="宋体"/>
                <w:b/>
                <w:w w:val="95"/>
                <w:sz w:val="18"/>
              </w:rPr>
              <w:t>6,358,427.40</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4442"/>
        <w:gridCol w:w="2676"/>
        <w:gridCol w:w="2807"/>
      </w:tblGrid>
      <w:tr>
        <w:trPr>
          <w:trHeight w:val="397"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2"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国画</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98,000.00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98,000.00</w:t>
            </w:r>
          </w:p>
        </w:tc>
      </w:tr>
      <w:tr>
        <w:trPr>
          <w:trHeight w:val="283"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年新准则追溯后的原股权投资差额借方</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913,142.27</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913,142.27</w:t>
            </w:r>
          </w:p>
        </w:tc>
      </w:tr>
      <w:tr>
        <w:trPr>
          <w:trHeight w:val="397"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1,011,142.27</w:t>
            </w:r>
            <w:r>
              <w:rPr>
                <w:rFonts w:ascii="宋体"/>
                <w:sz w:val="18"/>
              </w:rPr>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1,011,142.27</w:t>
            </w:r>
            <w:r>
              <w:rPr>
                <w:rFonts w:ascii="宋体"/>
                <w:sz w:val="18"/>
              </w:rPr>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16</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BodyText"/>
        <w:spacing w:line="240" w:lineRule="auto" w:before="99"/>
        <w:ind w:left="824" w:right="5945"/>
        <w:jc w:val="left"/>
      </w:pPr>
      <w:r>
        <w:rPr/>
        <w:t>（</w:t>
      </w:r>
      <w:r>
        <w:rPr>
          <w:rFonts w:ascii="宋体" w:hAnsi="宋体" w:cs="宋体" w:eastAsia="宋体" w:hint="default"/>
        </w:rPr>
        <w:t>1</w:t>
      </w:r>
      <w:r>
        <w:rPr/>
        <w:t>）应付账款列示：</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921"/>
        <w:gridCol w:w="2828"/>
        <w:gridCol w:w="3176"/>
      </w:tblGrid>
      <w:tr>
        <w:trPr>
          <w:trHeight w:val="397" w:hRule="exact"/>
        </w:trPr>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0" w:hRule="exact"/>
        </w:trPr>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271,446,604.07</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142,047,039.78</w:t>
            </w:r>
          </w:p>
        </w:tc>
      </w:tr>
      <w:tr>
        <w:trPr>
          <w:trHeight w:val="341" w:hRule="exact"/>
        </w:trPr>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24,748,968.33</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76,099,164.33</w:t>
            </w:r>
          </w:p>
        </w:tc>
      </w:tr>
      <w:tr>
        <w:trPr>
          <w:trHeight w:val="397" w:hRule="exact"/>
        </w:trPr>
        <w:tc>
          <w:tcPr>
            <w:tcW w:w="3921"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8"/>
                <w:szCs w:val="18"/>
              </w:rPr>
            </w:pPr>
            <w:r>
              <w:rPr>
                <w:rFonts w:ascii="宋体"/>
                <w:b/>
                <w:w w:val="95"/>
                <w:sz w:val="18"/>
              </w:rPr>
              <w:t>296,195,572.40</w:t>
            </w:r>
            <w:r>
              <w:rPr>
                <w:rFonts w:ascii="宋体"/>
                <w:sz w:val="18"/>
              </w:rPr>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8"/>
                <w:szCs w:val="18"/>
              </w:rPr>
            </w:pPr>
            <w:r>
              <w:rPr>
                <w:rFonts w:ascii="宋体"/>
                <w:b/>
                <w:w w:val="95"/>
                <w:sz w:val="18"/>
              </w:rPr>
              <w:t>218,146,204.11</w:t>
            </w:r>
            <w:r>
              <w:rPr>
                <w:rFonts w:ascii="宋体"/>
                <w:sz w:val="18"/>
              </w:rPr>
            </w:r>
          </w:p>
        </w:tc>
      </w:tr>
    </w:tbl>
    <w:p>
      <w:pPr>
        <w:spacing w:line="240" w:lineRule="auto" w:before="5"/>
        <w:rPr>
          <w:rFonts w:ascii="宋体" w:hAnsi="宋体" w:cs="宋体" w:eastAsia="宋体" w:hint="default"/>
          <w:sz w:val="5"/>
          <w:szCs w:val="5"/>
        </w:rPr>
      </w:pPr>
    </w:p>
    <w:p>
      <w:pPr>
        <w:pStyle w:val="BodyText"/>
        <w:spacing w:line="240" w:lineRule="auto" w:before="35"/>
        <w:ind w:left="824" w:right="5945"/>
        <w:jc w:val="left"/>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年的重要应付账款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5"/>
        <w:gridCol w:w="3542"/>
        <w:gridCol w:w="3828"/>
      </w:tblGrid>
      <w:tr>
        <w:trPr>
          <w:trHeight w:val="398"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95"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0"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24,496,944.02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z w:val="18"/>
                <w:szCs w:val="18"/>
              </w:rPr>
              <w:t>工程未最终决算</w:t>
            </w:r>
          </w:p>
        </w:tc>
      </w:tr>
      <w:tr>
        <w:trPr>
          <w:trHeight w:val="340"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电信通道款</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252,024.31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对方尚未结算</w:t>
            </w:r>
          </w:p>
        </w:tc>
      </w:tr>
      <w:tr>
        <w:trPr>
          <w:trHeight w:val="39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24,748,968.33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hAnsi="宋体" w:cs="宋体" w:eastAsia="宋体" w:hint="default"/>
                <w:b/>
                <w:bCs/>
                <w:w w:val="95"/>
                <w:sz w:val="18"/>
                <w:szCs w:val="18"/>
              </w:rPr>
              <w:t>工程未最终决算</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spacing w:line="408" w:lineRule="auto" w:before="35"/>
        <w:ind w:left="827" w:right="3078" w:hanging="3"/>
        <w:jc w:val="left"/>
        <w:rPr>
          <w:rFonts w:ascii="宋体" w:hAnsi="宋体" w:cs="宋体" w:eastAsia="宋体" w:hint="default"/>
          <w:sz w:val="21"/>
          <w:szCs w:val="21"/>
        </w:rPr>
      </w:pPr>
      <w:r>
        <w:rPr/>
        <w:pict>
          <v:shape style="position:absolute;margin-left:50.759998pt;margin-top:41.493698pt;width:497pt;height:72.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6"/>
                    <w:gridCol w:w="4023"/>
                    <w:gridCol w:w="3126"/>
                  </w:tblGrid>
                  <w:tr>
                    <w:trPr>
                      <w:trHeight w:val="362"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1"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240,387,026.33</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272,454,711.26</w:t>
                        </w:r>
                      </w:p>
                    </w:tc>
                  </w:tr>
                  <w:tr>
                    <w:trPr>
                      <w:trHeight w:val="340"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8,218,367.72</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752,745.23</w:t>
                        </w:r>
                      </w:p>
                    </w:tc>
                  </w:tr>
                  <w:tr>
                    <w:trPr>
                      <w:trHeight w:val="397"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248,605,394.05</w:t>
                        </w:r>
                        <w:r>
                          <w:rPr>
                            <w:rFonts w:ascii="宋体"/>
                            <w:sz w:val="18"/>
                          </w:rPr>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273,207,456.49</w:t>
                        </w:r>
                        <w:r>
                          <w:rPr>
                            <w:rFonts w:ascii="宋体"/>
                            <w:sz w:val="18"/>
                          </w:rPr>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）本期末应付账款中无应付持本公司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（含）以上股份的股东单位款项。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spacing w:line="273" w:lineRule="auto" w:before="35"/>
        <w:ind w:right="1186" w:firstLine="420"/>
        <w:jc w:val="both"/>
      </w:pPr>
      <w:r>
        <w:rPr/>
        <w:t>（</w:t>
      </w:r>
      <w:r>
        <w:rPr>
          <w:rFonts w:ascii="宋体" w:hAnsi="宋体" w:cs="宋体" w:eastAsia="宋体" w:hint="default"/>
        </w:rPr>
        <w:t>1</w:t>
      </w:r>
      <w:r>
        <w:rPr/>
        <w:t>）账龄超过</w:t>
      </w:r>
      <w:r>
        <w:rPr>
          <w:spacing w:val="-38"/>
        </w:rPr>
        <w:t> </w:t>
      </w:r>
      <w:r>
        <w:rPr>
          <w:rFonts w:ascii="宋体" w:hAnsi="宋体" w:cs="宋体" w:eastAsia="宋体" w:hint="default"/>
        </w:rPr>
        <w:t>1</w:t>
      </w:r>
      <w:r>
        <w:rPr>
          <w:rFonts w:ascii="宋体" w:hAnsi="宋体" w:cs="宋体" w:eastAsia="宋体" w:hint="default"/>
          <w:spacing w:val="-37"/>
        </w:rPr>
        <w:t> </w:t>
      </w:r>
      <w:r>
        <w:rPr/>
        <w:t>年的大额预收账款情况的说明：账龄超过</w:t>
      </w:r>
      <w:r>
        <w:rPr>
          <w:spacing w:val="-38"/>
        </w:rPr>
        <w:t> </w:t>
      </w:r>
      <w:r>
        <w:rPr>
          <w:rFonts w:ascii="宋体" w:hAnsi="宋体" w:cs="宋体" w:eastAsia="宋体" w:hint="default"/>
        </w:rPr>
        <w:t>1</w:t>
      </w:r>
      <w:r>
        <w:rPr>
          <w:rFonts w:ascii="宋体" w:hAnsi="宋体" w:cs="宋体" w:eastAsia="宋体" w:hint="default"/>
          <w:spacing w:val="-36"/>
        </w:rPr>
        <w:t> </w:t>
      </w:r>
      <w:r>
        <w:rPr/>
        <w:t>年的预收账款主要系预付费客户在公 </w:t>
      </w:r>
      <w:r>
        <w:rPr>
          <w:spacing w:val="-1"/>
        </w:rPr>
        <w:t>司平台充值后，一直未消费所致，单个客户预付款金额较小，客户总数较多，故未列出。另外，秦皇岛</w:t>
      </w:r>
      <w:r>
        <w:rPr>
          <w:spacing w:val="-103"/>
        </w:rPr>
        <w:t> </w:t>
      </w:r>
      <w:r>
        <w:rPr>
          <w:spacing w:val="-103"/>
        </w:rPr>
      </w:r>
      <w:r>
        <w:rPr/>
        <w:t>地区尚余部分未消费的百货购物卡。</w:t>
      </w:r>
    </w:p>
    <w:p>
      <w:pPr>
        <w:pStyle w:val="BodyText"/>
        <w:spacing w:line="240" w:lineRule="auto" w:before="67"/>
        <w:ind w:left="824" w:right="418"/>
        <w:jc w:val="left"/>
      </w:pPr>
      <w:r>
        <w:rPr/>
        <w:t>（</w:t>
      </w:r>
      <w:r>
        <w:rPr>
          <w:rFonts w:ascii="宋体" w:hAnsi="宋体" w:cs="宋体" w:eastAsia="宋体" w:hint="default"/>
        </w:rPr>
        <w:t>2</w:t>
      </w:r>
      <w:r>
        <w:rPr/>
        <w:t>）本期末应付账款中无应付持本公司</w:t>
      </w:r>
      <w:r>
        <w:rPr>
          <w:spacing w:val="-56"/>
        </w:rPr>
        <w:t> </w:t>
      </w:r>
      <w:r>
        <w:rPr>
          <w:rFonts w:ascii="宋体" w:hAnsi="宋体" w:cs="宋体" w:eastAsia="宋体" w:hint="default"/>
        </w:rPr>
        <w:t>5%</w:t>
      </w:r>
      <w:r>
        <w:rPr/>
        <w:t>（含）以上股份的股东单位款项。</w:t>
      </w:r>
    </w:p>
    <w:p>
      <w:pPr>
        <w:spacing w:line="240" w:lineRule="auto" w:before="2"/>
        <w:rPr>
          <w:rFonts w:ascii="宋体" w:hAnsi="宋体" w:cs="宋体" w:eastAsia="宋体" w:hint="default"/>
          <w:sz w:val="21"/>
          <w:szCs w:val="21"/>
        </w:rPr>
      </w:pPr>
    </w:p>
    <w:p>
      <w:pPr>
        <w:pStyle w:val="Heading3"/>
        <w:spacing w:line="240" w:lineRule="auto" w:before="0"/>
        <w:ind w:right="5945"/>
        <w:jc w:val="left"/>
        <w:rPr>
          <w:b w:val="0"/>
          <w:bCs w:val="0"/>
        </w:rPr>
      </w:pPr>
      <w:r>
        <w:rPr/>
        <w:t>注释</w:t>
      </w:r>
      <w:r>
        <w:rPr>
          <w:spacing w:val="-58"/>
        </w:rPr>
        <w:t> </w:t>
      </w:r>
      <w:r>
        <w:rPr>
          <w:rFonts w:ascii="宋体" w:hAnsi="宋体" w:cs="宋体" w:eastAsia="宋体" w:hint="default"/>
        </w:rPr>
        <w:t>18</w:t>
      </w:r>
      <w:r>
        <w:rPr/>
        <w:t>．应付职工薪酬</w:t>
      </w:r>
      <w:r>
        <w:rPr>
          <w:b w:val="0"/>
          <w:bCs w:val="0"/>
        </w:rPr>
      </w:r>
    </w:p>
    <w:p>
      <w:pPr>
        <w:pStyle w:val="BodyText"/>
        <w:spacing w:line="240" w:lineRule="auto" w:before="97"/>
        <w:ind w:left="824" w:right="5945"/>
        <w:jc w:val="left"/>
      </w:pPr>
      <w:r>
        <w:rPr/>
        <w:t>（</w:t>
      </w:r>
      <w:r>
        <w:rPr>
          <w:rFonts w:ascii="宋体" w:hAnsi="宋体" w:cs="宋体" w:eastAsia="宋体" w:hint="default"/>
        </w:rPr>
        <w:t>1</w:t>
      </w:r>
      <w:r>
        <w:rPr/>
        <w:t>）应付职工薪酬列示：</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20"/>
        <w:gridCol w:w="1684"/>
        <w:gridCol w:w="1733"/>
        <w:gridCol w:w="1733"/>
        <w:gridCol w:w="1655"/>
      </w:tblGrid>
      <w:tr>
        <w:trPr>
          <w:trHeight w:val="397"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11,280,532.92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98,096,517.78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94,719,294.04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14,657,756.66</w:t>
            </w: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1,043,667.23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21,439,332.11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21,272,996.45</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1,210,002.89</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8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8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12,324,200.15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119,535,849.89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115,992,290.49</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15,867,759.55</w:t>
            </w:r>
          </w:p>
        </w:tc>
      </w:tr>
    </w:tbl>
    <w:p>
      <w:pPr>
        <w:spacing w:line="240" w:lineRule="auto" w:before="2"/>
        <w:rPr>
          <w:rFonts w:ascii="宋体" w:hAnsi="宋体" w:cs="宋体" w:eastAsia="宋体" w:hint="default"/>
          <w:sz w:val="8"/>
          <w:szCs w:val="8"/>
        </w:rPr>
      </w:pPr>
    </w:p>
    <w:p>
      <w:pPr>
        <w:pStyle w:val="BodyText"/>
        <w:spacing w:line="240" w:lineRule="auto" w:before="35"/>
        <w:ind w:left="930" w:right="5945"/>
        <w:jc w:val="left"/>
      </w:pPr>
      <w:r>
        <w:rPr>
          <w:rFonts w:ascii="宋体" w:hAnsi="宋体" w:cs="宋体" w:eastAsia="宋体" w:hint="default"/>
        </w:rPr>
        <w:t>(2)</w:t>
      </w:r>
      <w:r>
        <w:rPr/>
        <w:t>短期薪酬列示：</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2"/>
        <w:gridCol w:w="1865"/>
        <w:gridCol w:w="1685"/>
        <w:gridCol w:w="1736"/>
        <w:gridCol w:w="1668"/>
      </w:tblGrid>
      <w:tr>
        <w:trPr>
          <w:trHeight w:val="396"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7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0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8,740,417.01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73,446,052.87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70,078,346.36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12,108,123.52</w:t>
            </w: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6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3,762,561.44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3,762,561.44</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1,002,180.42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9,194,860.35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9,148,160.59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1,048,880.18</w:t>
            </w:r>
          </w:p>
        </w:tc>
      </w:tr>
      <w:tr>
        <w:trPr>
          <w:trHeight w:val="34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3" w:right="0"/>
              <w:jc w:val="left"/>
              <w:rPr>
                <w:rFonts w:ascii="宋体" w:hAnsi="宋体" w:cs="宋体" w:eastAsia="宋体" w:hint="default"/>
                <w:sz w:val="18"/>
                <w:szCs w:val="18"/>
              </w:rPr>
            </w:pPr>
            <w:r>
              <w:rPr>
                <w:rFonts w:ascii="宋体" w:hAnsi="宋体" w:cs="宋体" w:eastAsia="宋体" w:hint="default"/>
                <w:sz w:val="18"/>
                <w:szCs w:val="18"/>
              </w:rPr>
              <w:t>其中： 医疗保险费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699,869.31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8,137,393.29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8,089,990.48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747,272.12</w:t>
            </w: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
              <w:jc w:val="center"/>
              <w:rPr>
                <w:rFonts w:ascii="宋体" w:hAnsi="宋体" w:cs="宋体" w:eastAsia="宋体" w:hint="default"/>
                <w:sz w:val="18"/>
                <w:szCs w:val="18"/>
              </w:rPr>
            </w:pPr>
            <w:r>
              <w:rPr>
                <w:rFonts w:ascii="宋体" w:hAnsi="宋体" w:cs="宋体" w:eastAsia="宋体" w:hint="default"/>
                <w:sz w:val="18"/>
                <w:szCs w:val="18"/>
              </w:rPr>
              <w:t>工伤保险费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302,311.11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421,058.79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429,114.45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294,255.45</w:t>
            </w: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
              <w:jc w:val="center"/>
              <w:rPr>
                <w:rFonts w:ascii="宋体" w:hAnsi="宋体" w:cs="宋体" w:eastAsia="宋体" w:hint="default"/>
                <w:sz w:val="18"/>
                <w:szCs w:val="18"/>
              </w:rPr>
            </w:pPr>
            <w:r>
              <w:rPr>
                <w:rFonts w:ascii="宋体" w:hAnsi="宋体" w:cs="宋体" w:eastAsia="宋体" w:hint="default"/>
                <w:sz w:val="18"/>
                <w:szCs w:val="18"/>
              </w:rPr>
              <w:t>生育保险费</w:t>
            </w:r>
          </w:p>
        </w:tc>
        <w:tc>
          <w:tcPr>
            <w:tcW w:w="186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636,408.27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629,055.66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7,352.61</w:t>
            </w:r>
          </w:p>
        </w:tc>
      </w:tr>
      <w:tr>
        <w:trPr>
          <w:trHeight w:val="34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105,780.12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10,148,274.83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10,148,274.83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105,780.12</w:t>
            </w: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1,432,155.37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1,544,768.29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1,581,950.82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1,394,972.84</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86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、短期利润分享计划</w:t>
            </w:r>
          </w:p>
        </w:tc>
        <w:tc>
          <w:tcPr>
            <w:tcW w:w="186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、其他短期薪酬</w:t>
            </w:r>
          </w:p>
        </w:tc>
        <w:tc>
          <w:tcPr>
            <w:tcW w:w="186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11,280,532.92</w:t>
            </w:r>
            <w:r>
              <w:rPr>
                <w:rFonts w:ascii="宋体"/>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98,096,517.78</w:t>
            </w:r>
            <w:r>
              <w:rPr>
                <w:rFonts w:ascii="宋体"/>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94,719,294.04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14,657,756.66</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w:t>
      </w:r>
      <w:r>
        <w:rPr>
          <w:rFonts w:ascii="宋体" w:hAnsi="宋体" w:cs="宋体" w:eastAsia="宋体" w:hint="default"/>
        </w:rPr>
        <w:t>3</w:t>
      </w:r>
      <w:r>
        <w:rPr/>
        <w:t>）设定提存计划列示：</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91"/>
        <w:gridCol w:w="1880"/>
        <w:gridCol w:w="1878"/>
        <w:gridCol w:w="1661"/>
        <w:gridCol w:w="1516"/>
      </w:tblGrid>
      <w:tr>
        <w:trPr>
          <w:trHeight w:val="407"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8"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z w:val="18"/>
              </w:rPr>
              <w:t>751,468.07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19,613,653.22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19,440,212.22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z w:val="18"/>
              </w:rPr>
              <w:t>924,909.07</w:t>
            </w:r>
          </w:p>
        </w:tc>
      </w:tr>
      <w:tr>
        <w:trPr>
          <w:trHeight w:val="407"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292,199.16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1,825,678.89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1,832,784.23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285,093.82</w:t>
            </w:r>
          </w:p>
        </w:tc>
      </w:tr>
      <w:tr>
        <w:trPr>
          <w:trHeight w:val="407"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1,043,667.23</w:t>
            </w:r>
            <w:r>
              <w:rPr>
                <w:rFonts w:ascii="宋体"/>
                <w:sz w:val="18"/>
              </w:rPr>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21,439,332.11</w:t>
            </w:r>
            <w:r>
              <w:rPr>
                <w:rFonts w:ascii="宋体"/>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21,272,996.45</w:t>
            </w:r>
            <w:r>
              <w:rPr>
                <w:rFonts w:ascii="宋体"/>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1,210,002.89</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19</w:t>
      </w:r>
      <w:r>
        <w:rPr/>
        <w:t>．应交税费</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200"/>
        <w:gridCol w:w="3192"/>
        <w:gridCol w:w="3533"/>
      </w:tblGrid>
      <w:tr>
        <w:trPr>
          <w:trHeight w:val="397"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种</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2,143,654.99</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-49,634,796.65</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795,908.20</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921,640.44</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4,219,845.86</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2,405,719.47</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550,300.48</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197,380.35</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22,344,846.35</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17,095,996.60</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699,834.37</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13,596.20</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744,244.45</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1,207,009.80</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64,938.39</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142,068.14</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8,063,182.58</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6,604,508.26</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383,978.11</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130,757.23</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552,160.77</w:t>
            </w:r>
          </w:p>
        </w:tc>
        <w:tc>
          <w:tcPr>
            <w:tcW w:w="353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70,390.78</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75,293.79</w:t>
            </w:r>
          </w:p>
        </w:tc>
      </w:tr>
      <w:tr>
        <w:trPr>
          <w:trHeight w:val="31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代扣代缴及其他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3,161,395.86</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-12,497,088.29</w:t>
            </w:r>
          </w:p>
        </w:tc>
      </w:tr>
      <w:tr>
        <w:trPr>
          <w:trHeight w:val="397"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8"/>
                <w:szCs w:val="18"/>
              </w:rPr>
            </w:pPr>
            <w:r>
              <w:rPr>
                <w:rFonts w:ascii="宋体"/>
                <w:b/>
                <w:w w:val="95"/>
                <w:sz w:val="18"/>
              </w:rPr>
              <w:t>43,794,681.19</w:t>
            </w:r>
            <w:r>
              <w:rPr>
                <w:rFonts w:ascii="宋体"/>
                <w:sz w:val="18"/>
              </w:rPr>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-33,337,914.66</w:t>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651"/>
        <w:gridCol w:w="3596"/>
        <w:gridCol w:w="3678"/>
      </w:tblGrid>
      <w:tr>
        <w:trPr>
          <w:trHeight w:val="377"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1"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流通股股东</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874,026.67</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874,026.67</w:t>
            </w:r>
          </w:p>
        </w:tc>
      </w:tr>
      <w:tr>
        <w:trPr>
          <w:trHeight w:val="397"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b/>
                <w:w w:val="95"/>
                <w:sz w:val="18"/>
              </w:rPr>
              <w:t>874,026.67</w:t>
            </w:r>
            <w:r>
              <w:rPr>
                <w:rFonts w:ascii="宋体"/>
                <w:sz w:val="18"/>
              </w:rPr>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b/>
                <w:w w:val="95"/>
                <w:sz w:val="18"/>
              </w:rPr>
              <w:t>874,026.67</w:t>
            </w:r>
            <w:r>
              <w:rPr>
                <w:rFonts w:ascii="宋体"/>
                <w:sz w:val="18"/>
              </w:rPr>
            </w:r>
          </w:p>
        </w:tc>
      </w:tr>
    </w:tbl>
    <w:p>
      <w:pPr>
        <w:spacing w:line="240" w:lineRule="auto" w:before="5"/>
        <w:rPr>
          <w:rFonts w:ascii="宋体" w:hAnsi="宋体" w:cs="宋体" w:eastAsia="宋体" w:hint="default"/>
          <w:b/>
          <w:bCs/>
          <w:sz w:val="5"/>
          <w:szCs w:val="5"/>
        </w:rPr>
      </w:pPr>
    </w:p>
    <w:p>
      <w:pPr>
        <w:pStyle w:val="BodyText"/>
        <w:spacing w:line="240" w:lineRule="auto" w:before="35"/>
        <w:ind w:left="824" w:right="5945"/>
        <w:jc w:val="left"/>
      </w:pPr>
      <w:r>
        <w:rPr/>
        <w:t>注：以前年度部分流通股股东未前来认领。</w:t>
      </w:r>
    </w:p>
    <w:p>
      <w:pPr>
        <w:spacing w:line="240" w:lineRule="auto" w:before="2"/>
        <w:rPr>
          <w:rFonts w:ascii="宋体" w:hAnsi="宋体" w:cs="宋体" w:eastAsia="宋体" w:hint="default"/>
          <w:sz w:val="21"/>
          <w:szCs w:val="21"/>
        </w:rPr>
      </w:pPr>
    </w:p>
    <w:p>
      <w:pPr>
        <w:pStyle w:val="Heading3"/>
        <w:spacing w:line="240" w:lineRule="auto" w:before="0"/>
        <w:ind w:right="5945"/>
        <w:jc w:val="left"/>
        <w:rPr>
          <w:b w:val="0"/>
          <w:bCs w:val="0"/>
        </w:rPr>
      </w:pPr>
      <w:r>
        <w:rPr/>
        <w:t>注释</w:t>
      </w:r>
      <w:r>
        <w:rPr>
          <w:spacing w:val="-57"/>
        </w:rPr>
        <w:t> </w:t>
      </w:r>
      <w:r>
        <w:rPr>
          <w:rFonts w:ascii="宋体" w:hAnsi="宋体" w:cs="宋体" w:eastAsia="宋体" w:hint="default"/>
        </w:rPr>
        <w:t>21</w:t>
      </w:r>
      <w:r>
        <w:rPr/>
        <w:t>．其他应付款</w:t>
      </w:r>
      <w:r>
        <w:rPr>
          <w:b w:val="0"/>
          <w:bCs w:val="0"/>
        </w:rPr>
      </w:r>
    </w:p>
    <w:p>
      <w:pPr>
        <w:pStyle w:val="BodyText"/>
        <w:spacing w:line="240" w:lineRule="auto" w:before="97"/>
        <w:ind w:left="824" w:right="5945"/>
        <w:jc w:val="left"/>
      </w:pPr>
      <w:r>
        <w:rPr/>
        <w:t>（</w:t>
      </w:r>
      <w:r>
        <w:rPr>
          <w:rFonts w:ascii="宋体" w:hAnsi="宋体" w:cs="宋体" w:eastAsia="宋体" w:hint="default"/>
        </w:rPr>
        <w:t>1</w:t>
      </w:r>
      <w:r>
        <w:rPr/>
        <w:t>）按款项性质列示其他应付款</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9"/>
        <w:gridCol w:w="3705"/>
        <w:gridCol w:w="3662"/>
      </w:tblGrid>
      <w:tr>
        <w:trPr>
          <w:trHeight w:val="39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31"/>
              <w:ind w:left="103"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供应商保证金</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29,555,716.06</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22,352,601.03</w:t>
            </w:r>
          </w:p>
        </w:tc>
      </w:tr>
      <w:tr>
        <w:trPr>
          <w:trHeight w:val="3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供应商质保金</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11,125,945.59</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8,940,461.17</w:t>
            </w:r>
          </w:p>
        </w:tc>
      </w:tr>
      <w:tr>
        <w:trPr>
          <w:trHeight w:val="34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供应商押金</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1,273,624.20</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788,223.20</w:t>
            </w:r>
          </w:p>
        </w:tc>
      </w:tr>
      <w:tr>
        <w:trPr>
          <w:trHeight w:val="3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企业改制遗留应付款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13,052,878.02</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9,312,815.10</w:t>
            </w:r>
          </w:p>
        </w:tc>
      </w:tr>
      <w:tr>
        <w:trPr>
          <w:trHeight w:val="3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31,970,974.64</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32,246,353.58</w:t>
            </w:r>
          </w:p>
        </w:tc>
      </w:tr>
      <w:tr>
        <w:trPr>
          <w:trHeight w:val="39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45"/>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86,979,138.51</w:t>
            </w:r>
            <w:r>
              <w:rPr>
                <w:rFonts w:ascii="宋体"/>
                <w:sz w:val="18"/>
              </w:rPr>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73,640,454.08</w:t>
            </w:r>
            <w:r>
              <w:rPr>
                <w:rFonts w:ascii="宋体"/>
                <w:sz w:val="18"/>
              </w:rPr>
            </w:r>
          </w:p>
        </w:tc>
      </w:tr>
    </w:tbl>
    <w:p>
      <w:pPr>
        <w:spacing w:line="240" w:lineRule="auto" w:before="1"/>
        <w:rPr>
          <w:rFonts w:ascii="宋体" w:hAnsi="宋体" w:cs="宋体" w:eastAsia="宋体" w:hint="default"/>
          <w:sz w:val="8"/>
          <w:szCs w:val="8"/>
        </w:rPr>
      </w:pPr>
    </w:p>
    <w:p>
      <w:pPr>
        <w:pStyle w:val="BodyText"/>
        <w:spacing w:line="273" w:lineRule="auto" w:before="35"/>
        <w:ind w:right="1174" w:firstLine="420"/>
        <w:jc w:val="left"/>
      </w:pPr>
      <w:r>
        <w:rPr/>
        <w:t>（</w:t>
      </w:r>
      <w:r>
        <w:rPr>
          <w:rFonts w:ascii="宋体" w:hAnsi="宋体" w:cs="宋体" w:eastAsia="宋体" w:hint="default"/>
        </w:rPr>
        <w:t>2</w:t>
      </w:r>
      <w:r>
        <w:rPr/>
        <w:t>）账龄超过 </w:t>
      </w:r>
      <w:r>
        <w:rPr>
          <w:rFonts w:ascii="宋体" w:hAnsi="宋体" w:cs="宋体" w:eastAsia="宋体" w:hint="default"/>
        </w:rPr>
        <w:t>1</w:t>
      </w:r>
      <w:r>
        <w:rPr>
          <w:rFonts w:ascii="宋体" w:hAnsi="宋体" w:cs="宋体" w:eastAsia="宋体" w:hint="default"/>
          <w:spacing w:val="-42"/>
        </w:rPr>
        <w:t> </w:t>
      </w:r>
      <w:r>
        <w:rPr/>
        <w:t>年的大额其他应付款情况的说明：本公司其他应付款多为和商户的往来款或保证 金，无单笔巨大的应付款项。</w:t>
      </w:r>
    </w:p>
    <w:p>
      <w:pPr>
        <w:spacing w:line="408" w:lineRule="auto" w:before="70"/>
        <w:ind w:left="827" w:right="2868"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）本期末其他应付款中无应付持本公司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（含）以上股份的股东单位款项。 </w:t>
      </w: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BodyText"/>
        <w:spacing w:line="228" w:lineRule="exact" w:before="0"/>
        <w:ind w:left="824" w:right="5945"/>
        <w:jc w:val="left"/>
      </w:pPr>
      <w:r>
        <w:rPr/>
        <w:t>（</w:t>
      </w:r>
      <w:r>
        <w:rPr>
          <w:rFonts w:ascii="宋体" w:hAnsi="宋体" w:cs="宋体" w:eastAsia="宋体" w:hint="default"/>
        </w:rPr>
        <w:t>1</w:t>
      </w:r>
      <w:r>
        <w:rPr/>
        <w:t>）长期应付职工薪酬表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59"/>
        <w:gridCol w:w="3705"/>
        <w:gridCol w:w="3662"/>
      </w:tblGrid>
      <w:tr>
        <w:trPr>
          <w:trHeight w:val="40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2,148,699.80</w:t>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2,919,119.93</w:t>
            </w:r>
          </w:p>
        </w:tc>
      </w:tr>
      <w:tr>
        <w:trPr>
          <w:trHeight w:val="40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2,148,699.80</w:t>
            </w:r>
            <w:r>
              <w:rPr>
                <w:rFonts w:ascii="宋体"/>
                <w:sz w:val="18"/>
              </w:rPr>
            </w:r>
          </w:p>
        </w:tc>
        <w:tc>
          <w:tcPr>
            <w:tcW w:w="3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2,919,119.93</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49"/>
          <w:pgSz w:w="11910" w:h="16840"/>
          <w:pgMar w:footer="1219" w:header="883" w:top="1140" w:bottom="1400" w:left="900" w:right="0"/>
        </w:sectPr>
      </w:pPr>
    </w:p>
    <w:p>
      <w:pPr>
        <w:spacing w:line="240" w:lineRule="auto" w:before="9"/>
        <w:rPr>
          <w:rFonts w:ascii="宋体" w:hAnsi="宋体" w:cs="宋体" w:eastAsia="宋体" w:hint="default"/>
          <w:sz w:val="17"/>
          <w:szCs w:val="17"/>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23</w:t>
      </w:r>
      <w:r>
        <w:rPr/>
        <w:t>．预计负债</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954"/>
        <w:gridCol w:w="2417"/>
        <w:gridCol w:w="2866"/>
        <w:gridCol w:w="1688"/>
      </w:tblGrid>
      <w:tr>
        <w:trPr>
          <w:trHeight w:val="397"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未决诉讼、未决仲裁</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2,558,842.00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
              <w:jc w:val="right"/>
              <w:rPr>
                <w:rFonts w:ascii="宋体" w:hAnsi="宋体" w:cs="宋体" w:eastAsia="宋体" w:hint="default"/>
                <w:sz w:val="18"/>
                <w:szCs w:val="18"/>
              </w:rPr>
            </w:pPr>
            <w:r>
              <w:rPr>
                <w:rFonts w:ascii="宋体"/>
                <w:sz w:val="18"/>
              </w:rPr>
              <w:t>2,558,842.00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282"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1,444,785.00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宋体" w:hAnsi="宋体" w:cs="宋体" w:eastAsia="宋体" w:hint="default"/>
                <w:sz w:val="18"/>
                <w:szCs w:val="18"/>
              </w:rPr>
            </w:pPr>
            <w:r>
              <w:rPr>
                <w:rFonts w:ascii="宋体"/>
                <w:b/>
                <w:w w:val="95"/>
                <w:sz w:val="18"/>
              </w:rPr>
              <w:t>174,354.00</w:t>
            </w:r>
            <w:r>
              <w:rPr>
                <w:rFonts w:ascii="宋体"/>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99" w:hRule="exact"/>
        </w:trPr>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4,003,627.00</w:t>
            </w:r>
            <w:r>
              <w:rPr>
                <w:rFonts w:ascii="宋体"/>
                <w:sz w:val="18"/>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18"/>
                <w:szCs w:val="18"/>
              </w:rPr>
            </w:pPr>
            <w:r>
              <w:rPr>
                <w:rFonts w:ascii="宋体"/>
                <w:b/>
                <w:w w:val="95"/>
                <w:sz w:val="18"/>
              </w:rPr>
              <w:t>2,733,196.00</w:t>
            </w:r>
            <w:r>
              <w:rPr>
                <w:rFonts w:ascii="宋体"/>
                <w:sz w:val="18"/>
              </w:rPr>
            </w: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8"/>
          <w:szCs w:val="8"/>
        </w:rPr>
      </w:pPr>
    </w:p>
    <w:p>
      <w:pPr>
        <w:pStyle w:val="BodyText"/>
        <w:spacing w:line="273" w:lineRule="auto" w:before="35"/>
        <w:ind w:right="1173" w:firstLine="420"/>
        <w:jc w:val="left"/>
      </w:pPr>
      <w:r>
        <w:rPr/>
        <w:t>注</w:t>
      </w:r>
      <w:r>
        <w:rPr>
          <w:spacing w:val="-41"/>
        </w:rPr>
        <w:t> </w:t>
      </w:r>
      <w:r>
        <w:rPr>
          <w:rFonts w:ascii="宋体" w:hAnsi="宋体" w:cs="宋体" w:eastAsia="宋体" w:hint="default"/>
        </w:rPr>
        <w:t>1</w:t>
      </w:r>
      <w:r>
        <w:rPr/>
        <w:t>：预计负债中的其他为秦皇岛地区商业顾客办理牡丹渤海物流联名卡后消费累计积分预计应给 予的积分反馈。</w:t>
      </w:r>
    </w:p>
    <w:p>
      <w:pPr>
        <w:pStyle w:val="BodyText"/>
        <w:spacing w:line="240" w:lineRule="auto" w:before="70"/>
        <w:ind w:left="824" w:right="418"/>
        <w:jc w:val="left"/>
      </w:pPr>
      <w:r>
        <w:rPr>
          <w:rFonts w:ascii="宋体" w:hAnsi="宋体" w:cs="宋体" w:eastAsia="宋体" w:hint="default"/>
        </w:rPr>
        <w:t>2011</w:t>
      </w:r>
      <w:r>
        <w:rPr>
          <w:rFonts w:ascii="宋体" w:hAnsi="宋体" w:cs="宋体" w:eastAsia="宋体" w:hint="default"/>
          <w:spacing w:val="-51"/>
        </w:rPr>
        <w:t> </w:t>
      </w:r>
      <w:r>
        <w:rPr/>
        <w:t>年度</w:t>
      </w:r>
      <w:r>
        <w:rPr>
          <w:spacing w:val="-2"/>
        </w:rPr>
        <w:t>增</w:t>
      </w:r>
      <w:r>
        <w:rPr/>
        <w:t>加的未决仲裁为本公司之间接控股子公司滁州茂业投资发展有限公</w:t>
      </w:r>
      <w:r>
        <w:rPr>
          <w:spacing w:val="-92"/>
        </w:rPr>
        <w:t>司</w:t>
      </w:r>
      <w:r>
        <w:rPr/>
        <w:t>（简称</w:t>
      </w:r>
      <w:r>
        <w:rPr>
          <w:rFonts w:ascii="宋体" w:hAnsi="宋体" w:cs="宋体" w:eastAsia="宋体" w:hint="default"/>
        </w:rPr>
        <w:t>:</w:t>
      </w:r>
      <w:r>
        <w:rPr/>
        <w:t>滁州</w:t>
      </w:r>
      <w:r>
        <w:rPr>
          <w:spacing w:val="-2"/>
        </w:rPr>
        <w:t>茂</w:t>
      </w:r>
      <w:r>
        <w:rPr/>
        <w:t>业）</w:t>
      </w:r>
    </w:p>
    <w:p>
      <w:pPr>
        <w:pStyle w:val="BodyText"/>
        <w:spacing w:line="240" w:lineRule="auto" w:before="36"/>
        <w:ind w:right="0"/>
        <w:jc w:val="both"/>
      </w:pPr>
      <w:r>
        <w:rPr>
          <w:rFonts w:ascii="宋体" w:hAnsi="宋体" w:cs="宋体" w:eastAsia="宋体" w:hint="default"/>
        </w:rPr>
        <w:t>2009</w:t>
      </w:r>
      <w:r>
        <w:rPr>
          <w:rFonts w:ascii="宋体" w:hAnsi="宋体" w:cs="宋体" w:eastAsia="宋体" w:hint="default"/>
          <w:spacing w:val="-16"/>
        </w:rPr>
        <w:t> </w:t>
      </w:r>
      <w:r>
        <w:rPr>
          <w:spacing w:val="-3"/>
        </w:rPr>
        <w:t>年与滁州市国土资源局（简称：市国土局）签订土地开发补充协议，协议中滁州茂业承诺其获取的</w:t>
      </w:r>
    </w:p>
    <w:p>
      <w:pPr>
        <w:pStyle w:val="BodyText"/>
        <w:spacing w:line="240" w:lineRule="auto" w:before="37"/>
        <w:ind w:right="0"/>
        <w:jc w:val="both"/>
      </w:pPr>
      <w:r>
        <w:rPr/>
        <w:t>位于滁州开发区丰乐大道与花园路交叉口东北角，国际车城西侧地（</w:t>
      </w:r>
      <w:r>
        <w:rPr>
          <w:rFonts w:ascii="宋体" w:hAnsi="宋体" w:cs="宋体" w:eastAsia="宋体" w:hint="default"/>
        </w:rPr>
        <w:t>28</w:t>
      </w:r>
      <w:r>
        <w:rPr>
          <w:rFonts w:ascii="宋体" w:hAnsi="宋体" w:cs="宋体" w:eastAsia="宋体" w:hint="default"/>
          <w:spacing w:val="-61"/>
        </w:rPr>
        <w:t> </w:t>
      </w:r>
      <w:r>
        <w:rPr>
          <w:spacing w:val="-11"/>
        </w:rPr>
        <w:t>亩）在</w:t>
      </w:r>
      <w:r>
        <w:rPr>
          <w:spacing w:val="-62"/>
        </w:rPr>
        <w:t> </w:t>
      </w:r>
      <w:r>
        <w:rPr>
          <w:rFonts w:ascii="宋体" w:hAnsi="宋体" w:cs="宋体" w:eastAsia="宋体" w:hint="default"/>
        </w:rPr>
        <w:t>2009</w:t>
      </w:r>
      <w:r>
        <w:rPr>
          <w:rFonts w:ascii="宋体" w:hAnsi="宋体" w:cs="宋体" w:eastAsia="宋体" w:hint="default"/>
          <w:spacing w:val="-62"/>
        </w:rPr>
        <w:t> </w:t>
      </w:r>
      <w:r>
        <w:rPr/>
        <w:t>年</w:t>
      </w:r>
      <w:r>
        <w:rPr>
          <w:spacing w:val="-63"/>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日开工，</w:t>
      </w:r>
    </w:p>
    <w:p>
      <w:pPr>
        <w:pStyle w:val="BodyText"/>
        <w:spacing w:line="240" w:lineRule="auto" w:before="37"/>
        <w:ind w:right="0"/>
        <w:jc w:val="both"/>
      </w:pPr>
      <w:r>
        <w:rPr>
          <w:rFonts w:ascii="宋体" w:hAnsi="宋体" w:cs="宋体" w:eastAsia="宋体" w:hint="default"/>
        </w:rPr>
        <w:t>2011</w:t>
      </w:r>
      <w:r>
        <w:rPr>
          <w:rFonts w:ascii="宋体" w:hAnsi="宋体" w:cs="宋体" w:eastAsia="宋体" w:hint="default"/>
          <w:spacing w:val="-51"/>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t>日前主体竣工。如未按时竣工，每延期一日，应按</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月该宗地市场价（评估价</w:t>
      </w:r>
    </w:p>
    <w:p>
      <w:pPr>
        <w:pStyle w:val="BodyText"/>
        <w:spacing w:line="240" w:lineRule="auto" w:before="37"/>
        <w:ind w:right="0"/>
        <w:jc w:val="both"/>
      </w:pPr>
      <w:r>
        <w:rPr>
          <w:spacing w:val="-3"/>
        </w:rPr>
        <w:t>格）向市国土局支付</w:t>
      </w:r>
      <w:r>
        <w:rPr>
          <w:spacing w:val="-49"/>
        </w:rPr>
        <w:t> </w:t>
      </w:r>
      <w:r>
        <w:rPr>
          <w:rFonts w:ascii="宋体" w:hAnsi="宋体" w:cs="宋体" w:eastAsia="宋体" w:hint="default"/>
          <w:spacing w:val="-3"/>
        </w:rPr>
        <w:t>1</w:t>
      </w:r>
      <w:r>
        <w:rPr>
          <w:spacing w:val="-3"/>
        </w:rPr>
        <w:t>‟的滞纳金。截止</w:t>
      </w:r>
      <w:r>
        <w:rPr>
          <w:spacing w:val="-49"/>
        </w:rPr>
        <w:t> </w:t>
      </w:r>
      <w:r>
        <w:rPr>
          <w:rFonts w:ascii="宋体" w:hAnsi="宋体" w:cs="宋体" w:eastAsia="宋体" w:hint="default"/>
        </w:rPr>
        <w:t>2011</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49"/>
        </w:rPr>
        <w:t> </w:t>
      </w:r>
      <w:r>
        <w:rPr/>
        <w:t>月</w:t>
      </w:r>
      <w:r>
        <w:rPr>
          <w:spacing w:val="-52"/>
        </w:rPr>
        <w:t> </w:t>
      </w:r>
      <w:r>
        <w:rPr>
          <w:rFonts w:ascii="宋体" w:hAnsi="宋体" w:cs="宋体" w:eastAsia="宋体" w:hint="default"/>
        </w:rPr>
        <w:t>30</w:t>
      </w:r>
      <w:r>
        <w:rPr>
          <w:rFonts w:ascii="宋体" w:hAnsi="宋体" w:cs="宋体" w:eastAsia="宋体" w:hint="default"/>
          <w:spacing w:val="-49"/>
        </w:rPr>
        <w:t> </w:t>
      </w:r>
      <w:r>
        <w:rPr>
          <w:spacing w:val="-3"/>
        </w:rPr>
        <w:t>日前，该地块的西侧未依约竣工。后经申请人、</w:t>
      </w:r>
    </w:p>
    <w:p>
      <w:pPr>
        <w:pStyle w:val="BodyText"/>
        <w:spacing w:line="273" w:lineRule="auto" w:before="37"/>
        <w:ind w:right="1187"/>
        <w:jc w:val="both"/>
      </w:pPr>
      <w:r>
        <w:rPr/>
        <w:t>被申请人共同委托安徽金地源不动产评估有限责任公司对该西侧地进行了评估，评估市场价为</w:t>
      </w:r>
      <w:r>
        <w:rPr>
          <w:spacing w:val="-38"/>
        </w:rPr>
        <w:t> </w:t>
      </w:r>
      <w:r>
        <w:rPr>
          <w:rFonts w:ascii="宋体" w:hAnsi="宋体" w:cs="宋体" w:eastAsia="宋体" w:hint="default"/>
        </w:rPr>
        <w:t>2781.35 </w:t>
      </w:r>
      <w:r>
        <w:rPr>
          <w:spacing w:val="-1"/>
        </w:rPr>
        <w:t>万元。由于滁州茂业未按期竣工，市国土局已向滁州仲裁委员会提起支付滞纳金仲裁申请。根据上述协</w:t>
      </w:r>
      <w:r>
        <w:rPr>
          <w:spacing w:val="-102"/>
        </w:rPr>
        <w:t> </w:t>
      </w:r>
      <w:r>
        <w:rPr>
          <w:spacing w:val="-102"/>
        </w:rPr>
      </w:r>
      <w:r>
        <w:rPr/>
        <w:t>议书的约定，</w:t>
      </w:r>
      <w:r>
        <w:rPr>
          <w:rFonts w:ascii="宋体" w:hAnsi="宋体" w:cs="宋体" w:eastAsia="宋体" w:hint="default"/>
        </w:rPr>
        <w:t>2011</w:t>
      </w:r>
      <w:r>
        <w:rPr>
          <w:rFonts w:ascii="宋体" w:hAnsi="宋体" w:cs="宋体" w:eastAsia="宋体" w:hint="default"/>
          <w:spacing w:val="-44"/>
        </w:rPr>
        <w:t> </w:t>
      </w:r>
      <w:r>
        <w:rPr/>
        <w:t>年度应支付滞纳金</w:t>
      </w:r>
      <w:r>
        <w:rPr>
          <w:spacing w:val="-45"/>
        </w:rPr>
        <w:t> </w:t>
      </w:r>
      <w:r>
        <w:rPr>
          <w:rFonts w:ascii="宋体" w:hAnsi="宋体" w:cs="宋体" w:eastAsia="宋体" w:hint="default"/>
        </w:rPr>
        <w:t>2,558,842.00</w:t>
      </w:r>
      <w:r>
        <w:rPr>
          <w:rFonts w:ascii="宋体" w:hAnsi="宋体" w:cs="宋体" w:eastAsia="宋体" w:hint="default"/>
          <w:spacing w:val="-45"/>
        </w:rPr>
        <w:t> </w:t>
      </w:r>
      <w:r>
        <w:rPr/>
        <w:t>元。</w:t>
      </w:r>
      <w:r>
        <w:rPr>
          <w:rFonts w:ascii="宋体" w:hAnsi="宋体" w:cs="宋体" w:eastAsia="宋体" w:hint="default"/>
        </w:rPr>
        <w:t>2012</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12</w:t>
      </w:r>
      <w:r>
        <w:rPr>
          <w:rFonts w:ascii="宋体" w:hAnsi="宋体" w:cs="宋体" w:eastAsia="宋体" w:hint="default"/>
          <w:spacing w:val="-46"/>
        </w:rPr>
        <w:t> </w:t>
      </w:r>
      <w:r>
        <w:rPr/>
        <w:t>日，市国土局根据“大滁城” </w:t>
      </w:r>
      <w:r>
        <w:rPr>
          <w:spacing w:val="-1"/>
        </w:rPr>
        <w:t>建设指挥部（现为“美好新滁城”建设指挥部）会议精神与滁州茂业签订补充协议（之后撤销上述仲裁</w:t>
      </w:r>
      <w:r>
        <w:rPr>
          <w:spacing w:val="-103"/>
        </w:rPr>
        <w:t> </w:t>
      </w:r>
      <w:r>
        <w:rPr>
          <w:spacing w:val="-103"/>
        </w:rPr>
      </w:r>
      <w:r>
        <w:rPr>
          <w:spacing w:val="-3"/>
        </w:rPr>
        <w:t>申请），补充协议约定，滁州开发区丰乐大道与花园路交叉口东北角，国际车城西侧地（</w:t>
      </w:r>
      <w:r>
        <w:rPr>
          <w:rFonts w:ascii="宋体" w:hAnsi="宋体" w:cs="宋体" w:eastAsia="宋体" w:hint="default"/>
          <w:spacing w:val="-3"/>
        </w:rPr>
        <w:t>28</w:t>
      </w:r>
      <w:r>
        <w:rPr>
          <w:rFonts w:ascii="宋体" w:hAnsi="宋体" w:cs="宋体" w:eastAsia="宋体" w:hint="default"/>
          <w:spacing w:val="-22"/>
        </w:rPr>
        <w:t> </w:t>
      </w:r>
      <w:r>
        <w:rPr>
          <w:spacing w:val="-1"/>
        </w:rPr>
        <w:t>亩）用地的</w:t>
      </w:r>
      <w:r>
        <w:rPr>
          <w:spacing w:val="-103"/>
        </w:rPr>
        <w:t> </w:t>
      </w:r>
      <w:r>
        <w:rPr>
          <w:spacing w:val="-103"/>
        </w:rPr>
      </w:r>
      <w:r>
        <w:rPr/>
        <w:t>在建财富广场酒店工程项目必须于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5"/>
        </w:rPr>
        <w:t>日主体封顶，</w:t>
      </w:r>
      <w:r>
        <w:rPr>
          <w:rFonts w:ascii="宋体" w:hAnsi="宋体" w:cs="宋体" w:eastAsia="宋体" w:hint="default"/>
          <w:spacing w:val="-5"/>
        </w:rPr>
        <w:t>2013</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spacing w:val="-5"/>
        </w:rPr>
        <w:t>日前竣工验收，如滁州</w:t>
      </w:r>
    </w:p>
    <w:p>
      <w:pPr>
        <w:pStyle w:val="BodyText"/>
        <w:spacing w:line="273" w:lineRule="auto"/>
        <w:ind w:right="1188"/>
        <w:jc w:val="both"/>
      </w:pPr>
      <w:r>
        <w:rPr/>
        <w:t>茂业不能按上述时间节点完成工程进度，则仍将执行 </w:t>
      </w:r>
      <w:r>
        <w:rPr>
          <w:rFonts w:ascii="宋体" w:hAnsi="宋体" w:cs="宋体" w:eastAsia="宋体" w:hint="default"/>
        </w:rPr>
        <w:t>2009</w:t>
      </w:r>
      <w:r>
        <w:rPr>
          <w:rFonts w:ascii="宋体" w:hAnsi="宋体" w:cs="宋体" w:eastAsia="宋体" w:hint="default"/>
          <w:spacing w:val="-40"/>
        </w:rPr>
        <w:t> </w:t>
      </w:r>
      <w:r>
        <w:rPr/>
        <w:t>年与市国土局签订土地开发补充协议承担违 约责任，如按照以上时间节点完成主体封顶和竣工验收，市国土局不再追究滁州茂业的违约责任。</w:t>
      </w:r>
    </w:p>
    <w:p>
      <w:pPr>
        <w:pStyle w:val="BodyText"/>
        <w:spacing w:line="273" w:lineRule="auto" w:before="70"/>
        <w:ind w:right="1066" w:firstLine="420"/>
        <w:jc w:val="left"/>
      </w:pPr>
      <w:r>
        <w:rPr/>
        <w:t>因</w:t>
      </w:r>
      <w:r>
        <w:rPr>
          <w:spacing w:val="-72"/>
        </w:rPr>
        <w:t> </w:t>
      </w:r>
      <w:r>
        <w:rPr>
          <w:rFonts w:ascii="宋体" w:hAnsi="宋体" w:cs="宋体" w:eastAsia="宋体" w:hint="default"/>
        </w:rPr>
        <w:t>2013</w:t>
      </w:r>
      <w:r>
        <w:rPr>
          <w:rFonts w:ascii="宋体" w:hAnsi="宋体" w:cs="宋体" w:eastAsia="宋体" w:hint="default"/>
          <w:spacing w:val="-72"/>
        </w:rPr>
        <w:t> </w:t>
      </w:r>
      <w:r>
        <w:rPr/>
        <w:t>年宏观政策导向，高星级酒店消费市场出现变化，本公司在财富广场二期酒店项目施工中， 调整项目定位、优化消防、通风系统设计，致使竣工验收延期，对此酒店建设过程中的实际情况当年的 “美好新滁城”建设指挥部综合办公室予以认可。</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月财富广场二期酒店项目完成竣工备案， 酒店已开业，对此滁州市重点项目建设办公室</w:t>
      </w:r>
      <w:r>
        <w:rPr>
          <w:rFonts w:ascii="宋体" w:hAnsi="宋体" w:cs="宋体" w:eastAsia="宋体" w:hint="default"/>
        </w:rPr>
        <w:t>(</w:t>
      </w:r>
      <w:r>
        <w:rPr/>
        <w:t>简称市重点办</w:t>
      </w:r>
      <w:r>
        <w:rPr>
          <w:rFonts w:ascii="宋体" w:hAnsi="宋体" w:cs="宋体" w:eastAsia="宋体" w:hint="default"/>
        </w:rPr>
        <w:t>)</w:t>
      </w:r>
      <w:r>
        <w:rPr/>
        <w:t>来函确认“酒店项目按规定的时间节点完 </w:t>
      </w:r>
      <w:r>
        <w:rPr>
          <w:spacing w:val="-8"/>
        </w:rPr>
        <w:t>成了各项验收和竣工备案工作”，“相关职能部门将会一如既往的提供支持，为项目建设做好服务工作”。</w:t>
      </w:r>
      <w:r>
        <w:rPr>
          <w:spacing w:val="-85"/>
        </w:rPr>
        <w:t> </w:t>
      </w:r>
      <w:r>
        <w:rPr>
          <w:spacing w:val="-85"/>
        </w:rPr>
      </w:r>
      <w:r>
        <w:rPr>
          <w:spacing w:val="-4"/>
        </w:rPr>
        <w:t>针对该事项，安徽中天恒律师事务所出具了《关于滁州财富广场二期工程酒店项目滞纳金法律意见书》，</w:t>
      </w:r>
      <w:r>
        <w:rPr>
          <w:spacing w:val="-66"/>
        </w:rPr>
        <w:t> </w:t>
      </w:r>
      <w:r>
        <w:rPr>
          <w:spacing w:val="-66"/>
        </w:rPr>
      </w:r>
      <w:r>
        <w:rPr/>
        <w:t>该法律意见书的结论为：滁州茂业已按照合同约定的关于滁州财富广场二期酒店项目建设的时间和进度</w:t>
      </w:r>
      <w:r>
        <w:rPr/>
        <w:t> 节点履行了义务，滁州市政府相关职能部门—滁州市重点建设项目建设办公室明确予以确认，因此，滁 州茂业财富广场二期酒店项目滞纳金的法律风险事实已经消除，市国土局再追究滁州茂业违约责任的胜 诉率较小，小于</w:t>
      </w:r>
      <w:r>
        <w:rPr>
          <w:spacing w:val="-40"/>
        </w:rPr>
        <w:t> </w:t>
      </w:r>
      <w:r>
        <w:rPr>
          <w:rFonts w:ascii="宋体" w:hAnsi="宋体" w:cs="宋体" w:eastAsia="宋体" w:hint="default"/>
        </w:rPr>
        <w:t>50%</w:t>
      </w:r>
      <w:r>
        <w:rPr/>
        <w:t>。依据企业会计准则规定与或有事项相关的义务同时满足下列条件的，应当确认为 预计负债：该义务是企业承担的现实义务；履行该义务很可能导致经济利益流出企业；该义务的金额能 够可靠的计量。其中：履行该义务很可能导致经济利益流出企业，是指履行与或有事项相关的现实义务 时，导致经济利益流出企业的可能性超过 </w:t>
      </w:r>
      <w:r>
        <w:rPr>
          <w:rFonts w:ascii="宋体" w:hAnsi="宋体" w:cs="宋体" w:eastAsia="宋体" w:hint="default"/>
        </w:rPr>
        <w:t>50%</w:t>
      </w:r>
      <w:r>
        <w:rPr/>
        <w:t>但小于或等于</w:t>
      </w:r>
      <w:r>
        <w:rPr>
          <w:spacing w:val="-41"/>
        </w:rPr>
        <w:t> </w:t>
      </w:r>
      <w:r>
        <w:rPr>
          <w:rFonts w:ascii="宋体" w:hAnsi="宋体" w:cs="宋体" w:eastAsia="宋体" w:hint="default"/>
        </w:rPr>
        <w:t>95%</w:t>
      </w:r>
      <w:r>
        <w:rPr/>
        <w:t>。公司董事会认为，滁州茂业开发的财 富广场二期酒店项目已按约定完成主体结构验收且具备竣工验收条件，已履行了上述补充协议的约定， 根据市重点办来函确认滁州茂业酒店项目按规定的时间节点完成了各项验收和竣工备案工作，再发生追 究违约责任及支付违约金事项可能性小于</w:t>
      </w:r>
      <w:r>
        <w:rPr>
          <w:spacing w:val="-54"/>
        </w:rPr>
        <w:t> </w:t>
      </w:r>
      <w:r>
        <w:rPr>
          <w:rFonts w:ascii="宋体" w:hAnsi="宋体" w:cs="宋体" w:eastAsia="宋体" w:hint="default"/>
        </w:rPr>
        <w:t>50%</w:t>
      </w:r>
      <w:r>
        <w:rPr/>
        <w:t>。故</w:t>
      </w:r>
      <w:r>
        <w:rPr>
          <w:spacing w:val="-55"/>
        </w:rPr>
        <w:t> </w:t>
      </w:r>
      <w:r>
        <w:rPr>
          <w:rFonts w:ascii="宋体" w:hAnsi="宋体" w:cs="宋体" w:eastAsia="宋体" w:hint="default"/>
        </w:rPr>
        <w:t>2014</w:t>
      </w:r>
      <w:r>
        <w:rPr>
          <w:rFonts w:ascii="宋体" w:hAnsi="宋体" w:cs="宋体" w:eastAsia="宋体" w:hint="default"/>
          <w:spacing w:val="-55"/>
        </w:rPr>
        <w:t> </w:t>
      </w:r>
      <w:r>
        <w:rPr/>
        <w:t>年度未计提该项违约金。</w:t>
      </w:r>
    </w:p>
    <w:p>
      <w:pPr>
        <w:spacing w:line="240" w:lineRule="auto" w:before="6"/>
        <w:rPr>
          <w:rFonts w:ascii="宋体" w:hAnsi="宋体" w:cs="宋体" w:eastAsia="宋体" w:hint="default"/>
          <w:sz w:val="24"/>
          <w:szCs w:val="24"/>
        </w:rPr>
      </w:pPr>
    </w:p>
    <w:p>
      <w:pPr>
        <w:pStyle w:val="Heading3"/>
        <w:spacing w:line="240" w:lineRule="auto" w:before="0"/>
        <w:ind w:right="5945"/>
        <w:jc w:val="left"/>
        <w:rPr>
          <w:b w:val="0"/>
          <w:bCs w:val="0"/>
        </w:rPr>
      </w:pPr>
      <w:r>
        <w:rPr/>
        <w:t>注释</w:t>
      </w:r>
      <w:r>
        <w:rPr>
          <w:spacing w:val="-57"/>
        </w:rPr>
        <w:t> </w:t>
      </w:r>
      <w:r>
        <w:rPr>
          <w:rFonts w:ascii="宋体" w:hAnsi="宋体" w:cs="宋体" w:eastAsia="宋体" w:hint="default"/>
        </w:rPr>
        <w:t>24</w:t>
      </w:r>
      <w:r>
        <w:rPr/>
        <w:t>．递延收益</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175"/>
        <w:gridCol w:w="1525"/>
        <w:gridCol w:w="855"/>
        <w:gridCol w:w="1570"/>
        <w:gridCol w:w="1576"/>
        <w:gridCol w:w="2225"/>
      </w:tblGrid>
      <w:tr>
        <w:trPr>
          <w:trHeight w:val="65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40" w:right="24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97"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芜湖农贸项目资金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sz w:val="18"/>
              </w:rPr>
              <w:t>2,561,231.58</w:t>
            </w:r>
          </w:p>
        </w:tc>
        <w:tc>
          <w:tcPr>
            <w:tcW w:w="85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334,069.10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1" w:right="0"/>
              <w:jc w:val="left"/>
              <w:rPr>
                <w:rFonts w:ascii="宋体" w:hAnsi="宋体" w:cs="宋体" w:eastAsia="宋体" w:hint="default"/>
                <w:sz w:val="18"/>
                <w:szCs w:val="18"/>
              </w:rPr>
            </w:pPr>
            <w:r>
              <w:rPr>
                <w:rFonts w:ascii="宋体"/>
                <w:sz w:val="18"/>
              </w:rPr>
              <w:t>2,227,162.48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农产品市场建设补贴</w:t>
            </w:r>
          </w:p>
        </w:tc>
      </w:tr>
      <w:tr>
        <w:trPr>
          <w:trHeight w:val="397"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3" w:right="0"/>
              <w:jc w:val="left"/>
              <w:rPr>
                <w:rFonts w:ascii="宋体" w:hAnsi="宋体" w:cs="宋体" w:eastAsia="宋体" w:hint="default"/>
                <w:sz w:val="18"/>
                <w:szCs w:val="18"/>
              </w:rPr>
            </w:pPr>
            <w:r>
              <w:rPr>
                <w:rFonts w:ascii="宋体"/>
                <w:b/>
                <w:sz w:val="18"/>
              </w:rPr>
              <w:t>2,561,231.58</w:t>
            </w:r>
            <w:r>
              <w:rPr>
                <w:rFonts w:ascii="宋体"/>
                <w:sz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334,069.10</w:t>
            </w:r>
            <w:r>
              <w:rPr>
                <w:rFonts w:ascii="宋体"/>
                <w:sz w:val="18"/>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3" w:right="0"/>
              <w:jc w:val="left"/>
              <w:rPr>
                <w:rFonts w:ascii="宋体" w:hAnsi="宋体" w:cs="宋体" w:eastAsia="宋体" w:hint="default"/>
                <w:sz w:val="18"/>
                <w:szCs w:val="18"/>
              </w:rPr>
            </w:pPr>
            <w:r>
              <w:rPr>
                <w:rFonts w:ascii="宋体"/>
                <w:b/>
                <w:sz w:val="18"/>
              </w:rPr>
              <w:t>2,227,162.48</w:t>
            </w:r>
            <w:r>
              <w:rPr>
                <w:rFonts w:ascii="宋体"/>
                <w:sz w:val="18"/>
              </w:rPr>
            </w:r>
          </w:p>
        </w:tc>
        <w:tc>
          <w:tcPr>
            <w:tcW w:w="22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0"/>
          <w:pgSz w:w="11910" w:h="16840"/>
          <w:pgMar w:footer="1219" w:header="883" w:top="1140" w:bottom="1400" w:left="900" w:right="0"/>
          <w:pgNumType w:start="91"/>
        </w:sectPr>
      </w:pPr>
    </w:p>
    <w:p>
      <w:pPr>
        <w:spacing w:line="240" w:lineRule="auto" w:before="9"/>
        <w:rPr>
          <w:rFonts w:ascii="宋体" w:hAnsi="宋体" w:cs="宋体" w:eastAsia="宋体" w:hint="default"/>
          <w:b/>
          <w:bCs/>
          <w:sz w:val="17"/>
          <w:szCs w:val="17"/>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1990"/>
        <w:gridCol w:w="1135"/>
        <w:gridCol w:w="851"/>
        <w:gridCol w:w="1211"/>
        <w:gridCol w:w="472"/>
        <w:gridCol w:w="582"/>
        <w:gridCol w:w="521"/>
        <w:gridCol w:w="1184"/>
        <w:gridCol w:w="1134"/>
        <w:gridCol w:w="846"/>
      </w:tblGrid>
      <w:tr>
        <w:trPr>
          <w:trHeight w:val="397" w:hRule="exact"/>
        </w:trPr>
        <w:tc>
          <w:tcPr>
            <w:tcW w:w="1990" w:type="dxa"/>
            <w:vMerge w:val="restart"/>
            <w:tcBorders>
              <w:top w:val="single" w:sz="4" w:space="0" w:color="000000"/>
              <w:left w:val="single" w:sz="4" w:space="0" w:color="000000"/>
              <w:right w:val="single" w:sz="4" w:space="0" w:color="000000"/>
            </w:tcBorders>
          </w:tcPr>
          <w:p>
            <w:pPr/>
          </w:p>
        </w:tc>
        <w:tc>
          <w:tcPr>
            <w:tcW w:w="1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3" w:right="0"/>
              <w:jc w:val="left"/>
              <w:rPr>
                <w:rFonts w:ascii="宋体" w:hAnsi="宋体" w:cs="宋体" w:eastAsia="宋体" w:hint="default"/>
                <w:sz w:val="18"/>
                <w:szCs w:val="18"/>
              </w:rPr>
            </w:pPr>
            <w:r>
              <w:rPr>
                <w:rFonts w:ascii="宋体" w:hAnsi="宋体" w:cs="宋体" w:eastAsia="宋体" w:hint="default"/>
                <w:b/>
                <w:bCs/>
                <w:sz w:val="18"/>
                <w:szCs w:val="18"/>
              </w:rPr>
              <w:t>本报告期变动前</w:t>
            </w:r>
            <w:r>
              <w:rPr>
                <w:rFonts w:ascii="宋体" w:hAnsi="宋体" w:cs="宋体" w:eastAsia="宋体" w:hint="default"/>
                <w:sz w:val="18"/>
                <w:szCs w:val="18"/>
              </w:rPr>
            </w:r>
          </w:p>
        </w:tc>
        <w:tc>
          <w:tcPr>
            <w:tcW w:w="39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83" w:right="0"/>
              <w:jc w:val="left"/>
              <w:rPr>
                <w:rFonts w:ascii="宋体" w:hAnsi="宋体" w:cs="宋体" w:eastAsia="宋体" w:hint="default"/>
                <w:sz w:val="18"/>
                <w:szCs w:val="18"/>
              </w:rPr>
            </w:pPr>
            <w:r>
              <w:rPr>
                <w:rFonts w:ascii="宋体" w:hAnsi="宋体" w:cs="宋体" w:eastAsia="宋体" w:hint="default"/>
                <w:b/>
                <w:bCs/>
                <w:sz w:val="18"/>
                <w:szCs w:val="18"/>
              </w:rPr>
              <w:t>本报告期变动增减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1" w:right="0"/>
              <w:jc w:val="left"/>
              <w:rPr>
                <w:rFonts w:ascii="宋体" w:hAnsi="宋体" w:cs="宋体" w:eastAsia="宋体" w:hint="default"/>
                <w:sz w:val="18"/>
                <w:szCs w:val="18"/>
              </w:rPr>
            </w:pPr>
            <w:r>
              <w:rPr>
                <w:rFonts w:ascii="宋体" w:hAnsi="宋体" w:cs="宋体" w:eastAsia="宋体" w:hint="default"/>
                <w:b/>
                <w:bCs/>
                <w:sz w:val="18"/>
                <w:szCs w:val="18"/>
              </w:rPr>
              <w:t>本报告期变动后</w:t>
            </w:r>
            <w:r>
              <w:rPr>
                <w:rFonts w:ascii="宋体" w:hAnsi="宋体" w:cs="宋体" w:eastAsia="宋体" w:hint="default"/>
                <w:sz w:val="18"/>
                <w:szCs w:val="18"/>
              </w:rPr>
            </w:r>
          </w:p>
        </w:tc>
      </w:tr>
      <w:tr>
        <w:trPr>
          <w:trHeight w:val="729" w:hRule="exact"/>
        </w:trPr>
        <w:tc>
          <w:tcPr>
            <w:tcW w:w="199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b/>
                <w:bCs/>
                <w:sz w:val="18"/>
                <w:szCs w:val="18"/>
              </w:rPr>
              <w:t>发新股</w:t>
            </w:r>
            <w:r>
              <w:rPr>
                <w:rFonts w:ascii="宋体" w:hAnsi="宋体" w:cs="宋体" w:eastAsia="宋体" w:hint="default"/>
                <w:sz w:val="18"/>
                <w:szCs w:val="18"/>
              </w:rPr>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5"/>
              <w:ind w:left="140" w:right="139"/>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公积</w:t>
            </w:r>
            <w:r>
              <w:rPr>
                <w:rFonts w:ascii="宋体" w:hAnsi="宋体" w:cs="宋体" w:eastAsia="宋体" w:hint="default"/>
                <w:sz w:val="18"/>
                <w:szCs w:val="18"/>
              </w:rPr>
            </w:r>
          </w:p>
          <w:p>
            <w:pPr>
              <w:pStyle w:val="TableParagraph"/>
              <w:spacing w:line="240" w:lineRule="auto"/>
              <w:ind w:left="195" w:right="102" w:hanging="90"/>
              <w:jc w:val="left"/>
              <w:rPr>
                <w:rFonts w:ascii="宋体" w:hAnsi="宋体" w:cs="宋体" w:eastAsia="宋体" w:hint="default"/>
                <w:sz w:val="18"/>
                <w:szCs w:val="18"/>
              </w:rPr>
            </w:pPr>
            <w:r>
              <w:rPr>
                <w:rFonts w:ascii="宋体" w:hAnsi="宋体" w:cs="宋体" w:eastAsia="宋体" w:hint="default"/>
                <w:b/>
                <w:bCs/>
                <w:sz w:val="18"/>
                <w:szCs w:val="18"/>
              </w:rPr>
              <w:t>金转</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5"/>
              <w:ind w:left="164" w:right="164"/>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5"/>
              <w:ind w:left="281" w:right="234"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8"/>
              <w:jc w:val="right"/>
              <w:rPr>
                <w:rFonts w:ascii="Calibri" w:hAnsi="Calibri" w:cs="Calibri" w:eastAsia="Calibri" w:hint="default"/>
                <w:sz w:val="18"/>
                <w:szCs w:val="18"/>
              </w:rPr>
            </w:pPr>
            <w:r>
              <w:rPr>
                <w:rFonts w:ascii="Calibri"/>
                <w:b/>
                <w:spacing w:val="-1"/>
                <w:sz w:val="18"/>
              </w:rPr>
              <w:t>106,994,651</w:t>
            </w:r>
            <w:r>
              <w:rPr>
                <w:rFonts w:ascii="Calibri"/>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9"/>
              <w:jc w:val="right"/>
              <w:rPr>
                <w:rFonts w:ascii="Calibri" w:hAnsi="Calibri" w:cs="Calibri" w:eastAsia="Calibri" w:hint="default"/>
                <w:sz w:val="18"/>
                <w:szCs w:val="18"/>
              </w:rPr>
            </w:pPr>
            <w:r>
              <w:rPr>
                <w:rFonts w:ascii="Calibri"/>
                <w:b/>
                <w:spacing w:val="-1"/>
                <w:sz w:val="18"/>
              </w:rPr>
              <w:t>24.016</w:t>
            </w:r>
            <w:r>
              <w:rPr>
                <w:rFonts w:ascii="Calibri"/>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9"/>
              <w:jc w:val="right"/>
              <w:rPr>
                <w:rFonts w:ascii="Calibri" w:hAnsi="Calibri" w:cs="Calibri" w:eastAsia="Calibri" w:hint="default"/>
                <w:sz w:val="18"/>
                <w:szCs w:val="18"/>
              </w:rPr>
            </w:pPr>
            <w:r>
              <w:rPr>
                <w:rFonts w:ascii="Calibri"/>
                <w:b/>
                <w:spacing w:val="-1"/>
                <w:sz w:val="18"/>
              </w:rPr>
              <w:t>176,305,222</w:t>
            </w:r>
            <w:r>
              <w:rPr>
                <w:rFonts w:ascii="Calibri"/>
                <w:spacing w:val="-1"/>
                <w:sz w:val="18"/>
              </w:rPr>
            </w: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0"/>
              <w:jc w:val="right"/>
              <w:rPr>
                <w:rFonts w:ascii="Calibri" w:hAnsi="Calibri" w:cs="Calibri" w:eastAsia="Calibri" w:hint="default"/>
                <w:sz w:val="18"/>
                <w:szCs w:val="18"/>
              </w:rPr>
            </w:pPr>
            <w:r>
              <w:rPr>
                <w:rFonts w:ascii="Calibri"/>
                <w:b/>
                <w:spacing w:val="-1"/>
                <w:sz w:val="18"/>
              </w:rPr>
              <w:t>176,305,222</w:t>
            </w:r>
            <w:r>
              <w:rPr>
                <w:rFonts w:ascii="Calibri"/>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8"/>
              <w:jc w:val="right"/>
              <w:rPr>
                <w:rFonts w:ascii="Calibri" w:hAnsi="Calibri" w:cs="Calibri" w:eastAsia="Calibri" w:hint="default"/>
                <w:sz w:val="18"/>
                <w:szCs w:val="18"/>
              </w:rPr>
            </w:pPr>
            <w:r>
              <w:rPr>
                <w:rFonts w:ascii="Calibri"/>
                <w:b/>
                <w:spacing w:val="-1"/>
                <w:sz w:val="18"/>
              </w:rPr>
              <w:t>283,299,873</w:t>
            </w:r>
            <w:r>
              <w:rPr>
                <w:rFonts w:ascii="Calibri"/>
                <w:spacing w:val="-1"/>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9"/>
              <w:jc w:val="right"/>
              <w:rPr>
                <w:rFonts w:ascii="Calibri" w:hAnsi="Calibri" w:cs="Calibri" w:eastAsia="Calibri" w:hint="default"/>
                <w:sz w:val="18"/>
                <w:szCs w:val="18"/>
              </w:rPr>
            </w:pPr>
            <w:r>
              <w:rPr>
                <w:rFonts w:ascii="Calibri"/>
                <w:b/>
                <w:spacing w:val="-1"/>
                <w:sz w:val="18"/>
              </w:rPr>
              <w:t>45.559</w:t>
            </w:r>
            <w:r>
              <w:rPr>
                <w:rFonts w:ascii="Calibri"/>
                <w:spacing w:val="-1"/>
                <w:sz w:val="18"/>
              </w:rPr>
            </w: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2"/>
              <w:jc w:val="right"/>
              <w:rPr>
                <w:rFonts w:ascii="Calibri" w:hAnsi="Calibri" w:cs="Calibri" w:eastAsia="Calibri" w:hint="default"/>
                <w:sz w:val="18"/>
                <w:szCs w:val="18"/>
              </w:rPr>
            </w:pPr>
            <w:r>
              <w:rPr>
                <w:rFonts w:ascii="Calibri"/>
                <w:spacing w:val="-1"/>
                <w:sz w:val="18"/>
              </w:rPr>
              <w:t>106,994,651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z w:val="18"/>
              </w:rPr>
              <w:t>24.016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pacing w:val="-1"/>
                <w:sz w:val="18"/>
              </w:rPr>
              <w:t>176,305,222</w:t>
            </w: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Calibri" w:hAnsi="Calibri" w:cs="Calibri" w:eastAsia="Calibri" w:hint="default"/>
                <w:sz w:val="18"/>
                <w:szCs w:val="18"/>
              </w:rPr>
            </w:pPr>
            <w:r>
              <w:rPr>
                <w:rFonts w:ascii="Calibri"/>
                <w:spacing w:val="-1"/>
                <w:sz w:val="18"/>
              </w:rPr>
              <w:t>176,305,222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pacing w:val="-1"/>
                <w:sz w:val="18"/>
              </w:rPr>
              <w:t>283,299,873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
              <w:jc w:val="right"/>
              <w:rPr>
                <w:rFonts w:ascii="Calibri" w:hAnsi="Calibri" w:cs="Calibri" w:eastAsia="Calibri" w:hint="default"/>
                <w:sz w:val="18"/>
                <w:szCs w:val="18"/>
              </w:rPr>
            </w:pPr>
            <w:r>
              <w:rPr>
                <w:rFonts w:ascii="Calibri"/>
                <w:spacing w:val="-1"/>
                <w:sz w:val="18"/>
              </w:rPr>
              <w:t>45.559</w:t>
            </w: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1"/>
              <w:jc w:val="right"/>
              <w:rPr>
                <w:rFonts w:ascii="Calibri" w:hAnsi="Calibri" w:cs="Calibri" w:eastAsia="Calibri" w:hint="default"/>
                <w:sz w:val="18"/>
                <w:szCs w:val="18"/>
              </w:rPr>
            </w:pPr>
            <w:r>
              <w:rPr>
                <w:rFonts w:ascii="Calibri"/>
                <w:spacing w:val="-1"/>
                <w:sz w:val="18"/>
              </w:rPr>
              <w:t>106,987,364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9"/>
              <w:jc w:val="right"/>
              <w:rPr>
                <w:rFonts w:ascii="Calibri" w:hAnsi="Calibri" w:cs="Calibri" w:eastAsia="Calibri" w:hint="default"/>
                <w:sz w:val="18"/>
                <w:szCs w:val="18"/>
              </w:rPr>
            </w:pPr>
            <w:r>
              <w:rPr>
                <w:rFonts w:ascii="Calibri"/>
                <w:sz w:val="18"/>
              </w:rPr>
              <w:t>24.014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9"/>
              <w:jc w:val="right"/>
              <w:rPr>
                <w:rFonts w:ascii="Calibri" w:hAnsi="Calibri" w:cs="Calibri" w:eastAsia="Calibri" w:hint="default"/>
                <w:sz w:val="18"/>
                <w:szCs w:val="18"/>
              </w:rPr>
            </w:pPr>
            <w:r>
              <w:rPr>
                <w:rFonts w:ascii="Calibri"/>
                <w:spacing w:val="-1"/>
                <w:sz w:val="18"/>
              </w:rPr>
              <w:t>176,305,222</w:t>
            </w: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1"/>
              <w:jc w:val="right"/>
              <w:rPr>
                <w:rFonts w:ascii="Calibri" w:hAnsi="Calibri" w:cs="Calibri" w:eastAsia="Calibri" w:hint="default"/>
                <w:sz w:val="18"/>
                <w:szCs w:val="18"/>
              </w:rPr>
            </w:pPr>
            <w:r>
              <w:rPr>
                <w:rFonts w:ascii="Calibri"/>
                <w:spacing w:val="-1"/>
                <w:sz w:val="18"/>
              </w:rPr>
              <w:t>176,305,222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9"/>
              <w:jc w:val="right"/>
              <w:rPr>
                <w:rFonts w:ascii="Calibri" w:hAnsi="Calibri" w:cs="Calibri" w:eastAsia="Calibri" w:hint="default"/>
                <w:sz w:val="18"/>
                <w:szCs w:val="18"/>
              </w:rPr>
            </w:pPr>
            <w:r>
              <w:rPr>
                <w:rFonts w:ascii="Calibri"/>
                <w:spacing w:val="-1"/>
                <w:sz w:val="18"/>
              </w:rPr>
              <w:t>283,292,586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8"/>
              <w:jc w:val="right"/>
              <w:rPr>
                <w:rFonts w:ascii="Calibri" w:hAnsi="Calibri" w:cs="Calibri" w:eastAsia="Calibri" w:hint="default"/>
                <w:sz w:val="18"/>
                <w:szCs w:val="18"/>
              </w:rPr>
            </w:pPr>
            <w:r>
              <w:rPr>
                <w:rFonts w:ascii="Calibri"/>
                <w:spacing w:val="-1"/>
                <w:sz w:val="18"/>
              </w:rPr>
              <w:t>45.558</w:t>
            </w: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Calibri" w:hAnsi="Calibri" w:cs="Calibri" w:eastAsia="Calibri" w:hint="default"/>
                <w:sz w:val="18"/>
                <w:szCs w:val="18"/>
              </w:rPr>
            </w:pPr>
            <w:r>
              <w:rPr>
                <w:rFonts w:ascii="Calibri"/>
                <w:spacing w:val="-1"/>
                <w:w w:val="95"/>
                <w:sz w:val="18"/>
              </w:rPr>
              <w:t>7,287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pacing w:val="-1"/>
                <w:sz w:val="18"/>
              </w:rPr>
              <w:t>0.002</w:t>
            </w: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0"/>
              <w:jc w:val="right"/>
              <w:rPr>
                <w:rFonts w:ascii="Calibri" w:hAnsi="Calibri" w:cs="Calibri" w:eastAsia="Calibri" w:hint="default"/>
                <w:sz w:val="18"/>
                <w:szCs w:val="18"/>
              </w:rPr>
            </w:pPr>
            <w:r>
              <w:rPr>
                <w:rFonts w:ascii="Calibri"/>
                <w:spacing w:val="-1"/>
                <w:w w:val="95"/>
                <w:sz w:val="18"/>
              </w:rPr>
              <w:t>7,287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
              <w:jc w:val="right"/>
              <w:rPr>
                <w:rFonts w:ascii="Calibri" w:hAnsi="Calibri" w:cs="Calibri" w:eastAsia="Calibri" w:hint="default"/>
                <w:sz w:val="18"/>
                <w:szCs w:val="18"/>
              </w:rPr>
            </w:pPr>
            <w:r>
              <w:rPr>
                <w:rFonts w:ascii="Calibri"/>
                <w:sz w:val="18"/>
              </w:rPr>
              <w:t>0.001</w:t>
            </w: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8"/>
              <w:jc w:val="right"/>
              <w:rPr>
                <w:rFonts w:ascii="Calibri" w:hAnsi="Calibri" w:cs="Calibri" w:eastAsia="Calibri" w:hint="default"/>
                <w:sz w:val="18"/>
                <w:szCs w:val="18"/>
              </w:rPr>
            </w:pPr>
            <w:r>
              <w:rPr>
                <w:rFonts w:ascii="Calibri"/>
                <w:b/>
                <w:spacing w:val="-1"/>
                <w:sz w:val="18"/>
              </w:rPr>
              <w:t>338,526,913</w:t>
            </w:r>
            <w:r>
              <w:rPr>
                <w:rFonts w:ascii="Calibri"/>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9"/>
              <w:jc w:val="right"/>
              <w:rPr>
                <w:rFonts w:ascii="Calibri" w:hAnsi="Calibri" w:cs="Calibri" w:eastAsia="Calibri" w:hint="default"/>
                <w:sz w:val="18"/>
                <w:szCs w:val="18"/>
              </w:rPr>
            </w:pPr>
            <w:r>
              <w:rPr>
                <w:rFonts w:ascii="Calibri"/>
                <w:b/>
                <w:spacing w:val="-1"/>
                <w:sz w:val="18"/>
              </w:rPr>
              <w:t>75.984</w:t>
            </w:r>
            <w:r>
              <w:rPr>
                <w:rFonts w:ascii="Calibri"/>
                <w:sz w:val="18"/>
              </w:rPr>
            </w: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7"/>
              <w:jc w:val="right"/>
              <w:rPr>
                <w:rFonts w:ascii="Calibri" w:hAnsi="Calibri" w:cs="Calibri" w:eastAsia="Calibri" w:hint="default"/>
                <w:sz w:val="18"/>
                <w:szCs w:val="18"/>
              </w:rPr>
            </w:pPr>
            <w:r>
              <w:rPr>
                <w:rFonts w:ascii="Calibri"/>
                <w:b/>
                <w:spacing w:val="-1"/>
                <w:sz w:val="18"/>
              </w:rPr>
              <w:t>338,526,913</w:t>
            </w:r>
            <w:r>
              <w:rPr>
                <w:rFonts w:ascii="Calibri"/>
                <w:spacing w:val="-1"/>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8"/>
              <w:jc w:val="right"/>
              <w:rPr>
                <w:rFonts w:ascii="Calibri" w:hAnsi="Calibri" w:cs="Calibri" w:eastAsia="Calibri" w:hint="default"/>
                <w:sz w:val="18"/>
                <w:szCs w:val="18"/>
              </w:rPr>
            </w:pPr>
            <w:r>
              <w:rPr>
                <w:rFonts w:ascii="Calibri"/>
                <w:b/>
                <w:sz w:val="18"/>
              </w:rPr>
              <w:t>54.441</w:t>
            </w:r>
            <w:r>
              <w:rPr>
                <w:rFonts w:ascii="Calibri"/>
                <w:sz w:val="18"/>
              </w:rPr>
            </w: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1"/>
              <w:jc w:val="right"/>
              <w:rPr>
                <w:rFonts w:ascii="Calibri" w:hAnsi="Calibri" w:cs="Calibri" w:eastAsia="Calibri" w:hint="default"/>
                <w:sz w:val="18"/>
                <w:szCs w:val="18"/>
              </w:rPr>
            </w:pPr>
            <w:r>
              <w:rPr>
                <w:rFonts w:ascii="Calibri"/>
                <w:spacing w:val="-1"/>
                <w:sz w:val="18"/>
              </w:rPr>
              <w:t>338,526,913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z w:val="18"/>
              </w:rPr>
              <w:t>75.984</w:t>
            </w: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9"/>
              <w:jc w:val="right"/>
              <w:rPr>
                <w:rFonts w:ascii="Calibri" w:hAnsi="Calibri" w:cs="Calibri" w:eastAsia="Calibri" w:hint="default"/>
                <w:sz w:val="18"/>
                <w:szCs w:val="18"/>
              </w:rPr>
            </w:pPr>
            <w:r>
              <w:rPr>
                <w:rFonts w:ascii="Calibri"/>
                <w:spacing w:val="-1"/>
                <w:sz w:val="18"/>
              </w:rPr>
              <w:t>338,526,913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
              <w:jc w:val="right"/>
              <w:rPr>
                <w:rFonts w:ascii="Calibri" w:hAnsi="Calibri" w:cs="Calibri" w:eastAsia="Calibri" w:hint="default"/>
                <w:sz w:val="18"/>
                <w:szCs w:val="18"/>
              </w:rPr>
            </w:pPr>
            <w:r>
              <w:rPr>
                <w:rFonts w:ascii="Calibri"/>
                <w:sz w:val="18"/>
              </w:rPr>
              <w:t>54.441</w:t>
            </w: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股份总数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9"/>
              <w:jc w:val="right"/>
              <w:rPr>
                <w:rFonts w:ascii="Calibri" w:hAnsi="Calibri" w:cs="Calibri" w:eastAsia="Calibri" w:hint="default"/>
                <w:sz w:val="18"/>
                <w:szCs w:val="18"/>
              </w:rPr>
            </w:pPr>
            <w:r>
              <w:rPr>
                <w:rFonts w:ascii="Calibri"/>
                <w:b/>
                <w:spacing w:val="-1"/>
                <w:sz w:val="18"/>
              </w:rPr>
              <w:t>445,521,564</w:t>
            </w:r>
            <w:r>
              <w:rPr>
                <w:rFonts w:ascii="Calibri"/>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9"/>
              <w:jc w:val="right"/>
              <w:rPr>
                <w:rFonts w:ascii="Calibri" w:hAnsi="Calibri" w:cs="Calibri" w:eastAsia="Calibri" w:hint="default"/>
                <w:sz w:val="18"/>
                <w:szCs w:val="18"/>
              </w:rPr>
            </w:pPr>
            <w:r>
              <w:rPr>
                <w:rFonts w:ascii="Calibri"/>
                <w:b/>
                <w:spacing w:val="-1"/>
                <w:sz w:val="18"/>
              </w:rPr>
              <w:t>100.00</w:t>
            </w:r>
            <w:r>
              <w:rPr>
                <w:rFonts w:ascii="Calibri"/>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9"/>
              <w:jc w:val="right"/>
              <w:rPr>
                <w:rFonts w:ascii="Calibri" w:hAnsi="Calibri" w:cs="Calibri" w:eastAsia="Calibri" w:hint="default"/>
                <w:sz w:val="18"/>
                <w:szCs w:val="18"/>
              </w:rPr>
            </w:pPr>
            <w:r>
              <w:rPr>
                <w:rFonts w:ascii="Calibri"/>
                <w:b/>
                <w:spacing w:val="-1"/>
                <w:sz w:val="18"/>
              </w:rPr>
              <w:t>176,305,222</w:t>
            </w:r>
            <w:r>
              <w:rPr>
                <w:rFonts w:ascii="Calibri"/>
                <w:spacing w:val="-1"/>
                <w:sz w:val="18"/>
              </w:rPr>
            </w:r>
          </w:p>
        </w:tc>
        <w:tc>
          <w:tcPr>
            <w:tcW w:w="47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0"/>
              <w:jc w:val="right"/>
              <w:rPr>
                <w:rFonts w:ascii="Calibri" w:hAnsi="Calibri" w:cs="Calibri" w:eastAsia="Calibri" w:hint="default"/>
                <w:sz w:val="18"/>
                <w:szCs w:val="18"/>
              </w:rPr>
            </w:pPr>
            <w:r>
              <w:rPr>
                <w:rFonts w:ascii="Calibri"/>
                <w:b/>
                <w:spacing w:val="-1"/>
                <w:sz w:val="18"/>
              </w:rPr>
              <w:t>176,305,222</w:t>
            </w:r>
            <w:r>
              <w:rPr>
                <w:rFonts w:ascii="Calibri"/>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7"/>
              <w:jc w:val="right"/>
              <w:rPr>
                <w:rFonts w:ascii="Calibri" w:hAnsi="Calibri" w:cs="Calibri" w:eastAsia="Calibri" w:hint="default"/>
                <w:sz w:val="18"/>
                <w:szCs w:val="18"/>
              </w:rPr>
            </w:pPr>
            <w:r>
              <w:rPr>
                <w:rFonts w:ascii="Calibri"/>
                <w:b/>
                <w:spacing w:val="-1"/>
                <w:sz w:val="18"/>
              </w:rPr>
              <w:t>621,826,786</w:t>
            </w:r>
            <w:r>
              <w:rPr>
                <w:rFonts w:ascii="Calibri"/>
                <w:spacing w:val="-1"/>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8"/>
              <w:jc w:val="right"/>
              <w:rPr>
                <w:rFonts w:ascii="Calibri" w:hAnsi="Calibri" w:cs="Calibri" w:eastAsia="Calibri" w:hint="default"/>
                <w:sz w:val="18"/>
                <w:szCs w:val="18"/>
              </w:rPr>
            </w:pPr>
            <w:r>
              <w:rPr>
                <w:rFonts w:ascii="Calibri"/>
                <w:b/>
                <w:spacing w:val="-1"/>
                <w:sz w:val="18"/>
              </w:rPr>
              <w:t>100.00</w:t>
            </w:r>
            <w:r>
              <w:rPr>
                <w:rFonts w:ascii="Calibri"/>
                <w:sz w:val="18"/>
              </w:rPr>
            </w:r>
          </w:p>
        </w:tc>
      </w:tr>
    </w:tbl>
    <w:p>
      <w:pPr>
        <w:spacing w:line="240" w:lineRule="auto" w:before="5"/>
        <w:rPr>
          <w:rFonts w:ascii="宋体" w:hAnsi="宋体" w:cs="宋体" w:eastAsia="宋体" w:hint="default"/>
          <w:b/>
          <w:bCs/>
          <w:sz w:val="5"/>
          <w:szCs w:val="5"/>
        </w:rPr>
      </w:pPr>
    </w:p>
    <w:p>
      <w:pPr>
        <w:pStyle w:val="BodyText"/>
        <w:spacing w:line="273" w:lineRule="auto" w:before="35"/>
        <w:ind w:right="418" w:firstLine="420"/>
        <w:jc w:val="left"/>
      </w:pPr>
      <w:r>
        <w:rPr/>
        <w:t>根据本公司股东大会决议及中国证券监督管理委员会证监许可【</w:t>
      </w:r>
      <w:r>
        <w:rPr>
          <w:rFonts w:ascii="宋体" w:hAnsi="宋体" w:cs="宋体" w:eastAsia="宋体" w:hint="default"/>
        </w:rPr>
        <w:t>2014</w:t>
      </w:r>
      <w:r>
        <w:rPr/>
        <w:t>】</w:t>
      </w:r>
      <w:r>
        <w:rPr>
          <w:rFonts w:ascii="宋体" w:hAnsi="宋体" w:cs="宋体" w:eastAsia="宋体" w:hint="default"/>
        </w:rPr>
        <w:t>1225</w:t>
      </w:r>
      <w:r>
        <w:rPr>
          <w:rFonts w:ascii="宋体" w:hAnsi="宋体" w:cs="宋体" w:eastAsia="宋体" w:hint="default"/>
          <w:spacing w:val="-69"/>
        </w:rPr>
        <w:t> </w:t>
      </w:r>
      <w:r>
        <w:rPr>
          <w:spacing w:val="-4"/>
        </w:rPr>
        <w:t>号文《关于核准茂业物</w:t>
      </w:r>
      <w:r>
        <w:rPr/>
        <w:t> </w:t>
      </w:r>
      <w:r>
        <w:rPr>
          <w:spacing w:val="-4"/>
        </w:rPr>
        <w:t>流股份有限公司向孝昌鹰溪谷投资中心（有限合伙）等发行股份购买资产并募集配套资金的批复》核准，</w:t>
      </w:r>
      <w:r>
        <w:rPr>
          <w:spacing w:val="-68"/>
        </w:rPr>
        <w:t> </w:t>
      </w:r>
      <w:r>
        <w:rPr>
          <w:spacing w:val="-68"/>
        </w:rPr>
      </w:r>
      <w:r>
        <w:rPr/>
        <w:t>本公司向孝昌鹰溪谷投资中心（有限合伙）发行</w:t>
      </w:r>
      <w:r>
        <w:rPr>
          <w:spacing w:val="-74"/>
        </w:rPr>
        <w:t> </w:t>
      </w:r>
      <w:r>
        <w:rPr>
          <w:rFonts w:ascii="宋体" w:hAnsi="宋体" w:cs="宋体" w:eastAsia="宋体" w:hint="default"/>
        </w:rPr>
        <w:t>148,360,844</w:t>
      </w:r>
      <w:r>
        <w:rPr>
          <w:rFonts w:ascii="宋体" w:hAnsi="宋体" w:cs="宋体" w:eastAsia="宋体" w:hint="default"/>
          <w:spacing w:val="-74"/>
        </w:rPr>
        <w:t> </w:t>
      </w:r>
      <w:r>
        <w:rPr/>
        <w:t>股股份、向北京博升优势科技发展有限公</w:t>
      </w:r>
    </w:p>
    <w:p>
      <w:pPr>
        <w:pStyle w:val="BodyText"/>
        <w:spacing w:line="240" w:lineRule="auto"/>
        <w:ind w:right="418"/>
        <w:jc w:val="left"/>
      </w:pPr>
      <w:r>
        <w:rPr>
          <w:spacing w:val="8"/>
        </w:rPr>
        <w:t>司发行 </w:t>
      </w:r>
      <w:r>
        <w:rPr>
          <w:rFonts w:ascii="宋体" w:hAnsi="宋体" w:cs="宋体" w:eastAsia="宋体" w:hint="default"/>
        </w:rPr>
        <w:t>1,498,595</w:t>
      </w:r>
      <w:r>
        <w:rPr>
          <w:rFonts w:ascii="宋体" w:hAnsi="宋体" w:cs="宋体" w:eastAsia="宋体" w:hint="default"/>
          <w:spacing w:val="38"/>
        </w:rPr>
        <w:t> </w:t>
      </w:r>
      <w:r>
        <w:rPr>
          <w:spacing w:val="12"/>
        </w:rPr>
        <w:t>股股份购买资产，向特定对象上海峰幽投资管理中心（普通合伙）非公开发行</w:t>
      </w:r>
    </w:p>
    <w:p>
      <w:pPr>
        <w:pStyle w:val="BodyText"/>
        <w:spacing w:line="273" w:lineRule="auto" w:before="37"/>
        <w:ind w:right="1179"/>
        <w:jc w:val="left"/>
      </w:pPr>
      <w:r>
        <w:rPr>
          <w:rFonts w:ascii="宋体" w:hAnsi="宋体" w:cs="宋体" w:eastAsia="宋体" w:hint="default"/>
        </w:rPr>
        <w:t>26,445,783</w:t>
      </w:r>
      <w:r>
        <w:rPr>
          <w:rFonts w:ascii="宋体" w:hAnsi="宋体" w:cs="宋体" w:eastAsia="宋体" w:hint="default"/>
          <w:spacing w:val="-48"/>
        </w:rPr>
        <w:t> </w:t>
      </w:r>
      <w:r>
        <w:rPr>
          <w:spacing w:val="-3"/>
        </w:rPr>
        <w:t>股新股募集资产的配套资金。本次股份发行已于</w:t>
      </w:r>
      <w:r>
        <w:rPr>
          <w:spacing w:val="-48"/>
        </w:rPr>
        <w:t> </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spacing w:val="-4"/>
        </w:rPr>
        <w:t>月完成，本次增资已由中兴华会</w:t>
      </w:r>
      <w:r>
        <w:rPr/>
        <w:t> 计师事务所出具中兴华验字（</w:t>
      </w:r>
      <w:r>
        <w:rPr>
          <w:rFonts w:ascii="宋体" w:hAnsi="宋体" w:cs="宋体" w:eastAsia="宋体" w:hint="default"/>
        </w:rPr>
        <w:t>2014</w:t>
      </w:r>
      <w:r>
        <w:rPr/>
        <w:t>）第</w:t>
      </w:r>
      <w:r>
        <w:rPr>
          <w:spacing w:val="-54"/>
        </w:rPr>
        <w:t> </w:t>
      </w:r>
      <w:r>
        <w:rPr>
          <w:rFonts w:ascii="宋体" w:hAnsi="宋体" w:cs="宋体" w:eastAsia="宋体" w:hint="default"/>
        </w:rPr>
        <w:t>BJ03-005</w:t>
      </w:r>
      <w:r>
        <w:rPr>
          <w:rFonts w:ascii="宋体" w:hAnsi="宋体" w:cs="宋体" w:eastAsia="宋体" w:hint="default"/>
          <w:spacing w:val="-54"/>
        </w:rPr>
        <w:t> </w:t>
      </w:r>
      <w:r>
        <w:rPr/>
        <w:t>号验资报告。</w:t>
      </w:r>
    </w:p>
    <w:p>
      <w:pPr>
        <w:spacing w:line="240" w:lineRule="auto" w:before="12"/>
        <w:rPr>
          <w:rFonts w:ascii="宋体" w:hAnsi="宋体" w:cs="宋体" w:eastAsia="宋体" w:hint="default"/>
          <w:sz w:val="18"/>
          <w:szCs w:val="18"/>
        </w:rPr>
      </w:pPr>
    </w:p>
    <w:p>
      <w:pPr>
        <w:pStyle w:val="Heading3"/>
        <w:spacing w:line="240" w:lineRule="auto" w:before="0"/>
        <w:ind w:right="5945"/>
        <w:jc w:val="left"/>
        <w:rPr>
          <w:b w:val="0"/>
          <w:bCs w:val="0"/>
        </w:rPr>
      </w:pPr>
      <w:r>
        <w:rPr/>
        <w:t>注释</w:t>
      </w:r>
      <w:r>
        <w:rPr>
          <w:spacing w:val="-57"/>
        </w:rPr>
        <w:t> </w:t>
      </w:r>
      <w:r>
        <w:rPr>
          <w:rFonts w:ascii="宋体" w:hAnsi="宋体" w:cs="宋体" w:eastAsia="宋体" w:hint="default"/>
        </w:rPr>
        <w:t>26</w:t>
      </w:r>
      <w:r>
        <w:rPr/>
        <w:t>．资本公积</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056"/>
        <w:gridCol w:w="1920"/>
        <w:gridCol w:w="1858"/>
        <w:gridCol w:w="1889"/>
        <w:gridCol w:w="2202"/>
      </w:tblGrid>
      <w:tr>
        <w:trPr>
          <w:trHeight w:val="40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5" w:right="0"/>
              <w:jc w:val="left"/>
              <w:rPr>
                <w:rFonts w:ascii="宋体" w:hAnsi="宋体" w:cs="宋体" w:eastAsia="宋体" w:hint="default"/>
                <w:sz w:val="18"/>
                <w:szCs w:val="18"/>
              </w:rPr>
            </w:pPr>
            <w:r>
              <w:rPr>
                <w:rFonts w:ascii="宋体"/>
                <w:sz w:val="18"/>
              </w:rPr>
              <w:t>286,653,843.40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687,158,178.34</w:t>
            </w:r>
          </w:p>
        </w:tc>
        <w:tc>
          <w:tcPr>
            <w:tcW w:w="1889"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973,812,021.74</w:t>
            </w:r>
          </w:p>
        </w:tc>
      </w:tr>
      <w:tr>
        <w:trPr>
          <w:trHeight w:val="350"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5" w:right="0"/>
              <w:jc w:val="left"/>
              <w:rPr>
                <w:rFonts w:ascii="宋体" w:hAnsi="宋体" w:cs="宋体" w:eastAsia="宋体" w:hint="default"/>
                <w:sz w:val="18"/>
                <w:szCs w:val="18"/>
              </w:rPr>
            </w:pPr>
            <w:r>
              <w:rPr>
                <w:rFonts w:ascii="宋体"/>
                <w:sz w:val="18"/>
              </w:rPr>
              <w:t>130,805,985.88</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130,805,985.88</w:t>
            </w:r>
          </w:p>
        </w:tc>
      </w:tr>
      <w:tr>
        <w:trPr>
          <w:trHeight w:val="40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b/>
                <w:sz w:val="18"/>
              </w:rPr>
              <w:t>417,459,829.28</w:t>
            </w:r>
            <w:r>
              <w:rPr>
                <w:rFonts w:ascii="宋体"/>
                <w:sz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687,158,178.34</w:t>
            </w:r>
            <w:r>
              <w:rPr>
                <w:rFonts w:ascii="宋体"/>
                <w:sz w:val="18"/>
              </w:rPr>
            </w:r>
          </w:p>
        </w:tc>
        <w:tc>
          <w:tcPr>
            <w:tcW w:w="1889"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b/>
                <w:w w:val="95"/>
                <w:sz w:val="18"/>
              </w:rPr>
              <w:t>1,104,618,007.62</w:t>
            </w:r>
            <w:r>
              <w:rPr>
                <w:rFonts w:ascii="宋体"/>
                <w:sz w:val="18"/>
              </w:rPr>
            </w:r>
          </w:p>
        </w:tc>
      </w:tr>
    </w:tbl>
    <w:p>
      <w:pPr>
        <w:spacing w:line="240" w:lineRule="auto" w:before="5"/>
        <w:rPr>
          <w:rFonts w:ascii="宋体" w:hAnsi="宋体" w:cs="宋体" w:eastAsia="宋体" w:hint="default"/>
          <w:b/>
          <w:bCs/>
          <w:sz w:val="5"/>
          <w:szCs w:val="5"/>
        </w:rPr>
      </w:pPr>
    </w:p>
    <w:p>
      <w:pPr>
        <w:pStyle w:val="BodyText"/>
        <w:spacing w:line="482" w:lineRule="auto" w:before="35"/>
        <w:ind w:left="827" w:right="2709" w:hanging="3"/>
        <w:jc w:val="left"/>
        <w:rPr>
          <w:rFonts w:ascii="宋体" w:hAnsi="宋体" w:cs="宋体" w:eastAsia="宋体" w:hint="default"/>
        </w:rPr>
      </w:pPr>
      <w:r>
        <w:rPr/>
        <w:pict>
          <v:shape style="position:absolute;margin-left:50.759998pt;margin-top:45.693676pt;width:497pt;height:69.150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7"/>
                    <w:gridCol w:w="1808"/>
                    <w:gridCol w:w="1865"/>
                    <w:gridCol w:w="1895"/>
                    <w:gridCol w:w="2201"/>
                  </w:tblGrid>
                  <w:tr>
                    <w:trPr>
                      <w:trHeight w:val="407"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4" w:right="0"/>
                          <w:jc w:val="left"/>
                          <w:rPr>
                            <w:rFonts w:ascii="宋体" w:hAnsi="宋体" w:cs="宋体" w:eastAsia="宋体" w:hint="default"/>
                            <w:sz w:val="18"/>
                            <w:szCs w:val="18"/>
                          </w:rPr>
                        </w:pPr>
                        <w:r>
                          <w:rPr>
                            <w:rFonts w:ascii="宋体"/>
                            <w:sz w:val="18"/>
                          </w:rPr>
                          <w:t>38,476,426.68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0" w:right="0"/>
                          <w:jc w:val="left"/>
                          <w:rPr>
                            <w:rFonts w:ascii="宋体" w:hAnsi="宋体" w:cs="宋体" w:eastAsia="宋体" w:hint="default"/>
                            <w:sz w:val="18"/>
                            <w:szCs w:val="18"/>
                          </w:rPr>
                        </w:pPr>
                        <w:r>
                          <w:rPr>
                            <w:rFonts w:ascii="宋体"/>
                            <w:sz w:val="18"/>
                          </w:rPr>
                          <w:t>9,875,519.84</w:t>
                        </w: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7" w:right="0"/>
                          <w:jc w:val="left"/>
                          <w:rPr>
                            <w:rFonts w:ascii="宋体" w:hAnsi="宋体" w:cs="宋体" w:eastAsia="宋体" w:hint="default"/>
                            <w:sz w:val="18"/>
                            <w:szCs w:val="18"/>
                          </w:rPr>
                        </w:pPr>
                        <w:r>
                          <w:rPr>
                            <w:rFonts w:ascii="宋体"/>
                            <w:sz w:val="18"/>
                          </w:rPr>
                          <w:t>48,351,946.52</w:t>
                        </w:r>
                      </w:p>
                    </w:tc>
                  </w:tr>
                  <w:tr>
                    <w:trPr>
                      <w:trHeight w:val="322"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注：本年度资本公积增加</w:t>
      </w:r>
      <w:r>
        <w:rPr>
          <w:spacing w:val="-54"/>
        </w:rPr>
        <w:t> </w:t>
      </w:r>
      <w:r>
        <w:rPr>
          <w:rFonts w:ascii="宋体" w:hAnsi="宋体" w:cs="宋体" w:eastAsia="宋体" w:hint="default"/>
        </w:rPr>
        <w:t>687,158,178.34</w:t>
      </w:r>
      <w:r>
        <w:rPr>
          <w:rFonts w:ascii="宋体" w:hAnsi="宋体" w:cs="宋体" w:eastAsia="宋体" w:hint="default"/>
          <w:spacing w:val="-53"/>
        </w:rPr>
        <w:t> </w:t>
      </w:r>
      <w:r>
        <w:rPr/>
        <w:t>元，是由于本年度溢价发行股份形成。 </w:t>
      </w:r>
      <w:r>
        <w:rPr>
          <w:rFonts w:ascii="宋体" w:hAnsi="宋体" w:cs="宋体" w:eastAsia="宋体" w:hint="default"/>
          <w:b/>
          <w:bCs/>
        </w:rPr>
        <w:t>注释</w:t>
      </w:r>
      <w:r>
        <w:rPr>
          <w:rFonts w:ascii="宋体" w:hAnsi="宋体" w:cs="宋体" w:eastAsia="宋体" w:hint="default"/>
          <w:b/>
          <w:bCs/>
          <w:spacing w:val="-57"/>
        </w:rPr>
        <w:t> </w:t>
      </w:r>
      <w:r>
        <w:rPr>
          <w:rFonts w:ascii="宋体" w:hAnsi="宋体" w:cs="宋体" w:eastAsia="宋体" w:hint="default"/>
          <w:b/>
          <w:bCs/>
        </w:rPr>
        <w:t>27</w:t>
      </w:r>
      <w:r>
        <w:rPr>
          <w:rFonts w:ascii="宋体" w:hAnsi="宋体" w:cs="宋体" w:eastAsia="宋体" w:hint="default"/>
          <w:b/>
          <w:bCs/>
        </w:rPr>
        <w:t>．盈余公积</w:t>
      </w:r>
      <w:r>
        <w:rPr>
          <w:rFonts w:ascii="宋体" w:hAnsi="宋体" w:cs="宋体" w:eastAsia="宋体" w:hint="default"/>
        </w:rPr>
      </w:r>
    </w:p>
    <w:p>
      <w:pPr>
        <w:spacing w:after="0" w:line="482" w:lineRule="auto"/>
        <w:jc w:val="left"/>
        <w:rPr>
          <w:rFonts w:ascii="宋体" w:hAnsi="宋体" w:cs="宋体" w:eastAsia="宋体" w:hint="default"/>
        </w:rPr>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2157"/>
        <w:gridCol w:w="1808"/>
        <w:gridCol w:w="1865"/>
        <w:gridCol w:w="1895"/>
        <w:gridCol w:w="2201"/>
      </w:tblGrid>
      <w:tr>
        <w:trPr>
          <w:trHeight w:val="322"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4" w:right="0"/>
              <w:jc w:val="left"/>
              <w:rPr>
                <w:rFonts w:ascii="宋体" w:hAnsi="宋体" w:cs="宋体" w:eastAsia="宋体" w:hint="default"/>
                <w:sz w:val="18"/>
                <w:szCs w:val="18"/>
              </w:rPr>
            </w:pPr>
            <w:r>
              <w:rPr>
                <w:rFonts w:ascii="宋体"/>
                <w:b/>
                <w:sz w:val="18"/>
              </w:rPr>
              <w:t>38,476,426.68</w:t>
            </w:r>
            <w:r>
              <w:rPr>
                <w:rFonts w:ascii="宋体"/>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18"/>
                <w:szCs w:val="18"/>
              </w:rPr>
            </w:pPr>
            <w:r>
              <w:rPr>
                <w:rFonts w:ascii="宋体"/>
                <w:b/>
                <w:sz w:val="18"/>
              </w:rPr>
              <w:t>9,875,519.84</w:t>
            </w:r>
            <w:r>
              <w:rPr>
                <w:rFonts w:ascii="宋体"/>
                <w:sz w:val="18"/>
              </w:rPr>
            </w:r>
          </w:p>
        </w:tc>
        <w:tc>
          <w:tcPr>
            <w:tcW w:w="189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8" w:right="0"/>
              <w:jc w:val="left"/>
              <w:rPr>
                <w:rFonts w:ascii="宋体" w:hAnsi="宋体" w:cs="宋体" w:eastAsia="宋体" w:hint="default"/>
                <w:sz w:val="18"/>
                <w:szCs w:val="18"/>
              </w:rPr>
            </w:pPr>
            <w:r>
              <w:rPr>
                <w:rFonts w:ascii="宋体"/>
                <w:b/>
                <w:sz w:val="18"/>
              </w:rPr>
              <w:t>48,351,946.52</w:t>
            </w:r>
            <w:r>
              <w:rPr>
                <w:rFonts w:ascii="宋体"/>
                <w:sz w:val="18"/>
              </w:rPr>
            </w:r>
          </w:p>
        </w:tc>
      </w:tr>
    </w:tbl>
    <w:p>
      <w:pPr>
        <w:spacing w:line="240" w:lineRule="auto" w:before="7"/>
        <w:rPr>
          <w:rFonts w:ascii="宋体" w:hAnsi="宋体" w:cs="宋体" w:eastAsia="宋体" w:hint="default"/>
          <w:b/>
          <w:bCs/>
          <w:sz w:val="14"/>
          <w:szCs w:val="14"/>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28</w:t>
      </w:r>
      <w:r>
        <w:rPr/>
        <w:t>．未分配利润</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4604"/>
        <w:gridCol w:w="2628"/>
        <w:gridCol w:w="2693"/>
      </w:tblGrid>
      <w:tr>
        <w:trPr>
          <w:trHeight w:val="40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spacing w:val="90"/>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3"/>
              <w:jc w:val="center"/>
              <w:rPr>
                <w:rFonts w:ascii="宋体" w:hAnsi="宋体" w:cs="宋体" w:eastAsia="宋体" w:hint="default"/>
                <w:sz w:val="18"/>
                <w:szCs w:val="18"/>
              </w:rPr>
            </w:pPr>
            <w:r>
              <w:rPr>
                <w:rFonts w:ascii="宋体" w:hAnsi="宋体" w:cs="宋体" w:eastAsia="宋体" w:hint="default"/>
                <w:b/>
                <w:bCs/>
                <w:sz w:val="18"/>
                <w:szCs w:val="18"/>
              </w:rPr>
              <w:t>上</w:t>
            </w:r>
            <w:r>
              <w:rPr>
                <w:rFonts w:ascii="宋体" w:hAnsi="宋体" w:cs="宋体" w:eastAsia="宋体" w:hint="default"/>
                <w:b/>
                <w:bCs/>
                <w:spacing w:val="90"/>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r>
      <w:tr>
        <w:trPr>
          <w:trHeight w:val="32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261,806,090.50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189,330,659.61</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62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261,806,090.50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189,330,659.61</w:t>
            </w:r>
          </w:p>
        </w:tc>
      </w:tr>
      <w:tr>
        <w:trPr>
          <w:trHeight w:val="32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98,755,198.43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92,903,757.45</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9,875,519.84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9,290,375.75</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62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62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18,711,859.16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11,137,950.81</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2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331,973,909.93</w:t>
            </w:r>
            <w:r>
              <w:rPr>
                <w:rFonts w:ascii="宋体"/>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261,806,090.50</w:t>
            </w:r>
            <w:r>
              <w:rPr>
                <w:rFonts w:ascii="宋体"/>
                <w:sz w:val="18"/>
              </w:rPr>
            </w:r>
          </w:p>
        </w:tc>
      </w:tr>
    </w:tbl>
    <w:p>
      <w:pPr>
        <w:spacing w:line="240" w:lineRule="auto" w:before="7"/>
        <w:rPr>
          <w:rFonts w:ascii="宋体" w:hAnsi="宋体" w:cs="宋体" w:eastAsia="宋体" w:hint="default"/>
          <w:b/>
          <w:bCs/>
          <w:sz w:val="14"/>
          <w:szCs w:val="14"/>
        </w:rPr>
      </w:pPr>
    </w:p>
    <w:p>
      <w:pPr>
        <w:spacing w:line="376" w:lineRule="auto" w:before="35"/>
        <w:ind w:left="827" w:right="7369" w:firstLine="0"/>
        <w:jc w:val="left"/>
        <w:rPr>
          <w:rFonts w:ascii="宋体" w:hAnsi="宋体" w:cs="宋体" w:eastAsia="宋体" w:hint="default"/>
          <w:sz w:val="21"/>
          <w:szCs w:val="21"/>
        </w:rPr>
      </w:pPr>
      <w:r>
        <w:rPr/>
        <w:pict>
          <v:shape style="position:absolute;margin-left:50.759998pt;margin-top:39.693668pt;width:497pt;height:81.05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4"/>
                    <w:gridCol w:w="2004"/>
                    <w:gridCol w:w="2127"/>
                    <w:gridCol w:w="1985"/>
                    <w:gridCol w:w="1985"/>
                  </w:tblGrid>
                  <w:tr>
                    <w:trPr>
                      <w:trHeight w:val="322" w:hRule="exact"/>
                    </w:trPr>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3" w:hRule="exact"/>
                    </w:trPr>
                    <w:tc>
                      <w:tcPr>
                        <w:tcW w:w="1824" w:type="dxa"/>
                        <w:vMerge/>
                        <w:tcBorders>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1,848,271,877.11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1,454,842,203.29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2,023,448,219.06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1,660,629,181.09</w:t>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71,732,957.44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51,652,760.35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82,907,023.36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56,849,642.46</w:t>
                        </w:r>
                      </w:p>
                    </w:tc>
                  </w:tr>
                  <w:tr>
                    <w:trPr>
                      <w:trHeight w:val="32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1,920,004,834.55</w:t>
                        </w:r>
                        <w:r>
                          <w:rPr>
                            <w:rFonts w:ascii="宋体"/>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1,506,494,963.64</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2,106,355,242.42</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1,717,478,823.55</w:t>
                        </w:r>
                        <w:r>
                          <w:rPr>
                            <w:rFonts w:ascii="宋体"/>
                            <w:sz w:val="18"/>
                          </w:rPr>
                        </w:r>
                      </w:p>
                    </w:tc>
                  </w:tr>
                </w:tbl>
                <w:p>
                  <w:pPr/>
                </w:p>
              </w:txbxContent>
            </v:textbox>
            <w10:wrap type="none"/>
          </v:shape>
        </w:pic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29</w:t>
      </w:r>
      <w:r>
        <w:rPr>
          <w:rFonts w:ascii="宋体" w:hAnsi="宋体" w:cs="宋体" w:eastAsia="宋体" w:hint="default"/>
          <w:b/>
          <w:bCs/>
          <w:sz w:val="21"/>
          <w:szCs w:val="21"/>
        </w:rPr>
        <w:t>．营业收入、营业成本</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营业收入及成本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1"/>
          <w:szCs w:val="21"/>
        </w:rPr>
        <w:t>营业收入（分行业）</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1848"/>
        <w:gridCol w:w="1982"/>
        <w:gridCol w:w="2127"/>
        <w:gridCol w:w="1988"/>
        <w:gridCol w:w="1980"/>
      </w:tblGrid>
      <w:tr>
        <w:trPr>
          <w:trHeight w:val="349"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4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5" w:hRule="exact"/>
        </w:trPr>
        <w:tc>
          <w:tcPr>
            <w:tcW w:w="1848" w:type="dxa"/>
            <w:vMerge/>
            <w:tcBorders>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9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2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2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1748,212,631.80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1,386,983,080.27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1,925,631,091.14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1,567,675,874.11</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61,658,619.10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37,162,171.54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39,959,051.00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20,443,849.73</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45,124,601.23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21,693,365.39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42,609,305.57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19,834,504.33</w:t>
            </w:r>
          </w:p>
        </w:tc>
      </w:tr>
      <w:tr>
        <w:trPr>
          <w:trHeight w:val="349"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电信增值服务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45,201,924.24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32,481,852.27</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其中：运营商业务酬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金收入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4,164,019.51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19,807,058.18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28,174,494.17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98,155,794.71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109,524,595.38</w:t>
            </w:r>
          </w:p>
        </w:tc>
      </w:tr>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b/>
                <w:w w:val="95"/>
                <w:sz w:val="18"/>
              </w:rPr>
              <w:t>1,920,004,834.55</w:t>
            </w:r>
            <w:r>
              <w:rPr>
                <w:rFonts w:ascii="宋体"/>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b/>
                <w:w w:val="95"/>
                <w:sz w:val="18"/>
              </w:rPr>
              <w:t>1,506,494,963.64</w:t>
            </w:r>
            <w:r>
              <w:rPr>
                <w:rFonts w:ascii="宋体"/>
                <w:sz w:val="18"/>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宋体" w:hAnsi="宋体" w:cs="宋体" w:eastAsia="宋体" w:hint="default"/>
                <w:sz w:val="18"/>
                <w:szCs w:val="18"/>
              </w:rPr>
            </w:pPr>
            <w:r>
              <w:rPr>
                <w:rFonts w:ascii="宋体"/>
                <w:b/>
                <w:w w:val="95"/>
                <w:sz w:val="18"/>
              </w:rPr>
              <w:t>2,106,355,242.42</w:t>
            </w:r>
            <w:r>
              <w:rPr>
                <w:rFonts w:ascii="宋体"/>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b/>
                <w:w w:val="95"/>
                <w:sz w:val="18"/>
              </w:rPr>
              <w:t>1,717,478,823.55</w:t>
            </w:r>
            <w:r>
              <w:rPr>
                <w:rFonts w:ascii="宋体"/>
                <w:sz w:val="18"/>
              </w:rPr>
            </w:r>
          </w:p>
        </w:tc>
      </w:tr>
    </w:tbl>
    <w:p>
      <w:pPr>
        <w:spacing w:line="240" w:lineRule="auto" w:before="1"/>
        <w:rPr>
          <w:rFonts w:ascii="宋体" w:hAnsi="宋体" w:cs="宋体" w:eastAsia="宋体" w:hint="default"/>
          <w:b/>
          <w:bCs/>
          <w:sz w:val="8"/>
          <w:szCs w:val="8"/>
        </w:rPr>
      </w:pPr>
    </w:p>
    <w:p>
      <w:pPr>
        <w:pStyle w:val="BodyText"/>
        <w:spacing w:line="240" w:lineRule="auto" w:before="35"/>
        <w:ind w:left="824" w:right="418"/>
        <w:jc w:val="left"/>
      </w:pPr>
      <w:r>
        <w:rPr/>
        <w:t>注：</w:t>
      </w:r>
      <w:r>
        <w:rPr>
          <w:rFonts w:ascii="宋体" w:hAnsi="宋体" w:cs="宋体" w:eastAsia="宋体" w:hint="default"/>
        </w:rPr>
        <w:t>1</w:t>
      </w:r>
      <w:r>
        <w:rPr/>
        <w:t>、电信增值服务收入是创世漫道的短信增值业务收入 </w:t>
      </w:r>
      <w:r>
        <w:rPr>
          <w:rFonts w:ascii="宋体" w:hAnsi="宋体" w:cs="宋体" w:eastAsia="宋体" w:hint="default"/>
        </w:rPr>
        <w:t>45,201,924.24</w:t>
      </w:r>
      <w:r>
        <w:rPr>
          <w:rFonts w:ascii="宋体" w:hAnsi="宋体" w:cs="宋体" w:eastAsia="宋体" w:hint="default"/>
          <w:spacing w:val="-42"/>
        </w:rPr>
        <w:t> </w:t>
      </w:r>
      <w:r>
        <w:rPr/>
        <w:t>元，其中运营商业务酬</w:t>
      </w:r>
    </w:p>
    <w:p>
      <w:pPr>
        <w:pStyle w:val="BodyText"/>
        <w:spacing w:line="240" w:lineRule="auto" w:before="37"/>
        <w:ind w:right="418"/>
        <w:jc w:val="left"/>
      </w:pPr>
      <w:r>
        <w:rPr/>
        <w:t>金收入</w:t>
      </w:r>
      <w:r>
        <w:rPr>
          <w:spacing w:val="-56"/>
        </w:rPr>
        <w:t> </w:t>
      </w:r>
      <w:r>
        <w:rPr>
          <w:rFonts w:ascii="宋体" w:hAnsi="宋体" w:cs="宋体" w:eastAsia="宋体" w:hint="default"/>
        </w:rPr>
        <w:t>4,164,019.51</w:t>
      </w:r>
      <w:r>
        <w:rPr>
          <w:rFonts w:ascii="宋体" w:hAnsi="宋体" w:cs="宋体" w:eastAsia="宋体" w:hint="default"/>
          <w:spacing w:val="-56"/>
        </w:rPr>
        <w:t> </w:t>
      </w:r>
      <w:r>
        <w:rPr/>
        <w:t>元主要来自三大运营商，其中中国电信</w:t>
      </w:r>
      <w:r>
        <w:rPr>
          <w:spacing w:val="-56"/>
        </w:rPr>
        <w:t> </w:t>
      </w:r>
      <w:r>
        <w:rPr>
          <w:rFonts w:ascii="宋体" w:hAnsi="宋体" w:cs="宋体" w:eastAsia="宋体" w:hint="default"/>
        </w:rPr>
        <w:t>300,505.87</w:t>
      </w:r>
      <w:r>
        <w:rPr>
          <w:rFonts w:ascii="宋体" w:hAnsi="宋体" w:cs="宋体" w:eastAsia="宋体" w:hint="default"/>
          <w:spacing w:val="-56"/>
        </w:rPr>
        <w:t> </w:t>
      </w:r>
      <w:r>
        <w:rPr>
          <w:spacing w:val="-4"/>
        </w:rPr>
        <w:t>元、中国联通</w:t>
      </w:r>
      <w:r>
        <w:rPr>
          <w:spacing w:val="-56"/>
        </w:rPr>
        <w:t> </w:t>
      </w:r>
      <w:r>
        <w:rPr>
          <w:rFonts w:ascii="宋体" w:hAnsi="宋体" w:cs="宋体" w:eastAsia="宋体" w:hint="default"/>
        </w:rPr>
        <w:t>308,844.33</w:t>
      </w:r>
      <w:r>
        <w:rPr>
          <w:rFonts w:ascii="宋体" w:hAnsi="宋体" w:cs="宋体" w:eastAsia="宋体" w:hint="default"/>
          <w:spacing w:val="-56"/>
        </w:rPr>
        <w:t> </w:t>
      </w:r>
      <w:r>
        <w:rPr/>
        <w:t>元、</w:t>
      </w:r>
    </w:p>
    <w:p>
      <w:pPr>
        <w:pStyle w:val="BodyText"/>
        <w:spacing w:line="240" w:lineRule="auto" w:before="37"/>
        <w:ind w:right="5945"/>
        <w:jc w:val="left"/>
      </w:pPr>
      <w:r>
        <w:rPr/>
        <w:t>中国移动</w:t>
      </w:r>
      <w:r>
        <w:rPr>
          <w:spacing w:val="-54"/>
        </w:rPr>
        <w:t> </w:t>
      </w:r>
      <w:r>
        <w:rPr>
          <w:rFonts w:ascii="宋体" w:hAnsi="宋体" w:cs="宋体" w:eastAsia="宋体" w:hint="default"/>
        </w:rPr>
        <w:t>3,554,669.31</w:t>
      </w:r>
      <w:r>
        <w:rPr>
          <w:rFonts w:ascii="宋体" w:hAnsi="宋体" w:cs="宋体" w:eastAsia="宋体" w:hint="default"/>
          <w:spacing w:val="-55"/>
        </w:rPr>
        <w:t> </w:t>
      </w:r>
      <w:r>
        <w:rPr/>
        <w:t>元。</w:t>
      </w:r>
    </w:p>
    <w:p>
      <w:pPr>
        <w:pStyle w:val="BodyText"/>
        <w:spacing w:line="273" w:lineRule="auto" w:before="37"/>
        <w:ind w:right="1188" w:firstLine="420"/>
        <w:jc w:val="both"/>
      </w:pPr>
      <w:r>
        <w:rPr>
          <w:rFonts w:ascii="宋体" w:hAnsi="宋体" w:cs="宋体" w:eastAsia="宋体" w:hint="default"/>
        </w:rPr>
        <w:t>2</w:t>
      </w:r>
      <w:r>
        <w:rPr/>
        <w:t>、会计处理</w:t>
      </w:r>
      <w:r>
        <w:rPr>
          <w:spacing w:val="53"/>
        </w:rPr>
        <w:t> </w:t>
      </w:r>
      <w:r>
        <w:rPr/>
        <w:t>根据《企业会计准则——收入》，创世漫道的上述业务收入符合“提供劳务收入”</w:t>
      </w:r>
      <w:r>
        <w:rPr/>
        <w:t> </w:t>
      </w:r>
      <w:r>
        <w:rPr>
          <w:spacing w:val="-1"/>
        </w:rPr>
        <w:t>的确认原则，即相关代理服务已经提供、收入可以可靠计量，相关经济利益很可能流入企业，因此公司</w:t>
      </w:r>
      <w:r>
        <w:rPr>
          <w:spacing w:val="-100"/>
        </w:rPr>
        <w:t> </w:t>
      </w:r>
      <w:r>
        <w:rPr>
          <w:spacing w:val="-100"/>
        </w:rPr>
      </w:r>
      <w:r>
        <w:rPr/>
        <w:t>根据合同约定按照结算金额确认主营业务收入，同时计提相关税费，符合会计准则的规定。</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right="1187" w:firstLine="420"/>
        <w:jc w:val="both"/>
      </w:pPr>
      <w:r>
        <w:rPr>
          <w:spacing w:val="-1"/>
        </w:rPr>
        <w:t>根据创世漫道与运营商的合作，创世漫道既是客户也是运营商的代理商，作为代理商身份其自身并</w:t>
      </w:r>
      <w:r>
        <w:rPr/>
        <w:t> </w:t>
      </w:r>
      <w:r>
        <w:rPr>
          <w:spacing w:val="-1"/>
        </w:rPr>
        <w:t>非短彩信业务的最终客户，而是通过发展下游企业客户为电信运营商开拓短彩信业务，为运营商提供了</w:t>
      </w:r>
      <w:r>
        <w:rPr>
          <w:spacing w:val="-100"/>
        </w:rPr>
        <w:t> </w:t>
      </w:r>
      <w:r>
        <w:rPr>
          <w:spacing w:val="-100"/>
        </w:rPr>
      </w:r>
      <w:r>
        <w:rPr/>
        <w:t>代理服务，运营商按照合作协议约定向创世漫道支付业务酬金。</w:t>
      </w:r>
    </w:p>
    <w:p>
      <w:pPr>
        <w:pStyle w:val="BodyText"/>
        <w:spacing w:line="273" w:lineRule="auto"/>
        <w:ind w:right="1187" w:firstLine="420"/>
        <w:jc w:val="both"/>
      </w:pPr>
      <w:r>
        <w:rPr>
          <w:spacing w:val="-1"/>
        </w:rPr>
        <w:t>创世漫道收到运营商业务酬金收入时向运营商开具发票，在税务上亦将此部分界定为收入，公司按</w:t>
      </w:r>
      <w:r>
        <w:rPr/>
        <w:t> 照目前主管税务部门的要求，该部分收入依法缴纳相关服务税金。</w:t>
      </w:r>
    </w:p>
    <w:p>
      <w:pPr>
        <w:pStyle w:val="Heading3"/>
        <w:spacing w:line="240" w:lineRule="auto" w:before="127"/>
        <w:ind w:right="5945"/>
        <w:jc w:val="left"/>
        <w:rPr>
          <w:b w:val="0"/>
          <w:bCs w:val="0"/>
        </w:rPr>
      </w:pPr>
      <w:r>
        <w:rPr>
          <w:rFonts w:ascii="宋体" w:hAnsi="宋体" w:cs="宋体" w:eastAsia="宋体" w:hint="default"/>
        </w:rPr>
        <w:t>(3)</w:t>
      </w:r>
      <w:r>
        <w:rPr>
          <w:rFonts w:ascii="宋体" w:hAnsi="宋体" w:cs="宋体" w:eastAsia="宋体" w:hint="default"/>
          <w:spacing w:val="-4"/>
        </w:rPr>
        <w:t> </w:t>
      </w:r>
      <w:r>
        <w:rPr/>
        <w:t>营业收入（分地区）</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129"/>
        <w:gridCol w:w="2086"/>
        <w:gridCol w:w="1997"/>
        <w:gridCol w:w="1799"/>
        <w:gridCol w:w="1914"/>
      </w:tblGrid>
      <w:tr>
        <w:trPr>
          <w:trHeight w:val="322"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4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3" w:hRule="exact"/>
        </w:trPr>
        <w:tc>
          <w:tcPr>
            <w:tcW w:w="2129" w:type="dxa"/>
            <w:vMerge/>
            <w:tcBorders>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1,768,145,599.98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1,421,093,032.68</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2,022,053,733.90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1,678,766,936.38</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安徽地区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106,657,310.33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52,920,078.69</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84,301,508.52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38,711,887.17</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45,201,924.24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32,481,852.27</w:t>
            </w:r>
          </w:p>
        </w:tc>
        <w:tc>
          <w:tcPr>
            <w:tcW w:w="179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21"/>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1,920,004,834.55</w:t>
            </w:r>
            <w:r>
              <w:rPr>
                <w:rFonts w:ascii="宋体"/>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1,506,494,963.64</w:t>
            </w:r>
            <w:r>
              <w:rPr>
                <w:rFonts w:ascii="宋体"/>
                <w:sz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b/>
                <w:w w:val="95"/>
                <w:sz w:val="18"/>
              </w:rPr>
              <w:t>2,106,355,242.42</w:t>
            </w:r>
            <w:r>
              <w:rPr>
                <w:rFonts w:ascii="宋体"/>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1,717,478,823.55</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54"/>
        <w:gridCol w:w="3026"/>
        <w:gridCol w:w="3146"/>
      </w:tblGrid>
      <w:tr>
        <w:trPr>
          <w:trHeight w:val="378"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9"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18,335,963.55</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10,047,926.53</w:t>
            </w:r>
          </w:p>
        </w:tc>
      </w:tr>
      <w:tr>
        <w:trPr>
          <w:trHeight w:val="350"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9,051,568.62</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17,562,661.3</w:t>
            </w:r>
          </w:p>
        </w:tc>
      </w:tr>
      <w:tr>
        <w:trPr>
          <w:trHeight w:val="350"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2,766,509.77</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2,737,946.84</w:t>
            </w:r>
          </w:p>
        </w:tc>
      </w:tr>
      <w:tr>
        <w:trPr>
          <w:trHeight w:val="349"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1,977,428.29</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1,952,887.18</w:t>
            </w:r>
          </w:p>
        </w:tc>
      </w:tr>
      <w:tr>
        <w:trPr>
          <w:trHeight w:val="350"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5,360,319.65</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9,003,144.03</w:t>
            </w:r>
          </w:p>
        </w:tc>
      </w:tr>
      <w:tr>
        <w:trPr>
          <w:trHeight w:val="377"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b/>
                <w:w w:val="95"/>
                <w:sz w:val="18"/>
              </w:rPr>
              <w:t>37,491,789.88</w:t>
            </w:r>
            <w:r>
              <w:rPr>
                <w:rFonts w:ascii="宋体"/>
                <w:sz w:val="18"/>
              </w:rPr>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b/>
                <w:w w:val="95"/>
                <w:sz w:val="18"/>
              </w:rPr>
              <w:t>41,304,565.88</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 </w:t>
      </w:r>
      <w:r>
        <w:rPr>
          <w:rFonts w:ascii="宋体" w:hAnsi="宋体" w:cs="宋体" w:eastAsia="宋体" w:hint="default"/>
          <w:b/>
          <w:bCs/>
          <w:sz w:val="21"/>
          <w:szCs w:val="21"/>
        </w:rPr>
        <w:t>31.</w:t>
      </w:r>
      <w:r>
        <w:rPr>
          <w:rFonts w:ascii="宋体" w:hAnsi="宋体" w:cs="宋体" w:eastAsia="宋体" w:hint="default"/>
          <w:b/>
          <w:bCs/>
          <w:spacing w:val="-57"/>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464"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56,804,714.38</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58,037,763.85</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10,577,040.30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10,574,034.62</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17,132,149.70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12,114,941.39</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5,216,004.52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7,666,157.21</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18,860,542.29</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17,029,496.75</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办公及其他费用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2,411,322.59</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8,567,781.61</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5,253,731.60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4,394,572.90</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7,025,283.84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7,206,619.94</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4,505,644.09</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2,170,994.40</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经营用品</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1,684,657.06</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2,989,883.35</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7,826,351.13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8,820,160.28</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环保清洁费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3,403,202.69</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2,458,249.00</w:t>
            </w:r>
          </w:p>
        </w:tc>
      </w:tr>
      <w:tr>
        <w:trPr>
          <w:trHeight w:val="35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140,700,644.19</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142,030,655.30</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 </w:t>
      </w:r>
      <w:r>
        <w:rPr>
          <w:rFonts w:ascii="宋体" w:hAnsi="宋体" w:cs="宋体" w:eastAsia="宋体" w:hint="default"/>
          <w:b/>
          <w:bCs/>
          <w:sz w:val="21"/>
          <w:szCs w:val="21"/>
        </w:rPr>
        <w:t>32.</w:t>
      </w:r>
      <w:r>
        <w:rPr>
          <w:rFonts w:ascii="宋体" w:hAnsi="宋体" w:cs="宋体" w:eastAsia="宋体" w:hint="default"/>
          <w:b/>
          <w:bCs/>
          <w:spacing w:val="-57"/>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464"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31,313,542.92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26,456,162.36</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3,011,542.03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2,580,428.72</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2,911,951.26</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3,351,037.07</w:t>
            </w:r>
          </w:p>
        </w:tc>
      </w:tr>
      <w:tr>
        <w:trPr>
          <w:trHeight w:val="35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10,265,649.72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7,261,095.58</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2,820,620.22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3,709,727.26</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2,598,603.67</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2,771,584.87</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876,379.90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757,515.74</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1,496,926.40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1,621,068.18</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1,056,148.88</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2,000,444.12</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858,266.56</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1,345,102.67</w:t>
            </w:r>
          </w:p>
        </w:tc>
      </w:tr>
      <w:tr>
        <w:trPr>
          <w:trHeight w:val="349"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16,634.80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647,409.40</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498,672.53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70,502.78</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104,998.56</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112,348.18</w:t>
            </w: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730,589.75</w:t>
            </w:r>
          </w:p>
        </w:tc>
        <w:tc>
          <w:tcPr>
            <w:tcW w:w="31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152,259.75</w:t>
            </w:r>
          </w:p>
        </w:tc>
        <w:tc>
          <w:tcPr>
            <w:tcW w:w="31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7,146,037.70</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4,047,747.13</w:t>
            </w:r>
          </w:p>
        </w:tc>
      </w:tr>
      <w:tr>
        <w:trPr>
          <w:trHeight w:val="350"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65,858,824.65</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56,732,174.06</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 </w:t>
      </w:r>
      <w:r>
        <w:rPr>
          <w:rFonts w:ascii="宋体" w:hAnsi="宋体" w:cs="宋体" w:eastAsia="宋体" w:hint="default"/>
          <w:b/>
          <w:bCs/>
          <w:sz w:val="21"/>
          <w:szCs w:val="21"/>
        </w:rPr>
        <w:t>33.</w:t>
      </w:r>
      <w:r>
        <w:rPr>
          <w:rFonts w:ascii="宋体" w:hAnsi="宋体" w:cs="宋体" w:eastAsia="宋体" w:hint="default"/>
          <w:b/>
          <w:bCs/>
          <w:spacing w:val="-57"/>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36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93"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2,094,782.37</w:t>
            </w:r>
          </w:p>
        </w:tc>
      </w:tr>
      <w:tr>
        <w:trPr>
          <w:trHeight w:val="32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2,017,424.03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2,984,684.59</w:t>
            </w: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739,552.71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1,333,026.21</w:t>
            </w:r>
          </w:p>
        </w:tc>
      </w:tr>
      <w:tr>
        <w:trPr>
          <w:trHeight w:val="408"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-1,277,871.32</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443,123.99</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407"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16,230,475.91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1,492,050.44</w:t>
            </w:r>
          </w:p>
        </w:tc>
      </w:tr>
      <w:tr>
        <w:trPr>
          <w:trHeight w:val="3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7,860,813.73</w:t>
            </w:r>
          </w:p>
        </w:tc>
        <w:tc>
          <w:tcPr>
            <w:tcW w:w="316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24,091,289.64</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1,492,050.44</w:t>
            </w:r>
            <w:r>
              <w:rPr>
                <w:rFonts w:ascii="宋体"/>
                <w:sz w:val="18"/>
              </w:rPr>
            </w:r>
          </w:p>
        </w:tc>
      </w:tr>
    </w:tbl>
    <w:p>
      <w:pPr>
        <w:spacing w:line="240" w:lineRule="auto" w:before="7"/>
        <w:rPr>
          <w:rFonts w:ascii="宋体" w:hAnsi="宋体" w:cs="宋体" w:eastAsia="宋体" w:hint="default"/>
          <w:b/>
          <w:bCs/>
          <w:sz w:val="14"/>
          <w:szCs w:val="14"/>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764"/>
        <w:gridCol w:w="2993"/>
        <w:gridCol w:w="3168"/>
      </w:tblGrid>
      <w:tr>
        <w:trPr>
          <w:trHeight w:val="376"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465,257.89</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-58,654.30</w:t>
            </w:r>
          </w:p>
        </w:tc>
      </w:tr>
      <w:tr>
        <w:trPr>
          <w:trHeight w:val="407"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465,257.89</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-58,654.30</w:t>
            </w:r>
            <w:r>
              <w:rPr>
                <w:rFonts w:ascii="宋体"/>
                <w:sz w:val="18"/>
              </w:rPr>
            </w:r>
          </w:p>
        </w:tc>
      </w:tr>
    </w:tbl>
    <w:p>
      <w:pPr>
        <w:spacing w:line="240" w:lineRule="auto" w:before="5"/>
        <w:rPr>
          <w:rFonts w:ascii="宋体" w:hAnsi="宋体" w:cs="宋体" w:eastAsia="宋体" w:hint="default"/>
          <w:b/>
          <w:bCs/>
          <w:sz w:val="5"/>
          <w:szCs w:val="5"/>
        </w:rPr>
      </w:pPr>
    </w:p>
    <w:p>
      <w:pPr>
        <w:pStyle w:val="BodyText"/>
        <w:spacing w:line="240" w:lineRule="auto" w:before="35"/>
        <w:ind w:left="824" w:right="5945"/>
        <w:jc w:val="left"/>
      </w:pPr>
      <w:r>
        <w:rPr/>
        <w:t>注：已购入基金的公允价值变动损益。</w:t>
      </w:r>
    </w:p>
    <w:p>
      <w:pPr>
        <w:spacing w:line="240" w:lineRule="auto" w:before="3"/>
        <w:rPr>
          <w:rFonts w:ascii="宋体" w:hAnsi="宋体" w:cs="宋体" w:eastAsia="宋体" w:hint="default"/>
          <w:sz w:val="21"/>
          <w:szCs w:val="21"/>
        </w:rPr>
      </w:pPr>
    </w:p>
    <w:p>
      <w:pPr>
        <w:pStyle w:val="Heading3"/>
        <w:spacing w:line="324" w:lineRule="auto" w:before="0"/>
        <w:ind w:right="8423"/>
        <w:jc w:val="left"/>
        <w:rPr>
          <w:b w:val="0"/>
          <w:bCs w:val="0"/>
        </w:rPr>
      </w:pPr>
      <w:r>
        <w:rPr/>
        <w:pict>
          <v:shape style="position:absolute;margin-left:50.759998pt;margin-top:34.943668pt;width:497pt;height:20.9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3034"/>
                    <w:gridCol w:w="3356"/>
                  </w:tblGrid>
                  <w:tr>
                    <w:trPr>
                      <w:trHeight w:val="408"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p>
              </w:txbxContent>
            </v:textbox>
            <w10:wrap type="none"/>
          </v:shape>
        </w:pict>
      </w:r>
      <w:r>
        <w:rPr/>
        <w:t>注释</w:t>
      </w:r>
      <w:r>
        <w:rPr>
          <w:spacing w:val="-57"/>
        </w:rPr>
        <w:t> </w:t>
      </w:r>
      <w:r>
        <w:rPr>
          <w:rFonts w:ascii="宋体" w:hAnsi="宋体" w:cs="宋体" w:eastAsia="宋体" w:hint="default"/>
        </w:rPr>
        <w:t>36</w:t>
      </w:r>
      <w:r>
        <w:rPr/>
        <w:t>．投资收益</w:t>
      </w:r>
      <w:r>
        <w:rPr>
          <w:w w:val="99"/>
        </w:rPr>
        <w:t> </w:t>
      </w:r>
      <w:r>
        <w:rPr/>
        <w:t>投资收益明细情况</w:t>
      </w:r>
      <w:r>
        <w:rPr>
          <w:b w:val="0"/>
          <w:bCs w:val="0"/>
        </w:rPr>
      </w:r>
    </w:p>
    <w:p>
      <w:pPr>
        <w:spacing w:after="0" w:line="324" w:lineRule="auto"/>
        <w:jc w:val="left"/>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536"/>
        <w:gridCol w:w="3034"/>
        <w:gridCol w:w="3356"/>
      </w:tblGrid>
      <w:tr>
        <w:trPr>
          <w:trHeight w:val="32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764,657.53</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500,000.00</w:t>
            </w:r>
          </w:p>
        </w:tc>
      </w:tr>
      <w:tr>
        <w:trPr>
          <w:trHeight w:val="408"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764,657.53</w:t>
            </w:r>
            <w:r>
              <w:rPr>
                <w:rFonts w:ascii="宋体"/>
                <w:sz w:val="18"/>
              </w:rPr>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b/>
                <w:w w:val="95"/>
                <w:sz w:val="18"/>
              </w:rPr>
              <w:t>500,000.00</w:t>
            </w:r>
            <w:r>
              <w:rPr>
                <w:rFonts w:ascii="宋体"/>
                <w:sz w:val="18"/>
              </w:rPr>
            </w:r>
          </w:p>
        </w:tc>
      </w:tr>
    </w:tbl>
    <w:p>
      <w:pPr>
        <w:spacing w:line="240" w:lineRule="auto" w:before="5"/>
        <w:rPr>
          <w:rFonts w:ascii="宋体" w:hAnsi="宋体" w:cs="宋体" w:eastAsia="宋体" w:hint="default"/>
          <w:b/>
          <w:bCs/>
          <w:sz w:val="5"/>
          <w:szCs w:val="5"/>
        </w:rPr>
      </w:pPr>
    </w:p>
    <w:p>
      <w:pPr>
        <w:pStyle w:val="BodyText"/>
        <w:spacing w:line="273" w:lineRule="auto" w:before="35"/>
        <w:ind w:right="1176" w:firstLine="420"/>
        <w:jc w:val="left"/>
      </w:pPr>
      <w:r>
        <w:rPr/>
        <w:t>注：本期投资收益</w:t>
      </w:r>
      <w:r>
        <w:rPr>
          <w:rFonts w:ascii="宋体" w:hAnsi="宋体" w:cs="宋体" w:eastAsia="宋体" w:hint="default"/>
        </w:rPr>
        <w:t>-</w:t>
      </w:r>
      <w:r>
        <w:rPr/>
        <w:t>其他系本公司收到秦皇岛银行股份有限公司分红款</w:t>
      </w:r>
      <w:r>
        <w:rPr>
          <w:spacing w:val="-60"/>
        </w:rPr>
        <w:t> </w:t>
      </w:r>
      <w:r>
        <w:rPr>
          <w:rFonts w:ascii="宋体" w:hAnsi="宋体" w:cs="宋体" w:eastAsia="宋体" w:hint="default"/>
        </w:rPr>
        <w:t>500,000.00</w:t>
      </w:r>
      <w:r>
        <w:rPr>
          <w:rFonts w:ascii="宋体" w:hAnsi="宋体" w:cs="宋体" w:eastAsia="宋体" w:hint="default"/>
          <w:spacing w:val="-61"/>
        </w:rPr>
        <w:t> </w:t>
      </w:r>
      <w:r>
        <w:rPr>
          <w:spacing w:val="-4"/>
        </w:rPr>
        <w:t>元，本公司之子</w:t>
      </w:r>
      <w:r>
        <w:rPr/>
        <w:t> 公司北京创世漫道科技有限公司委托理财收益</w:t>
      </w:r>
      <w:r>
        <w:rPr>
          <w:spacing w:val="-53"/>
        </w:rPr>
        <w:t> </w:t>
      </w:r>
      <w:r>
        <w:rPr>
          <w:rFonts w:ascii="宋体" w:hAnsi="宋体" w:cs="宋体" w:eastAsia="宋体" w:hint="default"/>
        </w:rPr>
        <w:t>264,657.53,</w:t>
      </w:r>
      <w:r>
        <w:rPr/>
        <w:t>元。</w:t>
      </w:r>
    </w:p>
    <w:p>
      <w:pPr>
        <w:spacing w:line="240" w:lineRule="auto" w:before="12"/>
        <w:rPr>
          <w:rFonts w:ascii="宋体" w:hAnsi="宋体" w:cs="宋体" w:eastAsia="宋体" w:hint="default"/>
          <w:sz w:val="18"/>
          <w:szCs w:val="18"/>
        </w:rPr>
      </w:pPr>
    </w:p>
    <w:p>
      <w:pPr>
        <w:pStyle w:val="Heading3"/>
        <w:spacing w:line="240" w:lineRule="auto" w:before="0"/>
        <w:ind w:right="5945"/>
        <w:jc w:val="left"/>
        <w:rPr>
          <w:b w:val="0"/>
          <w:bCs w:val="0"/>
        </w:rPr>
      </w:pPr>
      <w:r>
        <w:rPr/>
        <w:t>注释</w:t>
      </w:r>
      <w:r>
        <w:rPr>
          <w:spacing w:val="-57"/>
        </w:rPr>
        <w:t> </w:t>
      </w:r>
      <w:r>
        <w:rPr>
          <w:rFonts w:ascii="宋体" w:hAnsi="宋体" w:cs="宋体" w:eastAsia="宋体" w:hint="default"/>
        </w:rPr>
        <w:t>37</w:t>
      </w:r>
      <w:r>
        <w:rPr/>
        <w:t>．营业外收入</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150"/>
        <w:gridCol w:w="2097"/>
        <w:gridCol w:w="2127"/>
        <w:gridCol w:w="2551"/>
      </w:tblGrid>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计入当期非经常性损益金额</w:t>
            </w:r>
            <w:r>
              <w:rPr>
                <w:rFonts w:ascii="宋体" w:hAnsi="宋体" w:cs="宋体" w:eastAsia="宋体" w:hint="default"/>
                <w:sz w:val="18"/>
                <w:szCs w:val="18"/>
              </w:rPr>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186,226.65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1,471.15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186,226.65</w:t>
            </w:r>
          </w:p>
        </w:tc>
      </w:tr>
      <w:tr>
        <w:trPr>
          <w:trHeight w:val="32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186,226.65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1,471.15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186,226.65</w:t>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09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2,244,304.73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823,055.50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2,244,304.73</w:t>
            </w:r>
          </w:p>
        </w:tc>
      </w:tr>
      <w:tr>
        <w:trPr>
          <w:trHeight w:val="32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620,000.00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620,000.00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3,050,531.38</w:t>
            </w:r>
            <w:r>
              <w:rPr>
                <w:rFonts w:ascii="宋体"/>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824,526.65</w:t>
            </w:r>
            <w:r>
              <w:rPr>
                <w:rFonts w:ascii="宋体"/>
                <w:sz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3,050,531.38</w:t>
            </w:r>
            <w:r>
              <w:rPr>
                <w:rFonts w:ascii="宋体"/>
                <w:sz w:val="18"/>
              </w:rPr>
            </w:r>
          </w:p>
        </w:tc>
      </w:tr>
    </w:tbl>
    <w:p>
      <w:pPr>
        <w:spacing w:line="240" w:lineRule="auto" w:before="5"/>
        <w:rPr>
          <w:rFonts w:ascii="宋体" w:hAnsi="宋体" w:cs="宋体" w:eastAsia="宋体" w:hint="default"/>
          <w:b/>
          <w:bCs/>
          <w:sz w:val="5"/>
          <w:szCs w:val="5"/>
        </w:rPr>
      </w:pPr>
    </w:p>
    <w:p>
      <w:pPr>
        <w:pStyle w:val="BodyText"/>
        <w:spacing w:line="240" w:lineRule="auto" w:before="35"/>
        <w:ind w:left="824" w:right="5945"/>
        <w:jc w:val="left"/>
      </w:pPr>
      <w:r>
        <w:rPr/>
        <w:t>计入当期损益的政府补助：</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32"/>
        <w:gridCol w:w="2206"/>
        <w:gridCol w:w="2049"/>
        <w:gridCol w:w="2538"/>
      </w:tblGrid>
      <w:tr>
        <w:trPr>
          <w:trHeight w:val="407"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5"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6"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sz w:val="18"/>
                <w:szCs w:val="18"/>
              </w:rPr>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4"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5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流通领域节能减排补贴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500,000.00</w:t>
            </w:r>
          </w:p>
        </w:tc>
        <w:tc>
          <w:tcPr>
            <w:tcW w:w="2049" w:type="dxa"/>
            <w:tcBorders>
              <w:top w:val="single" w:sz="4" w:space="0" w:color="000000"/>
              <w:left w:val="single" w:sz="4" w:space="0" w:color="000000"/>
              <w:bottom w:val="single" w:sz="4" w:space="0" w:color="000000"/>
              <w:right w:val="single" w:sz="4" w:space="0" w:color="000000"/>
            </w:tcBorders>
          </w:tcPr>
          <w:p>
            <w:pP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蔬菜应急调运补贴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100,000.00</w:t>
            </w:r>
          </w:p>
        </w:tc>
        <w:tc>
          <w:tcPr>
            <w:tcW w:w="2049" w:type="dxa"/>
            <w:tcBorders>
              <w:top w:val="single" w:sz="4" w:space="0" w:color="000000"/>
              <w:left w:val="single" w:sz="4" w:space="0" w:color="000000"/>
              <w:bottom w:val="single" w:sz="4" w:space="0" w:color="000000"/>
              <w:right w:val="single" w:sz="4" w:space="0" w:color="000000"/>
            </w:tcBorders>
          </w:tcPr>
          <w:p>
            <w:pP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就业安置补贴款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20,000.00</w:t>
            </w:r>
          </w:p>
        </w:tc>
        <w:tc>
          <w:tcPr>
            <w:tcW w:w="2049" w:type="dxa"/>
            <w:tcBorders>
              <w:top w:val="single" w:sz="4" w:space="0" w:color="000000"/>
              <w:left w:val="single" w:sz="4" w:space="0" w:color="000000"/>
              <w:bottom w:val="single" w:sz="4" w:space="0" w:color="000000"/>
              <w:right w:val="single" w:sz="4" w:space="0" w:color="000000"/>
            </w:tcBorders>
          </w:tcPr>
          <w:p>
            <w:pP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8"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620,000.00</w:t>
            </w:r>
            <w:r>
              <w:rPr>
                <w:rFonts w:ascii="宋体"/>
                <w:sz w:val="18"/>
              </w:rPr>
            </w:r>
          </w:p>
        </w:tc>
        <w:tc>
          <w:tcPr>
            <w:tcW w:w="2049" w:type="dxa"/>
            <w:tcBorders>
              <w:top w:val="single" w:sz="4" w:space="0" w:color="000000"/>
              <w:left w:val="single" w:sz="4" w:space="0" w:color="000000"/>
              <w:bottom w:val="single" w:sz="4" w:space="0" w:color="000000"/>
              <w:right w:val="single" w:sz="4" w:space="0" w:color="000000"/>
            </w:tcBorders>
          </w:tcPr>
          <w:p>
            <w:pPr/>
          </w:p>
        </w:tc>
        <w:tc>
          <w:tcPr>
            <w:tcW w:w="25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38</w:t>
      </w:r>
      <w:r>
        <w:rPr/>
        <w:t>．营业外支出</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132"/>
        <w:gridCol w:w="2206"/>
        <w:gridCol w:w="2049"/>
        <w:gridCol w:w="2538"/>
      </w:tblGrid>
      <w:tr>
        <w:trPr>
          <w:trHeight w:val="377"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4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6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0"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计入当期非经常性损益金额</w:t>
            </w:r>
            <w:r>
              <w:rPr>
                <w:rFonts w:ascii="宋体" w:hAnsi="宋体" w:cs="宋体" w:eastAsia="宋体" w:hint="default"/>
                <w:sz w:val="18"/>
                <w:szCs w:val="18"/>
              </w:rPr>
            </w:r>
          </w:p>
        </w:tc>
      </w:tr>
      <w:tr>
        <w:trPr>
          <w:trHeight w:val="35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846,398.22</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6,518,753.74</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846,398.215</w:t>
            </w:r>
          </w:p>
        </w:tc>
      </w:tr>
      <w:tr>
        <w:trPr>
          <w:trHeight w:val="349"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846,398.22</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6,518,753.74</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846,398.215</w:t>
            </w:r>
          </w:p>
        </w:tc>
      </w:tr>
      <w:tr>
        <w:trPr>
          <w:trHeight w:val="35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206" w:type="dxa"/>
            <w:tcBorders>
              <w:top w:val="single" w:sz="4" w:space="0" w:color="000000"/>
              <w:left w:val="single" w:sz="4" w:space="0" w:color="000000"/>
              <w:bottom w:val="single" w:sz="4" w:space="0" w:color="000000"/>
              <w:right w:val="single" w:sz="4" w:space="0" w:color="000000"/>
            </w:tcBorders>
          </w:tcPr>
          <w:p>
            <w:pPr/>
          </w:p>
        </w:tc>
        <w:tc>
          <w:tcPr>
            <w:tcW w:w="2049" w:type="dxa"/>
            <w:tcBorders>
              <w:top w:val="single" w:sz="4" w:space="0" w:color="000000"/>
              <w:left w:val="single" w:sz="4" w:space="0" w:color="000000"/>
              <w:bottom w:val="single" w:sz="4" w:space="0" w:color="000000"/>
              <w:right w:val="single" w:sz="4" w:space="0" w:color="000000"/>
            </w:tcBorders>
          </w:tcPr>
          <w:p>
            <w:pPr/>
          </w:p>
        </w:tc>
        <w:tc>
          <w:tcPr>
            <w:tcW w:w="253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98,050.00</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10,000.00</w:t>
            </w:r>
          </w:p>
        </w:tc>
      </w:tr>
      <w:tr>
        <w:trPr>
          <w:trHeight w:val="349"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1,468,234.40</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1,483,058.15</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1,468,234.40</w:t>
            </w:r>
          </w:p>
        </w:tc>
      </w:tr>
      <w:tr>
        <w:trPr>
          <w:trHeight w:val="408"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2,324,632.62</w:t>
            </w:r>
            <w:r>
              <w:rPr>
                <w:rFonts w:ascii="宋体"/>
                <w:sz w:val="18"/>
              </w:rPr>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8,099,861.89</w:t>
            </w:r>
            <w:r>
              <w:rPr>
                <w:rFonts w:ascii="宋体"/>
                <w:sz w:val="18"/>
              </w:rPr>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2,324,632.62</w:t>
            </w:r>
            <w:r>
              <w:rPr>
                <w:rFonts w:ascii="宋体"/>
                <w:sz w:val="18"/>
              </w:rPr>
            </w:r>
          </w:p>
        </w:tc>
      </w:tr>
    </w:tbl>
    <w:p>
      <w:pPr>
        <w:spacing w:line="240" w:lineRule="auto" w:before="0"/>
        <w:rPr>
          <w:rFonts w:ascii="宋体" w:hAnsi="宋体" w:cs="宋体" w:eastAsia="宋体" w:hint="default"/>
          <w:b/>
          <w:bCs/>
          <w:sz w:val="20"/>
          <w:szCs w:val="20"/>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pStyle w:val="BodyText"/>
        <w:spacing w:line="240" w:lineRule="auto" w:before="99"/>
        <w:ind w:left="824" w:right="5945"/>
        <w:jc w:val="left"/>
      </w:pPr>
      <w:r>
        <w:rPr/>
        <w:t>（</w:t>
      </w:r>
      <w:r>
        <w:rPr>
          <w:rFonts w:ascii="宋体" w:hAnsi="宋体" w:cs="宋体" w:eastAsia="宋体" w:hint="default"/>
        </w:rPr>
        <w:t>1</w:t>
      </w:r>
      <w:r>
        <w:rPr/>
        <w:t>）所得税费用表：</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958"/>
        <w:gridCol w:w="2923"/>
        <w:gridCol w:w="3044"/>
      </w:tblGrid>
      <w:tr>
        <w:trPr>
          <w:trHeight w:val="408" w:hRule="exact"/>
        </w:trPr>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9" w:hRule="exact"/>
        </w:trPr>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54,671,073.05</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44,782,267.68</w:t>
            </w:r>
          </w:p>
        </w:tc>
      </w:tr>
      <w:tr>
        <w:trPr>
          <w:trHeight w:val="350" w:hRule="exact"/>
        </w:trPr>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-4,748,587.45</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2,492,450.57</w:t>
            </w:r>
          </w:p>
        </w:tc>
      </w:tr>
      <w:tr>
        <w:trPr>
          <w:trHeight w:val="407" w:hRule="exact"/>
        </w:trPr>
        <w:tc>
          <w:tcPr>
            <w:tcW w:w="3958"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49,922,485.60</w:t>
            </w:r>
            <w:r>
              <w:rPr>
                <w:rFonts w:ascii="宋体"/>
                <w:sz w:val="18"/>
              </w:rPr>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47,274,718.25</w:t>
            </w:r>
            <w:r>
              <w:rPr>
                <w:rFonts w:ascii="宋体"/>
                <w:sz w:val="18"/>
              </w:rPr>
            </w:r>
          </w:p>
        </w:tc>
      </w:tr>
    </w:tbl>
    <w:p>
      <w:pPr>
        <w:spacing w:line="240" w:lineRule="auto" w:before="5"/>
        <w:rPr>
          <w:rFonts w:ascii="宋体" w:hAnsi="宋体" w:cs="宋体" w:eastAsia="宋体" w:hint="default"/>
          <w:sz w:val="5"/>
          <w:szCs w:val="5"/>
        </w:rPr>
      </w:pPr>
    </w:p>
    <w:p>
      <w:pPr>
        <w:pStyle w:val="BodyText"/>
        <w:spacing w:line="240" w:lineRule="auto" w:before="35"/>
        <w:ind w:left="824" w:right="5945"/>
        <w:jc w:val="left"/>
      </w:pPr>
      <w:r>
        <w:rPr/>
        <w:t>（</w:t>
      </w:r>
      <w:r>
        <w:rPr>
          <w:rFonts w:ascii="宋体" w:hAnsi="宋体" w:cs="宋体" w:eastAsia="宋体" w:hint="default"/>
        </w:rPr>
        <w:t>2</w:t>
      </w:r>
      <w:r>
        <w:rPr/>
        <w:t>）利润与所得税费用调整过程：</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815"/>
        <w:gridCol w:w="4110"/>
      </w:tblGrid>
      <w:tr>
        <w:trPr>
          <w:trHeight w:val="418"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9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61"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148,601,008.05</w:t>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5815"/>
        <w:gridCol w:w="4110"/>
      </w:tblGrid>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34,669,507.72</w:t>
            </w: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-1,010,495.19</w:t>
            </w: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-1,680,579.10</w:t>
            </w: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-539,735.75</w:t>
            </w: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10,097,147.15</w:t>
            </w: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110"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8,386,640.77</w:t>
            </w:r>
          </w:p>
        </w:tc>
      </w:tr>
      <w:tr>
        <w:trPr>
          <w:trHeight w:val="361" w:hRule="exact"/>
        </w:trPr>
        <w:tc>
          <w:tcPr>
            <w:tcW w:w="5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49,922,485.60</w:t>
            </w:r>
          </w:p>
        </w:tc>
      </w:tr>
    </w:tbl>
    <w:p>
      <w:pPr>
        <w:spacing w:line="240" w:lineRule="auto" w:before="7"/>
        <w:rPr>
          <w:rFonts w:ascii="宋体" w:hAnsi="宋体" w:cs="宋体" w:eastAsia="宋体" w:hint="default"/>
          <w:sz w:val="14"/>
          <w:szCs w:val="14"/>
        </w:rPr>
      </w:pPr>
    </w:p>
    <w:p>
      <w:pPr>
        <w:pStyle w:val="Heading3"/>
        <w:spacing w:line="240" w:lineRule="auto"/>
        <w:ind w:right="5945"/>
        <w:jc w:val="left"/>
        <w:rPr>
          <w:b w:val="0"/>
          <w:bCs w:val="0"/>
        </w:rPr>
      </w:pPr>
      <w:r>
        <w:rPr/>
        <w:t>注释</w:t>
      </w:r>
      <w:r>
        <w:rPr>
          <w:spacing w:val="-58"/>
        </w:rPr>
        <w:t> </w:t>
      </w:r>
      <w:r>
        <w:rPr>
          <w:rFonts w:ascii="宋体" w:hAnsi="宋体" w:cs="宋体" w:eastAsia="宋体" w:hint="default"/>
        </w:rPr>
        <w:t>40</w:t>
      </w:r>
      <w:r>
        <w:rPr/>
        <w:t>．现金流量表项目注释</w:t>
      </w:r>
      <w:r>
        <w:rPr>
          <w:b w:val="0"/>
          <w:bCs w:val="0"/>
        </w:rPr>
      </w:r>
    </w:p>
    <w:p>
      <w:pPr>
        <w:spacing w:before="97"/>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5812"/>
        <w:gridCol w:w="4113"/>
      </w:tblGrid>
      <w:tr>
        <w:trPr>
          <w:trHeight w:val="407"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tabs>
                <w:tab w:pos="3073" w:val="left" w:leader="none"/>
              </w:tabs>
              <w:spacing w:line="240" w:lineRule="auto" w:before="52"/>
              <w:ind w:left="2621" w:right="0"/>
              <w:jc w:val="left"/>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2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12,982,481.10</w:t>
            </w:r>
          </w:p>
        </w:tc>
      </w:tr>
      <w:tr>
        <w:trPr>
          <w:trHeight w:val="32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代收代缴手续费返还及罚款收入等</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3,050,531.38</w:t>
            </w:r>
          </w:p>
        </w:tc>
      </w:tr>
      <w:tr>
        <w:trPr>
          <w:trHeight w:val="32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1,992,964.64</w:t>
            </w:r>
          </w:p>
        </w:tc>
      </w:tr>
      <w:tr>
        <w:trPr>
          <w:trHeight w:val="407"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b/>
                <w:w w:val="95"/>
                <w:sz w:val="18"/>
              </w:rPr>
              <w:t>18,025,977.12</w:t>
            </w:r>
            <w:r>
              <w:rPr>
                <w:rFonts w:ascii="宋体"/>
                <w:sz w:val="18"/>
              </w:rPr>
            </w:r>
          </w:p>
        </w:tc>
      </w:tr>
    </w:tbl>
    <w:p>
      <w:pPr>
        <w:spacing w:line="240" w:lineRule="auto" w:before="5"/>
        <w:rPr>
          <w:rFonts w:ascii="宋体" w:hAnsi="宋体" w:cs="宋体" w:eastAsia="宋体" w:hint="default"/>
          <w:b/>
          <w:bCs/>
          <w:sz w:val="5"/>
          <w:szCs w:val="5"/>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6097"/>
        <w:gridCol w:w="3828"/>
      </w:tblGrid>
      <w:tr>
        <w:trPr>
          <w:trHeight w:val="32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11"/>
              <w:ind w:right="0"/>
              <w:jc w:val="center"/>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修理费、水电气费、广告费等（除工资、折旧、坏账外）经营及管理费</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71,396,783.28</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银行卡手续费、购物卡银行手续费</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5,646,553.11</w:t>
            </w:r>
          </w:p>
        </w:tc>
      </w:tr>
      <w:tr>
        <w:trPr>
          <w:trHeight w:val="32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单位往来款及其他</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3,005,855.41</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80,049,191.80</w:t>
            </w:r>
            <w:r>
              <w:rPr>
                <w:rFonts w:ascii="宋体"/>
                <w:sz w:val="18"/>
              </w:rPr>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6097"/>
        <w:gridCol w:w="3828"/>
      </w:tblGrid>
      <w:tr>
        <w:trPr>
          <w:trHeight w:val="407"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53"/>
              <w:ind w:right="0"/>
              <w:jc w:val="center"/>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5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被合并单位合并日自有货币资金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11813767.5</w:t>
            </w:r>
          </w:p>
        </w:tc>
      </w:tr>
      <w:tr>
        <w:trPr>
          <w:trHeight w:val="408"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b/>
                <w:w w:val="95"/>
                <w:sz w:val="18"/>
              </w:rPr>
              <w:t>11,813,767.50</w:t>
            </w:r>
            <w:r>
              <w:rPr>
                <w:rFonts w:ascii="宋体"/>
                <w:sz w:val="18"/>
              </w:rPr>
            </w:r>
          </w:p>
        </w:tc>
      </w:tr>
    </w:tbl>
    <w:p>
      <w:pPr>
        <w:spacing w:line="240" w:lineRule="auto" w:before="5"/>
        <w:rPr>
          <w:rFonts w:ascii="宋体" w:hAnsi="宋体" w:cs="宋体" w:eastAsia="宋体" w:hint="default"/>
          <w:b/>
          <w:bCs/>
          <w:sz w:val="5"/>
          <w:szCs w:val="5"/>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）支付的其他与投资活动有关的现金：无</w:t>
      </w:r>
      <w:r>
        <w:rPr>
          <w:rFonts w:ascii="宋体" w:hAnsi="宋体" w:cs="宋体" w:eastAsia="宋体" w:hint="default"/>
          <w:sz w:val="21"/>
          <w:szCs w:val="21"/>
        </w:rPr>
      </w:r>
    </w:p>
    <w:p>
      <w:pPr>
        <w:spacing w:before="157"/>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）收到的其他与筹资活动有关的现金：无</w:t>
      </w:r>
      <w:r>
        <w:rPr>
          <w:rFonts w:ascii="宋体" w:hAnsi="宋体" w:cs="宋体" w:eastAsia="宋体" w:hint="default"/>
          <w:sz w:val="21"/>
          <w:szCs w:val="21"/>
        </w:rPr>
      </w:r>
    </w:p>
    <w:p>
      <w:pPr>
        <w:spacing w:before="157"/>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）支付的其他与筹资活动有关的现金：无</w:t>
      </w:r>
      <w:r>
        <w:rPr>
          <w:rFonts w:ascii="宋体" w:hAnsi="宋体" w:cs="宋体" w:eastAsia="宋体" w:hint="default"/>
          <w:sz w:val="21"/>
          <w:szCs w:val="21"/>
        </w:rPr>
      </w:r>
    </w:p>
    <w:p>
      <w:pPr>
        <w:spacing w:line="240" w:lineRule="auto" w:before="2"/>
        <w:rPr>
          <w:rFonts w:ascii="宋体" w:hAnsi="宋体" w:cs="宋体" w:eastAsia="宋体" w:hint="default"/>
          <w:b/>
          <w:bCs/>
          <w:sz w:val="21"/>
          <w:szCs w:val="21"/>
        </w:rPr>
      </w:pPr>
    </w:p>
    <w:p>
      <w:pPr>
        <w:spacing w:line="376" w:lineRule="auto" w:before="0"/>
        <w:ind w:left="827" w:right="7369" w:firstLine="0"/>
        <w:jc w:val="left"/>
        <w:rPr>
          <w:rFonts w:ascii="宋体" w:hAnsi="宋体" w:cs="宋体" w:eastAsia="宋体" w:hint="default"/>
          <w:sz w:val="21"/>
          <w:szCs w:val="21"/>
        </w:rPr>
      </w:pPr>
      <w:r>
        <w:rPr/>
        <w:pict>
          <v:shape style="position:absolute;margin-left:50.759998pt;margin-top:37.943672pt;width:497pt;height:108.35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68"/>
                    <w:gridCol w:w="2218"/>
                    <w:gridCol w:w="2339"/>
                  </w:tblGrid>
                  <w:tr>
                    <w:trPr>
                      <w:trHeight w:val="407"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将净利润调节为经营活动现金流量：</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98,678,522.45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92,765,141.41</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24,091,289.64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1,492,050.44</w:t>
                        </w: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25,701,717.84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21,761,260.04</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11,251,355.87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10,636,547.40</w:t>
                        </w:r>
                      </w:p>
                    </w:tc>
                  </w:tr>
                </w:tbl>
                <w:p>
                  <w:pPr/>
                </w:p>
              </w:txbxContent>
            </v:textbox>
            <w10:wrap type="none"/>
          </v:shape>
        </w:pic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．现金流量表补充资料</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after="0" w:line="376" w:lineRule="auto"/>
        <w:jc w:val="left"/>
        <w:rPr>
          <w:rFonts w:ascii="宋体" w:hAnsi="宋体" w:cs="宋体" w:eastAsia="宋体" w:hint="default"/>
          <w:sz w:val="21"/>
          <w:szCs w:val="21"/>
        </w:rPr>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5368"/>
        <w:gridCol w:w="2218"/>
        <w:gridCol w:w="2339"/>
      </w:tblGrid>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9,160,720.55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9,572,930.64</w:t>
            </w:r>
          </w:p>
        </w:tc>
      </w:tr>
      <w:tr>
        <w:trPr>
          <w:trHeight w:val="634"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firstLine="360"/>
              <w:jc w:val="left"/>
              <w:rPr>
                <w:rFonts w:ascii="宋体" w:hAnsi="宋体" w:cs="宋体" w:eastAsia="宋体" w:hint="default"/>
                <w:sz w:val="18"/>
                <w:szCs w:val="18"/>
              </w:rPr>
            </w:pPr>
            <w:r>
              <w:rPr>
                <w:rFonts w:ascii="宋体" w:hAnsi="宋体" w:cs="宋体" w:eastAsia="宋体" w:hint="default"/>
                <w:spacing w:val="10"/>
                <w:sz w:val="18"/>
                <w:szCs w:val="18"/>
              </w:rPr>
              <w:t>处置固定资产、无形资产和其他长期资产的损失（收益以</w:t>
            </w:r>
            <w:r>
              <w:rPr>
                <w:rFonts w:ascii="宋体" w:hAnsi="宋体" w:cs="宋体" w:eastAsia="宋体" w:hint="default"/>
                <w:sz w:val="18"/>
                <w:szCs w:val="18"/>
              </w:rPr>
              <w:t> “－”号填列）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660,171.57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6,517,282.59</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-465,257.89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58,654.30</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2,094,782.37</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-764,657.53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-4,748,587.45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2,492,450.57</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59,042,519.16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-15,320,509.64</w:t>
            </w: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1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-78,122,348.09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8,256,563.43</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1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50,910,397.90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-17,413,328.20</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195,395,844.02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122,413,825.35</w:t>
            </w: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不涉及现金收支的重大投资和筹资活动：</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现金及现金等价物净变动情况：</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283,120,467.94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190,356,057.52</w:t>
            </w:r>
          </w:p>
        </w:tc>
      </w:tr>
      <w:tr>
        <w:trPr>
          <w:trHeight w:val="349"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190,356,057.52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298,465,458.23</w:t>
            </w:r>
          </w:p>
        </w:tc>
      </w:tr>
      <w:tr>
        <w:trPr>
          <w:trHeight w:val="351"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18"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92,764,410.42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-108,109,400.71</w:t>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）本期支付取得子公司的现金净额</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5389"/>
        <w:gridCol w:w="4536"/>
      </w:tblGrid>
      <w:tr>
        <w:trPr>
          <w:trHeight w:val="40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134,064,793.78</w:t>
            </w: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其中：北京创世漫道科技有限公司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134,064,793.78</w:t>
            </w: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11,793,401.15</w:t>
            </w:r>
          </w:p>
        </w:tc>
      </w:tr>
      <w:tr>
        <w:trPr>
          <w:trHeight w:val="3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其中：北京创世漫道科技有限公司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11,793,401.15</w:t>
            </w: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122,271,392.63</w:t>
            </w:r>
          </w:p>
        </w:tc>
      </w:tr>
    </w:tbl>
    <w:p>
      <w:pPr>
        <w:spacing w:line="240" w:lineRule="auto" w:before="1"/>
        <w:rPr>
          <w:rFonts w:ascii="宋体" w:hAnsi="宋体" w:cs="宋体" w:eastAsia="宋体" w:hint="default"/>
          <w:b/>
          <w:bCs/>
          <w:sz w:val="8"/>
          <w:szCs w:val="8"/>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4419"/>
        <w:gridCol w:w="2656"/>
        <w:gridCol w:w="2850"/>
      </w:tblGrid>
      <w:tr>
        <w:trPr>
          <w:trHeight w:val="407"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283,120,467.94</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190,356,057.52</w:t>
            </w: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1,143,376.82</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1,582,261.96</w:t>
            </w: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227,907,999.79</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167,184,639.53</w:t>
            </w: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54,069,091.33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21,589,156.03</w:t>
            </w: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0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656"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4419"/>
        <w:gridCol w:w="2656"/>
        <w:gridCol w:w="2850"/>
      </w:tblGrid>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656"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656"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656"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656"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0" w:right="0"/>
              <w:jc w:val="left"/>
              <w:rPr>
                <w:rFonts w:ascii="宋体" w:hAnsi="宋体" w:cs="宋体" w:eastAsia="宋体" w:hint="default"/>
                <w:sz w:val="18"/>
                <w:szCs w:val="18"/>
              </w:rPr>
            </w:pPr>
            <w:r>
              <w:rPr>
                <w:rFonts w:ascii="宋体"/>
                <w:sz w:val="18"/>
              </w:rPr>
              <w:t>283,120,467.94</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55" w:right="0"/>
              <w:jc w:val="left"/>
              <w:rPr>
                <w:rFonts w:ascii="宋体" w:hAnsi="宋体" w:cs="宋体" w:eastAsia="宋体" w:hint="default"/>
                <w:sz w:val="18"/>
                <w:szCs w:val="18"/>
              </w:rPr>
            </w:pPr>
            <w:r>
              <w:rPr>
                <w:rFonts w:ascii="宋体"/>
                <w:sz w:val="18"/>
              </w:rPr>
              <w:t>190,356,057.52</w:t>
            </w:r>
          </w:p>
        </w:tc>
      </w:tr>
    </w:tbl>
    <w:p>
      <w:pPr>
        <w:spacing w:line="240" w:lineRule="auto" w:before="0"/>
        <w:rPr>
          <w:rFonts w:ascii="宋体" w:hAnsi="宋体" w:cs="宋体" w:eastAsia="宋体" w:hint="default"/>
          <w:b/>
          <w:bCs/>
          <w:sz w:val="20"/>
          <w:szCs w:val="20"/>
        </w:rPr>
      </w:pPr>
    </w:p>
    <w:p>
      <w:pPr>
        <w:spacing w:before="35"/>
        <w:ind w:left="827" w:right="5945" w:firstLine="0"/>
        <w:jc w:val="left"/>
        <w:rPr>
          <w:rFonts w:ascii="宋体" w:hAnsi="宋体" w:cs="宋体" w:eastAsia="宋体" w:hint="default"/>
          <w:sz w:val="21"/>
          <w:szCs w:val="21"/>
        </w:rPr>
      </w:pPr>
      <w:r>
        <w:rPr>
          <w:rFonts w:ascii="宋体" w:hAnsi="宋体" w:cs="宋体" w:eastAsia="宋体" w:hint="default"/>
          <w:b/>
          <w:bCs/>
          <w:sz w:val="21"/>
          <w:szCs w:val="21"/>
        </w:rPr>
        <w:t>注释 </w:t>
      </w:r>
      <w:r>
        <w:rPr>
          <w:rFonts w:ascii="宋体" w:hAnsi="宋体" w:cs="宋体" w:eastAsia="宋体" w:hint="default"/>
          <w:b/>
          <w:bCs/>
          <w:sz w:val="21"/>
          <w:szCs w:val="21"/>
        </w:rPr>
        <w:t>42.</w:t>
      </w:r>
      <w:r>
        <w:rPr>
          <w:rFonts w:ascii="宋体" w:hAnsi="宋体" w:cs="宋体" w:eastAsia="宋体" w:hint="default"/>
          <w:b/>
          <w:bCs/>
          <w:spacing w:val="-59"/>
          <w:sz w:val="21"/>
          <w:szCs w:val="21"/>
        </w:rPr>
        <w:t> </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695"/>
        <w:gridCol w:w="2840"/>
        <w:gridCol w:w="3390"/>
      </w:tblGrid>
      <w:tr>
        <w:trPr>
          <w:trHeight w:val="407"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50"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14,069,091.33</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17" w:right="0"/>
              <w:jc w:val="left"/>
              <w:rPr>
                <w:rFonts w:ascii="宋体" w:hAnsi="宋体" w:cs="宋体" w:eastAsia="宋体" w:hint="default"/>
                <w:sz w:val="18"/>
                <w:szCs w:val="18"/>
              </w:rPr>
            </w:pPr>
            <w:r>
              <w:rPr>
                <w:rFonts w:ascii="宋体" w:hAnsi="宋体" w:cs="宋体" w:eastAsia="宋体" w:hint="default"/>
                <w:sz w:val="18"/>
                <w:szCs w:val="18"/>
              </w:rPr>
              <w:t>项目资本及工程质量保证金</w:t>
            </w:r>
          </w:p>
        </w:tc>
      </w:tr>
      <w:tr>
        <w:trPr>
          <w:trHeight w:val="407"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14,069,091.33</w:t>
            </w:r>
            <w:r>
              <w:rPr>
                <w:rFonts w:ascii="宋体"/>
                <w:sz w:val="18"/>
              </w:rPr>
            </w:r>
          </w:p>
        </w:tc>
        <w:tc>
          <w:tcPr>
            <w:tcW w:w="3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544" w:lineRule="auto" w:before="35"/>
        <w:ind w:left="827" w:right="7734" w:firstLine="0"/>
        <w:jc w:val="left"/>
        <w:rPr>
          <w:rFonts w:ascii="宋体" w:hAnsi="宋体" w:cs="宋体" w:eastAsia="宋体" w:hint="default"/>
          <w:sz w:val="21"/>
          <w:szCs w:val="21"/>
        </w:rPr>
      </w:pPr>
      <w:r>
        <w:rPr>
          <w:rFonts w:ascii="宋体" w:hAnsi="宋体" w:cs="宋体" w:eastAsia="宋体" w:hint="default"/>
          <w:b/>
          <w:bCs/>
          <w:sz w:val="21"/>
          <w:szCs w:val="21"/>
        </w:rPr>
        <w:t>六、合并范围的变更</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82"/>
        <w:ind w:left="824" w:right="5945"/>
        <w:jc w:val="left"/>
      </w:pPr>
      <w:r>
        <w:rPr/>
        <w:t>（</w:t>
      </w:r>
      <w:r>
        <w:rPr>
          <w:rFonts w:ascii="宋体" w:hAnsi="宋体" w:cs="宋体" w:eastAsia="宋体" w:hint="default"/>
        </w:rPr>
        <w:t>1</w:t>
      </w:r>
      <w:r>
        <w:rPr/>
        <w:t>）本期发生的非同一控制下合并表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16"/>
        <w:gridCol w:w="1577"/>
        <w:gridCol w:w="1655"/>
        <w:gridCol w:w="896"/>
        <w:gridCol w:w="1706"/>
        <w:gridCol w:w="1276"/>
      </w:tblGrid>
      <w:tr>
        <w:trPr>
          <w:trHeight w:val="47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1" w:right="0"/>
              <w:jc w:val="left"/>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9" w:right="0"/>
              <w:jc w:val="left"/>
              <w:rPr>
                <w:rFonts w:ascii="宋体" w:hAnsi="宋体" w:cs="宋体" w:eastAsia="宋体" w:hint="default"/>
                <w:sz w:val="18"/>
                <w:szCs w:val="18"/>
              </w:rPr>
            </w:pPr>
            <w:r>
              <w:rPr>
                <w:rFonts w:ascii="宋体" w:hAnsi="宋体" w:cs="宋体" w:eastAsia="宋体" w:hint="default"/>
                <w:b/>
                <w:bCs/>
                <w:sz w:val="18"/>
                <w:szCs w:val="18"/>
              </w:rPr>
              <w:t>股权取得成本</w:t>
            </w:r>
            <w:r>
              <w:rPr>
                <w:rFonts w:ascii="宋体" w:hAnsi="宋体" w:cs="宋体" w:eastAsia="宋体"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sz w:val="18"/>
                <w:szCs w:val="18"/>
              </w:rPr>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得比例</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6" w:right="0"/>
              <w:jc w:val="left"/>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1"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r>
      <w:tr>
        <w:trPr>
          <w:trHeight w:val="47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2" w:right="0"/>
              <w:jc w:val="left"/>
              <w:rPr>
                <w:rFonts w:ascii="宋体" w:hAnsi="宋体" w:cs="宋体" w:eastAsia="宋体" w:hint="default"/>
                <w:sz w:val="18"/>
                <w:szCs w:val="18"/>
              </w:rPr>
            </w:pPr>
            <w:r>
              <w:rPr>
                <w:rFonts w:ascii="宋体"/>
                <w:sz w:val="18"/>
              </w:rPr>
              <w:t>2014.11.24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0" w:right="0"/>
              <w:jc w:val="left"/>
              <w:rPr>
                <w:rFonts w:ascii="宋体" w:hAnsi="宋体" w:cs="宋体" w:eastAsia="宋体" w:hint="default"/>
                <w:sz w:val="18"/>
                <w:szCs w:val="18"/>
              </w:rPr>
            </w:pPr>
            <w:r>
              <w:rPr>
                <w:rFonts w:ascii="宋体"/>
                <w:sz w:val="18"/>
              </w:rPr>
              <w:t>878,000,000.00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3" w:right="0"/>
              <w:jc w:val="left"/>
              <w:rPr>
                <w:rFonts w:ascii="宋体" w:hAnsi="宋体" w:cs="宋体" w:eastAsia="宋体" w:hint="default"/>
                <w:sz w:val="18"/>
                <w:szCs w:val="18"/>
              </w:rPr>
            </w:pPr>
            <w:r>
              <w:rPr>
                <w:rFonts w:ascii="宋体"/>
                <w:sz w:val="18"/>
              </w:rPr>
              <w:t>100%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发行股份及支付现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金购买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2" w:right="0"/>
              <w:jc w:val="left"/>
              <w:rPr>
                <w:rFonts w:ascii="宋体" w:hAnsi="宋体" w:cs="宋体" w:eastAsia="宋体" w:hint="default"/>
                <w:sz w:val="18"/>
                <w:szCs w:val="18"/>
              </w:rPr>
            </w:pPr>
            <w:r>
              <w:rPr>
                <w:rFonts w:ascii="宋体"/>
                <w:sz w:val="18"/>
              </w:rPr>
              <w:t>2014.12.1</w:t>
            </w:r>
          </w:p>
        </w:tc>
      </w:tr>
    </w:tbl>
    <w:p>
      <w:pPr>
        <w:spacing w:line="240" w:lineRule="auto" w:before="2"/>
        <w:rPr>
          <w:rFonts w:ascii="宋体" w:hAnsi="宋体" w:cs="宋体" w:eastAsia="宋体" w:hint="default"/>
          <w:sz w:val="8"/>
          <w:szCs w:val="8"/>
        </w:rPr>
      </w:pPr>
    </w:p>
    <w:p>
      <w:pPr>
        <w:pStyle w:val="BodyText"/>
        <w:spacing w:line="240" w:lineRule="auto" w:before="35"/>
        <w:ind w:left="824" w:right="5945"/>
        <w:jc w:val="left"/>
      </w:pPr>
      <w:r>
        <w:rPr/>
        <w:t>本期发生的非同一控制下合并表（续）</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36"/>
        <w:gridCol w:w="3490"/>
        <w:gridCol w:w="1739"/>
        <w:gridCol w:w="1860"/>
      </w:tblGrid>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6" w:right="0"/>
              <w:jc w:val="left"/>
              <w:rPr>
                <w:rFonts w:ascii="宋体" w:hAnsi="宋体" w:cs="宋体" w:eastAsia="宋体" w:hint="default"/>
                <w:sz w:val="18"/>
                <w:szCs w:val="18"/>
              </w:rPr>
            </w:pPr>
            <w:r>
              <w:rPr>
                <w:rFonts w:ascii="宋体" w:hAnsi="宋体" w:cs="宋体" w:eastAsia="宋体" w:hint="default"/>
                <w:b/>
                <w:bCs/>
                <w:sz w:val="18"/>
                <w:szCs w:val="18"/>
              </w:rPr>
              <w:t>购买日的确定依据</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b/>
                <w:bCs/>
                <w:sz w:val="18"/>
                <w:szCs w:val="18"/>
              </w:rPr>
              <w:t>,</w:t>
            </w:r>
            <w:r>
              <w:rPr>
                <w:rFonts w:ascii="宋体" w:hAnsi="宋体" w:cs="宋体" w:eastAsia="宋体" w:hint="default"/>
                <w:b/>
                <w:bCs/>
                <w:sz w:val="18"/>
                <w:szCs w:val="18"/>
              </w:rPr>
              <w:t>被</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购买方的收入</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b/>
                <w:bCs/>
                <w:sz w:val="18"/>
                <w:szCs w:val="18"/>
              </w:rPr>
              <w:t>,</w:t>
            </w:r>
            <w:r>
              <w:rPr>
                <w:rFonts w:ascii="宋体" w:hAnsi="宋体" w:cs="宋体" w:eastAsia="宋体" w:hint="default"/>
                <w:b/>
                <w:bCs/>
                <w:sz w:val="18"/>
                <w:szCs w:val="18"/>
              </w:rPr>
              <w:t>被购</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买方的净利润</w:t>
            </w:r>
            <w:r>
              <w:rPr>
                <w:rFonts w:ascii="宋体" w:hAnsi="宋体" w:cs="宋体" w:eastAsia="宋体" w:hint="default"/>
                <w:sz w:val="18"/>
                <w:szCs w:val="18"/>
              </w:rPr>
            </w:r>
          </w:p>
        </w:tc>
      </w:tr>
      <w:tr>
        <w:trPr>
          <w:trHeight w:val="47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已经过相关部门审批，价款已支付，股权</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已过户，已实施控制。</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5" w:right="0"/>
              <w:jc w:val="left"/>
              <w:rPr>
                <w:rFonts w:ascii="宋体" w:hAnsi="宋体" w:cs="宋体" w:eastAsia="宋体" w:hint="default"/>
                <w:sz w:val="18"/>
                <w:szCs w:val="18"/>
              </w:rPr>
            </w:pPr>
            <w:r>
              <w:rPr>
                <w:rFonts w:ascii="宋体"/>
                <w:sz w:val="18"/>
              </w:rPr>
              <w:t>45,201,924.24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67" w:right="0"/>
              <w:jc w:val="left"/>
              <w:rPr>
                <w:rFonts w:ascii="宋体" w:hAnsi="宋体" w:cs="宋体" w:eastAsia="宋体" w:hint="default"/>
                <w:sz w:val="18"/>
                <w:szCs w:val="18"/>
              </w:rPr>
            </w:pPr>
            <w:r>
              <w:rPr>
                <w:rFonts w:ascii="宋体"/>
                <w:sz w:val="18"/>
              </w:rPr>
              <w:t>7,447,154.99</w:t>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rFonts w:ascii="宋体" w:hAnsi="宋体" w:cs="宋体" w:eastAsia="宋体" w:hint="default"/>
        </w:rPr>
        <w:t>(2)</w:t>
      </w:r>
      <w:r>
        <w:rPr>
          <w:rFonts w:ascii="宋体" w:hAnsi="宋体" w:cs="宋体" w:eastAsia="宋体" w:hint="default"/>
          <w:spacing w:val="-1"/>
        </w:rPr>
        <w:t> </w:t>
      </w:r>
      <w:r>
        <w:rPr/>
        <w:t>合并成本及商誉</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598"/>
        <w:gridCol w:w="3327"/>
      </w:tblGrid>
      <w:tr>
        <w:trPr>
          <w:trHeight w:val="407"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131,699,999.34</w:t>
            </w:r>
          </w:p>
        </w:tc>
      </w:tr>
      <w:tr>
        <w:trPr>
          <w:trHeight w:val="349"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发行或承担的债务的公允价值</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发行的权益性证券的公允价值</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746,300,000.66</w:t>
            </w:r>
          </w:p>
        </w:tc>
      </w:tr>
      <w:tr>
        <w:trPr>
          <w:trHeight w:val="349"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或有对价的公允价值</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购买日之前持有的股权于购买日的公允价值</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32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878,000,000.00</w:t>
            </w:r>
          </w:p>
        </w:tc>
      </w:tr>
      <w:tr>
        <w:trPr>
          <w:trHeight w:val="350"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133,437,005.16</w:t>
            </w:r>
          </w:p>
        </w:tc>
      </w:tr>
      <w:tr>
        <w:trPr>
          <w:trHeight w:val="351" w:hRule="exact"/>
        </w:trPr>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744,562,994.84</w:t>
            </w:r>
          </w:p>
        </w:tc>
      </w:tr>
    </w:tbl>
    <w:p>
      <w:pPr>
        <w:spacing w:line="240" w:lineRule="auto" w:before="1"/>
        <w:rPr>
          <w:rFonts w:ascii="宋体" w:hAnsi="宋体" w:cs="宋体" w:eastAsia="宋体" w:hint="default"/>
          <w:sz w:val="8"/>
          <w:szCs w:val="8"/>
        </w:rPr>
      </w:pPr>
    </w:p>
    <w:p>
      <w:pPr>
        <w:pStyle w:val="BodyText"/>
        <w:spacing w:line="273" w:lineRule="auto" w:before="35"/>
        <w:ind w:right="1175" w:firstLine="420"/>
        <w:jc w:val="left"/>
      </w:pPr>
      <w:r>
        <w:rPr>
          <w:spacing w:val="-1"/>
        </w:rPr>
        <w:t>合并成本公允价值的确定方法、或有对价及其变动的说明：本次合并成本公允价值是根据为本次企</w:t>
      </w:r>
      <w:r>
        <w:rPr/>
        <w:t> 业合并而发行权益性证券的市场价值确定。</w:t>
      </w:r>
    </w:p>
    <w:p>
      <w:pPr>
        <w:pStyle w:val="BodyText"/>
        <w:spacing w:line="240" w:lineRule="auto"/>
        <w:ind w:left="826" w:right="418"/>
        <w:jc w:val="left"/>
      </w:pPr>
      <w:r>
        <w:rPr/>
        <w:t>大额商誉形成的主要原因：北京创世漫道科技有限公司为轻资产、高收益的科技企业，在本公司收</w:t>
      </w:r>
    </w:p>
    <w:p>
      <w:pPr>
        <w:spacing w:after="0" w:line="240"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right="418"/>
        <w:jc w:val="left"/>
        <w:rPr>
          <w:rFonts w:ascii="宋体" w:hAnsi="宋体" w:cs="宋体" w:eastAsia="宋体" w:hint="default"/>
        </w:rPr>
      </w:pPr>
      <w:r>
        <w:rPr>
          <w:spacing w:val="-3"/>
        </w:rPr>
        <w:t>购前，北京创世漫道科技有限公司已经北京天健兴业资产评估有限公司出具天兴评报字（</w:t>
      </w:r>
      <w:r>
        <w:rPr>
          <w:rFonts w:ascii="宋体" w:hAnsi="宋体" w:cs="宋体" w:eastAsia="宋体" w:hint="default"/>
          <w:spacing w:val="-3"/>
        </w:rPr>
        <w:t>2014</w:t>
      </w:r>
      <w:r>
        <w:rPr>
          <w:spacing w:val="-3"/>
        </w:rPr>
        <w:t>）第</w:t>
      </w:r>
      <w:r>
        <w:rPr>
          <w:spacing w:val="-10"/>
        </w:rPr>
        <w:t> </w:t>
      </w:r>
      <w:r>
        <w:rPr>
          <w:rFonts w:ascii="宋体" w:hAnsi="宋体" w:cs="宋体" w:eastAsia="宋体" w:hint="default"/>
        </w:rPr>
        <w:t>0576</w:t>
      </w:r>
    </w:p>
    <w:p>
      <w:pPr>
        <w:pStyle w:val="BodyText"/>
        <w:spacing w:line="240" w:lineRule="auto" w:before="37"/>
        <w:ind w:right="418"/>
        <w:jc w:val="left"/>
        <w:rPr>
          <w:rFonts w:ascii="宋体" w:hAnsi="宋体" w:cs="宋体" w:eastAsia="宋体" w:hint="default"/>
        </w:rPr>
      </w:pPr>
      <w:r>
        <w:rPr/>
        <w:t>号评估报告</w:t>
      </w:r>
      <w:r>
        <w:rPr>
          <w:spacing w:val="-106"/>
        </w:rPr>
        <w:t>，</w:t>
      </w:r>
      <w:r>
        <w:rPr/>
        <w:t>以</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57"/>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7"/>
        </w:rPr>
        <w:t> </w:t>
      </w:r>
      <w:r>
        <w:rPr/>
        <w:t>日为</w:t>
      </w:r>
      <w:r>
        <w:rPr>
          <w:spacing w:val="-2"/>
        </w:rPr>
        <w:t>评</w:t>
      </w:r>
      <w:r>
        <w:rPr/>
        <w:t>估基准日</w:t>
      </w:r>
      <w:r>
        <w:rPr>
          <w:spacing w:val="-105"/>
        </w:rPr>
        <w:t>，</w:t>
      </w:r>
      <w:r>
        <w:rPr>
          <w:spacing w:val="-2"/>
        </w:rPr>
        <w:t>北</w:t>
      </w:r>
      <w:r>
        <w:rPr/>
        <w:t>京创世漫道科技有限公司</w:t>
      </w:r>
      <w:r>
        <w:rPr>
          <w:spacing w:val="-57"/>
        </w:rPr>
        <w:t> </w:t>
      </w:r>
      <w:r>
        <w:rPr>
          <w:rFonts w:ascii="宋体" w:hAnsi="宋体" w:cs="宋体" w:eastAsia="宋体" w:hint="default"/>
        </w:rPr>
        <w:t>100</w:t>
      </w:r>
      <w:r>
        <w:rPr>
          <w:rFonts w:ascii="宋体" w:hAnsi="宋体" w:cs="宋体" w:eastAsia="宋体" w:hint="default"/>
          <w:spacing w:val="1"/>
        </w:rPr>
        <w:t>%</w:t>
      </w:r>
      <w:r>
        <w:rPr/>
        <w:t>股</w:t>
      </w:r>
      <w:r>
        <w:rPr>
          <w:spacing w:val="-2"/>
        </w:rPr>
        <w:t>权</w:t>
      </w:r>
      <w:r>
        <w:rPr/>
        <w:t>价值为</w:t>
      </w:r>
      <w:r>
        <w:rPr>
          <w:spacing w:val="-57"/>
        </w:rPr>
        <w:t> </w:t>
      </w:r>
      <w:r>
        <w:rPr>
          <w:rFonts w:ascii="宋体" w:hAnsi="宋体" w:cs="宋体" w:eastAsia="宋体" w:hint="default"/>
        </w:rPr>
        <w:t>87,802.</w:t>
      </w:r>
      <w:r>
        <w:rPr>
          <w:rFonts w:ascii="宋体" w:hAnsi="宋体" w:cs="宋体" w:eastAsia="宋体" w:hint="default"/>
          <w:spacing w:val="1"/>
        </w:rPr>
        <w:t>9</w:t>
      </w:r>
      <w:r>
        <w:rPr>
          <w:rFonts w:ascii="宋体" w:hAnsi="宋体" w:cs="宋体" w:eastAsia="宋体" w:hint="default"/>
        </w:rPr>
        <w:t>8</w:t>
      </w:r>
    </w:p>
    <w:p>
      <w:pPr>
        <w:pStyle w:val="BodyText"/>
        <w:spacing w:line="240" w:lineRule="auto" w:before="37"/>
        <w:ind w:right="418"/>
        <w:jc w:val="left"/>
      </w:pPr>
      <w:r>
        <w:rPr/>
        <w:t>万元。根据该评估报告，考虑</w:t>
      </w:r>
      <w:r>
        <w:rPr>
          <w:spacing w:val="-38"/>
        </w:rPr>
        <w:t> </w:t>
      </w:r>
      <w:r>
        <w:rPr>
          <w:rFonts w:ascii="宋体" w:hAnsi="宋体" w:cs="宋体" w:eastAsia="宋体" w:hint="default"/>
        </w:rPr>
        <w:t>5</w:t>
      </w:r>
      <w:r>
        <w:rPr>
          <w:rFonts w:ascii="宋体" w:hAnsi="宋体" w:cs="宋体" w:eastAsia="宋体" w:hint="default"/>
          <w:spacing w:val="-37"/>
        </w:rPr>
        <w:t> </w:t>
      </w:r>
      <w:r>
        <w:rPr/>
        <w:t>月</w:t>
      </w:r>
      <w:r>
        <w:rPr>
          <w:spacing w:val="-37"/>
        </w:rPr>
        <w:t> </w:t>
      </w:r>
      <w:r>
        <w:rPr>
          <w:rFonts w:ascii="宋体" w:hAnsi="宋体" w:cs="宋体" w:eastAsia="宋体" w:hint="default"/>
        </w:rPr>
        <w:t>31</w:t>
      </w:r>
      <w:r>
        <w:rPr>
          <w:rFonts w:ascii="宋体" w:hAnsi="宋体" w:cs="宋体" w:eastAsia="宋体" w:hint="default"/>
          <w:spacing w:val="-36"/>
        </w:rPr>
        <w:t> </w:t>
      </w:r>
      <w:r>
        <w:rPr/>
        <w:t>日至收购日的资产、负债等变动因素，扣除收购日可辨认资产、</w:t>
      </w:r>
    </w:p>
    <w:p>
      <w:pPr>
        <w:pStyle w:val="BodyText"/>
        <w:spacing w:line="326" w:lineRule="auto" w:before="37"/>
        <w:ind w:left="824" w:right="6277" w:hanging="421"/>
        <w:jc w:val="left"/>
      </w:pPr>
      <w:r>
        <w:rPr/>
        <w:pict>
          <v:shape style="position:absolute;margin-left:50.759998pt;margin-top:36.933647pt;width:497pt;height:326.4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4"/>
                    <w:gridCol w:w="2576"/>
                    <w:gridCol w:w="2695"/>
                  </w:tblGrid>
                  <w:tr>
                    <w:trPr>
                      <w:trHeight w:val="396"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49"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sz w:val="18"/>
                            <w:szCs w:val="18"/>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09"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sz w:val="18"/>
                            <w:szCs w:val="18"/>
                          </w:rPr>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217,315,493.23</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168,091,651.61</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11,793,401.15</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11,793,401.15</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应收账款净额</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77,988,878.48</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77,975,460.72</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1,927,045.64</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1,927,045.64</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414,630.14</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414,630.14</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其他应收款净额</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1,819,495.36</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1,614,296.39</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71,193,797.92</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71,193,797.92</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1,275,343.26</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1,008,350.90</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49,201,655.84</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463,423.31</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962,100.11</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962,100.11</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739,145.33</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739,145.33</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83,878,488.07</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83,878,488.07</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30,002,591.77</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30,002,591.77</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45,845,937.58</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45,845,937.58</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3,014,146.61</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3,014,146.61</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4,883,778.11</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4,883,778.11</w:t>
                        </w:r>
                      </w:p>
                    </w:tc>
                  </w:tr>
                  <w:tr>
                    <w:trPr>
                      <w:trHeight w:val="340"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132,034.00</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132,034.00</w:t>
                        </w:r>
                      </w:p>
                    </w:tc>
                  </w:tr>
                  <w:tr>
                    <w:trPr>
                      <w:trHeight w:val="341" w:hRule="exact"/>
                    </w:trPr>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133,437,005.16</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84,213,163.54</w:t>
                        </w:r>
                      </w:p>
                    </w:tc>
                  </w:tr>
                </w:tbl>
                <w:p>
                  <w:pPr/>
                </w:p>
              </w:txbxContent>
            </v:textbox>
            <w10:wrap type="none"/>
          </v:shape>
        </w:pict>
      </w:r>
      <w:r>
        <w:rPr/>
        <w:t>负债公允价值等确定商誉</w:t>
      </w:r>
      <w:r>
        <w:rPr>
          <w:spacing w:val="-52"/>
        </w:rPr>
        <w:t> </w:t>
      </w:r>
      <w:r>
        <w:rPr>
          <w:rFonts w:ascii="宋体" w:hAnsi="宋体" w:cs="宋体" w:eastAsia="宋体" w:hint="default"/>
        </w:rPr>
        <w:t>744,562,994.84</w:t>
      </w:r>
      <w:r>
        <w:rPr>
          <w:rFonts w:ascii="宋体" w:hAnsi="宋体" w:cs="宋体" w:eastAsia="宋体" w:hint="default"/>
          <w:spacing w:val="-52"/>
        </w:rPr>
        <w:t> </w:t>
      </w:r>
      <w:r>
        <w:rPr/>
        <w:t>元。 </w:t>
      </w:r>
      <w:r>
        <w:rPr>
          <w:rFonts w:ascii="宋体" w:hAnsi="宋体" w:cs="宋体" w:eastAsia="宋体" w:hint="default"/>
        </w:rPr>
        <w:t>(3)</w:t>
      </w:r>
      <w:r>
        <w:rPr/>
        <w:t>被购买方于购买日可辨认资产、负债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824" w:right="418"/>
        <w:jc w:val="left"/>
      </w:pPr>
      <w:r>
        <w:rPr>
          <w:spacing w:val="8"/>
        </w:rPr>
        <w:t>可辨认资产、负债公允价值的确定方法：根据北京天健兴业资产评估有限公司出具天兴评报字</w:t>
      </w:r>
    </w:p>
    <w:p>
      <w:pPr>
        <w:pStyle w:val="BodyText"/>
        <w:spacing w:line="240" w:lineRule="auto" w:before="37"/>
        <w:ind w:right="0"/>
        <w:jc w:val="both"/>
      </w:pPr>
      <w:r>
        <w:rPr/>
        <w:t>（</w:t>
      </w:r>
      <w:r>
        <w:rPr>
          <w:rFonts w:ascii="宋体" w:hAnsi="宋体" w:cs="宋体" w:eastAsia="宋体" w:hint="default"/>
        </w:rPr>
        <w:t>2014</w:t>
      </w:r>
      <w:r>
        <w:rPr/>
        <w:t>）第</w:t>
      </w:r>
      <w:r>
        <w:rPr>
          <w:spacing w:val="-46"/>
        </w:rPr>
        <w:t> </w:t>
      </w:r>
      <w:r>
        <w:rPr>
          <w:rFonts w:ascii="宋体" w:hAnsi="宋体" w:cs="宋体" w:eastAsia="宋体" w:hint="default"/>
        </w:rPr>
        <w:t>0576</w:t>
      </w:r>
      <w:r>
        <w:rPr>
          <w:rFonts w:ascii="宋体" w:hAnsi="宋体" w:cs="宋体" w:eastAsia="宋体" w:hint="default"/>
          <w:spacing w:val="-45"/>
        </w:rPr>
        <w:t> </w:t>
      </w:r>
      <w:r>
        <w:rPr/>
        <w:t>号评估报告，以</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日为评估基准日，北京创世漫道科技有限公司可辨认</w:t>
      </w:r>
    </w:p>
    <w:p>
      <w:pPr>
        <w:pStyle w:val="BodyText"/>
        <w:spacing w:line="273" w:lineRule="auto" w:before="37"/>
        <w:ind w:right="1188"/>
        <w:jc w:val="both"/>
      </w:pPr>
      <w:r>
        <w:rPr/>
        <w:t>资产扣除负债的净资产公允价值为</w:t>
      </w:r>
      <w:r>
        <w:rPr>
          <w:spacing w:val="-52"/>
        </w:rPr>
        <w:t> </w:t>
      </w:r>
      <w:r>
        <w:rPr>
          <w:rFonts w:ascii="宋体" w:hAnsi="宋体" w:cs="宋体" w:eastAsia="宋体" w:hint="default"/>
        </w:rPr>
        <w:t>100,124,623.44</w:t>
      </w:r>
      <w:r>
        <w:rPr>
          <w:rFonts w:ascii="宋体" w:hAnsi="宋体" w:cs="宋体" w:eastAsia="宋体" w:hint="default"/>
          <w:spacing w:val="-51"/>
        </w:rPr>
        <w:t> </w:t>
      </w:r>
      <w:r>
        <w:rPr>
          <w:spacing w:val="-4"/>
        </w:rPr>
        <w:t>元。根据该评估报告，考虑</w:t>
      </w:r>
      <w:r>
        <w:rPr>
          <w:spacing w:val="-52"/>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日至收购日的资 </w:t>
      </w:r>
      <w:r>
        <w:rPr>
          <w:spacing w:val="-1"/>
        </w:rPr>
        <w:t>产、负债、利润等增减因素及资产摊销、折旧调整等事项，确定购买日北京创世漫道科技有限公司可辨</w:t>
      </w:r>
      <w:r>
        <w:rPr>
          <w:spacing w:val="-100"/>
        </w:rPr>
        <w:t> </w:t>
      </w:r>
      <w:r>
        <w:rPr>
          <w:spacing w:val="-100"/>
        </w:rPr>
      </w:r>
      <w:r>
        <w:rPr/>
        <w:t>认资产扣除负债的净资产公允价值为</w:t>
      </w:r>
      <w:r>
        <w:rPr>
          <w:spacing w:val="-52"/>
        </w:rPr>
        <w:t> </w:t>
      </w:r>
      <w:r>
        <w:rPr>
          <w:rFonts w:ascii="宋体" w:hAnsi="宋体" w:cs="宋体" w:eastAsia="宋体" w:hint="default"/>
        </w:rPr>
        <w:t>133,437,005.16</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326" w:lineRule="auto" w:before="0"/>
        <w:ind w:right="7734"/>
        <w:jc w:val="left"/>
        <w:rPr>
          <w:b w:val="0"/>
          <w:bCs w:val="0"/>
        </w:rPr>
      </w:pPr>
      <w:r>
        <w:rPr/>
        <w:pict>
          <v:shape style="position:absolute;margin-left:50.759998pt;margin-top:35.00367pt;width:497pt;height:129.4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1446"/>
                    <w:gridCol w:w="1103"/>
                    <w:gridCol w:w="1102"/>
                    <w:gridCol w:w="928"/>
                    <w:gridCol w:w="919"/>
                    <w:gridCol w:w="1165"/>
                  </w:tblGrid>
                  <w:tr>
                    <w:trPr>
                      <w:trHeight w:val="350"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0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50" w:hRule="exact"/>
                    </w:trPr>
                    <w:tc>
                      <w:tcPr>
                        <w:tcW w:w="3262" w:type="dxa"/>
                        <w:vMerge/>
                        <w:tcBorders>
                          <w:left w:val="single" w:sz="4" w:space="0" w:color="000000"/>
                          <w:bottom w:val="single" w:sz="4" w:space="0" w:color="000000"/>
                          <w:right w:val="single" w:sz="4" w:space="0" w:color="000000"/>
                        </w:tcBorders>
                      </w:tcPr>
                      <w:p>
                        <w:pPr/>
                      </w:p>
                    </w:tc>
                    <w:tc>
                      <w:tcPr>
                        <w:tcW w:w="1446" w:type="dxa"/>
                        <w:vMerge/>
                        <w:tcBorders>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165" w:type="dxa"/>
                        <w:vMerge/>
                        <w:tcBorders>
                          <w:left w:val="single" w:sz="4" w:space="0" w:color="000000"/>
                          <w:bottom w:val="single" w:sz="4" w:space="0" w:color="000000"/>
                          <w:right w:val="single" w:sz="4" w:space="0" w:color="000000"/>
                        </w:tcBorders>
                      </w:tcPr>
                      <w:p>
                        <w:pPr/>
                      </w:p>
                    </w:tc>
                  </w:tr>
                  <w:tr>
                    <w:trPr>
                      <w:trHeight w:val="47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同一控制下</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99.83%</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
              </w:txbxContent>
            </v:textbox>
            <w10:wrap type="none"/>
          </v:shape>
        </w:pict>
      </w:r>
      <w:r>
        <w:rPr/>
        <w:t>七．在其他主体中的权益</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1</w:t>
      </w:r>
      <w:r>
        <w:rPr/>
        <w:t>、在子公司中的权益</w:t>
      </w:r>
      <w:r>
        <w:rPr>
          <w:b w:val="0"/>
          <w:bCs w:val="0"/>
        </w:rPr>
      </w:r>
    </w:p>
    <w:p>
      <w:pPr>
        <w:spacing w:after="0" w:line="326" w:lineRule="auto"/>
        <w:jc w:val="left"/>
        <w:sectPr>
          <w:footerReference w:type="default" r:id="rId51"/>
          <w:pgSz w:w="11910" w:h="16840"/>
          <w:pgMar w:footer="1219" w:header="883"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262"/>
        <w:gridCol w:w="1446"/>
        <w:gridCol w:w="1103"/>
        <w:gridCol w:w="1102"/>
        <w:gridCol w:w="928"/>
        <w:gridCol w:w="919"/>
        <w:gridCol w:w="1165"/>
      </w:tblGrid>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2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滁州市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滁州市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36.87%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2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电信增值</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非同一控制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 w:right="0"/>
              <w:jc w:val="left"/>
              <w:rPr>
                <w:rFonts w:ascii="宋体" w:hAnsi="宋体" w:cs="宋体" w:eastAsia="宋体" w:hint="default"/>
                <w:sz w:val="18"/>
                <w:szCs w:val="18"/>
              </w:rPr>
            </w:pPr>
            <w:r>
              <w:rPr>
                <w:rFonts w:ascii="宋体" w:hAnsi="宋体" w:cs="宋体" w:eastAsia="宋体" w:hint="default"/>
                <w:sz w:val="18"/>
                <w:szCs w:val="18"/>
              </w:rPr>
              <w:t>北京东方博星科技有限责任公司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电信增值</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2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非同一控制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下合并</w:t>
            </w:r>
          </w:p>
        </w:tc>
      </w:tr>
    </w:tbl>
    <w:p>
      <w:pPr>
        <w:spacing w:line="240" w:lineRule="auto" w:before="1"/>
        <w:rPr>
          <w:rFonts w:ascii="宋体" w:hAnsi="宋体" w:cs="宋体" w:eastAsia="宋体" w:hint="default"/>
          <w:b/>
          <w:bCs/>
          <w:sz w:val="8"/>
          <w:szCs w:val="8"/>
        </w:rPr>
      </w:pPr>
    </w:p>
    <w:p>
      <w:pPr>
        <w:pStyle w:val="BodyText"/>
        <w:spacing w:line="240" w:lineRule="auto" w:before="35"/>
        <w:ind w:left="824" w:right="5945"/>
        <w:jc w:val="left"/>
      </w:pPr>
      <w:r>
        <w:rPr/>
        <w:t>重要的非全资子公司（续）</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35"/>
        <w:gridCol w:w="1420"/>
        <w:gridCol w:w="1888"/>
        <w:gridCol w:w="1671"/>
        <w:gridCol w:w="1812"/>
      </w:tblGrid>
      <w:tr>
        <w:trPr>
          <w:trHeight w:val="478"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w:t>
            </w:r>
            <w:r>
              <w:rPr>
                <w:rFonts w:ascii="宋体" w:hAnsi="宋体" w:cs="宋体" w:eastAsia="宋体" w:hint="default"/>
                <w:b/>
                <w:bCs/>
                <w:spacing w:val="-67"/>
                <w:sz w:val="18"/>
                <w:szCs w:val="18"/>
              </w:rPr>
              <w:t> </w:t>
            </w:r>
            <w:r>
              <w:rPr>
                <w:rFonts w:ascii="宋体" w:hAnsi="宋体" w:cs="宋体" w:eastAsia="宋体" w:hint="default"/>
                <w:b/>
                <w:bCs/>
                <w:sz w:val="18"/>
                <w:szCs w:val="18"/>
              </w:rPr>
              <w:t>数</w:t>
            </w:r>
            <w:r>
              <w:rPr>
                <w:rFonts w:ascii="宋体" w:hAnsi="宋体" w:cs="宋体" w:eastAsia="宋体" w:hint="default"/>
                <w:b/>
                <w:bCs/>
                <w:spacing w:val="-68"/>
                <w:sz w:val="18"/>
                <w:szCs w:val="18"/>
              </w:rPr>
              <w:t> </w:t>
            </w:r>
            <w:r>
              <w:rPr>
                <w:rFonts w:ascii="宋体" w:hAnsi="宋体" w:cs="宋体" w:eastAsia="宋体" w:hint="default"/>
                <w:b/>
                <w:bCs/>
                <w:sz w:val="18"/>
                <w:szCs w:val="18"/>
              </w:rPr>
              <w:t>股</w:t>
            </w:r>
            <w:r>
              <w:rPr>
                <w:rFonts w:ascii="宋体" w:hAnsi="宋体" w:cs="宋体" w:eastAsia="宋体" w:hint="default"/>
                <w:b/>
                <w:bCs/>
                <w:spacing w:val="-67"/>
                <w:sz w:val="18"/>
                <w:szCs w:val="18"/>
              </w:rPr>
              <w:t> </w:t>
            </w:r>
            <w:r>
              <w:rPr>
                <w:rFonts w:ascii="宋体" w:hAnsi="宋体" w:cs="宋体" w:eastAsia="宋体" w:hint="default"/>
                <w:b/>
                <w:bCs/>
                <w:sz w:val="18"/>
                <w:szCs w:val="18"/>
              </w:rPr>
              <w:t>东</w:t>
            </w:r>
            <w:r>
              <w:rPr>
                <w:rFonts w:ascii="宋体" w:hAnsi="宋体" w:cs="宋体" w:eastAsia="宋体" w:hint="default"/>
                <w:b/>
                <w:bCs/>
                <w:spacing w:val="-68"/>
                <w:sz w:val="18"/>
                <w:szCs w:val="18"/>
              </w:rPr>
              <w:t> </w:t>
            </w:r>
            <w:r>
              <w:rPr>
                <w:rFonts w:ascii="宋体" w:hAnsi="宋体" w:cs="宋体" w:eastAsia="宋体" w:hint="default"/>
                <w:b/>
                <w:bCs/>
                <w:sz w:val="18"/>
                <w:szCs w:val="18"/>
              </w:rPr>
              <w:t>持</w:t>
            </w:r>
            <w:r>
              <w:rPr>
                <w:rFonts w:ascii="宋体" w:hAnsi="宋体" w:cs="宋体" w:eastAsia="宋体" w:hint="default"/>
                <w:b/>
                <w:bCs/>
                <w:spacing w:val="-68"/>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pacing w:val="5"/>
                <w:sz w:val="18"/>
                <w:szCs w:val="18"/>
              </w:rPr>
              <w:t>本期归属于少数股东</w:t>
            </w:r>
            <w:r>
              <w:rPr>
                <w:rFonts w:ascii="宋体" w:hAnsi="宋体" w:cs="宋体" w:eastAsia="宋体" w:hint="default"/>
                <w:spacing w:val="5"/>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的损益</w:t>
            </w:r>
            <w:r>
              <w:rPr>
                <w:rFonts w:ascii="宋体" w:hAnsi="宋体" w:cs="宋体" w:eastAsia="宋体" w:hint="default"/>
                <w:sz w:val="18"/>
                <w:szCs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本期向少数股东宣</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告分派的股利</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期</w:t>
            </w:r>
            <w:r>
              <w:rPr>
                <w:rFonts w:ascii="宋体" w:hAnsi="宋体" w:cs="宋体" w:eastAsia="宋体" w:hint="default"/>
                <w:b/>
                <w:bCs/>
                <w:spacing w:val="-70"/>
                <w:sz w:val="18"/>
                <w:szCs w:val="18"/>
              </w:rPr>
              <w:t> </w:t>
            </w:r>
            <w:r>
              <w:rPr>
                <w:rFonts w:ascii="宋体" w:hAnsi="宋体" w:cs="宋体" w:eastAsia="宋体" w:hint="default"/>
                <w:b/>
                <w:bCs/>
                <w:spacing w:val="10"/>
                <w:sz w:val="18"/>
                <w:szCs w:val="18"/>
              </w:rPr>
              <w:t>末少</w:t>
            </w:r>
            <w:r>
              <w:rPr>
                <w:rFonts w:ascii="宋体" w:hAnsi="宋体" w:cs="宋体" w:eastAsia="宋体" w:hint="default"/>
                <w:b/>
                <w:bCs/>
                <w:spacing w:val="-70"/>
                <w:sz w:val="18"/>
                <w:szCs w:val="18"/>
              </w:rPr>
              <w:t> </w:t>
            </w:r>
            <w:r>
              <w:rPr>
                <w:rFonts w:ascii="宋体" w:hAnsi="宋体" w:cs="宋体" w:eastAsia="宋体" w:hint="default"/>
                <w:b/>
                <w:bCs/>
                <w:spacing w:val="10"/>
                <w:sz w:val="18"/>
                <w:szCs w:val="18"/>
              </w:rPr>
              <w:t>数股</w:t>
            </w:r>
            <w:r>
              <w:rPr>
                <w:rFonts w:ascii="宋体" w:hAnsi="宋体" w:cs="宋体" w:eastAsia="宋体" w:hint="default"/>
                <w:b/>
                <w:bCs/>
                <w:spacing w:val="-70"/>
                <w:sz w:val="18"/>
                <w:szCs w:val="18"/>
              </w:rPr>
              <w:t> </w:t>
            </w:r>
            <w:r>
              <w:rPr>
                <w:rFonts w:ascii="宋体" w:hAnsi="宋体" w:cs="宋体" w:eastAsia="宋体" w:hint="default"/>
                <w:b/>
                <w:bCs/>
                <w:spacing w:val="10"/>
                <w:sz w:val="18"/>
                <w:szCs w:val="18"/>
              </w:rPr>
              <w:t>东权</w:t>
            </w:r>
            <w:r>
              <w:rPr>
                <w:rFonts w:ascii="宋体" w:hAnsi="宋体" w:cs="宋体" w:eastAsia="宋体" w:hint="default"/>
                <w:b/>
                <w:bCs/>
                <w:spacing w:val="-70"/>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50"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0.17</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3" w:right="0"/>
              <w:jc w:val="left"/>
              <w:rPr>
                <w:rFonts w:ascii="宋体" w:hAnsi="宋体" w:cs="宋体" w:eastAsia="宋体" w:hint="default"/>
                <w:sz w:val="18"/>
                <w:szCs w:val="18"/>
              </w:rPr>
            </w:pPr>
            <w:r>
              <w:rPr>
                <w:rFonts w:ascii="宋体"/>
                <w:sz w:val="18"/>
              </w:rPr>
              <w:t>-76,675.98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19" w:right="0"/>
              <w:jc w:val="left"/>
              <w:rPr>
                <w:rFonts w:ascii="宋体" w:hAnsi="宋体" w:cs="宋体" w:eastAsia="宋体" w:hint="default"/>
                <w:sz w:val="18"/>
                <w:szCs w:val="18"/>
              </w:rPr>
            </w:pPr>
            <w:r>
              <w:rPr>
                <w:rFonts w:ascii="宋体"/>
                <w:sz w:val="18"/>
              </w:rPr>
              <w:t>4,536,386.01</w:t>
            </w:r>
          </w:p>
        </w:tc>
      </w:tr>
    </w:tbl>
    <w:p>
      <w:pPr>
        <w:spacing w:line="240" w:lineRule="auto" w:before="1"/>
        <w:rPr>
          <w:rFonts w:ascii="宋体" w:hAnsi="宋体" w:cs="宋体" w:eastAsia="宋体" w:hint="default"/>
          <w:sz w:val="8"/>
          <w:szCs w:val="8"/>
        </w:rPr>
      </w:pPr>
    </w:p>
    <w:p>
      <w:pPr>
        <w:pStyle w:val="Heading3"/>
        <w:spacing w:line="240" w:lineRule="auto"/>
        <w:ind w:right="5945"/>
        <w:jc w:val="left"/>
        <w:rPr>
          <w:b w:val="0"/>
          <w:bCs w:val="0"/>
        </w:rPr>
      </w:pPr>
      <w:r>
        <w:rPr>
          <w:rFonts w:ascii="宋体" w:hAnsi="宋体" w:cs="宋体" w:eastAsia="宋体" w:hint="default"/>
        </w:rPr>
        <w:t>2</w:t>
      </w:r>
      <w:r>
        <w:rPr/>
        <w:t>、重要非全资子公司的主要财务信息</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1442"/>
        <w:gridCol w:w="1110"/>
        <w:gridCol w:w="338"/>
        <w:gridCol w:w="1456"/>
        <w:gridCol w:w="343"/>
        <w:gridCol w:w="1120"/>
        <w:gridCol w:w="728"/>
        <w:gridCol w:w="517"/>
        <w:gridCol w:w="1451"/>
      </w:tblGrid>
      <w:tr>
        <w:trPr>
          <w:trHeight w:val="35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9" w:hRule="exact"/>
        </w:trPr>
        <w:tc>
          <w:tcPr>
            <w:tcW w:w="1419"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徽</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Calibri" w:hAnsi="Calibri" w:cs="Calibri" w:eastAsia="Calibri" w:hint="default"/>
                <w:sz w:val="18"/>
                <w:szCs w:val="18"/>
              </w:rPr>
            </w:pPr>
            <w:r>
              <w:rPr>
                <w:rFonts w:ascii="Calibri"/>
                <w:spacing w:val="-1"/>
                <w:sz w:val="18"/>
              </w:rPr>
              <w:t>427,056,821.78</w:t>
            </w:r>
          </w:p>
        </w:tc>
        <w:tc>
          <w:tcPr>
            <w:tcW w:w="1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2" w:right="0"/>
              <w:jc w:val="left"/>
              <w:rPr>
                <w:rFonts w:ascii="Calibri" w:hAnsi="Calibri" w:cs="Calibri" w:eastAsia="Calibri" w:hint="default"/>
                <w:sz w:val="18"/>
                <w:szCs w:val="18"/>
              </w:rPr>
            </w:pPr>
            <w:r>
              <w:rPr>
                <w:rFonts w:ascii="Calibri"/>
                <w:sz w:val="18"/>
              </w:rPr>
              <w:t>452,966,260.36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3" w:right="0"/>
              <w:jc w:val="center"/>
              <w:rPr>
                <w:rFonts w:ascii="Calibri" w:hAnsi="Calibri" w:cs="Calibri" w:eastAsia="Calibri" w:hint="default"/>
                <w:sz w:val="18"/>
                <w:szCs w:val="18"/>
              </w:rPr>
            </w:pPr>
            <w:r>
              <w:rPr>
                <w:rFonts w:ascii="Calibri"/>
                <w:sz w:val="18"/>
              </w:rPr>
              <w:t>880,023,082.14</w:t>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9" w:right="0"/>
              <w:jc w:val="left"/>
              <w:rPr>
                <w:rFonts w:ascii="Calibri" w:hAnsi="Calibri" w:cs="Calibri" w:eastAsia="Calibri" w:hint="default"/>
                <w:sz w:val="18"/>
                <w:szCs w:val="18"/>
              </w:rPr>
            </w:pPr>
            <w:r>
              <w:rPr>
                <w:rFonts w:ascii="Calibri"/>
                <w:sz w:val="18"/>
              </w:rPr>
              <w:t>342,534,348.05</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5" w:right="0"/>
              <w:jc w:val="left"/>
              <w:rPr>
                <w:rFonts w:ascii="Calibri" w:hAnsi="Calibri" w:cs="Calibri" w:eastAsia="Calibri" w:hint="default"/>
                <w:sz w:val="18"/>
                <w:szCs w:val="18"/>
              </w:rPr>
            </w:pPr>
            <w:r>
              <w:rPr>
                <w:rFonts w:ascii="Calibri"/>
                <w:sz w:val="18"/>
              </w:rPr>
              <w:t>4,786,004.48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5" w:right="0"/>
              <w:jc w:val="center"/>
              <w:rPr>
                <w:rFonts w:ascii="Calibri" w:hAnsi="Calibri" w:cs="Calibri" w:eastAsia="Calibri" w:hint="default"/>
                <w:sz w:val="18"/>
                <w:szCs w:val="18"/>
              </w:rPr>
            </w:pPr>
            <w:r>
              <w:rPr>
                <w:rFonts w:ascii="Calibri"/>
                <w:sz w:val="18"/>
              </w:rPr>
              <w:t>347,320,352.53</w:t>
            </w:r>
          </w:p>
        </w:tc>
      </w:tr>
      <w:tr>
        <w:trPr>
          <w:trHeight w:val="35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1419"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徽</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Calibri" w:hAnsi="Calibri" w:cs="Calibri" w:eastAsia="Calibri" w:hint="default"/>
                <w:sz w:val="18"/>
                <w:szCs w:val="18"/>
              </w:rPr>
            </w:pPr>
            <w:r>
              <w:rPr>
                <w:rFonts w:ascii="Calibri"/>
                <w:spacing w:val="-1"/>
                <w:sz w:val="18"/>
              </w:rPr>
              <w:t>534,536,746.77</w:t>
            </w:r>
          </w:p>
        </w:tc>
        <w:tc>
          <w:tcPr>
            <w:tcW w:w="1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9" w:right="0"/>
              <w:jc w:val="left"/>
              <w:rPr>
                <w:rFonts w:ascii="Calibri" w:hAnsi="Calibri" w:cs="Calibri" w:eastAsia="Calibri" w:hint="default"/>
                <w:sz w:val="18"/>
                <w:szCs w:val="18"/>
              </w:rPr>
            </w:pPr>
            <w:r>
              <w:rPr>
                <w:rFonts w:ascii="Calibri"/>
                <w:sz w:val="18"/>
              </w:rPr>
              <w:t>274,305,828.38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4" w:right="0"/>
              <w:jc w:val="center"/>
              <w:rPr>
                <w:rFonts w:ascii="Calibri" w:hAnsi="Calibri" w:cs="Calibri" w:eastAsia="Calibri" w:hint="default"/>
                <w:sz w:val="18"/>
                <w:szCs w:val="18"/>
              </w:rPr>
            </w:pPr>
            <w:r>
              <w:rPr>
                <w:rFonts w:ascii="Calibri"/>
                <w:sz w:val="18"/>
              </w:rPr>
              <w:t>808,842,575.15</w:t>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9" w:right="0"/>
              <w:jc w:val="left"/>
              <w:rPr>
                <w:rFonts w:ascii="Calibri" w:hAnsi="Calibri" w:cs="Calibri" w:eastAsia="Calibri" w:hint="default"/>
                <w:sz w:val="18"/>
                <w:szCs w:val="18"/>
              </w:rPr>
            </w:pPr>
            <w:r>
              <w:rPr>
                <w:rFonts w:ascii="Calibri"/>
                <w:sz w:val="18"/>
              </w:rPr>
              <w:t>262,718,353.22</w:t>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5" w:right="0"/>
              <w:jc w:val="left"/>
              <w:rPr>
                <w:rFonts w:ascii="Calibri" w:hAnsi="Calibri" w:cs="Calibri" w:eastAsia="Calibri" w:hint="default"/>
                <w:sz w:val="18"/>
                <w:szCs w:val="18"/>
              </w:rPr>
            </w:pPr>
            <w:r>
              <w:rPr>
                <w:rFonts w:ascii="Calibri"/>
                <w:sz w:val="18"/>
              </w:rPr>
              <w:t>5,120,073.58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5" w:right="0"/>
              <w:jc w:val="center"/>
              <w:rPr>
                <w:rFonts w:ascii="Calibri" w:hAnsi="Calibri" w:cs="Calibri" w:eastAsia="Calibri" w:hint="default"/>
                <w:sz w:val="18"/>
                <w:szCs w:val="18"/>
              </w:rPr>
            </w:pPr>
            <w:r>
              <w:rPr>
                <w:rFonts w:ascii="Calibri"/>
                <w:sz w:val="18"/>
              </w:rPr>
              <w:t>267,838,426.80</w:t>
            </w:r>
          </w:p>
        </w:tc>
      </w:tr>
      <w:tr>
        <w:trPr>
          <w:trHeight w:val="35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50" w:hRule="exact"/>
        </w:trPr>
        <w:tc>
          <w:tcPr>
            <w:tcW w:w="1419" w:type="dxa"/>
            <w:vMerge/>
            <w:tcBorders>
              <w:left w:val="single" w:sz="4" w:space="0" w:color="000000"/>
              <w:bottom w:val="single" w:sz="4" w:space="0" w:color="000000"/>
              <w:right w:val="single" w:sz="4" w:space="0" w:color="000000"/>
            </w:tcBorders>
          </w:tcPr>
          <w:p>
            <w:pP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徽</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00" w:right="0"/>
              <w:jc w:val="left"/>
              <w:rPr>
                <w:rFonts w:ascii="Calibri" w:hAnsi="Calibri" w:cs="Calibri" w:eastAsia="Calibri" w:hint="default"/>
                <w:sz w:val="18"/>
                <w:szCs w:val="18"/>
              </w:rPr>
            </w:pPr>
            <w:r>
              <w:rPr>
                <w:rFonts w:ascii="Calibri"/>
                <w:sz w:val="18"/>
              </w:rPr>
              <w:t>106,254,855.15</w:t>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11" w:right="0"/>
              <w:jc w:val="left"/>
              <w:rPr>
                <w:rFonts w:ascii="Calibri" w:hAnsi="Calibri" w:cs="Calibri" w:eastAsia="Calibri" w:hint="default"/>
                <w:sz w:val="18"/>
                <w:szCs w:val="18"/>
              </w:rPr>
            </w:pPr>
            <w:r>
              <w:rPr>
                <w:rFonts w:ascii="Calibri"/>
                <w:sz w:val="18"/>
              </w:rPr>
              <w:t>-7,031,409.97</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22" w:right="0"/>
              <w:jc w:val="left"/>
              <w:rPr>
                <w:rFonts w:ascii="Calibri" w:hAnsi="Calibri" w:cs="Calibri" w:eastAsia="Calibri" w:hint="default"/>
                <w:sz w:val="18"/>
                <w:szCs w:val="18"/>
              </w:rPr>
            </w:pPr>
            <w:r>
              <w:rPr>
                <w:rFonts w:ascii="Calibri"/>
                <w:sz w:val="18"/>
              </w:rPr>
              <w:t>-7,031,409.97</w:t>
            </w:r>
          </w:p>
        </w:tc>
        <w:tc>
          <w:tcPr>
            <w:tcW w:w="1968" w:type="dxa"/>
            <w:gridSpan w:val="2"/>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9" w:hRule="exact"/>
        </w:trPr>
        <w:tc>
          <w:tcPr>
            <w:tcW w:w="1419" w:type="dxa"/>
            <w:vMerge/>
            <w:tcBorders>
              <w:left w:val="single" w:sz="4" w:space="0" w:color="000000"/>
              <w:bottom w:val="single" w:sz="4" w:space="0" w:color="000000"/>
              <w:right w:val="single" w:sz="4" w:space="0" w:color="000000"/>
            </w:tcBorders>
          </w:tcPr>
          <w:p>
            <w:pP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徽</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92" w:right="0"/>
              <w:jc w:val="left"/>
              <w:rPr>
                <w:rFonts w:ascii="Calibri" w:hAnsi="Calibri" w:cs="Calibri" w:eastAsia="Calibri" w:hint="default"/>
                <w:sz w:val="18"/>
                <w:szCs w:val="18"/>
              </w:rPr>
            </w:pPr>
            <w:r>
              <w:rPr>
                <w:rFonts w:ascii="Calibri"/>
                <w:sz w:val="18"/>
              </w:rPr>
              <w:t>84,301,508.52</w:t>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66" w:right="0"/>
              <w:jc w:val="left"/>
              <w:rPr>
                <w:rFonts w:ascii="Calibri" w:hAnsi="Calibri" w:cs="Calibri" w:eastAsia="Calibri" w:hint="default"/>
                <w:sz w:val="18"/>
                <w:szCs w:val="18"/>
              </w:rPr>
            </w:pPr>
            <w:r>
              <w:rPr>
                <w:rFonts w:ascii="Calibri"/>
                <w:sz w:val="18"/>
              </w:rPr>
              <w:t>1,847,737.91</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77" w:right="0"/>
              <w:jc w:val="left"/>
              <w:rPr>
                <w:rFonts w:ascii="Calibri" w:hAnsi="Calibri" w:cs="Calibri" w:eastAsia="Calibri" w:hint="default"/>
                <w:sz w:val="18"/>
                <w:szCs w:val="18"/>
              </w:rPr>
            </w:pPr>
            <w:r>
              <w:rPr>
                <w:rFonts w:ascii="Calibri"/>
                <w:sz w:val="18"/>
              </w:rPr>
              <w:t>1,847,737.91</w:t>
            </w:r>
          </w:p>
        </w:tc>
        <w:tc>
          <w:tcPr>
            <w:tcW w:w="1968"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8"/>
          <w:szCs w:val="8"/>
        </w:rPr>
      </w:pPr>
    </w:p>
    <w:p>
      <w:pPr>
        <w:pStyle w:val="BodyText"/>
        <w:spacing w:line="273" w:lineRule="auto" w:before="35"/>
        <w:ind w:left="824" w:right="4387"/>
        <w:jc w:val="left"/>
      </w:pPr>
      <w:r>
        <w:rPr>
          <w:rFonts w:ascii="宋体" w:hAnsi="宋体" w:cs="宋体" w:eastAsia="宋体" w:hint="default"/>
        </w:rPr>
        <w:t>2</w:t>
      </w:r>
      <w:r>
        <w:rPr/>
        <w:t>、在子公司的所有者权益份额发生变化且仍控制子公司的交易 无。</w:t>
      </w:r>
    </w:p>
    <w:p>
      <w:pPr>
        <w:pStyle w:val="BodyText"/>
        <w:spacing w:line="273" w:lineRule="auto" w:before="70"/>
        <w:ind w:left="824" w:right="1175"/>
        <w:jc w:val="left"/>
      </w:pPr>
      <w:r>
        <w:rPr>
          <w:rFonts w:ascii="宋体" w:hAnsi="宋体" w:cs="宋体" w:eastAsia="宋体" w:hint="default"/>
        </w:rPr>
        <w:t>3</w:t>
      </w:r>
      <w:r>
        <w:rPr/>
        <w:t>、在合营企业或联营企业中的权益 </w:t>
      </w:r>
      <w:r>
        <w:rPr>
          <w:spacing w:val="-1"/>
        </w:rPr>
        <w:t>本公司关联企业秦皇岛华联康保有限公司因已停业，无法联系，未能获取资产负债及净资产及其他</w:t>
      </w:r>
    </w:p>
    <w:p>
      <w:pPr>
        <w:pStyle w:val="BodyText"/>
        <w:spacing w:line="273" w:lineRule="auto"/>
        <w:ind w:right="1177"/>
        <w:jc w:val="left"/>
      </w:pPr>
      <w:r>
        <w:rPr>
          <w:spacing w:val="-1"/>
        </w:rPr>
        <w:t>相关资料，本公司对秦皇岛华联康保有限公司的投资已全额计提减值准备，对和该公司的往来亦在本年</w:t>
      </w:r>
      <w:r>
        <w:rPr>
          <w:spacing w:val="-100"/>
        </w:rPr>
        <w:t> </w:t>
      </w:r>
      <w:r>
        <w:rPr>
          <w:spacing w:val="-100"/>
        </w:rPr>
      </w:r>
      <w:r>
        <w:rPr/>
        <w:t>度根据董事会决议全额核销。</w:t>
      </w:r>
    </w:p>
    <w:p>
      <w:pPr>
        <w:pStyle w:val="BodyText"/>
        <w:spacing w:line="271" w:lineRule="auto" w:before="70"/>
        <w:ind w:left="824" w:right="8377"/>
        <w:jc w:val="left"/>
      </w:pPr>
      <w:r>
        <w:rPr>
          <w:rFonts w:ascii="宋体" w:hAnsi="宋体" w:cs="宋体" w:eastAsia="宋体" w:hint="default"/>
        </w:rPr>
        <w:t>4</w:t>
      </w:r>
      <w:r>
        <w:rPr/>
        <w:t>、重要的共同经营 无。</w:t>
      </w:r>
    </w:p>
    <w:p>
      <w:pPr>
        <w:pStyle w:val="BodyText"/>
        <w:spacing w:line="273" w:lineRule="auto" w:before="72"/>
        <w:ind w:left="824" w:right="5227"/>
        <w:jc w:val="left"/>
      </w:pPr>
      <w:r>
        <w:rPr>
          <w:rFonts w:ascii="宋体" w:hAnsi="宋体" w:cs="宋体" w:eastAsia="宋体" w:hint="default"/>
        </w:rPr>
        <w:t>5</w:t>
      </w:r>
      <w:r>
        <w:rPr/>
        <w:t>、在未纳入合并财务报表范围的结构化主体中的权益 无。</w:t>
      </w:r>
    </w:p>
    <w:p>
      <w:pPr>
        <w:spacing w:after="0" w:line="273" w:lineRule="auto"/>
        <w:jc w:val="left"/>
        <w:sectPr>
          <w:footerReference w:type="default" r:id="rId52"/>
          <w:pgSz w:w="11910" w:h="16840"/>
          <w:pgMar w:footer="1219" w:header="883" w:top="1140" w:bottom="1400" w:left="900" w:right="0"/>
          <w:pgNumType w:start="101"/>
        </w:sectPr>
      </w:pPr>
    </w:p>
    <w:p>
      <w:pPr>
        <w:spacing w:line="240" w:lineRule="auto" w:before="9"/>
        <w:rPr>
          <w:rFonts w:ascii="宋体" w:hAnsi="宋体" w:cs="宋体" w:eastAsia="宋体" w:hint="default"/>
          <w:sz w:val="17"/>
          <w:szCs w:val="17"/>
        </w:rPr>
      </w:pPr>
    </w:p>
    <w:p>
      <w:pPr>
        <w:spacing w:line="326" w:lineRule="auto" w:before="35"/>
        <w:ind w:left="824" w:right="1175" w:firstLine="2"/>
        <w:jc w:val="left"/>
        <w:rPr>
          <w:rFonts w:ascii="宋体" w:hAnsi="宋体" w:cs="宋体" w:eastAsia="宋体" w:hint="default"/>
          <w:sz w:val="21"/>
          <w:szCs w:val="21"/>
        </w:rPr>
      </w:pPr>
      <w:r>
        <w:rPr>
          <w:rFonts w:ascii="宋体" w:hAnsi="宋体" w:cs="宋体" w:eastAsia="宋体" w:hint="default"/>
          <w:b/>
          <w:bCs/>
          <w:sz w:val="21"/>
          <w:szCs w:val="21"/>
        </w:rPr>
        <w:t>八、与金融工具相关的风险</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本公司的主要金融工具包括应收账款、应付账款等，各项金融工具的详细情况说明见本附注六相关</w:t>
      </w:r>
    </w:p>
    <w:p>
      <w:pPr>
        <w:pStyle w:val="BodyText"/>
        <w:spacing w:line="236" w:lineRule="exact" w:before="0"/>
        <w:ind w:right="418"/>
        <w:jc w:val="left"/>
      </w:pPr>
      <w:r>
        <w:rPr/>
        <w:t>项目。与这些金融工具有关的风险，以及本公司为降低这些风险所采取的风险管理政策如下所述。本公</w:t>
      </w:r>
    </w:p>
    <w:p>
      <w:pPr>
        <w:pStyle w:val="BodyText"/>
        <w:spacing w:line="273" w:lineRule="auto" w:before="37"/>
        <w:ind w:left="824" w:right="418" w:hanging="421"/>
        <w:jc w:val="left"/>
      </w:pPr>
      <w:r>
        <w:rPr/>
        <w:t>司管理层对这些风险敞口进行管理和监控以确保将上述风险控制在限定的范围之内。 </w:t>
      </w:r>
      <w:r>
        <w:rPr>
          <w:spacing w:val="3"/>
        </w:rPr>
        <w:t>本公司采用敏感性分析技术分析风险变量的合理、可能变化对当期损益或股东权益可能产生的影</w:t>
      </w:r>
    </w:p>
    <w:p>
      <w:pPr>
        <w:pStyle w:val="BodyText"/>
        <w:spacing w:line="273" w:lineRule="auto"/>
        <w:ind w:right="1188"/>
        <w:jc w:val="both"/>
      </w:pPr>
      <w:r>
        <w:rPr>
          <w:spacing w:val="-1"/>
        </w:rPr>
        <w:t>响。由于任何风险变量很少孤立地发生变化，而变量之间存在的相关性对某一风险变量的变化的最终影</w:t>
      </w:r>
      <w:r>
        <w:rPr>
          <w:spacing w:val="-100"/>
        </w:rPr>
        <w:t> </w:t>
      </w:r>
      <w:r>
        <w:rPr>
          <w:spacing w:val="-100"/>
        </w:rPr>
      </w:r>
      <w:r>
        <w:rPr/>
        <w:t>响金额将产生重大作用，因此下述内容是在假设每一变量的变化是在独立的情况下进行的。</w:t>
      </w:r>
    </w:p>
    <w:p>
      <w:pPr>
        <w:pStyle w:val="BodyText"/>
        <w:spacing w:line="273" w:lineRule="auto" w:before="163"/>
        <w:ind w:left="930" w:right="418" w:hanging="106"/>
        <w:jc w:val="left"/>
      </w:pPr>
      <w:r>
        <w:rPr/>
        <w:t>（一）风险管理目标和政策 本公司从事风险管理的目标是在风险和收益之间取得适当的平衡，将风险对本公司经营业绩的负</w:t>
      </w:r>
    </w:p>
    <w:p>
      <w:pPr>
        <w:pStyle w:val="BodyText"/>
        <w:spacing w:line="273" w:lineRule="auto"/>
        <w:ind w:right="1187"/>
        <w:jc w:val="both"/>
      </w:pPr>
      <w:r>
        <w:rPr>
          <w:spacing w:val="-1"/>
        </w:rPr>
        <w:t>面影响降低到最低水平，使股东及其其他权益投资者的利益最大化。基于该风险管理目标，本公司风险</w:t>
      </w:r>
      <w:r>
        <w:rPr>
          <w:spacing w:val="-102"/>
        </w:rPr>
        <w:t> </w:t>
      </w:r>
      <w:r>
        <w:rPr>
          <w:spacing w:val="-102"/>
        </w:rPr>
      </w:r>
      <w:r>
        <w:rPr>
          <w:spacing w:val="-1"/>
        </w:rPr>
        <w:t>管理的基本策略是确定和分析本公司所面临的各种风险，建立适当的风险承受底线和进行风险管理，并</w:t>
      </w:r>
      <w:r>
        <w:rPr>
          <w:spacing w:val="-100"/>
        </w:rPr>
        <w:t> </w:t>
      </w:r>
      <w:r>
        <w:rPr>
          <w:spacing w:val="-100"/>
        </w:rPr>
      </w:r>
      <w:r>
        <w:rPr/>
        <w:t>及时可靠地对各种风险进行监督，将风险控制在限定的范围之内。</w:t>
      </w:r>
    </w:p>
    <w:p>
      <w:pPr>
        <w:pStyle w:val="BodyText"/>
        <w:spacing w:line="240" w:lineRule="auto"/>
        <w:ind w:left="930" w:right="5945"/>
        <w:jc w:val="left"/>
      </w:pPr>
      <w:r>
        <w:rPr>
          <w:rFonts w:ascii="宋体" w:hAnsi="宋体" w:cs="宋体" w:eastAsia="宋体" w:hint="default"/>
        </w:rPr>
        <w:t>1</w:t>
      </w:r>
      <w:r>
        <w:rPr/>
        <w:t>、市场风险</w:t>
      </w:r>
    </w:p>
    <w:p>
      <w:pPr>
        <w:pStyle w:val="BodyText"/>
        <w:spacing w:line="273" w:lineRule="auto" w:before="37"/>
        <w:ind w:left="930" w:right="6907" w:hanging="106"/>
        <w:jc w:val="left"/>
      </w:pPr>
      <w:r>
        <w:rPr/>
        <w:t>（</w:t>
      </w:r>
      <w:r>
        <w:rPr>
          <w:rFonts w:ascii="宋体" w:hAnsi="宋体" w:cs="宋体" w:eastAsia="宋体" w:hint="default"/>
        </w:rPr>
        <w:t>1</w:t>
      </w:r>
      <w:r>
        <w:rPr/>
        <w:t>）外汇风险－现金流量变动风险 无。</w:t>
      </w:r>
    </w:p>
    <w:p>
      <w:pPr>
        <w:pStyle w:val="BodyText"/>
        <w:spacing w:line="273" w:lineRule="auto"/>
        <w:ind w:left="930" w:right="7116" w:hanging="106"/>
        <w:jc w:val="left"/>
      </w:pPr>
      <w:r>
        <w:rPr/>
        <w:t>（</w:t>
      </w:r>
      <w:r>
        <w:rPr>
          <w:rFonts w:ascii="宋体" w:hAnsi="宋体" w:cs="宋体" w:eastAsia="宋体" w:hint="default"/>
        </w:rPr>
        <w:t>2</w:t>
      </w:r>
      <w:r>
        <w:rPr/>
        <w:t>）利率风险 因公司无借款，故无利率风险。</w:t>
      </w:r>
    </w:p>
    <w:p>
      <w:pPr>
        <w:pStyle w:val="BodyText"/>
        <w:spacing w:line="273" w:lineRule="auto"/>
        <w:ind w:left="930" w:right="8271"/>
        <w:jc w:val="left"/>
      </w:pPr>
      <w:r>
        <w:rPr/>
        <w:t>（</w:t>
      </w:r>
      <w:r>
        <w:rPr>
          <w:rFonts w:ascii="宋体" w:hAnsi="宋体" w:cs="宋体" w:eastAsia="宋体" w:hint="default"/>
        </w:rPr>
        <w:t>3</w:t>
      </w:r>
      <w:r>
        <w:rPr/>
        <w:t>）其他价格风险 无。</w:t>
      </w:r>
    </w:p>
    <w:p>
      <w:pPr>
        <w:pStyle w:val="BodyText"/>
        <w:spacing w:line="240" w:lineRule="auto"/>
        <w:ind w:left="930" w:right="5945"/>
        <w:jc w:val="left"/>
      </w:pPr>
      <w:r>
        <w:rPr>
          <w:rFonts w:ascii="宋体" w:hAnsi="宋体" w:cs="宋体" w:eastAsia="宋体" w:hint="default"/>
        </w:rPr>
        <w:t>2</w:t>
      </w:r>
      <w:r>
        <w:rPr/>
        <w:t>、信用风险</w:t>
      </w:r>
    </w:p>
    <w:p>
      <w:pPr>
        <w:pStyle w:val="BodyText"/>
        <w:spacing w:line="273" w:lineRule="auto" w:before="37"/>
        <w:ind w:right="1177" w:firstLine="526"/>
        <w:jc w:val="left"/>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日，可能引起本公司财务损失的最大信用风险敞口主要来自于合同另一方未能履 行义务而导致本公司金融资产产生的损失。</w:t>
      </w:r>
    </w:p>
    <w:p>
      <w:pPr>
        <w:pStyle w:val="BodyText"/>
        <w:spacing w:line="273" w:lineRule="auto"/>
        <w:ind w:right="1189" w:firstLine="420"/>
        <w:jc w:val="both"/>
      </w:pPr>
      <w:r>
        <w:rPr>
          <w:spacing w:val="-1"/>
        </w:rPr>
        <w:t>为降低信用风险，本公司成立了一个小组负责确定信用额度、进行信用审批，并执行其他监控程序</w:t>
      </w:r>
      <w:r>
        <w:rPr/>
        <w:t> </w:t>
      </w:r>
      <w:r>
        <w:rPr>
          <w:spacing w:val="-1"/>
        </w:rPr>
        <w:t>以确保采取必要的措施回收过期债权。此外，本公司于每个资产负债表日审核每一单项应收款的回收情</w:t>
      </w:r>
      <w:r>
        <w:rPr>
          <w:spacing w:val="-102"/>
        </w:rPr>
        <w:t> </w:t>
      </w:r>
      <w:r>
        <w:rPr>
          <w:spacing w:val="-102"/>
        </w:rPr>
      </w:r>
      <w:r>
        <w:rPr>
          <w:spacing w:val="-1"/>
        </w:rPr>
        <w:t>况，以确保就无法回收的款项计提充分的坏账准备。因此，本公司管理层认为本公司所承担的信用风险</w:t>
      </w:r>
      <w:r>
        <w:rPr>
          <w:spacing w:val="-102"/>
        </w:rPr>
        <w:t> </w:t>
      </w:r>
      <w:r>
        <w:rPr>
          <w:spacing w:val="-102"/>
        </w:rPr>
      </w:r>
      <w:r>
        <w:rPr/>
        <w:t>已经大为降低。</w:t>
      </w:r>
    </w:p>
    <w:p>
      <w:pPr>
        <w:pStyle w:val="BodyText"/>
        <w:spacing w:line="273" w:lineRule="auto"/>
        <w:ind w:left="930" w:right="418"/>
        <w:jc w:val="left"/>
      </w:pPr>
      <w:r>
        <w:rPr>
          <w:rFonts w:ascii="宋体" w:hAnsi="宋体" w:cs="宋体" w:eastAsia="宋体" w:hint="default"/>
        </w:rPr>
        <w:t>3</w:t>
      </w:r>
      <w:r>
        <w:rPr/>
        <w:t>、流动风险 管理流动风险时，本公司保持管理层认为充分的现金及现金等价物并对其进行监控，以满足本公</w:t>
      </w:r>
    </w:p>
    <w:p>
      <w:pPr>
        <w:pStyle w:val="BodyText"/>
        <w:spacing w:line="273" w:lineRule="auto"/>
        <w:ind w:left="930" w:right="6592" w:hanging="526"/>
        <w:jc w:val="left"/>
      </w:pPr>
      <w:r>
        <w:rPr/>
        <w:t>司经营需要，并降低现金流量波动的影响。 本公司无银行借款。</w:t>
      </w:r>
    </w:p>
    <w:p>
      <w:pPr>
        <w:pStyle w:val="BodyText"/>
        <w:spacing w:line="273" w:lineRule="auto" w:before="163"/>
        <w:ind w:left="930" w:right="8272" w:hanging="106"/>
        <w:jc w:val="left"/>
      </w:pPr>
      <w:r>
        <w:rPr/>
        <w:t>（二）金融资产转移 无。</w:t>
      </w:r>
    </w:p>
    <w:p>
      <w:pPr>
        <w:pStyle w:val="BodyText"/>
        <w:spacing w:line="273" w:lineRule="auto" w:before="163"/>
        <w:ind w:left="930" w:right="7012" w:hanging="106"/>
        <w:jc w:val="left"/>
      </w:pPr>
      <w:r>
        <w:rPr/>
        <w:t>（三）金融资产与金融负债的抵销 无。</w:t>
      </w:r>
    </w:p>
    <w:p>
      <w:pPr>
        <w:spacing w:line="240" w:lineRule="auto" w:before="6"/>
        <w:rPr>
          <w:rFonts w:ascii="宋体" w:hAnsi="宋体" w:cs="宋体" w:eastAsia="宋体" w:hint="default"/>
          <w:sz w:val="24"/>
          <w:szCs w:val="24"/>
        </w:rPr>
      </w:pPr>
    </w:p>
    <w:p>
      <w:pPr>
        <w:pStyle w:val="Heading3"/>
        <w:spacing w:line="240" w:lineRule="auto" w:before="0"/>
        <w:ind w:right="5945"/>
        <w:jc w:val="left"/>
        <w:rPr>
          <w:b w:val="0"/>
          <w:bCs w:val="0"/>
        </w:rPr>
      </w:pPr>
      <w:r>
        <w:rPr/>
        <w:t>九、公允价值的披露</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356"/>
        <w:gridCol w:w="1613"/>
        <w:gridCol w:w="1612"/>
        <w:gridCol w:w="1612"/>
        <w:gridCol w:w="1733"/>
      </w:tblGrid>
      <w:tr>
        <w:trPr>
          <w:trHeight w:val="407" w:hRule="exact"/>
        </w:trPr>
        <w:tc>
          <w:tcPr>
            <w:tcW w:w="33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r>
      <w:tr>
        <w:trPr>
          <w:trHeight w:val="477" w:hRule="exact"/>
        </w:trPr>
        <w:tc>
          <w:tcPr>
            <w:tcW w:w="3356"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第一层次公允价</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第二层次公允价</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第三层次公允价</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以公允价值计量且变动计入当期损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交易性金融资产</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356"/>
        <w:gridCol w:w="1613"/>
        <w:gridCol w:w="1612"/>
        <w:gridCol w:w="1612"/>
        <w:gridCol w:w="1733"/>
      </w:tblGrid>
      <w:tr>
        <w:trPr>
          <w:trHeight w:val="350"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1,180,045.12</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1,180,045.12</w:t>
            </w:r>
          </w:p>
        </w:tc>
      </w:tr>
      <w:tr>
        <w:trPr>
          <w:trHeight w:val="350"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衍生金融资产</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1,180,045.12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1,180,045.12</w:t>
            </w:r>
          </w:p>
        </w:tc>
      </w:tr>
    </w:tbl>
    <w:p>
      <w:pPr>
        <w:pStyle w:val="BodyText"/>
        <w:spacing w:line="273" w:lineRule="auto" w:before="47"/>
        <w:ind w:right="1179" w:firstLine="420"/>
        <w:jc w:val="left"/>
      </w:pPr>
      <w:r>
        <w:rPr/>
        <w:t>持续和非持续第一层次公允价值计量项目市价的确定依据：</w:t>
      </w:r>
      <w:r>
        <w:rPr>
          <w:spacing w:val="12"/>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日该项资产在交易市 场中公布的收盘价。</w:t>
      </w:r>
    </w:p>
    <w:p>
      <w:pPr>
        <w:spacing w:line="240" w:lineRule="auto" w:before="6"/>
        <w:rPr>
          <w:rFonts w:ascii="宋体" w:hAnsi="宋体" w:cs="宋体" w:eastAsia="宋体" w:hint="default"/>
          <w:sz w:val="24"/>
          <w:szCs w:val="24"/>
        </w:rPr>
      </w:pPr>
    </w:p>
    <w:p>
      <w:pPr>
        <w:spacing w:line="326" w:lineRule="auto" w:before="0"/>
        <w:ind w:left="824" w:right="7841" w:firstLine="2"/>
        <w:jc w:val="left"/>
        <w:rPr>
          <w:rFonts w:ascii="宋体" w:hAnsi="宋体" w:cs="宋体" w:eastAsia="宋体" w:hint="default"/>
          <w:sz w:val="21"/>
          <w:szCs w:val="21"/>
        </w:rPr>
      </w:pPr>
      <w:r>
        <w:rPr/>
        <w:pict>
          <v:shape style="position:absolute;margin-left:50.759998pt;margin-top:35.003693pt;width:496.95pt;height:48.2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2"/>
                    <w:gridCol w:w="2126"/>
                    <w:gridCol w:w="990"/>
                    <w:gridCol w:w="1418"/>
                    <w:gridCol w:w="1376"/>
                    <w:gridCol w:w="1742"/>
                  </w:tblGrid>
                  <w:tr>
                    <w:trPr>
                      <w:trHeight w:val="478"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95"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b/>
                            <w:bCs/>
                            <w:sz w:val="18"/>
                            <w:szCs w:val="18"/>
                          </w:rPr>
                          <w:t>控股股东对本企</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b/>
                            <w:bCs/>
                            <w:sz w:val="18"/>
                            <w:szCs w:val="18"/>
                          </w:rPr>
                          <w:t>业的持股比例</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b/>
                            <w:bCs/>
                            <w:sz w:val="18"/>
                            <w:szCs w:val="18"/>
                          </w:rPr>
                          <w:t>控股股东对本企业的</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r>
                  <w:tr>
                    <w:trPr>
                      <w:trHeight w:val="476"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3"/>
                            <w:sz w:val="18"/>
                            <w:szCs w:val="18"/>
                          </w:rPr>
                          <w:t>深圳市罗湖区深南路</w:t>
                        </w:r>
                        <w:r>
                          <w:rPr>
                            <w:rFonts w:ascii="宋体" w:hAnsi="宋体" w:cs="宋体" w:eastAsia="宋体" w:hint="default"/>
                            <w:spacing w:val="11"/>
                            <w:sz w:val="18"/>
                            <w:szCs w:val="18"/>
                          </w:rPr>
                          <w:t> </w:t>
                        </w:r>
                        <w:r>
                          <w:rPr>
                            <w:rFonts w:ascii="宋体" w:hAnsi="宋体" w:cs="宋体" w:eastAsia="宋体" w:hint="default"/>
                            <w:sz w:val="18"/>
                            <w:szCs w:val="18"/>
                          </w:rPr>
                          <w:t>4003</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号世界金融中心</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楼</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8"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25" w:right="-1"/>
                          <w:jc w:val="left"/>
                          <w:rPr>
                            <w:rFonts w:ascii="宋体" w:hAnsi="宋体" w:cs="宋体" w:eastAsia="宋体" w:hint="default"/>
                            <w:sz w:val="18"/>
                            <w:szCs w:val="18"/>
                          </w:rPr>
                        </w:pPr>
                        <w:r>
                          <w:rPr>
                            <w:rFonts w:ascii="宋体"/>
                            <w:sz w:val="18"/>
                          </w:rPr>
                          <w:t>33.46%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33.46%</w:t>
                        </w:r>
                      </w:p>
                    </w:tc>
                  </w:tr>
                </w:tbl>
                <w:p>
                  <w:pPr/>
                </w:p>
              </w:txbxContent>
            </v:textbox>
            <w10:wrap type="none"/>
          </v:shape>
        </w:pict>
      </w:r>
      <w:r>
        <w:rPr>
          <w:rFonts w:ascii="宋体" w:hAnsi="宋体" w:cs="宋体" w:eastAsia="宋体" w:hint="default"/>
          <w:b/>
          <w:bCs/>
          <w:sz w:val="21"/>
          <w:szCs w:val="21"/>
        </w:rPr>
        <w:t>十、关联方关系及其交易</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、本企业的母公司情况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408" w:lineRule="auto" w:before="35"/>
        <w:ind w:left="824" w:right="5334"/>
        <w:jc w:val="left"/>
      </w:pPr>
      <w:r>
        <w:rPr/>
        <w:pict>
          <v:shape style="position:absolute;margin-left:50.759998pt;margin-top:41.493641pt;width:496.95pt;height:408.6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4"/>
                    <w:gridCol w:w="1062"/>
                    <w:gridCol w:w="926"/>
                    <w:gridCol w:w="852"/>
                    <w:gridCol w:w="851"/>
                    <w:gridCol w:w="706"/>
                    <w:gridCol w:w="1120"/>
                    <w:gridCol w:w="726"/>
                    <w:gridCol w:w="712"/>
                    <w:gridCol w:w="1405"/>
                  </w:tblGrid>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8"/>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47" w:right="149" w:firstLine="91"/>
                          <w:jc w:val="left"/>
                          <w:rPr>
                            <w:rFonts w:ascii="宋体" w:hAnsi="宋体" w:cs="宋体" w:eastAsia="宋体" w:hint="default"/>
                            <w:sz w:val="18"/>
                            <w:szCs w:val="18"/>
                          </w:rPr>
                        </w:pPr>
                        <w:r>
                          <w:rPr>
                            <w:rFonts w:ascii="宋体" w:hAnsi="宋体" w:cs="宋体" w:eastAsia="宋体" w:hint="default"/>
                            <w:b/>
                            <w:bCs/>
                            <w:sz w:val="18"/>
                            <w:szCs w:val="18"/>
                          </w:rPr>
                          <w:t>法定</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代表人</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65" w:right="167"/>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283" w:right="192" w:hanging="9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sz w:val="18"/>
                            <w:szCs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76" w:right="175"/>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69" w:right="78" w:hanging="92"/>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6"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秦皇岛茂业控股有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8"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24,500.00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67851477-7</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安徽国润投资发展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控股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合肥市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6"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29,433.00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99.83%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99.83%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71172853-2</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秦皇岛市金原房地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产开发有限公司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13,500.00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3"/>
                          <w:jc w:val="right"/>
                          <w:rPr>
                            <w:rFonts w:ascii="宋体" w:hAnsi="宋体" w:cs="宋体" w:eastAsia="宋体" w:hint="default"/>
                            <w:sz w:val="18"/>
                            <w:szCs w:val="18"/>
                          </w:rPr>
                        </w:pPr>
                        <w:r>
                          <w:rPr>
                            <w:rFonts w:ascii="宋体"/>
                            <w:sz w:val="18"/>
                          </w:rPr>
                          <w:t>60106892-4</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秦皇岛茂业超市有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李宏瑶</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3"/>
                          <w:jc w:val="right"/>
                          <w:rPr>
                            <w:rFonts w:ascii="宋体" w:hAnsi="宋体" w:cs="宋体" w:eastAsia="宋体" w:hint="default"/>
                            <w:sz w:val="18"/>
                            <w:szCs w:val="18"/>
                          </w:rPr>
                        </w:pPr>
                        <w:r>
                          <w:rPr>
                            <w:rFonts w:ascii="宋体"/>
                            <w:sz w:val="18"/>
                          </w:rPr>
                          <w:t>73025066-9</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秦皇岛茂业物业服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李静民</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500.00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3"/>
                          <w:jc w:val="right"/>
                          <w:rPr>
                            <w:rFonts w:ascii="宋体" w:hAnsi="宋体" w:cs="宋体" w:eastAsia="宋体" w:hint="default"/>
                            <w:sz w:val="18"/>
                            <w:szCs w:val="18"/>
                          </w:rPr>
                        </w:pPr>
                        <w:r>
                          <w:rPr>
                            <w:rFonts w:ascii="宋体"/>
                            <w:sz w:val="18"/>
                          </w:rPr>
                          <w:t>73025064-2</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秦皇岛金原家居装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饰城有限公司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李德澍</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3"/>
                          <w:jc w:val="right"/>
                          <w:rPr>
                            <w:rFonts w:ascii="宋体" w:hAnsi="宋体" w:cs="宋体" w:eastAsia="宋体" w:hint="default"/>
                            <w:sz w:val="18"/>
                            <w:szCs w:val="18"/>
                          </w:rPr>
                        </w:pPr>
                        <w:r>
                          <w:rPr>
                            <w:rFonts w:ascii="宋体"/>
                            <w:sz w:val="18"/>
                          </w:rPr>
                          <w:t>75548571-2</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13"/>
                            <w:sz w:val="18"/>
                            <w:szCs w:val="18"/>
                          </w:rPr>
                          <w:t>秦皇岛市渤海物流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煤炭经销有限公司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0"/>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3,000.00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1"/>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3"/>
                          <w:jc w:val="right"/>
                          <w:rPr>
                            <w:rFonts w:ascii="宋体" w:hAnsi="宋体" w:cs="宋体" w:eastAsia="宋体" w:hint="default"/>
                            <w:sz w:val="18"/>
                            <w:szCs w:val="18"/>
                          </w:rPr>
                        </w:pPr>
                        <w:r>
                          <w:rPr>
                            <w:rFonts w:ascii="宋体"/>
                            <w:sz w:val="18"/>
                          </w:rPr>
                          <w:t>69348533-7</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3" w:right="105"/>
                          <w:jc w:val="left"/>
                          <w:rPr>
                            <w:rFonts w:ascii="宋体" w:hAnsi="宋体" w:cs="宋体" w:eastAsia="宋体" w:hint="default"/>
                            <w:sz w:val="18"/>
                            <w:szCs w:val="18"/>
                          </w:rPr>
                        </w:pPr>
                        <w:r>
                          <w:rPr>
                            <w:rFonts w:ascii="宋体" w:hAnsi="宋体" w:cs="宋体" w:eastAsia="宋体" w:hint="default"/>
                            <w:sz w:val="18"/>
                            <w:szCs w:val="18"/>
                          </w:rPr>
                          <w:t>安徽省新长江商品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交易有限公司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控股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pacing w:val="-12"/>
                            <w:sz w:val="18"/>
                            <w:szCs w:val="18"/>
                          </w:rPr>
                          <w:t>有限责任</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合肥市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4"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2,000.00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90%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70490680-4</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3" w:right="103" w:hanging="2"/>
                          <w:jc w:val="left"/>
                          <w:rPr>
                            <w:rFonts w:ascii="宋体" w:hAnsi="宋体" w:cs="宋体" w:eastAsia="宋体" w:hint="default"/>
                            <w:sz w:val="18"/>
                            <w:szCs w:val="18"/>
                          </w:rPr>
                        </w:pPr>
                        <w:r>
                          <w:rPr>
                            <w:rFonts w:ascii="宋体" w:hAnsi="宋体" w:cs="宋体" w:eastAsia="宋体" w:hint="default"/>
                            <w:sz w:val="18"/>
                            <w:szCs w:val="18"/>
                          </w:rPr>
                          <w:t>芜湖茂业置业有限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芜湖市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18"/>
                            <w:szCs w:val="18"/>
                          </w:rPr>
                        </w:pPr>
                        <w:r>
                          <w:rPr>
                            <w:rFonts w:ascii="宋体" w:hAnsi="宋体" w:cs="宋体" w:eastAsia="宋体" w:hint="default"/>
                            <w:sz w:val="18"/>
                            <w:szCs w:val="18"/>
                          </w:rPr>
                          <w:t>房地产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11,000.00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73891126-5</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3" w:right="103" w:hanging="2"/>
                          <w:jc w:val="left"/>
                          <w:rPr>
                            <w:rFonts w:ascii="宋体" w:hAnsi="宋体" w:cs="宋体" w:eastAsia="宋体" w:hint="default"/>
                            <w:sz w:val="18"/>
                            <w:szCs w:val="18"/>
                          </w:rPr>
                        </w:pPr>
                        <w:r>
                          <w:rPr>
                            <w:rFonts w:ascii="宋体" w:hAnsi="宋体" w:cs="宋体" w:eastAsia="宋体" w:hint="default"/>
                            <w:sz w:val="18"/>
                            <w:szCs w:val="18"/>
                          </w:rPr>
                          <w:t>滁州茂业投资发展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滁州市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18"/>
                            <w:szCs w:val="18"/>
                          </w:rPr>
                        </w:pPr>
                        <w:r>
                          <w:rPr>
                            <w:rFonts w:ascii="宋体" w:hAnsi="宋体" w:cs="宋体" w:eastAsia="宋体" w:hint="default"/>
                            <w:sz w:val="18"/>
                            <w:szCs w:val="18"/>
                          </w:rPr>
                          <w:t>房地产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7,000.00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75095267-6</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4" w:right="100" w:hanging="3"/>
                          <w:jc w:val="left"/>
                          <w:rPr>
                            <w:rFonts w:ascii="宋体" w:hAnsi="宋体" w:cs="宋体" w:eastAsia="宋体" w:hint="default"/>
                            <w:sz w:val="18"/>
                            <w:szCs w:val="18"/>
                          </w:rPr>
                        </w:pPr>
                        <w:r>
                          <w:rPr>
                            <w:rFonts w:ascii="宋体" w:hAnsi="宋体" w:cs="宋体" w:eastAsia="宋体" w:hint="default"/>
                            <w:sz w:val="18"/>
                            <w:szCs w:val="18"/>
                          </w:rPr>
                          <w:t>淮南茂业投资发展</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淮南市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18"/>
                            <w:szCs w:val="18"/>
                          </w:rPr>
                        </w:pPr>
                        <w:r>
                          <w:rPr>
                            <w:rFonts w:ascii="宋体" w:hAnsi="宋体" w:cs="宋体" w:eastAsia="宋体" w:hint="default"/>
                            <w:sz w:val="18"/>
                            <w:szCs w:val="18"/>
                          </w:rPr>
                          <w:t>房地产</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3,160.00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73731018-5</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4" w:right="100" w:hanging="3"/>
                          <w:jc w:val="left"/>
                          <w:rPr>
                            <w:rFonts w:ascii="宋体" w:hAnsi="宋体" w:cs="宋体" w:eastAsia="宋体" w:hint="default"/>
                            <w:sz w:val="18"/>
                            <w:szCs w:val="18"/>
                          </w:rPr>
                        </w:pPr>
                        <w:r>
                          <w:rPr>
                            <w:rFonts w:ascii="宋体" w:hAnsi="宋体" w:cs="宋体" w:eastAsia="宋体" w:hint="default"/>
                            <w:sz w:val="18"/>
                            <w:szCs w:val="18"/>
                          </w:rPr>
                          <w:t>芜湖茂业农副产品</w:t>
                        </w:r>
                        <w:r>
                          <w:rPr>
                            <w:rFonts w:ascii="宋体" w:hAnsi="宋体" w:cs="宋体" w:eastAsia="宋体" w:hint="default"/>
                            <w:spacing w:val="-83"/>
                            <w:sz w:val="18"/>
                            <w:szCs w:val="18"/>
                          </w:rPr>
                          <w:t> </w:t>
                        </w:r>
                        <w:r>
                          <w:rPr>
                            <w:rFonts w:ascii="宋体" w:hAnsi="宋体" w:cs="宋体" w:eastAsia="宋体" w:hint="default"/>
                            <w:sz w:val="18"/>
                            <w:szCs w:val="18"/>
                          </w:rPr>
                          <w:t>市场有限公司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0"/>
                          <w:jc w:val="right"/>
                          <w:rPr>
                            <w:rFonts w:ascii="宋体" w:hAnsi="宋体" w:cs="宋体" w:eastAsia="宋体" w:hint="default"/>
                            <w:sz w:val="18"/>
                            <w:szCs w:val="18"/>
                          </w:rPr>
                        </w:pPr>
                        <w:r>
                          <w:rPr>
                            <w:rFonts w:ascii="宋体" w:hAnsi="宋体" w:cs="宋体" w:eastAsia="宋体" w:hint="default"/>
                            <w:sz w:val="18"/>
                            <w:szCs w:val="18"/>
                          </w:rPr>
                          <w:t>芜湖市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2,200.00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68978785-0</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4" w:right="100" w:hanging="3"/>
                          <w:jc w:val="left"/>
                          <w:rPr>
                            <w:rFonts w:ascii="宋体" w:hAnsi="宋体" w:cs="宋体" w:eastAsia="宋体" w:hint="default"/>
                            <w:sz w:val="18"/>
                            <w:szCs w:val="18"/>
                          </w:rPr>
                        </w:pPr>
                        <w:r>
                          <w:rPr>
                            <w:rFonts w:ascii="宋体" w:hAnsi="宋体" w:cs="宋体" w:eastAsia="宋体" w:hint="default"/>
                            <w:sz w:val="18"/>
                            <w:szCs w:val="18"/>
                          </w:rPr>
                          <w:t>秦皇岛市金原商业</w:t>
                        </w:r>
                        <w:r>
                          <w:rPr>
                            <w:rFonts w:ascii="宋体" w:hAnsi="宋体" w:cs="宋体" w:eastAsia="宋体" w:hint="default"/>
                            <w:spacing w:val="-83"/>
                            <w:sz w:val="18"/>
                            <w:szCs w:val="18"/>
                          </w:rPr>
                          <w:t> </w:t>
                        </w:r>
                        <w:r>
                          <w:rPr>
                            <w:rFonts w:ascii="宋体" w:hAnsi="宋体" w:cs="宋体" w:eastAsia="宋体" w:hint="default"/>
                            <w:sz w:val="18"/>
                            <w:szCs w:val="18"/>
                          </w:rPr>
                          <w:t>管理有限责任公司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8"/>
                          <w:jc w:val="right"/>
                          <w:rPr>
                            <w:rFonts w:ascii="宋体" w:hAnsi="宋体" w:cs="宋体" w:eastAsia="宋体" w:hint="default"/>
                            <w:sz w:val="18"/>
                            <w:szCs w:val="18"/>
                          </w:rPr>
                        </w:pPr>
                        <w:r>
                          <w:rPr>
                            <w:rFonts w:ascii="宋体" w:hAnsi="宋体" w:cs="宋体" w:eastAsia="宋体" w:hint="default"/>
                            <w:spacing w:val="-24"/>
                            <w:sz w:val="18"/>
                            <w:szCs w:val="18"/>
                          </w:rPr>
                          <w:t>秦皇岛市</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4" w:right="0"/>
                          <w:jc w:val="left"/>
                          <w:rPr>
                            <w:rFonts w:ascii="宋体" w:hAnsi="宋体" w:cs="宋体" w:eastAsia="宋体" w:hint="default"/>
                            <w:sz w:val="18"/>
                            <w:szCs w:val="18"/>
                          </w:rPr>
                        </w:pPr>
                        <w:r>
                          <w:rPr>
                            <w:rFonts w:ascii="宋体" w:hAnsi="宋体" w:cs="宋体" w:eastAsia="宋体" w:hint="default"/>
                            <w:sz w:val="18"/>
                            <w:szCs w:val="18"/>
                          </w:rPr>
                          <w:t>李德澍</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200.00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57282984-2</w:t>
                        </w:r>
                      </w:p>
                    </w:tc>
                  </w:tr>
                  <w:tr>
                    <w:trPr>
                      <w:trHeight w:val="510"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4" w:right="100" w:hanging="3"/>
                          <w:jc w:val="left"/>
                          <w:rPr>
                            <w:rFonts w:ascii="宋体" w:hAnsi="宋体" w:cs="宋体" w:eastAsia="宋体" w:hint="default"/>
                            <w:sz w:val="18"/>
                            <w:szCs w:val="18"/>
                          </w:rPr>
                        </w:pPr>
                        <w:r>
                          <w:rPr>
                            <w:rFonts w:ascii="宋体" w:hAnsi="宋体" w:cs="宋体" w:eastAsia="宋体" w:hint="default"/>
                            <w:sz w:val="18"/>
                            <w:szCs w:val="18"/>
                          </w:rPr>
                          <w:t>北京创世漫道科技</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3" w:right="0"/>
                          <w:jc w:val="left"/>
                          <w:rPr>
                            <w:rFonts w:ascii="宋体" w:hAnsi="宋体" w:cs="宋体" w:eastAsia="宋体" w:hint="default"/>
                            <w:sz w:val="18"/>
                            <w:szCs w:val="18"/>
                          </w:rPr>
                        </w:pPr>
                        <w:r>
                          <w:rPr>
                            <w:rFonts w:ascii="宋体" w:hAnsi="宋体" w:cs="宋体" w:eastAsia="宋体" w:hint="default"/>
                            <w:spacing w:val="-24"/>
                            <w:sz w:val="18"/>
                            <w:szCs w:val="18"/>
                          </w:rPr>
                          <w:t>北京</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18"/>
                            <w:szCs w:val="18"/>
                          </w:rPr>
                        </w:pPr>
                        <w:r>
                          <w:rPr>
                            <w:rFonts w:ascii="宋体" w:hAnsi="宋体" w:cs="宋体" w:eastAsia="宋体" w:hint="default"/>
                            <w:sz w:val="18"/>
                            <w:szCs w:val="18"/>
                          </w:rPr>
                          <w:t>电信业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1,500.00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68760329-6</w:t>
                        </w:r>
                      </w:p>
                    </w:tc>
                  </w:tr>
                  <w:tr>
                    <w:trPr>
                      <w:trHeight w:val="511"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4" w:right="100" w:hanging="3"/>
                          <w:jc w:val="left"/>
                          <w:rPr>
                            <w:rFonts w:ascii="宋体" w:hAnsi="宋体" w:cs="宋体" w:eastAsia="宋体" w:hint="default"/>
                            <w:sz w:val="18"/>
                            <w:szCs w:val="18"/>
                          </w:rPr>
                        </w:pPr>
                        <w:r>
                          <w:rPr>
                            <w:rFonts w:ascii="宋体" w:hAnsi="宋体" w:cs="宋体" w:eastAsia="宋体" w:hint="default"/>
                            <w:sz w:val="18"/>
                            <w:szCs w:val="18"/>
                          </w:rPr>
                          <w:t>北京东方博星科技</w:t>
                        </w:r>
                        <w:r>
                          <w:rPr>
                            <w:rFonts w:ascii="宋体" w:hAnsi="宋体" w:cs="宋体" w:eastAsia="宋体" w:hint="default"/>
                            <w:spacing w:val="-83"/>
                            <w:sz w:val="18"/>
                            <w:szCs w:val="18"/>
                          </w:rPr>
                          <w:t> </w:t>
                        </w:r>
                        <w:r>
                          <w:rPr>
                            <w:rFonts w:ascii="宋体" w:hAnsi="宋体" w:cs="宋体" w:eastAsia="宋体" w:hint="default"/>
                            <w:sz w:val="18"/>
                            <w:szCs w:val="18"/>
                          </w:rPr>
                          <w:t>有限责任公司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18"/>
                            <w:szCs w:val="18"/>
                          </w:rPr>
                        </w:pPr>
                        <w:r>
                          <w:rPr>
                            <w:rFonts w:ascii="宋体" w:hAnsi="宋体" w:cs="宋体" w:eastAsia="宋体" w:hint="default"/>
                            <w:sz w:val="18"/>
                            <w:szCs w:val="18"/>
                          </w:rPr>
                          <w:t>电信业</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0"/>
                          <w:jc w:val="right"/>
                          <w:rPr>
                            <w:rFonts w:ascii="宋体" w:hAnsi="宋体" w:cs="宋体" w:eastAsia="宋体" w:hint="default"/>
                            <w:sz w:val="18"/>
                            <w:szCs w:val="18"/>
                          </w:rPr>
                        </w:pPr>
                        <w:r>
                          <w:rPr>
                            <w:rFonts w:ascii="宋体"/>
                            <w:sz w:val="18"/>
                          </w:rPr>
                          <w:t>100%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79341262-9</w:t>
                        </w:r>
                      </w:p>
                    </w:tc>
                  </w:tr>
                </w:tbl>
                <w:p>
                  <w:pPr/>
                </w:p>
              </w:txbxContent>
            </v:textbox>
            <w10:wrap type="none"/>
          </v:shape>
        </w:pict>
      </w:r>
      <w:r>
        <w:rPr/>
        <w:t>本公司母公司最终控制方是</w:t>
      </w:r>
      <w:r>
        <w:rPr>
          <w:spacing w:val="-54"/>
        </w:rPr>
        <w:t> </w:t>
      </w:r>
      <w:r>
        <w:rPr>
          <w:rFonts w:ascii="宋体" w:hAnsi="宋体" w:cs="宋体" w:eastAsia="宋体" w:hint="default"/>
        </w:rPr>
        <w:t>MOY</w:t>
      </w:r>
      <w:r>
        <w:rPr>
          <w:rFonts w:ascii="宋体" w:hAnsi="宋体" w:cs="宋体" w:eastAsia="宋体" w:hint="default"/>
          <w:spacing w:val="-53"/>
        </w:rPr>
        <w:t> </w:t>
      </w:r>
      <w:r>
        <w:rPr/>
        <w:t>国际控股有限公司。 </w:t>
      </w:r>
      <w:r>
        <w:rPr>
          <w:rFonts w:ascii="宋体" w:hAnsi="宋体" w:cs="宋体" w:eastAsia="宋体" w:hint="default"/>
        </w:rPr>
        <w:t>2</w:t>
      </w:r>
      <w:r>
        <w:rPr/>
        <w:t>、本企业的子公司情况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73" w:lineRule="auto" w:before="35"/>
        <w:ind w:left="824" w:right="7117"/>
        <w:jc w:val="left"/>
      </w:pPr>
      <w:r>
        <w:rPr>
          <w:rFonts w:ascii="宋体" w:hAnsi="宋体" w:cs="宋体" w:eastAsia="宋体" w:hint="default"/>
        </w:rPr>
        <w:t>3</w:t>
      </w:r>
      <w:r>
        <w:rPr/>
        <w:t>、本企业的合营和联营企业情况 无。</w:t>
      </w:r>
    </w:p>
    <w:p>
      <w:pPr>
        <w:spacing w:after="0" w:line="273" w:lineRule="auto"/>
        <w:jc w:val="left"/>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left="824" w:right="5945"/>
        <w:jc w:val="left"/>
      </w:pPr>
      <w:r>
        <w:rPr>
          <w:rFonts w:ascii="宋体" w:hAnsi="宋体" w:cs="宋体" w:eastAsia="宋体" w:hint="default"/>
        </w:rPr>
        <w:t>4</w:t>
      </w:r>
      <w:r>
        <w:rPr/>
        <w:t>、其他关联方情况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538"/>
        <w:gridCol w:w="3171"/>
        <w:gridCol w:w="2215"/>
      </w:tblGrid>
      <w:tr>
        <w:trPr>
          <w:trHeight w:val="407"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35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r>
              <w:rPr>
                <w:rFonts w:ascii="宋体" w:hAnsi="宋体" w:cs="宋体" w:eastAsia="宋体" w:hint="default"/>
                <w:sz w:val="18"/>
                <w:szCs w:val="18"/>
              </w:rPr>
              <w:t>(</w:t>
            </w:r>
            <w:r>
              <w:rPr>
                <w:rFonts w:ascii="宋体" w:hAnsi="宋体" w:cs="宋体" w:eastAsia="宋体" w:hint="default"/>
                <w:sz w:val="18"/>
                <w:szCs w:val="18"/>
              </w:rPr>
              <w:t>简称“博升优势”</w:t>
            </w:r>
            <w:r>
              <w:rPr>
                <w:rFonts w:ascii="宋体" w:hAnsi="宋体" w:cs="宋体" w:eastAsia="宋体" w:hint="default"/>
                <w:sz w:val="18"/>
                <w:szCs w:val="18"/>
              </w:rPr>
              <w:t>)</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72147754-6</w:t>
            </w:r>
          </w:p>
        </w:tc>
      </w:tr>
      <w:tr>
        <w:trPr>
          <w:trHeight w:val="351"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r>
              <w:rPr>
                <w:rFonts w:ascii="宋体" w:hAnsi="宋体" w:cs="宋体" w:eastAsia="宋体" w:hint="default"/>
                <w:sz w:val="18"/>
                <w:szCs w:val="18"/>
              </w:rPr>
              <w:t>(</w:t>
            </w:r>
            <w:r>
              <w:rPr>
                <w:rFonts w:ascii="宋体" w:hAnsi="宋体" w:cs="宋体" w:eastAsia="宋体" w:hint="default"/>
                <w:sz w:val="18"/>
                <w:szCs w:val="18"/>
              </w:rPr>
              <w:t>简称“联动优势”</w:t>
            </w:r>
            <w:r>
              <w:rPr>
                <w:rFonts w:ascii="宋体" w:hAnsi="宋体" w:cs="宋体" w:eastAsia="宋体" w:hint="default"/>
                <w:sz w:val="18"/>
                <w:szCs w:val="18"/>
              </w:rPr>
              <w:t>)</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75331383-7</w:t>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rFonts w:ascii="宋体" w:hAnsi="宋体" w:cs="宋体" w:eastAsia="宋体" w:hint="default"/>
        </w:rPr>
        <w:t>5</w:t>
      </w:r>
      <w:r>
        <w:rPr/>
        <w:t>、关联交易情况</w:t>
      </w:r>
    </w:p>
    <w:p>
      <w:pPr>
        <w:pStyle w:val="BodyText"/>
        <w:spacing w:line="240" w:lineRule="auto" w:before="99"/>
        <w:ind w:left="824" w:right="5945"/>
        <w:jc w:val="left"/>
      </w:pPr>
      <w:r>
        <w:rPr/>
        <w:t>（</w:t>
      </w:r>
      <w:r>
        <w:rPr>
          <w:rFonts w:ascii="宋体" w:hAnsi="宋体" w:cs="宋体" w:eastAsia="宋体" w:hint="default"/>
        </w:rPr>
        <w:t>1</w:t>
      </w:r>
      <w:r>
        <w:rPr/>
        <w:t>）购销商品、提供和接受劳务的关联交易</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538"/>
        <w:gridCol w:w="2412"/>
        <w:gridCol w:w="1415"/>
        <w:gridCol w:w="1559"/>
      </w:tblGrid>
      <w:tr>
        <w:trPr>
          <w:trHeight w:val="40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8"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9"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北京博升优势科技发展有限公司（简称“博升优势</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19,902.36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93,933.91</w:t>
            </w:r>
          </w:p>
        </w:tc>
      </w:tr>
      <w:tr>
        <w:trPr>
          <w:trHeight w:val="35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联动优势科技有限公司（简称“联动优势</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707,626.51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677,945.93</w:t>
            </w:r>
          </w:p>
        </w:tc>
      </w:tr>
    </w:tbl>
    <w:p>
      <w:pPr>
        <w:pStyle w:val="BodyText"/>
        <w:spacing w:line="273" w:lineRule="auto" w:before="47"/>
        <w:ind w:left="824" w:right="8274"/>
        <w:jc w:val="left"/>
      </w:pPr>
      <w:r>
        <w:rPr/>
        <w:t>（</w:t>
      </w:r>
      <w:r>
        <w:rPr>
          <w:rFonts w:ascii="宋体" w:hAnsi="宋体" w:cs="宋体" w:eastAsia="宋体" w:hint="default"/>
        </w:rPr>
        <w:t>2</w:t>
      </w:r>
      <w:r>
        <w:rPr/>
        <w:t>）</w:t>
      </w:r>
      <w:r>
        <w:rPr>
          <w:spacing w:val="-2"/>
        </w:rPr>
        <w:t> </w:t>
      </w:r>
      <w:r>
        <w:rPr/>
        <w:t>关联托管情况</w:t>
      </w:r>
      <w:r>
        <w:rPr/>
        <w:t> 无。</w:t>
      </w:r>
    </w:p>
    <w:p>
      <w:pPr>
        <w:pStyle w:val="BodyText"/>
        <w:spacing w:line="240" w:lineRule="auto" w:before="163"/>
        <w:ind w:left="824" w:right="5945"/>
        <w:jc w:val="left"/>
      </w:pPr>
      <w:r>
        <w:rPr>
          <w:rFonts w:ascii="宋体" w:hAnsi="宋体" w:cs="宋体" w:eastAsia="宋体" w:hint="default"/>
        </w:rPr>
        <w:t>6</w:t>
      </w:r>
      <w:r>
        <w:rPr/>
        <w:t>、关联往来</w:t>
      </w:r>
    </w:p>
    <w:p>
      <w:pPr>
        <w:pStyle w:val="BodyText"/>
        <w:spacing w:line="240" w:lineRule="auto" w:before="99"/>
        <w:ind w:left="824" w:right="5945"/>
        <w:jc w:val="left"/>
      </w:pPr>
      <w:r>
        <w:rPr/>
        <w:t>（</w:t>
      </w:r>
      <w:r>
        <w:rPr>
          <w:rFonts w:ascii="宋体" w:hAnsi="宋体" w:cs="宋体" w:eastAsia="宋体" w:hint="default"/>
        </w:rPr>
        <w:t>1</w:t>
      </w:r>
      <w:r>
        <w:rPr/>
        <w:t>）应收款项</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81"/>
        <w:gridCol w:w="2684"/>
        <w:gridCol w:w="1417"/>
        <w:gridCol w:w="1233"/>
        <w:gridCol w:w="1129"/>
        <w:gridCol w:w="1282"/>
      </w:tblGrid>
      <w:tr>
        <w:trPr>
          <w:trHeight w:val="322" w:hRule="exact"/>
        </w:trPr>
        <w:tc>
          <w:tcPr>
            <w:tcW w:w="21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6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2181" w:type="dxa"/>
            <w:vMerge/>
            <w:tcBorders>
              <w:left w:val="single" w:sz="4" w:space="0" w:color="000000"/>
              <w:bottom w:val="single" w:sz="4" w:space="0" w:color="000000"/>
              <w:right w:val="single" w:sz="4" w:space="0" w:color="000000"/>
            </w:tcBorders>
          </w:tcPr>
          <w:p>
            <w:pPr/>
          </w:p>
        </w:tc>
        <w:tc>
          <w:tcPr>
            <w:tcW w:w="2684"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21,068.80</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1,053.44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center"/>
              <w:rPr>
                <w:rFonts w:ascii="宋体" w:hAnsi="宋体" w:cs="宋体" w:eastAsia="宋体" w:hint="default"/>
                <w:sz w:val="18"/>
                <w:szCs w:val="18"/>
              </w:rPr>
            </w:pPr>
            <w:r>
              <w:rPr>
                <w:rFonts w:ascii="宋体"/>
                <w:sz w:val="18"/>
              </w:rPr>
              <w:t>9,984.32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499.22</w:t>
            </w:r>
          </w:p>
        </w:tc>
      </w:tr>
      <w:tr>
        <w:trPr>
          <w:trHeight w:val="350"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49,329.91</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2,466.50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center"/>
              <w:rPr>
                <w:rFonts w:ascii="宋体" w:hAnsi="宋体" w:cs="宋体" w:eastAsia="宋体" w:hint="default"/>
                <w:sz w:val="18"/>
                <w:szCs w:val="18"/>
              </w:rPr>
            </w:pPr>
            <w:r>
              <w:rPr>
                <w:rFonts w:ascii="宋体"/>
                <w:sz w:val="18"/>
              </w:rPr>
              <w:t>73,533.57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3,676.68</w:t>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w:t>
      </w:r>
      <w:r>
        <w:rPr>
          <w:rFonts w:ascii="宋体" w:hAnsi="宋体" w:cs="宋体" w:eastAsia="宋体" w:hint="default"/>
        </w:rPr>
        <w:t>2</w:t>
      </w:r>
      <w:r>
        <w:rPr/>
        <w:t>）应付款项</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81"/>
        <w:gridCol w:w="3208"/>
        <w:gridCol w:w="2205"/>
        <w:gridCol w:w="2332"/>
      </w:tblGrid>
      <w:tr>
        <w:trPr>
          <w:trHeight w:val="351"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2205"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18" w:right="0"/>
              <w:jc w:val="left"/>
              <w:rPr>
                <w:rFonts w:ascii="宋体" w:hAnsi="宋体" w:cs="宋体" w:eastAsia="宋体" w:hint="default"/>
                <w:sz w:val="18"/>
                <w:szCs w:val="18"/>
              </w:rPr>
            </w:pPr>
            <w:r>
              <w:rPr>
                <w:rFonts w:ascii="宋体"/>
                <w:sz w:val="18"/>
              </w:rPr>
              <w:t>677,945.93</w:t>
            </w:r>
          </w:p>
        </w:tc>
      </w:tr>
    </w:tbl>
    <w:p>
      <w:pPr>
        <w:spacing w:line="240" w:lineRule="auto" w:before="1"/>
        <w:rPr>
          <w:rFonts w:ascii="宋体" w:hAnsi="宋体" w:cs="宋体" w:eastAsia="宋体" w:hint="default"/>
          <w:sz w:val="8"/>
          <w:szCs w:val="8"/>
        </w:rPr>
      </w:pPr>
    </w:p>
    <w:p>
      <w:pPr>
        <w:pStyle w:val="BodyText"/>
        <w:spacing w:line="273" w:lineRule="auto" w:before="35"/>
        <w:ind w:left="824" w:right="8646"/>
        <w:jc w:val="left"/>
      </w:pPr>
      <w:r>
        <w:rPr>
          <w:rFonts w:ascii="宋体" w:hAnsi="宋体" w:cs="宋体" w:eastAsia="宋体" w:hint="default"/>
        </w:rPr>
        <w:t>7</w:t>
      </w:r>
      <w:r>
        <w:rPr/>
        <w:t>、关联方承诺 无。</w:t>
      </w:r>
    </w:p>
    <w:p>
      <w:pPr>
        <w:spacing w:line="240" w:lineRule="auto" w:before="6"/>
        <w:rPr>
          <w:rFonts w:ascii="宋体" w:hAnsi="宋体" w:cs="宋体" w:eastAsia="宋体" w:hint="default"/>
          <w:sz w:val="24"/>
          <w:szCs w:val="24"/>
        </w:rPr>
      </w:pPr>
    </w:p>
    <w:p>
      <w:pPr>
        <w:pStyle w:val="Heading3"/>
        <w:spacing w:line="273" w:lineRule="auto" w:before="0"/>
        <w:ind w:left="824" w:right="8684" w:firstLine="2"/>
        <w:jc w:val="left"/>
        <w:rPr>
          <w:rFonts w:ascii="宋体" w:hAnsi="宋体" w:cs="宋体" w:eastAsia="宋体" w:hint="default"/>
          <w:b w:val="0"/>
          <w:bCs w:val="0"/>
        </w:rPr>
      </w:pPr>
      <w:r>
        <w:rPr/>
        <w:t>十一、股份支付</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24"/>
          <w:szCs w:val="24"/>
        </w:rPr>
      </w:pPr>
    </w:p>
    <w:p>
      <w:pPr>
        <w:spacing w:line="326" w:lineRule="auto" w:before="0"/>
        <w:ind w:left="824" w:right="8052" w:firstLine="2"/>
        <w:jc w:val="left"/>
        <w:rPr>
          <w:rFonts w:ascii="宋体" w:hAnsi="宋体" w:cs="宋体" w:eastAsia="宋体" w:hint="default"/>
          <w:sz w:val="21"/>
          <w:szCs w:val="21"/>
        </w:rPr>
      </w:pPr>
      <w:r>
        <w:rPr>
          <w:rFonts w:ascii="宋体" w:hAnsi="宋体" w:cs="宋体" w:eastAsia="宋体" w:hint="default"/>
          <w:b/>
          <w:bCs/>
          <w:sz w:val="21"/>
          <w:szCs w:val="21"/>
        </w:rPr>
        <w:t>十二、承诺及或有事项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重要承诺</w:t>
      </w:r>
    </w:p>
    <w:p>
      <w:pPr>
        <w:pStyle w:val="BodyText"/>
        <w:spacing w:line="235" w:lineRule="exact" w:before="0"/>
        <w:ind w:left="824" w:right="5945"/>
        <w:jc w:val="left"/>
      </w:pPr>
      <w:r>
        <w:rPr/>
        <w:t>无。</w:t>
      </w:r>
    </w:p>
    <w:p>
      <w:pPr>
        <w:pStyle w:val="BodyText"/>
        <w:spacing w:line="300" w:lineRule="auto" w:before="99"/>
        <w:ind w:left="824" w:right="1174"/>
        <w:jc w:val="left"/>
      </w:pPr>
      <w:r>
        <w:rPr>
          <w:rFonts w:ascii="宋体" w:hAnsi="宋体" w:cs="宋体" w:eastAsia="宋体" w:hint="default"/>
        </w:rPr>
        <w:t>2</w:t>
      </w:r>
      <w:r>
        <w:rPr/>
        <w:t>、资产负债表日存在的重要或有事项 本公司之间接控股子公司滁州茂业投资发展有限公司（简称</w:t>
      </w:r>
      <w:r>
        <w:rPr>
          <w:rFonts w:ascii="宋体" w:hAnsi="宋体" w:cs="宋体" w:eastAsia="宋体" w:hint="default"/>
        </w:rPr>
        <w:t>:</w:t>
      </w:r>
      <w:r>
        <w:rPr/>
        <w:t>滁州茂业）</w:t>
      </w:r>
      <w:r>
        <w:rPr>
          <w:rFonts w:ascii="宋体" w:hAnsi="宋体" w:cs="宋体" w:eastAsia="宋体" w:hint="default"/>
        </w:rPr>
        <w:t>2009</w:t>
      </w:r>
      <w:r>
        <w:rPr>
          <w:rFonts w:ascii="宋体" w:hAnsi="宋体" w:cs="宋体" w:eastAsia="宋体" w:hint="default"/>
          <w:spacing w:val="-42"/>
        </w:rPr>
        <w:t> </w:t>
      </w:r>
      <w:r>
        <w:rPr/>
        <w:t>年与滁州市国土资源</w:t>
      </w:r>
    </w:p>
    <w:p>
      <w:pPr>
        <w:pStyle w:val="BodyText"/>
        <w:spacing w:line="259" w:lineRule="exact" w:before="0"/>
        <w:ind w:right="0"/>
        <w:jc w:val="both"/>
      </w:pPr>
      <w:r>
        <w:rPr/>
        <w:t>局（简称：市国土局）签订土地开发补充协议，协议中滁州茂业承诺其获取的位于滁州开发区丰乐大道</w:t>
      </w:r>
    </w:p>
    <w:p>
      <w:pPr>
        <w:pStyle w:val="BodyText"/>
        <w:spacing w:line="240" w:lineRule="auto" w:before="37"/>
        <w:ind w:right="0"/>
        <w:jc w:val="both"/>
      </w:pPr>
      <w:r>
        <w:rPr/>
        <w:t>与花园路交叉口东北角，国际车城西侧地（</w:t>
      </w:r>
      <w:r>
        <w:rPr>
          <w:rFonts w:ascii="宋体" w:hAnsi="宋体" w:cs="宋体" w:eastAsia="宋体" w:hint="default"/>
        </w:rPr>
        <w:t>28</w:t>
      </w:r>
      <w:r>
        <w:rPr>
          <w:rFonts w:ascii="宋体" w:hAnsi="宋体" w:cs="宋体" w:eastAsia="宋体" w:hint="default"/>
          <w:spacing w:val="-48"/>
        </w:rPr>
        <w:t> </w:t>
      </w:r>
      <w:r>
        <w:rPr/>
        <w:t>亩）在</w:t>
      </w:r>
      <w:r>
        <w:rPr>
          <w:spacing w:val="-48"/>
        </w:rPr>
        <w:t> </w:t>
      </w:r>
      <w:r>
        <w:rPr>
          <w:rFonts w:ascii="宋体" w:hAnsi="宋体" w:cs="宋体" w:eastAsia="宋体" w:hint="default"/>
        </w:rPr>
        <w:t>2009</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日开工，</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7"/>
        </w:rPr>
        <w:t> </w:t>
      </w:r>
      <w:r>
        <w:rPr/>
        <w:t>月</w:t>
      </w:r>
      <w:r>
        <w:rPr>
          <w:spacing w:val="-48"/>
        </w:rPr>
        <w:t> </w:t>
      </w:r>
      <w:r>
        <w:rPr>
          <w:rFonts w:ascii="宋体" w:hAnsi="宋体" w:cs="宋体" w:eastAsia="宋体" w:hint="default"/>
        </w:rPr>
        <w:t>30</w:t>
      </w:r>
      <w:r>
        <w:rPr>
          <w:rFonts w:ascii="宋体" w:hAnsi="宋体" w:cs="宋体" w:eastAsia="宋体" w:hint="default"/>
          <w:spacing w:val="-47"/>
        </w:rPr>
        <w:t> </w:t>
      </w:r>
      <w:r>
        <w:rPr/>
        <w:t>日前主</w:t>
      </w:r>
    </w:p>
    <w:p>
      <w:pPr>
        <w:pStyle w:val="BodyText"/>
        <w:spacing w:line="240" w:lineRule="auto" w:before="37"/>
        <w:ind w:right="0"/>
        <w:jc w:val="both"/>
      </w:pPr>
      <w:r>
        <w:rPr>
          <w:spacing w:val="-7"/>
        </w:rPr>
        <w:t>体竣工。如未按时竣工，每延期一日，应按</w:t>
      </w:r>
      <w:r>
        <w:rPr>
          <w:spacing w:val="-46"/>
        </w:rPr>
        <w:t> </w:t>
      </w:r>
      <w:r>
        <w:rPr>
          <w:rFonts w:ascii="宋体" w:hAnsi="宋体" w:cs="宋体" w:eastAsia="宋体" w:hint="default"/>
        </w:rPr>
        <w:t>2009</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6"/>
        </w:rPr>
        <w:t> </w:t>
      </w:r>
      <w:r>
        <w:rPr>
          <w:spacing w:val="-5"/>
        </w:rPr>
        <w:t>月该宗地市场价（评估价格）向市国土局支付</w:t>
      </w:r>
      <w:r>
        <w:rPr>
          <w:spacing w:val="-46"/>
        </w:rPr>
        <w:t> </w:t>
      </w:r>
      <w:r>
        <w:rPr>
          <w:rFonts w:ascii="宋体" w:hAnsi="宋体" w:cs="宋体" w:eastAsia="宋体" w:hint="default"/>
        </w:rPr>
        <w:t>1</w:t>
      </w:r>
      <w:r>
        <w:rPr/>
        <w:t>‟</w:t>
      </w:r>
    </w:p>
    <w:p>
      <w:pPr>
        <w:pStyle w:val="BodyText"/>
        <w:spacing w:line="240" w:lineRule="auto" w:before="37"/>
        <w:ind w:right="0"/>
        <w:jc w:val="both"/>
      </w:pPr>
      <w:r>
        <w:rPr/>
        <w:t>的滞纳金。截止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1"/>
        </w:rPr>
        <w:t> </w:t>
      </w:r>
      <w:r>
        <w:rPr>
          <w:rFonts w:ascii="宋体" w:hAnsi="宋体" w:cs="宋体" w:eastAsia="宋体" w:hint="default"/>
        </w:rPr>
        <w:t>9</w:t>
      </w:r>
      <w:r>
        <w:rPr>
          <w:rFonts w:ascii="宋体" w:hAnsi="宋体" w:cs="宋体" w:eastAsia="宋体" w:hint="default"/>
          <w:spacing w:val="-60"/>
        </w:rPr>
        <w:t> </w:t>
      </w:r>
      <w:r>
        <w:rPr/>
        <w:t>月</w:t>
      </w:r>
      <w:r>
        <w:rPr>
          <w:spacing w:val="-61"/>
        </w:rPr>
        <w:t> </w:t>
      </w:r>
      <w:r>
        <w:rPr>
          <w:rFonts w:ascii="宋体" w:hAnsi="宋体" w:cs="宋体" w:eastAsia="宋体" w:hint="default"/>
        </w:rPr>
        <w:t>30</w:t>
      </w:r>
      <w:r>
        <w:rPr>
          <w:rFonts w:ascii="宋体" w:hAnsi="宋体" w:cs="宋体" w:eastAsia="宋体" w:hint="default"/>
          <w:spacing w:val="-60"/>
        </w:rPr>
        <w:t> </w:t>
      </w:r>
      <w:r>
        <w:rPr/>
        <w:t>日前，该地块的西侧未依约竣工。后经申请人、被申请人共同委托安徽</w:t>
      </w:r>
    </w:p>
    <w:p>
      <w:pPr>
        <w:pStyle w:val="BodyText"/>
        <w:spacing w:line="273" w:lineRule="auto" w:before="37"/>
        <w:ind w:right="1186"/>
        <w:jc w:val="both"/>
      </w:pPr>
      <w:r>
        <w:rPr/>
        <w:t>金地源不动产评估有限责任公司对该西侧地进行了评估，评估市场价为</w:t>
      </w:r>
      <w:r>
        <w:rPr>
          <w:spacing w:val="-72"/>
        </w:rPr>
        <w:t> </w:t>
      </w:r>
      <w:r>
        <w:rPr>
          <w:rFonts w:ascii="宋体" w:hAnsi="宋体" w:cs="宋体" w:eastAsia="宋体" w:hint="default"/>
        </w:rPr>
        <w:t>2781.35</w:t>
      </w:r>
      <w:r>
        <w:rPr>
          <w:rFonts w:ascii="宋体" w:hAnsi="宋体" w:cs="宋体" w:eastAsia="宋体" w:hint="default"/>
          <w:spacing w:val="-72"/>
        </w:rPr>
        <w:t> </w:t>
      </w:r>
      <w:r>
        <w:rPr/>
        <w:t>万元。由于滁州茂业未 </w:t>
      </w:r>
      <w:r>
        <w:rPr>
          <w:spacing w:val="-3"/>
        </w:rPr>
        <w:t>按期竣工，市国土局已向滁州仲裁委员会提起支付滞纳金仲裁申请。根据上述协议书的约定，</w:t>
      </w:r>
      <w:r>
        <w:rPr>
          <w:rFonts w:ascii="宋体" w:hAnsi="宋体" w:cs="宋体" w:eastAsia="宋体" w:hint="default"/>
          <w:spacing w:val="-3"/>
        </w:rPr>
        <w:t>2011</w:t>
      </w:r>
      <w:r>
        <w:rPr>
          <w:rFonts w:ascii="宋体" w:hAnsi="宋体" w:cs="宋体" w:eastAsia="宋体" w:hint="default"/>
          <w:spacing w:val="-16"/>
        </w:rPr>
        <w:t> </w:t>
      </w:r>
      <w:r>
        <w:rPr/>
        <w:t>年度</w:t>
      </w:r>
      <w:r>
        <w:rPr>
          <w:spacing w:val="-99"/>
        </w:rPr>
        <w:t> </w:t>
      </w:r>
      <w:r>
        <w:rPr/>
        <w:t>应支付滞纳金</w:t>
      </w:r>
      <w:r>
        <w:rPr>
          <w:spacing w:val="-50"/>
        </w:rPr>
        <w:t> </w:t>
      </w:r>
      <w:r>
        <w:rPr>
          <w:rFonts w:ascii="宋体" w:hAnsi="宋体" w:cs="宋体" w:eastAsia="宋体" w:hint="default"/>
        </w:rPr>
        <w:t>2,558,842.00</w:t>
      </w:r>
      <w:r>
        <w:rPr>
          <w:rFonts w:ascii="宋体" w:hAnsi="宋体" w:cs="宋体" w:eastAsia="宋体" w:hint="default"/>
          <w:spacing w:val="-51"/>
        </w:rPr>
        <w:t> </w:t>
      </w:r>
      <w:r>
        <w:rPr>
          <w:spacing w:val="-3"/>
        </w:rPr>
        <w:t>元。</w:t>
      </w:r>
      <w:r>
        <w:rPr>
          <w:rFonts w:ascii="宋体" w:hAnsi="宋体" w:cs="宋体" w:eastAsia="宋体" w:hint="default"/>
          <w:spacing w:val="-3"/>
        </w:rPr>
        <w:t>2012</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rPr>
        <w:t>12</w:t>
      </w:r>
      <w:r>
        <w:rPr>
          <w:rFonts w:ascii="宋体" w:hAnsi="宋体" w:cs="宋体" w:eastAsia="宋体" w:hint="default"/>
          <w:spacing w:val="-51"/>
        </w:rPr>
        <w:t> </w:t>
      </w:r>
      <w:r>
        <w:rPr>
          <w:spacing w:val="-4"/>
        </w:rPr>
        <w:t>日，市国土局根据“大滁城”建设指挥部（现为“美好</w:t>
      </w:r>
      <w:r>
        <w:rPr/>
        <w:t> </w:t>
      </w:r>
      <w:r>
        <w:rPr>
          <w:spacing w:val="-2"/>
        </w:rPr>
        <w:t>新滁城”建设指挥部）会议精神与滁州茂业签订补充协议（之后撤销上述仲裁申请），补充协议约定，</w:t>
      </w:r>
    </w:p>
    <w:p>
      <w:pPr>
        <w:spacing w:after="0" w:line="273" w:lineRule="auto"/>
        <w:jc w:val="both"/>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73" w:lineRule="auto" w:before="35"/>
        <w:ind w:left="144" w:right="1183"/>
        <w:jc w:val="left"/>
      </w:pPr>
      <w:r>
        <w:rPr>
          <w:spacing w:val="-3"/>
        </w:rPr>
        <w:t>滁州开发区丰乐大道与花园路交叉口东北角，国际车城西侧地（</w:t>
      </w:r>
      <w:r>
        <w:rPr>
          <w:rFonts w:ascii="宋体" w:hAnsi="宋体" w:cs="宋体" w:eastAsia="宋体" w:hint="default"/>
          <w:spacing w:val="-3"/>
        </w:rPr>
        <w:t>28</w:t>
      </w:r>
      <w:r>
        <w:rPr>
          <w:rFonts w:ascii="宋体" w:hAnsi="宋体" w:cs="宋体" w:eastAsia="宋体" w:hint="default"/>
          <w:spacing w:val="-18"/>
        </w:rPr>
        <w:t> </w:t>
      </w:r>
      <w:r>
        <w:rPr>
          <w:spacing w:val="-3"/>
        </w:rPr>
        <w:t>亩）用地的在建财富广场酒店工程项</w:t>
      </w:r>
      <w:r>
        <w:rPr>
          <w:spacing w:val="-98"/>
        </w:rPr>
        <w:t> </w:t>
      </w:r>
      <w:r>
        <w:rPr>
          <w:spacing w:val="-98"/>
        </w:rPr>
      </w:r>
      <w:r>
        <w:rPr/>
        <w:t>目必须于</w:t>
      </w:r>
      <w:r>
        <w:rPr>
          <w:spacing w:val="-51"/>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5"/>
        </w:rPr>
        <w:t>日主体封顶，</w:t>
      </w:r>
      <w:r>
        <w:rPr>
          <w:rFonts w:ascii="宋体" w:hAnsi="宋体" w:cs="宋体" w:eastAsia="宋体" w:hint="default"/>
          <w:spacing w:val="-5"/>
        </w:rPr>
        <w:t>2013</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spacing w:val="-3"/>
        </w:rPr>
        <w:t>日前竣工验收，如滁州茂业不能按上述时间节点</w:t>
      </w:r>
    </w:p>
    <w:p>
      <w:pPr>
        <w:pStyle w:val="BodyText"/>
        <w:spacing w:line="273" w:lineRule="auto"/>
        <w:ind w:left="144" w:right="1173"/>
        <w:jc w:val="left"/>
      </w:pPr>
      <w:r>
        <w:rPr/>
        <w:t>完成工程进度，则仍将执行 </w:t>
      </w:r>
      <w:r>
        <w:rPr>
          <w:rFonts w:ascii="宋体" w:hAnsi="宋体" w:cs="宋体" w:eastAsia="宋体" w:hint="default"/>
        </w:rPr>
        <w:t>2009</w:t>
      </w:r>
      <w:r>
        <w:rPr>
          <w:rFonts w:ascii="宋体" w:hAnsi="宋体" w:cs="宋体" w:eastAsia="宋体" w:hint="default"/>
          <w:spacing w:val="-41"/>
        </w:rPr>
        <w:t> </w:t>
      </w:r>
      <w:r>
        <w:rPr/>
        <w:t>年与市国土局签订土地开发补充协议承担违约责任，如按照以上时间 节点完成主体封顶和竣工验收，市国土局不再追究滁州茂业的违约责任。</w:t>
      </w:r>
    </w:p>
    <w:p>
      <w:pPr>
        <w:pStyle w:val="BodyText"/>
        <w:spacing w:line="273" w:lineRule="auto" w:before="39"/>
        <w:ind w:left="144" w:right="1066" w:firstLine="420"/>
        <w:jc w:val="left"/>
      </w:pPr>
      <w:r>
        <w:rPr/>
        <w:t>因</w:t>
      </w:r>
      <w:r>
        <w:rPr>
          <w:spacing w:val="-72"/>
        </w:rPr>
        <w:t> </w:t>
      </w:r>
      <w:r>
        <w:rPr>
          <w:rFonts w:ascii="宋体" w:hAnsi="宋体" w:cs="宋体" w:eastAsia="宋体" w:hint="default"/>
        </w:rPr>
        <w:t>2013</w:t>
      </w:r>
      <w:r>
        <w:rPr>
          <w:rFonts w:ascii="宋体" w:hAnsi="宋体" w:cs="宋体" w:eastAsia="宋体" w:hint="default"/>
          <w:spacing w:val="-72"/>
        </w:rPr>
        <w:t> </w:t>
      </w:r>
      <w:r>
        <w:rPr/>
        <w:t>年宏观政策导向，高星级酒店消费市场出现变化，本公司在财富广场二期酒店项目施工中， 调整项目定位、优化消防、通风系统设计，致使竣工验收延期，对此酒店建设过程中的实际情况当年的 “美好新滁城”建设指挥部综合办公室予以认可。</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月财富广场二期酒店项目完成竣工备案， 酒店已开业，对此滁州市重点项目建设办公室</w:t>
      </w:r>
      <w:r>
        <w:rPr>
          <w:rFonts w:ascii="宋体" w:hAnsi="宋体" w:cs="宋体" w:eastAsia="宋体" w:hint="default"/>
        </w:rPr>
        <w:t>(</w:t>
      </w:r>
      <w:r>
        <w:rPr/>
        <w:t>简称市重点办</w:t>
      </w:r>
      <w:r>
        <w:rPr>
          <w:rFonts w:ascii="宋体" w:hAnsi="宋体" w:cs="宋体" w:eastAsia="宋体" w:hint="default"/>
        </w:rPr>
        <w:t>)</w:t>
      </w:r>
      <w:r>
        <w:rPr/>
        <w:t>来函确认“酒店项目按规定的时间节点完 </w:t>
      </w:r>
      <w:r>
        <w:rPr>
          <w:spacing w:val="-8"/>
        </w:rPr>
        <w:t>成了各项验收和竣工备案工作”，“相关职能部门将会一如既往的提供支持，为项目建设做好服务工作”。</w:t>
      </w:r>
      <w:r>
        <w:rPr>
          <w:spacing w:val="-85"/>
        </w:rPr>
        <w:t> </w:t>
      </w:r>
      <w:r>
        <w:rPr>
          <w:spacing w:val="-85"/>
        </w:rPr>
      </w:r>
      <w:r>
        <w:rPr>
          <w:spacing w:val="-4"/>
        </w:rPr>
        <w:t>针对该事项，安徽中天恒律师事务所出具了《关于滁州财富广场二期工程酒店项目滞纳金法律意见书》，</w:t>
      </w:r>
      <w:r>
        <w:rPr>
          <w:spacing w:val="-66"/>
        </w:rPr>
        <w:t> </w:t>
      </w:r>
      <w:r>
        <w:rPr>
          <w:spacing w:val="-66"/>
        </w:rPr>
      </w:r>
      <w:r>
        <w:rPr/>
        <w:t>该法律意见书的结论为：滁州茂业已按照合同约定的关于滁州财富广场二期酒店项目建设的时间和进度</w:t>
      </w:r>
      <w:r>
        <w:rPr/>
        <w:t> 节点履行了义务，滁州市政府相关职能部门—滁州市重点建设项目建设办公室明确予以确认，因此，滁 州茂业财富广场二期酒店项目滞纳金的法律风险事实已经消除，市国土局再追究滁州茂业违约责任的胜 诉率较小，小于</w:t>
      </w:r>
      <w:r>
        <w:rPr>
          <w:spacing w:val="-41"/>
        </w:rPr>
        <w:t> </w:t>
      </w:r>
      <w:r>
        <w:rPr>
          <w:rFonts w:ascii="宋体" w:hAnsi="宋体" w:cs="宋体" w:eastAsia="宋体" w:hint="default"/>
        </w:rPr>
        <w:t>50%</w:t>
      </w:r>
      <w:r>
        <w:rPr/>
        <w:t>。依据企业会计准则规定与或有事项相关的义务同时满足下列条件的，应当确认为 预计负债：该义务是企业承担的现实义务；履行该义务很可能导致经济利益流出企业；该义务的金额能 够可靠的计量。其中：履行该义务很可能导致经济利益流出企业，是指履行与或有事项相关的现实义务 时，导致经济利益流出企业的可能性超过 </w:t>
      </w:r>
      <w:r>
        <w:rPr>
          <w:rFonts w:ascii="宋体" w:hAnsi="宋体" w:cs="宋体" w:eastAsia="宋体" w:hint="default"/>
        </w:rPr>
        <w:t>50%</w:t>
      </w:r>
      <w:r>
        <w:rPr/>
        <w:t>但小于或等于</w:t>
      </w:r>
      <w:r>
        <w:rPr>
          <w:spacing w:val="-41"/>
        </w:rPr>
        <w:t> </w:t>
      </w:r>
      <w:r>
        <w:rPr>
          <w:rFonts w:ascii="宋体" w:hAnsi="宋体" w:cs="宋体" w:eastAsia="宋体" w:hint="default"/>
        </w:rPr>
        <w:t>95%</w:t>
      </w:r>
      <w:r>
        <w:rPr/>
        <w:t>。公司董事会认为，滁州茂业开发的财 富广场二期酒店项目已按约定完成主体结构验收且具备竣工验收条件，已履行了上述补充协议的约定， 根据市重点办来函确认滁州茂业酒店项目按规定的时间节点完成了各项验收和竣工备案工作，再发生追 究违约责任及支付违约金事项可能性小于</w:t>
      </w:r>
      <w:r>
        <w:rPr>
          <w:spacing w:val="-54"/>
        </w:rPr>
        <w:t> </w:t>
      </w:r>
      <w:r>
        <w:rPr>
          <w:rFonts w:ascii="宋体" w:hAnsi="宋体" w:cs="宋体" w:eastAsia="宋体" w:hint="default"/>
        </w:rPr>
        <w:t>50%</w:t>
      </w:r>
      <w:r>
        <w:rPr/>
        <w:t>。故</w:t>
      </w:r>
      <w:r>
        <w:rPr>
          <w:spacing w:val="-55"/>
        </w:rPr>
        <w:t> </w:t>
      </w:r>
      <w:r>
        <w:rPr>
          <w:rFonts w:ascii="宋体" w:hAnsi="宋体" w:cs="宋体" w:eastAsia="宋体" w:hint="default"/>
        </w:rPr>
        <w:t>2014</w:t>
      </w:r>
      <w:r>
        <w:rPr>
          <w:rFonts w:ascii="宋体" w:hAnsi="宋体" w:cs="宋体" w:eastAsia="宋体" w:hint="default"/>
          <w:spacing w:val="-55"/>
        </w:rPr>
        <w:t> </w:t>
      </w:r>
      <w:r>
        <w:rPr/>
        <w:t>年度未计提该项违约金。</w:t>
      </w:r>
    </w:p>
    <w:p>
      <w:pPr>
        <w:spacing w:line="240" w:lineRule="auto" w:before="6"/>
        <w:rPr>
          <w:rFonts w:ascii="宋体" w:hAnsi="宋体" w:cs="宋体" w:eastAsia="宋体" w:hint="default"/>
          <w:sz w:val="24"/>
          <w:szCs w:val="24"/>
        </w:rPr>
      </w:pPr>
    </w:p>
    <w:p>
      <w:pPr>
        <w:spacing w:line="300" w:lineRule="auto" w:before="0"/>
        <w:ind w:left="564" w:right="7630" w:firstLine="2"/>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、重要的非调整事项</w:t>
      </w:r>
    </w:p>
    <w:p>
      <w:pPr>
        <w:pStyle w:val="BodyText"/>
        <w:spacing w:line="260" w:lineRule="exact" w:before="0"/>
        <w:ind w:left="564" w:right="1066"/>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月公司启动分公司、子公司架构调整，公司将进一步整合业务，转型升级。</w:t>
      </w:r>
    </w:p>
    <w:p>
      <w:pPr>
        <w:pStyle w:val="BodyText"/>
        <w:spacing w:line="240" w:lineRule="auto" w:before="99"/>
        <w:ind w:left="564" w:right="1066"/>
        <w:jc w:val="left"/>
      </w:pPr>
      <w:r>
        <w:rPr>
          <w:rFonts w:ascii="宋体" w:hAnsi="宋体" w:cs="宋体" w:eastAsia="宋体" w:hint="default"/>
        </w:rPr>
        <w:t>2</w:t>
      </w:r>
      <w:r>
        <w:rPr/>
        <w:t>、利润分配</w:t>
      </w:r>
    </w:p>
    <w:p>
      <w:pPr>
        <w:pStyle w:val="BodyText"/>
        <w:spacing w:line="273" w:lineRule="auto" w:before="67"/>
        <w:ind w:left="144" w:right="1184" w:firstLine="420"/>
        <w:jc w:val="left"/>
      </w:pPr>
      <w:r>
        <w:rPr>
          <w:spacing w:val="13"/>
        </w:rPr>
        <w:t>报告期公司实现净利润为 </w:t>
      </w:r>
      <w:r>
        <w:rPr>
          <w:rFonts w:ascii="宋体" w:hAnsi="宋体" w:cs="宋体" w:eastAsia="宋体" w:hint="default"/>
        </w:rPr>
        <w:t>98,755,198.43 </w:t>
      </w:r>
      <w:r>
        <w:rPr>
          <w:spacing w:val="13"/>
        </w:rPr>
        <w:t>元，按照公司章程规定提取</w:t>
      </w:r>
      <w:r>
        <w:rPr>
          <w:spacing w:val="51"/>
        </w:rPr>
        <w:t> </w:t>
      </w:r>
      <w:r>
        <w:rPr>
          <w:rFonts w:ascii="宋体" w:hAnsi="宋体" w:cs="宋体" w:eastAsia="宋体" w:hint="default"/>
          <w:spacing w:val="10"/>
        </w:rPr>
        <w:t>10%</w:t>
      </w:r>
      <w:r>
        <w:rPr>
          <w:spacing w:val="10"/>
        </w:rPr>
        <w:t>的法定盈余公积金</w:t>
      </w:r>
      <w:r>
        <w:rPr/>
        <w:t> </w:t>
      </w:r>
      <w:r>
        <w:rPr>
          <w:rFonts w:ascii="宋体" w:hAnsi="宋体" w:cs="宋体" w:eastAsia="宋体" w:hint="default"/>
        </w:rPr>
        <w:t>9,875,519.84</w:t>
      </w:r>
      <w:r>
        <w:rPr>
          <w:rFonts w:ascii="宋体" w:hAnsi="宋体" w:cs="宋体" w:eastAsia="宋体" w:hint="default"/>
          <w:spacing w:val="22"/>
        </w:rPr>
        <w:t> </w:t>
      </w:r>
      <w:r>
        <w:rPr>
          <w:spacing w:val="10"/>
        </w:rPr>
        <w:t>元，</w:t>
      </w:r>
      <w:r>
        <w:rPr>
          <w:spacing w:val="-85"/>
        </w:rPr>
        <w:t> </w:t>
      </w:r>
      <w:r>
        <w:rPr>
          <w:spacing w:val="18"/>
        </w:rPr>
        <w:t>当年可供股东分配的利润为</w:t>
      </w:r>
      <w:r>
        <w:rPr>
          <w:spacing w:val="24"/>
        </w:rPr>
        <w:t> </w:t>
      </w:r>
      <w:r>
        <w:rPr>
          <w:rFonts w:ascii="宋体" w:hAnsi="宋体" w:cs="宋体" w:eastAsia="宋体" w:hint="default"/>
        </w:rPr>
        <w:t>88,879,678.59</w:t>
      </w:r>
      <w:r>
        <w:rPr>
          <w:rFonts w:ascii="宋体" w:hAnsi="宋体" w:cs="宋体" w:eastAsia="宋体" w:hint="default"/>
          <w:spacing w:val="22"/>
        </w:rPr>
        <w:t> </w:t>
      </w:r>
      <w:r>
        <w:rPr>
          <w:spacing w:val="10"/>
        </w:rPr>
        <w:t>元，</w:t>
      </w:r>
      <w:r>
        <w:rPr>
          <w:spacing w:val="-87"/>
        </w:rPr>
        <w:t> </w:t>
      </w:r>
      <w:r>
        <w:rPr>
          <w:spacing w:val="18"/>
        </w:rPr>
        <w:t>加上上年度结存未分配利润</w:t>
      </w:r>
    </w:p>
    <w:p>
      <w:pPr>
        <w:pStyle w:val="BodyText"/>
        <w:spacing w:line="240" w:lineRule="auto"/>
        <w:ind w:left="144" w:right="1066"/>
        <w:jc w:val="left"/>
      </w:pPr>
      <w:r>
        <w:rPr>
          <w:rFonts w:ascii="宋体" w:hAnsi="宋体" w:cs="宋体" w:eastAsia="宋体" w:hint="default"/>
        </w:rPr>
        <w:t>261,806,090.50 </w:t>
      </w:r>
      <w:r>
        <w:rPr>
          <w:spacing w:val="-12"/>
        </w:rPr>
        <w:t>元，减去</w:t>
      </w:r>
      <w:r>
        <w:rPr>
          <w:spacing w:val="-54"/>
        </w:rPr>
        <w:t> </w:t>
      </w:r>
      <w:r>
        <w:rPr>
          <w:rFonts w:ascii="宋体" w:hAnsi="宋体" w:cs="宋体" w:eastAsia="宋体" w:hint="default"/>
        </w:rPr>
        <w:t>2014</w:t>
      </w:r>
      <w:r>
        <w:rPr>
          <w:rFonts w:ascii="宋体" w:hAnsi="宋体" w:cs="宋体" w:eastAsia="宋体" w:hint="default"/>
          <w:spacing w:val="-54"/>
        </w:rPr>
        <w:t> </w:t>
      </w:r>
      <w:r>
        <w:rPr/>
        <w:t>年进行的上年度现金分红</w:t>
      </w:r>
      <w:r>
        <w:rPr>
          <w:spacing w:val="-54"/>
        </w:rPr>
        <w:t> </w:t>
      </w:r>
      <w:r>
        <w:rPr>
          <w:rFonts w:ascii="宋体" w:hAnsi="宋体" w:cs="宋体" w:eastAsia="宋体" w:hint="default"/>
        </w:rPr>
        <w:t>18,711,859.16</w:t>
      </w:r>
      <w:r>
        <w:rPr>
          <w:rFonts w:ascii="宋体" w:hAnsi="宋体" w:cs="宋体" w:eastAsia="宋体" w:hint="default"/>
          <w:spacing w:val="-54"/>
        </w:rPr>
        <w:t> </w:t>
      </w:r>
      <w:r>
        <w:rPr>
          <w:spacing w:val="-8"/>
        </w:rPr>
        <w:t>元，</w:t>
      </w:r>
      <w:r>
        <w:rPr>
          <w:rFonts w:ascii="宋体" w:hAnsi="宋体" w:cs="宋体" w:eastAsia="宋体" w:hint="default"/>
          <w:spacing w:val="-8"/>
        </w:rPr>
        <w:t>2014</w:t>
      </w:r>
      <w:r>
        <w:rPr>
          <w:rFonts w:ascii="宋体" w:hAnsi="宋体" w:cs="宋体" w:eastAsia="宋体" w:hint="default"/>
          <w:spacing w:val="-52"/>
        </w:rPr>
        <w:t> </w:t>
      </w:r>
      <w:r>
        <w:rPr/>
        <w:t>年公司实际可供股东</w:t>
      </w:r>
    </w:p>
    <w:p>
      <w:pPr>
        <w:pStyle w:val="BodyText"/>
        <w:spacing w:line="240" w:lineRule="auto" w:before="37"/>
        <w:ind w:left="144" w:right="1066"/>
        <w:jc w:val="left"/>
      </w:pPr>
      <w:r>
        <w:rPr/>
        <w:t>分配的利润为</w:t>
      </w:r>
      <w:r>
        <w:rPr>
          <w:spacing w:val="-51"/>
        </w:rPr>
        <w:t> </w:t>
      </w:r>
      <w:r>
        <w:rPr>
          <w:rFonts w:ascii="宋体" w:hAnsi="宋体" w:cs="宋体" w:eastAsia="宋体" w:hint="default"/>
        </w:rPr>
        <w:t>331,973,909.93</w:t>
      </w:r>
      <w:r>
        <w:rPr>
          <w:rFonts w:ascii="宋体" w:hAnsi="宋体" w:cs="宋体" w:eastAsia="宋体" w:hint="default"/>
          <w:spacing w:val="-2"/>
        </w:rPr>
        <w:t> </w:t>
      </w:r>
      <w:r>
        <w:rPr/>
        <w:t>元。依据公司章程规定，董事会决定拟每</w:t>
      </w:r>
      <w:r>
        <w:rPr>
          <w:spacing w:val="-51"/>
        </w:rPr>
        <w:t> </w:t>
      </w:r>
      <w:r>
        <w:rPr>
          <w:rFonts w:ascii="宋体" w:hAnsi="宋体" w:cs="宋体" w:eastAsia="宋体" w:hint="default"/>
        </w:rPr>
        <w:t>10</w:t>
      </w:r>
      <w:r>
        <w:rPr>
          <w:rFonts w:ascii="宋体" w:hAnsi="宋体" w:cs="宋体" w:eastAsia="宋体" w:hint="default"/>
          <w:spacing w:val="-50"/>
        </w:rPr>
        <w:t> </w:t>
      </w:r>
      <w:r>
        <w:rPr/>
        <w:t>股派</w:t>
      </w:r>
      <w:r>
        <w:rPr>
          <w:spacing w:val="-52"/>
        </w:rPr>
        <w:t> </w:t>
      </w:r>
      <w:r>
        <w:rPr>
          <w:rFonts w:ascii="宋体" w:hAnsi="宋体" w:cs="宋体" w:eastAsia="宋体" w:hint="default"/>
        </w:rPr>
        <w:t>0.16</w:t>
      </w:r>
      <w:r>
        <w:rPr>
          <w:rFonts w:ascii="宋体" w:hAnsi="宋体" w:cs="宋体" w:eastAsia="宋体" w:hint="default"/>
          <w:spacing w:val="-50"/>
        </w:rPr>
        <w:t> </w:t>
      </w:r>
      <w:r>
        <w:rPr/>
        <w:t>元（含税）共计</w:t>
      </w:r>
    </w:p>
    <w:p>
      <w:pPr>
        <w:pStyle w:val="BodyText"/>
        <w:spacing w:line="240" w:lineRule="auto" w:before="37"/>
        <w:ind w:left="144" w:right="1066"/>
        <w:jc w:val="left"/>
      </w:pPr>
      <w:r>
        <w:rPr>
          <w:rFonts w:ascii="宋体" w:hAnsi="宋体" w:cs="宋体" w:eastAsia="宋体" w:hint="default"/>
        </w:rPr>
        <w:t>9,949,228.58</w:t>
      </w:r>
      <w:r>
        <w:rPr>
          <w:rFonts w:ascii="宋体" w:hAnsi="宋体" w:cs="宋体" w:eastAsia="宋体" w:hint="default"/>
          <w:spacing w:val="-54"/>
        </w:rPr>
        <w:t> </w:t>
      </w:r>
      <w:r>
        <w:rPr/>
        <w:t>元，不送股，也不进行资本公积金转增股本。</w:t>
      </w:r>
    </w:p>
    <w:p>
      <w:pPr>
        <w:spacing w:line="240" w:lineRule="auto" w:before="9"/>
        <w:rPr>
          <w:rFonts w:ascii="宋体" w:hAnsi="宋体" w:cs="宋体" w:eastAsia="宋体" w:hint="default"/>
          <w:sz w:val="26"/>
          <w:szCs w:val="26"/>
        </w:rPr>
      </w:pPr>
    </w:p>
    <w:p>
      <w:pPr>
        <w:spacing w:line="285" w:lineRule="auto" w:before="0"/>
        <w:ind w:left="564" w:right="8167" w:firstLine="2"/>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、前期会计差错更正 无。</w:t>
      </w:r>
    </w:p>
    <w:p>
      <w:pPr>
        <w:pStyle w:val="BodyText"/>
        <w:spacing w:line="285" w:lineRule="auto" w:before="28"/>
        <w:ind w:left="564" w:right="9007"/>
        <w:jc w:val="left"/>
      </w:pPr>
      <w:r>
        <w:rPr>
          <w:rFonts w:ascii="宋体" w:hAnsi="宋体" w:cs="宋体" w:eastAsia="宋体" w:hint="default"/>
        </w:rPr>
        <w:t>2</w:t>
      </w:r>
      <w:r>
        <w:rPr/>
        <w:t>、债务重组 无。 </w:t>
      </w:r>
      <w:r>
        <w:rPr>
          <w:rFonts w:ascii="宋体" w:hAnsi="宋体" w:cs="宋体" w:eastAsia="宋体" w:hint="default"/>
        </w:rPr>
        <w:t>3</w:t>
      </w:r>
      <w:r>
        <w:rPr/>
        <w:t>、资产置换 无。 </w:t>
      </w:r>
      <w:r>
        <w:rPr>
          <w:rFonts w:ascii="宋体" w:hAnsi="宋体" w:cs="宋体" w:eastAsia="宋体" w:hint="default"/>
        </w:rPr>
        <w:t>4</w:t>
      </w:r>
      <w:r>
        <w:rPr/>
        <w:t>、年金计划 无。 </w:t>
      </w:r>
      <w:r>
        <w:rPr>
          <w:rFonts w:ascii="宋体" w:hAnsi="宋体" w:cs="宋体" w:eastAsia="宋体" w:hint="default"/>
        </w:rPr>
        <w:t>5</w:t>
      </w:r>
      <w:r>
        <w:rPr/>
        <w:t>、终止经营 无。 </w:t>
      </w:r>
      <w:r>
        <w:rPr>
          <w:rFonts w:ascii="宋体" w:hAnsi="宋体" w:cs="宋体" w:eastAsia="宋体" w:hint="default"/>
        </w:rPr>
        <w:t>6</w:t>
      </w:r>
      <w:r>
        <w:rPr/>
        <w:t>、分部信息</w:t>
      </w:r>
    </w:p>
    <w:p>
      <w:pPr>
        <w:spacing w:after="0" w:line="285" w:lineRule="auto"/>
        <w:jc w:val="left"/>
        <w:sectPr>
          <w:pgSz w:w="11910" w:h="16840"/>
          <w:pgMar w:header="883" w:footer="1219" w:top="1140" w:bottom="1400" w:left="1160" w:right="0"/>
        </w:sectPr>
      </w:pPr>
    </w:p>
    <w:p>
      <w:pPr>
        <w:spacing w:line="240" w:lineRule="auto" w:before="9"/>
        <w:rPr>
          <w:rFonts w:ascii="宋体" w:hAnsi="宋体" w:cs="宋体" w:eastAsia="宋体" w:hint="default"/>
          <w:sz w:val="17"/>
          <w:szCs w:val="17"/>
        </w:rPr>
      </w:pPr>
    </w:p>
    <w:p>
      <w:pPr>
        <w:pStyle w:val="BodyText"/>
        <w:spacing w:line="273" w:lineRule="auto" w:before="35"/>
        <w:ind w:right="1175" w:firstLine="420"/>
        <w:jc w:val="left"/>
      </w:pPr>
      <w:r>
        <w:rPr>
          <w:spacing w:val="-1"/>
        </w:rPr>
        <w:t>报告分部的确定依据与会计政策：本公司的分部报告按所属地区划分，各分部执行的会计政策与本</w:t>
      </w:r>
      <w:r>
        <w:rPr/>
        <w:t> 公司一致。</w:t>
      </w:r>
    </w:p>
    <w:p>
      <w:pPr>
        <w:pStyle w:val="BodyText"/>
        <w:spacing w:line="240" w:lineRule="auto" w:before="101"/>
        <w:ind w:left="824" w:right="5945"/>
        <w:jc w:val="left"/>
      </w:pPr>
      <w:r>
        <w:rPr/>
        <w:t>分部财务信息：</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32"/>
        <w:gridCol w:w="1799"/>
        <w:gridCol w:w="1647"/>
        <w:gridCol w:w="1632"/>
        <w:gridCol w:w="1700"/>
        <w:gridCol w:w="1916"/>
      </w:tblGrid>
      <w:tr>
        <w:trPr>
          <w:trHeight w:val="351"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宋体" w:hAnsi="宋体" w:cs="宋体" w:eastAsia="宋体" w:hint="default"/>
                <w:sz w:val="18"/>
                <w:szCs w:val="18"/>
              </w:rPr>
            </w:pPr>
            <w:r>
              <w:rPr>
                <w:rFonts w:ascii="宋体" w:hAnsi="宋体" w:cs="宋体" w:eastAsia="宋体" w:hint="default"/>
                <w:b/>
                <w:bCs/>
                <w:sz w:val="18"/>
                <w:szCs w:val="18"/>
              </w:rPr>
              <w:t>秦皇岛地区</w:t>
            </w:r>
            <w:r>
              <w:rPr>
                <w:rFonts w:ascii="宋体" w:hAnsi="宋体" w:cs="宋体" w:eastAsia="宋体" w:hint="default"/>
                <w:sz w:val="18"/>
                <w:szCs w:val="18"/>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6" w:right="0"/>
              <w:jc w:val="left"/>
              <w:rPr>
                <w:rFonts w:ascii="宋体" w:hAnsi="宋体" w:cs="宋体" w:eastAsia="宋体" w:hint="default"/>
                <w:sz w:val="18"/>
                <w:szCs w:val="18"/>
              </w:rPr>
            </w:pPr>
            <w:r>
              <w:rPr>
                <w:rFonts w:ascii="宋体" w:hAnsi="宋体" w:cs="宋体" w:eastAsia="宋体" w:hint="default"/>
                <w:b/>
                <w:bCs/>
                <w:sz w:val="18"/>
                <w:szCs w:val="18"/>
              </w:rPr>
              <w:t>安徽地区</w:t>
            </w:r>
            <w:r>
              <w:rPr>
                <w:rFonts w:ascii="宋体" w:hAnsi="宋体" w:cs="宋体" w:eastAsia="宋体"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0" w:right="0"/>
              <w:jc w:val="left"/>
              <w:rPr>
                <w:rFonts w:ascii="宋体" w:hAnsi="宋体" w:cs="宋体" w:eastAsia="宋体" w:hint="default"/>
                <w:sz w:val="18"/>
                <w:szCs w:val="18"/>
              </w:rPr>
            </w:pPr>
            <w:r>
              <w:rPr>
                <w:rFonts w:ascii="宋体" w:hAnsi="宋体" w:cs="宋体" w:eastAsia="宋体" w:hint="default"/>
                <w:b/>
                <w:bCs/>
                <w:sz w:val="18"/>
                <w:szCs w:val="18"/>
              </w:rPr>
              <w:t>北京地区</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b/>
                <w:bCs/>
                <w:sz w:val="18"/>
                <w:szCs w:val="18"/>
              </w:rPr>
              <w:t>分部间抵销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1,459,664,044.63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880,023,648.10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976,189,910.02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-505,144,936.02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2,810,732,666.73</w:t>
            </w:r>
          </w:p>
        </w:tc>
      </w:tr>
      <w:tr>
        <w:trPr>
          <w:trHeight w:val="349"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789,248,944.65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347,320,352.53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90,915,771.91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-528,059,438.44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699,425,630.65</w:t>
            </w:r>
          </w:p>
        </w:tc>
      </w:tr>
      <w:tr>
        <w:trPr>
          <w:trHeight w:val="3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1,768,548,055.16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106,254,855.15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45,201,924.24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1,920,004,834.55</w:t>
            </w:r>
          </w:p>
        </w:tc>
      </w:tr>
      <w:tr>
        <w:trPr>
          <w:trHeight w:val="3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1,421,093,032.68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52,920,078.69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33,032,461.36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1,507,045,572.73</w:t>
            </w:r>
          </w:p>
        </w:tc>
      </w:tr>
    </w:tbl>
    <w:p>
      <w:pPr>
        <w:spacing w:line="240" w:lineRule="auto" w:before="1"/>
        <w:rPr>
          <w:rFonts w:ascii="宋体" w:hAnsi="宋体" w:cs="宋体" w:eastAsia="宋体" w:hint="default"/>
          <w:sz w:val="8"/>
          <w:szCs w:val="8"/>
        </w:rPr>
      </w:pPr>
    </w:p>
    <w:p>
      <w:pPr>
        <w:pStyle w:val="BodyText"/>
        <w:spacing w:line="300" w:lineRule="auto" w:before="35"/>
        <w:ind w:left="824" w:right="2401"/>
        <w:jc w:val="left"/>
      </w:pPr>
      <w:r>
        <w:rPr>
          <w:rFonts w:ascii="宋体" w:hAnsi="宋体" w:cs="宋体" w:eastAsia="宋体" w:hint="default"/>
        </w:rPr>
        <w:t>7</w:t>
      </w:r>
      <w:r>
        <w:rPr/>
        <w:t>、其他对投资者决策有影响的重要交易和事项 本公司因筹划重大事项构成重大资产重组</w:t>
      </w:r>
      <w:r>
        <w:rPr>
          <w:rFonts w:ascii="宋体" w:hAnsi="宋体" w:cs="宋体" w:eastAsia="宋体" w:hint="default"/>
        </w:rPr>
        <w:t>,</w:t>
      </w:r>
      <w:r>
        <w:rPr/>
        <w:t>公司证券于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日开市起停牌。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408" w:lineRule="auto" w:before="0"/>
        <w:ind w:right="4387"/>
        <w:jc w:val="left"/>
        <w:rPr>
          <w:b w:val="0"/>
          <w:bCs w:val="0"/>
        </w:rPr>
      </w:pPr>
      <w:r>
        <w:rPr>
          <w:w w:val="95"/>
        </w:rPr>
        <w:t>十五、母公司会计报表主要项目注释（金额单位：人民币元）</w:t>
      </w:r>
      <w:r>
        <w:rPr>
          <w:spacing w:val="77"/>
          <w:w w:val="95"/>
        </w:rPr>
        <w:t> </w:t>
      </w:r>
      <w:r>
        <w:rPr>
          <w:spacing w:val="77"/>
          <w:w w:val="95"/>
        </w:rPr>
      </w:r>
      <w:r>
        <w:rPr/>
        <w:t>注释</w:t>
      </w:r>
      <w:r>
        <w:rPr>
          <w:spacing w:val="-57"/>
        </w:rPr>
        <w:t> </w:t>
      </w:r>
      <w:r>
        <w:rPr>
          <w:rFonts w:ascii="宋体" w:hAnsi="宋体" w:cs="宋体" w:eastAsia="宋体" w:hint="default"/>
        </w:rPr>
        <w:t>1</w:t>
      </w:r>
      <w:r>
        <w:rPr/>
        <w:t>．应收账款</w:t>
      </w:r>
      <w:r>
        <w:rPr>
          <w:b w:val="0"/>
          <w:bCs w:val="0"/>
        </w:rPr>
      </w:r>
    </w:p>
    <w:p>
      <w:pPr>
        <w:pStyle w:val="BodyText"/>
        <w:spacing w:line="227" w:lineRule="exact" w:before="0"/>
        <w:ind w:left="824" w:right="5945"/>
        <w:jc w:val="left"/>
      </w:pPr>
      <w:r>
        <w:rPr/>
        <w:t>（</w:t>
      </w:r>
      <w:r>
        <w:rPr>
          <w:rFonts w:ascii="宋体" w:hAnsi="宋体" w:cs="宋体" w:eastAsia="宋体" w:hint="default"/>
        </w:rPr>
        <w:t>1</w:t>
      </w:r>
      <w:r>
        <w:rPr/>
        <w:t>）</w:t>
      </w:r>
      <w:r>
        <w:rPr>
          <w:spacing w:val="-2"/>
        </w:rPr>
        <w:t> </w:t>
      </w:r>
      <w:r>
        <w:rPr/>
        <w:t>应收账款按种类披露：</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13"/>
        <w:gridCol w:w="1733"/>
        <w:gridCol w:w="1108"/>
        <w:gridCol w:w="1417"/>
        <w:gridCol w:w="1436"/>
        <w:gridCol w:w="1418"/>
      </w:tblGrid>
      <w:tr>
        <w:trPr>
          <w:trHeight w:val="349" w:hRule="exact"/>
        </w:trPr>
        <w:tc>
          <w:tcPr>
            <w:tcW w:w="2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2813" w:type="dxa"/>
            <w:vMerge/>
            <w:tcBorders>
              <w:left w:val="single" w:sz="4" w:space="0" w:color="000000"/>
              <w:right w:val="single" w:sz="4" w:space="0" w:color="000000"/>
            </w:tcBorders>
          </w:tcPr>
          <w:p>
            <w:pPr/>
          </w:p>
        </w:tc>
        <w:tc>
          <w:tcPr>
            <w:tcW w:w="2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0" w:hRule="exact"/>
        </w:trPr>
        <w:tc>
          <w:tcPr>
            <w:tcW w:w="2813" w:type="dxa"/>
            <w:vMerge/>
            <w:tcBorders>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tcPr>
          <w:p>
            <w:pPr/>
          </w:p>
        </w:tc>
      </w:tr>
      <w:tr>
        <w:trPr>
          <w:trHeight w:val="476"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单项金额重大并单独计提坏账准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18" w:right="0"/>
              <w:jc w:val="left"/>
              <w:rPr>
                <w:rFonts w:ascii="宋体" w:hAnsi="宋体" w:cs="宋体" w:eastAsia="宋体" w:hint="default"/>
                <w:sz w:val="18"/>
                <w:szCs w:val="18"/>
              </w:rPr>
            </w:pPr>
            <w:r>
              <w:rPr>
                <w:rFonts w:ascii="宋体"/>
                <w:sz w:val="18"/>
              </w:rPr>
              <w:t>124,480.10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124,480.10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按信用风险特征组合计提坏账准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单项金额不重大但单独计提坏账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8" w:right="0"/>
              <w:jc w:val="left"/>
              <w:rPr>
                <w:rFonts w:ascii="宋体" w:hAnsi="宋体" w:cs="宋体" w:eastAsia="宋体" w:hint="default"/>
                <w:sz w:val="18"/>
                <w:szCs w:val="18"/>
              </w:rPr>
            </w:pPr>
            <w:r>
              <w:rPr>
                <w:rFonts w:ascii="宋体"/>
                <w:sz w:val="18"/>
              </w:rPr>
              <w:t>124,480.10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124,480.10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6"/>
        <w:ind w:left="824" w:right="5945"/>
        <w:jc w:val="left"/>
      </w:pPr>
      <w:r>
        <w:rPr/>
        <w:t>注：期末无应收账款。</w:t>
      </w:r>
    </w:p>
    <w:p>
      <w:pPr>
        <w:spacing w:line="240" w:lineRule="auto" w:before="10"/>
        <w:rPr>
          <w:rFonts w:ascii="宋体" w:hAnsi="宋体" w:cs="宋体" w:eastAsia="宋体" w:hint="default"/>
          <w:sz w:val="14"/>
          <w:szCs w:val="14"/>
        </w:rPr>
      </w:pPr>
    </w:p>
    <w:p>
      <w:pPr>
        <w:pStyle w:val="BodyText"/>
        <w:spacing w:line="240" w:lineRule="auto" w:before="0"/>
        <w:ind w:left="824" w:right="418"/>
        <w:jc w:val="left"/>
      </w:pPr>
      <w:r>
        <w:rPr/>
        <w:t>期末单项金额虽不重大但单独进行减值测试的应收账款坏账准备计提：无。</w:t>
      </w:r>
    </w:p>
    <w:p>
      <w:pPr>
        <w:pStyle w:val="BodyText"/>
        <w:spacing w:line="240" w:lineRule="auto" w:before="37"/>
        <w:ind w:left="824" w:right="5945"/>
        <w:jc w:val="left"/>
      </w:pPr>
      <w:r>
        <w:rPr/>
        <w:t>（</w:t>
      </w:r>
      <w:r>
        <w:rPr>
          <w:rFonts w:ascii="宋体" w:hAnsi="宋体" w:cs="宋体" w:eastAsia="宋体" w:hint="default"/>
        </w:rPr>
        <w:t>2</w:t>
      </w:r>
      <w:r>
        <w:rPr/>
        <w:t>）本期转回或收回情况：无。</w:t>
      </w:r>
    </w:p>
    <w:p>
      <w:pPr>
        <w:pStyle w:val="BodyText"/>
        <w:spacing w:line="273" w:lineRule="auto" w:before="37"/>
        <w:ind w:right="1172" w:firstLine="420"/>
        <w:jc w:val="left"/>
      </w:pPr>
      <w:r>
        <w:rPr/>
        <w:t>（</w:t>
      </w:r>
      <w:r>
        <w:rPr>
          <w:rFonts w:ascii="宋体" w:hAnsi="宋体" w:cs="宋体" w:eastAsia="宋体" w:hint="default"/>
        </w:rPr>
        <w:t>3</w:t>
      </w:r>
      <w:r>
        <w:rPr/>
        <w:t>）本报告期实际核销的应收账款情况：原天华酒店五年以上应收款</w:t>
      </w:r>
      <w:r>
        <w:rPr>
          <w:spacing w:val="-72"/>
        </w:rPr>
        <w:t> </w:t>
      </w:r>
      <w:r>
        <w:rPr>
          <w:rFonts w:ascii="宋体" w:hAnsi="宋体" w:cs="宋体" w:eastAsia="宋体" w:hint="default"/>
        </w:rPr>
        <w:t>124,480.10</w:t>
      </w:r>
      <w:r>
        <w:rPr>
          <w:rFonts w:ascii="宋体" w:hAnsi="宋体" w:cs="宋体" w:eastAsia="宋体" w:hint="default"/>
          <w:spacing w:val="-73"/>
        </w:rPr>
        <w:t> </w:t>
      </w:r>
      <w:r>
        <w:rPr/>
        <w:t>元经审批在本年 度核销。</w:t>
      </w:r>
    </w:p>
    <w:p>
      <w:pPr>
        <w:spacing w:line="408" w:lineRule="auto" w:before="7"/>
        <w:ind w:left="827" w:right="3708"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）本期末应收账款中持本公司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（含）以上股份股东单位款项：无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27" w:lineRule="exact" w:before="0"/>
        <w:ind w:left="824" w:right="5945"/>
        <w:jc w:val="left"/>
      </w:pPr>
      <w:r>
        <w:rPr/>
        <w:t>（</w:t>
      </w:r>
      <w:r>
        <w:rPr>
          <w:rFonts w:ascii="宋体" w:hAnsi="宋体" w:cs="宋体" w:eastAsia="宋体" w:hint="default"/>
        </w:rPr>
        <w:t>1</w:t>
      </w:r>
      <w:r>
        <w:rPr/>
        <w:t>）其他应收款按种类披露：</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12"/>
        <w:gridCol w:w="1842"/>
        <w:gridCol w:w="1133"/>
        <w:gridCol w:w="1560"/>
        <w:gridCol w:w="1227"/>
        <w:gridCol w:w="1751"/>
      </w:tblGrid>
      <w:tr>
        <w:trPr>
          <w:trHeight w:val="349"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5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412" w:type="dxa"/>
            <w:vMerge/>
            <w:tcBorders>
              <w:left w:val="single" w:sz="4" w:space="0" w:color="000000"/>
              <w:right w:val="single" w:sz="4" w:space="0" w:color="000000"/>
            </w:tcBorders>
          </w:tcPr>
          <w:p>
            <w:pPr/>
          </w:p>
        </w:tc>
        <w:tc>
          <w:tcPr>
            <w:tcW w:w="2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0" w:hRule="exact"/>
        </w:trPr>
        <w:tc>
          <w:tcPr>
            <w:tcW w:w="241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51" w:type="dxa"/>
            <w:vMerge/>
            <w:tcBorders>
              <w:left w:val="single" w:sz="4" w:space="0" w:color="000000"/>
              <w:bottom w:val="single" w:sz="4" w:space="0" w:color="000000"/>
              <w:right w:val="single" w:sz="4" w:space="0" w:color="000000"/>
            </w:tcBorders>
          </w:tcPr>
          <w:p>
            <w:pP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263,065,117.02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36" w:right="0"/>
              <w:jc w:val="left"/>
              <w:rPr>
                <w:rFonts w:ascii="宋体" w:hAnsi="宋体" w:cs="宋体" w:eastAsia="宋体" w:hint="default"/>
                <w:sz w:val="18"/>
                <w:szCs w:val="18"/>
              </w:rPr>
            </w:pPr>
            <w:r>
              <w:rPr>
                <w:rFonts w:ascii="宋体"/>
                <w:sz w:val="18"/>
              </w:rPr>
              <w:t>10,109.41</w:t>
            </w:r>
          </w:p>
        </w:tc>
        <w:tc>
          <w:tcPr>
            <w:tcW w:w="122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263,055,007.61</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263,065,117.02</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0" w:right="0"/>
              <w:jc w:val="left"/>
              <w:rPr>
                <w:rFonts w:ascii="宋体" w:hAnsi="宋体" w:cs="宋体" w:eastAsia="宋体" w:hint="default"/>
                <w:sz w:val="18"/>
                <w:szCs w:val="18"/>
              </w:rPr>
            </w:pPr>
            <w:r>
              <w:rPr>
                <w:rFonts w:ascii="宋体"/>
                <w:b/>
                <w:sz w:val="18"/>
              </w:rPr>
              <w:t>10,109.41</w:t>
            </w:r>
            <w:r>
              <w:rPr>
                <w:rFonts w:ascii="宋体"/>
                <w:sz w:val="18"/>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w:t>
            </w:r>
            <w:r>
              <w:rPr>
                <w:rFonts w:ascii="宋体"/>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263,055,007.61</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900" w:right="0"/>
        </w:sectPr>
      </w:pPr>
    </w:p>
    <w:p>
      <w:pPr>
        <w:spacing w:line="240" w:lineRule="auto" w:before="9"/>
        <w:rPr>
          <w:rFonts w:ascii="宋体" w:hAnsi="宋体" w:cs="宋体" w:eastAsia="宋体" w:hint="default"/>
          <w:sz w:val="17"/>
          <w:szCs w:val="17"/>
        </w:rPr>
      </w:pPr>
    </w:p>
    <w:p>
      <w:pPr>
        <w:pStyle w:val="BodyText"/>
        <w:spacing w:line="240" w:lineRule="auto" w:before="35"/>
        <w:ind w:left="824" w:right="5945"/>
        <w:jc w:val="left"/>
      </w:pPr>
      <w:r>
        <w:rPr/>
        <w:t>续上表：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12"/>
        <w:gridCol w:w="1842"/>
        <w:gridCol w:w="1133"/>
        <w:gridCol w:w="1560"/>
        <w:gridCol w:w="1226"/>
        <w:gridCol w:w="1752"/>
      </w:tblGrid>
      <w:tr>
        <w:trPr>
          <w:trHeight w:val="350"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5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9" w:hRule="exact"/>
        </w:trPr>
        <w:tc>
          <w:tcPr>
            <w:tcW w:w="2412" w:type="dxa"/>
            <w:vMerge/>
            <w:tcBorders>
              <w:left w:val="single" w:sz="4" w:space="0" w:color="000000"/>
              <w:right w:val="single" w:sz="4" w:space="0" w:color="000000"/>
            </w:tcBorders>
          </w:tcPr>
          <w:p>
            <w:pPr/>
          </w:p>
        </w:tc>
        <w:tc>
          <w:tcPr>
            <w:tcW w:w="2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1" w:hRule="exact"/>
        </w:trPr>
        <w:tc>
          <w:tcPr>
            <w:tcW w:w="241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52" w:type="dxa"/>
            <w:vMerge/>
            <w:tcBorders>
              <w:left w:val="single" w:sz="4" w:space="0" w:color="000000"/>
              <w:bottom w:val="single" w:sz="4" w:space="0" w:color="000000"/>
              <w:right w:val="single" w:sz="4" w:space="0" w:color="000000"/>
            </w:tcBorders>
          </w:tcPr>
          <w:p>
            <w:pPr/>
          </w:p>
        </w:tc>
      </w:tr>
      <w:tr>
        <w:trPr>
          <w:trHeight w:val="47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200,662,253.40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5,444,032.24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195,218,221.16</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200,662,253.40</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5,444,032.24</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sz w:val="18"/>
              </w:rPr>
              <w:t>5%</w:t>
            </w:r>
            <w:r>
              <w:rPr>
                <w:rFonts w:ascii="宋体"/>
                <w:sz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195,218,221.16</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24" w:right="418"/>
        <w:jc w:val="left"/>
      </w:pPr>
      <w:r>
        <w:rPr/>
        <w:t>注</w:t>
      </w:r>
      <w:r>
        <w:rPr>
          <w:rFonts w:ascii="宋体" w:hAnsi="宋体" w:cs="宋体" w:eastAsia="宋体" w:hint="default"/>
        </w:rPr>
        <w:t>:</w:t>
      </w:r>
      <w:r>
        <w:rPr/>
        <w:t>本公司与合并报表范围内子公司的往来不计提坏账准备。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824" w:right="418"/>
        <w:jc w:val="left"/>
      </w:pPr>
      <w:r>
        <w:rPr/>
        <w:t>期末单项金额重大并单项计提坏账准备的其他应收款：</w:t>
      </w:r>
    </w:p>
    <w:p>
      <w:pPr>
        <w:spacing w:line="240" w:lineRule="auto" w:before="6"/>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134"/>
        <w:gridCol w:w="1707"/>
        <w:gridCol w:w="1202"/>
        <w:gridCol w:w="968"/>
        <w:gridCol w:w="2925"/>
      </w:tblGrid>
      <w:tr>
        <w:trPr>
          <w:trHeight w:val="349" w:hRule="exact"/>
        </w:trPr>
        <w:tc>
          <w:tcPr>
            <w:tcW w:w="3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68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3134"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7"/>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215,500,000.00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49"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34,877,562.41</w:t>
            </w:r>
          </w:p>
        </w:tc>
        <w:tc>
          <w:tcPr>
            <w:tcW w:w="12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5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10,204,363.39</w:t>
            </w:r>
          </w:p>
        </w:tc>
        <w:tc>
          <w:tcPr>
            <w:tcW w:w="12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5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1,309,599.09</w:t>
            </w:r>
          </w:p>
        </w:tc>
        <w:tc>
          <w:tcPr>
            <w:tcW w:w="12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5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974,403.91</w:t>
            </w:r>
          </w:p>
        </w:tc>
        <w:tc>
          <w:tcPr>
            <w:tcW w:w="120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5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其他零星往来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199,188.22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9" w:right="0"/>
              <w:jc w:val="left"/>
              <w:rPr>
                <w:rFonts w:ascii="宋体" w:hAnsi="宋体" w:cs="宋体" w:eastAsia="宋体" w:hint="default"/>
                <w:sz w:val="18"/>
                <w:szCs w:val="18"/>
              </w:rPr>
            </w:pPr>
            <w:r>
              <w:rPr>
                <w:rFonts w:ascii="宋体"/>
                <w:sz w:val="18"/>
              </w:rPr>
              <w:t>10,109.41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5%-20%</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08"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263,065,117.02</w:t>
            </w:r>
            <w:r>
              <w:rPr>
                <w:rFonts w:ascii="宋体"/>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3" w:right="0"/>
              <w:jc w:val="left"/>
              <w:rPr>
                <w:rFonts w:ascii="宋体" w:hAnsi="宋体" w:cs="宋体" w:eastAsia="宋体" w:hint="default"/>
                <w:sz w:val="18"/>
                <w:szCs w:val="18"/>
              </w:rPr>
            </w:pPr>
            <w:r>
              <w:rPr>
                <w:rFonts w:ascii="宋体"/>
                <w:b/>
                <w:sz w:val="18"/>
              </w:rPr>
              <w:t>10,109.41</w:t>
            </w:r>
            <w:r>
              <w:rPr>
                <w:rFonts w:ascii="宋体"/>
                <w:sz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41"/>
        <w:ind w:left="824" w:right="5945"/>
        <w:jc w:val="left"/>
      </w:pPr>
      <w:r>
        <w:rPr>
          <w:rFonts w:ascii="宋体" w:hAnsi="宋体" w:cs="宋体" w:eastAsia="宋体" w:hint="default"/>
        </w:rPr>
        <w:t>(1)</w:t>
      </w:r>
      <w:r>
        <w:rPr/>
        <w:t>其他应收款按款项性质分类情况：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62"/>
        <w:gridCol w:w="3260"/>
        <w:gridCol w:w="3404"/>
      </w:tblGrid>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81"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96,228.24</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7,500.00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36,279.92</w:t>
            </w:r>
          </w:p>
        </w:tc>
        <w:tc>
          <w:tcPr>
            <w:tcW w:w="340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262,932,608.86</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200,654,753.40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b/>
                <w:w w:val="95"/>
                <w:sz w:val="18"/>
              </w:rPr>
              <w:t>263,065,117.02</w:t>
            </w:r>
            <w:r>
              <w:rPr>
                <w:rFonts w:ascii="宋体"/>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200,662,253.40</w:t>
            </w:r>
            <w:r>
              <w:rPr>
                <w:rFonts w:ascii="宋体"/>
                <w:sz w:val="18"/>
              </w:rPr>
            </w:r>
          </w:p>
        </w:tc>
      </w:tr>
    </w:tbl>
    <w:p>
      <w:pPr>
        <w:spacing w:line="240" w:lineRule="auto" w:before="1"/>
        <w:rPr>
          <w:rFonts w:ascii="宋体" w:hAnsi="宋体" w:cs="宋体" w:eastAsia="宋体" w:hint="default"/>
          <w:sz w:val="8"/>
          <w:szCs w:val="8"/>
        </w:rPr>
      </w:pPr>
    </w:p>
    <w:p>
      <w:pPr>
        <w:pStyle w:val="BodyText"/>
        <w:spacing w:line="326" w:lineRule="auto" w:before="35"/>
        <w:ind w:left="824" w:right="6277"/>
        <w:jc w:val="left"/>
      </w:pPr>
      <w:r>
        <w:rPr/>
        <w:pict>
          <v:shape style="position:absolute;margin-left:50.759998pt;margin-top:36.813667pt;width:497pt;height:35.550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8"/>
                    <w:gridCol w:w="3572"/>
                    <w:gridCol w:w="3196"/>
                  </w:tblGrid>
                  <w:tr>
                    <w:trPr>
                      <w:trHeight w:val="350" w:hRule="exact"/>
                    </w:trPr>
                    <w:tc>
                      <w:tcPr>
                        <w:tcW w:w="3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r>
                  <w:tr>
                    <w:trPr>
                      <w:trHeight w:val="350" w:hRule="exact"/>
                    </w:trPr>
                    <w:tc>
                      <w:tcPr>
                        <w:tcW w:w="3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0" w:right="0"/>
                          <w:jc w:val="left"/>
                          <w:rPr>
                            <w:rFonts w:ascii="宋体" w:hAnsi="宋体" w:cs="宋体" w:eastAsia="宋体" w:hint="default"/>
                            <w:sz w:val="21"/>
                            <w:szCs w:val="21"/>
                          </w:rPr>
                        </w:pPr>
                        <w:r>
                          <w:rPr>
                            <w:rFonts w:ascii="宋体"/>
                            <w:sz w:val="21"/>
                          </w:rPr>
                          <w:t>5,443,142.65</w:t>
                        </w:r>
                      </w:p>
                    </w:tc>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4" w:right="0"/>
                          <w:jc w:val="left"/>
                          <w:rPr>
                            <w:rFonts w:ascii="宋体" w:hAnsi="宋体" w:cs="宋体" w:eastAsia="宋体" w:hint="default"/>
                            <w:sz w:val="21"/>
                            <w:szCs w:val="21"/>
                          </w:rPr>
                        </w:pPr>
                        <w:r>
                          <w:rPr>
                            <w:rFonts w:ascii="宋体"/>
                            <w:sz w:val="21"/>
                          </w:rPr>
                          <w:t>5,443,142.65</w:t>
                        </w:r>
                      </w:p>
                    </w:tc>
                  </w:tr>
                </w:tbl>
                <w:p>
                  <w:pPr/>
                </w:p>
              </w:txbxContent>
            </v:textbox>
            <w10:wrap type="none"/>
          </v:shape>
        </w:pict>
      </w:r>
      <w:r>
        <w:rPr>
          <w:rFonts w:ascii="宋体" w:hAnsi="宋体" w:cs="宋体" w:eastAsia="宋体" w:hint="default"/>
        </w:rPr>
        <w:t>(2)</w:t>
      </w:r>
      <w:r>
        <w:rPr/>
        <w:t>本期收回和转回的情况：无。 </w:t>
      </w:r>
      <w:r>
        <w:rPr>
          <w:rFonts w:ascii="宋体" w:hAnsi="宋体" w:cs="宋体" w:eastAsia="宋体" w:hint="default"/>
        </w:rPr>
        <w:t>(3)</w:t>
      </w:r>
      <w:r>
        <w:rPr/>
        <w:t>本报告期实际核销的其他应收款情况：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5"/>
        <w:ind w:left="824" w:right="418"/>
        <w:jc w:val="left"/>
      </w:pPr>
      <w:r>
        <w:rPr>
          <w:rFonts w:ascii="宋体" w:hAnsi="宋体" w:cs="宋体" w:eastAsia="宋体" w:hint="default"/>
        </w:rPr>
        <w:t>(4)</w:t>
      </w:r>
      <w:r>
        <w:rPr/>
        <w:t>按欠款方归集的期末余额前五名的其他应收款情况：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62"/>
        <w:gridCol w:w="1701"/>
        <w:gridCol w:w="1702"/>
        <w:gridCol w:w="1050"/>
        <w:gridCol w:w="1360"/>
        <w:gridCol w:w="851"/>
      </w:tblGrid>
      <w:tr>
        <w:trPr>
          <w:trHeight w:val="7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ind w:left="101" w:right="162"/>
              <w:jc w:val="left"/>
              <w:rPr>
                <w:rFonts w:ascii="宋体" w:hAnsi="宋体" w:cs="宋体" w:eastAsia="宋体" w:hint="default"/>
                <w:sz w:val="18"/>
                <w:szCs w:val="18"/>
              </w:rPr>
            </w:pPr>
            <w:r>
              <w:rPr>
                <w:rFonts w:ascii="宋体" w:hAnsi="宋体" w:cs="宋体" w:eastAsia="宋体" w:hint="default"/>
                <w:b/>
                <w:bCs/>
                <w:sz w:val="18"/>
                <w:szCs w:val="18"/>
              </w:rPr>
              <w:t>期末余额合计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b/>
                <w:bCs/>
                <w:sz w:val="18"/>
                <w:szCs w:val="18"/>
              </w:rPr>
              <w:t>备期末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往来款项及其他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215,500,000.00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81.92%</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往来款项及其他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34,877,562.41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13.26%</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往来款项及其他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10,204,363.39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3.88%</w:t>
            </w:r>
          </w:p>
        </w:tc>
        <w:tc>
          <w:tcPr>
            <w:tcW w:w="8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262"/>
        <w:gridCol w:w="1701"/>
        <w:gridCol w:w="1702"/>
        <w:gridCol w:w="1050"/>
        <w:gridCol w:w="1360"/>
        <w:gridCol w:w="851"/>
      </w:tblGrid>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1,309,599.09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0.50%</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974,403.91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0.37%</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262,865,928.80</w:t>
            </w:r>
            <w:r>
              <w:rPr>
                <w:rFonts w:ascii="宋体"/>
                <w:sz w:val="18"/>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99.93%</w:t>
            </w:r>
            <w:r>
              <w:rPr>
                <w:rFonts w:ascii="宋体"/>
                <w:sz w:val="18"/>
              </w:rPr>
            </w:r>
          </w:p>
        </w:tc>
        <w:tc>
          <w:tcPr>
            <w:tcW w:w="8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left="824" w:right="418"/>
        <w:jc w:val="left"/>
      </w:pPr>
      <w:r>
        <w:rPr>
          <w:spacing w:val="3"/>
        </w:rPr>
        <w:t>注</w:t>
      </w:r>
      <w:r>
        <w:rPr>
          <w:rFonts w:ascii="宋体" w:hAnsi="宋体" w:cs="宋体" w:eastAsia="宋体" w:hint="default"/>
          <w:spacing w:val="3"/>
        </w:rPr>
        <w:t>:</w:t>
      </w:r>
      <w:r>
        <w:rPr>
          <w:spacing w:val="3"/>
        </w:rPr>
        <w:t>上述前五位其他应收款往来帐龄均非一次性发生</w:t>
      </w:r>
      <w:r>
        <w:rPr>
          <w:rFonts w:ascii="宋体" w:hAnsi="宋体" w:cs="宋体" w:eastAsia="宋体" w:hint="default"/>
          <w:spacing w:val="3"/>
        </w:rPr>
        <w:t>,</w:t>
      </w:r>
      <w:r>
        <w:rPr>
          <w:spacing w:val="3"/>
        </w:rPr>
        <w:t>本公司计算坏账准备时均根据实际发生时间</w:t>
      </w:r>
    </w:p>
    <w:p>
      <w:pPr>
        <w:pStyle w:val="BodyText"/>
        <w:spacing w:line="240" w:lineRule="auto" w:before="37"/>
        <w:ind w:right="5945"/>
        <w:jc w:val="left"/>
      </w:pPr>
      <w:r>
        <w:rPr/>
        <w:t>分析计提。</w:t>
      </w:r>
    </w:p>
    <w:p>
      <w:pPr>
        <w:spacing w:line="482" w:lineRule="auto" w:before="37"/>
        <w:ind w:left="921" w:right="3723" w:hanging="412"/>
        <w:jc w:val="left"/>
        <w:rPr>
          <w:rFonts w:ascii="宋体" w:hAnsi="宋体" w:cs="宋体" w:eastAsia="宋体" w:hint="default"/>
          <w:sz w:val="21"/>
          <w:szCs w:val="21"/>
        </w:rPr>
      </w:pPr>
      <w:r>
        <w:rPr/>
        <w:pict>
          <v:shape style="position:absolute;margin-left:50.759998pt;margin-top:45.793678pt;width:497pt;height:248.9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1702"/>
                    <w:gridCol w:w="1633"/>
                    <w:gridCol w:w="633"/>
                    <w:gridCol w:w="992"/>
                    <w:gridCol w:w="853"/>
                    <w:gridCol w:w="848"/>
                  </w:tblGrid>
                  <w:tr>
                    <w:trPr>
                      <w:trHeight w:val="349" w:hRule="exact"/>
                    </w:trPr>
                    <w:tc>
                      <w:tcPr>
                        <w:tcW w:w="32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710" w:hRule="exact"/>
                    </w:trPr>
                    <w:tc>
                      <w:tcPr>
                        <w:tcW w:w="326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29" w:right="129"/>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3"/>
                            <w:sz w:val="18"/>
                            <w:szCs w:val="18"/>
                          </w:rPr>
                          <w:t>权益法下</w:t>
                        </w:r>
                        <w:r>
                          <w:rPr>
                            <w:rFonts w:ascii="宋体" w:hAnsi="宋体" w:cs="宋体" w:eastAsia="宋体" w:hint="default"/>
                            <w:spacing w:val="13"/>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b/>
                            <w:bCs/>
                            <w:spacing w:val="13"/>
                            <w:sz w:val="18"/>
                            <w:szCs w:val="18"/>
                          </w:rPr>
                          <w:t>确认的投</w:t>
                        </w:r>
                        <w:r>
                          <w:rPr>
                            <w:rFonts w:ascii="宋体" w:hAnsi="宋体" w:cs="宋体" w:eastAsia="宋体" w:hint="default"/>
                            <w:b/>
                            <w:bCs/>
                            <w:w w:val="99"/>
                            <w:sz w:val="18"/>
                            <w:szCs w:val="18"/>
                          </w:rPr>
                          <w:t> </w:t>
                        </w:r>
                        <w:r>
                          <w:rPr>
                            <w:rFonts w:ascii="宋体" w:hAnsi="宋体" w:cs="宋体" w:eastAsia="宋体" w:hint="default"/>
                            <w:b/>
                            <w:bCs/>
                            <w:sz w:val="18"/>
                            <w:szCs w:val="18"/>
                          </w:rPr>
                          <w:t>资损益</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spacing w:val="-45"/>
                            <w:sz w:val="18"/>
                            <w:szCs w:val="18"/>
                          </w:rPr>
                          <w:t> </w:t>
                        </w:r>
                        <w:r>
                          <w:rPr>
                            <w:rFonts w:ascii="宋体" w:hAnsi="宋体" w:cs="宋体" w:eastAsia="宋体" w:hint="default"/>
                            <w:b/>
                            <w:bCs/>
                            <w:sz w:val="18"/>
                            <w:szCs w:val="18"/>
                          </w:rPr>
                          <w:t>他</w:t>
                        </w:r>
                        <w:r>
                          <w:rPr>
                            <w:rFonts w:ascii="宋体" w:hAnsi="宋体" w:cs="宋体" w:eastAsia="宋体" w:hint="default"/>
                            <w:b/>
                            <w:bCs/>
                            <w:spacing w:val="-44"/>
                            <w:sz w:val="18"/>
                            <w:szCs w:val="18"/>
                          </w:rPr>
                          <w:t> </w:t>
                        </w:r>
                        <w:r>
                          <w:rPr>
                            <w:rFonts w:ascii="宋体" w:hAnsi="宋体" w:cs="宋体" w:eastAsia="宋体" w:hint="default"/>
                            <w:b/>
                            <w:bCs/>
                            <w:sz w:val="18"/>
                            <w:szCs w:val="18"/>
                          </w:rPr>
                          <w:t>综</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44"/>
                            <w:sz w:val="18"/>
                            <w:szCs w:val="18"/>
                          </w:rPr>
                          <w:t> </w:t>
                        </w:r>
                        <w:r>
                          <w:rPr>
                            <w:rFonts w:ascii="宋体" w:hAnsi="宋体" w:cs="宋体" w:eastAsia="宋体" w:hint="default"/>
                            <w:b/>
                            <w:bCs/>
                            <w:sz w:val="18"/>
                            <w:szCs w:val="18"/>
                          </w:rPr>
                          <w:t>收</w:t>
                        </w:r>
                        <w:r>
                          <w:rPr>
                            <w:rFonts w:ascii="宋体" w:hAnsi="宋体" w:cs="宋体" w:eastAsia="宋体" w:hint="default"/>
                            <w:b/>
                            <w:bCs/>
                            <w:spacing w:val="-43"/>
                            <w:sz w:val="18"/>
                            <w:szCs w:val="18"/>
                          </w:rPr>
                          <w:t> </w:t>
                        </w:r>
                        <w:r>
                          <w:rPr>
                            <w:rFonts w:ascii="宋体" w:hAnsi="宋体" w:cs="宋体" w:eastAsia="宋体" w:hint="default"/>
                            <w:b/>
                            <w:bCs/>
                            <w:sz w:val="18"/>
                            <w:szCs w:val="18"/>
                          </w:rPr>
                          <w:t>益</w:t>
                        </w:r>
                        <w:r>
                          <w:rPr>
                            <w:rFonts w:ascii="宋体" w:hAnsi="宋体" w:cs="宋体" w:eastAsia="宋体" w:hint="default"/>
                            <w:b/>
                            <w:bCs/>
                            <w:w w:val="99"/>
                            <w:sz w:val="18"/>
                            <w:szCs w:val="18"/>
                          </w:rPr>
                          <w:t> </w:t>
                        </w:r>
                        <w:r>
                          <w:rPr>
                            <w:rFonts w:ascii="宋体" w:hAnsi="宋体" w:cs="宋体" w:eastAsia="宋体" w:hint="default"/>
                            <w:b/>
                            <w:bCs/>
                            <w:sz w:val="18"/>
                            <w:szCs w:val="18"/>
                          </w:rPr>
                          <w:t>调整</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46" w:right="146"/>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878,000,000.00</w:t>
                        </w: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349,270,000.00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284,154,359.84</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135,000,000.00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秦皇岛茂业金原超市有限公司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2,000,000.00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11,600,000.00</w:t>
                        </w:r>
                      </w:p>
                    </w:tc>
                    <w:tc>
                      <w:tcPr>
                        <w:tcW w:w="1633"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828,024,359.84</w:t>
                        </w:r>
                        <w:r>
                          <w:rPr>
                            <w:rFonts w:ascii="宋体"/>
                            <w:sz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878,000,000.00</w:t>
                        </w:r>
                        <w:r>
                          <w:rPr>
                            <w:rFonts w:ascii="宋体"/>
                            <w:sz w:val="18"/>
                          </w:rPr>
                        </w:r>
                      </w:p>
                    </w:tc>
                    <w:tc>
                      <w:tcPr>
                        <w:tcW w:w="6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 期末其他应收款中持本公司</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（含）以上股份的股东单位款：无。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0"/>
        <w:ind w:left="824" w:right="5945"/>
        <w:jc w:val="left"/>
      </w:pPr>
      <w:r>
        <w:rPr/>
        <w:t>长期股权投资表（续）</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63"/>
        <w:gridCol w:w="1576"/>
        <w:gridCol w:w="1542"/>
        <w:gridCol w:w="610"/>
        <w:gridCol w:w="1943"/>
        <w:gridCol w:w="991"/>
      </w:tblGrid>
      <w:tr>
        <w:trPr>
          <w:trHeight w:val="407" w:hRule="exact"/>
        </w:trPr>
        <w:tc>
          <w:tcPr>
            <w:tcW w:w="32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19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tcPr>
          <w:p>
            <w:pPr>
              <w:pStyle w:val="TableParagraph"/>
              <w:spacing w:line="316" w:lineRule="auto" w:before="135"/>
              <w:ind w:left="102" w:right="155"/>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76" w:hRule="exact"/>
        </w:trPr>
        <w:tc>
          <w:tcPr>
            <w:tcW w:w="3263" w:type="dxa"/>
            <w:vMerge/>
            <w:tcBorders>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宣告发放现金股</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利或利润</w:t>
            </w:r>
            <w:r>
              <w:rPr>
                <w:rFonts w:ascii="宋体" w:hAnsi="宋体" w:cs="宋体" w:eastAsia="宋体" w:hint="default"/>
                <w:sz w:val="18"/>
                <w:szCs w:val="18"/>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4" w:right="0"/>
              <w:jc w:val="left"/>
              <w:rPr>
                <w:rFonts w:ascii="宋体" w:hAnsi="宋体" w:cs="宋体" w:eastAsia="宋体" w:hint="default"/>
                <w:sz w:val="18"/>
                <w:szCs w:val="18"/>
              </w:rPr>
            </w:pPr>
            <w:r>
              <w:rPr>
                <w:rFonts w:ascii="宋体" w:hAnsi="宋体" w:cs="宋体" w:eastAsia="宋体" w:hint="default"/>
                <w:b/>
                <w:bCs/>
                <w:sz w:val="18"/>
                <w:szCs w:val="18"/>
              </w:rPr>
              <w:t>计提减值准备</w:t>
            </w:r>
            <w:r>
              <w:rPr>
                <w:rFonts w:ascii="宋体" w:hAnsi="宋体" w:cs="宋体" w:eastAsia="宋体" w:hint="default"/>
                <w:sz w:val="18"/>
                <w:szCs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94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878,000,000.00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349,270,000.00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284,154,359.84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135,000,000.00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11,600,000.00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1,706,024,359.84</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spacing w:line="324" w:lineRule="auto" w:before="35"/>
        <w:ind w:left="824" w:right="7476" w:firstLine="2"/>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．营业收入、营业成本</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营业收入</w:t>
      </w:r>
    </w:p>
    <w:p>
      <w:pPr>
        <w:spacing w:after="0" w:line="324" w:lineRule="auto"/>
        <w:jc w:val="left"/>
        <w:rPr>
          <w:rFonts w:ascii="宋体" w:hAnsi="宋体" w:cs="宋体" w:eastAsia="宋体" w:hint="default"/>
          <w:sz w:val="21"/>
          <w:szCs w:val="21"/>
        </w:rPr>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965"/>
        <w:gridCol w:w="2148"/>
        <w:gridCol w:w="1842"/>
        <w:gridCol w:w="2128"/>
        <w:gridCol w:w="1842"/>
      </w:tblGrid>
      <w:tr>
        <w:trPr>
          <w:trHeight w:val="407" w:hRule="exact"/>
        </w:trPr>
        <w:tc>
          <w:tcPr>
            <w:tcW w:w="19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7" w:hRule="exact"/>
        </w:trPr>
        <w:tc>
          <w:tcPr>
            <w:tcW w:w="1965" w:type="dxa"/>
            <w:vMerge/>
            <w:tcBorders>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8"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1,148,457,309.38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904,490,114.23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1,216,941,719.56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985,928,993.86</w:t>
            </w:r>
          </w:p>
        </w:tc>
      </w:tr>
      <w:tr>
        <w:trPr>
          <w:trHeight w:val="40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13,263,332.43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7,608,232.17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13,567,007.72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8,293,265.53</w:t>
            </w:r>
          </w:p>
        </w:tc>
      </w:tr>
      <w:tr>
        <w:trPr>
          <w:trHeight w:val="40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1,161,720,641.81</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912,098,346.40</w:t>
            </w:r>
            <w:r>
              <w:rPr>
                <w:rFonts w:ascii="宋体"/>
                <w:sz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1,230,508,727.28</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994,222,259.39</w:t>
            </w:r>
            <w:r>
              <w:rPr>
                <w:rFonts w:ascii="宋体"/>
                <w:sz w:val="18"/>
              </w:rPr>
            </w:r>
          </w:p>
        </w:tc>
      </w:tr>
    </w:tbl>
    <w:p>
      <w:pPr>
        <w:spacing w:line="240" w:lineRule="auto" w:before="5"/>
        <w:rPr>
          <w:rFonts w:ascii="宋体" w:hAnsi="宋体" w:cs="宋体" w:eastAsia="宋体" w:hint="default"/>
          <w:sz w:val="5"/>
          <w:szCs w:val="5"/>
        </w:rPr>
      </w:pPr>
    </w:p>
    <w:p>
      <w:pPr>
        <w:pStyle w:val="BodyText"/>
        <w:spacing w:line="240" w:lineRule="auto" w:before="35"/>
        <w:ind w:left="824" w:right="5945"/>
        <w:jc w:val="left"/>
      </w:pPr>
      <w:r>
        <w:rPr/>
        <w:t>（</w:t>
      </w:r>
      <w:r>
        <w:rPr>
          <w:rFonts w:ascii="宋体" w:hAnsi="宋体" w:cs="宋体" w:eastAsia="宋体" w:hint="default"/>
        </w:rPr>
        <w:t>2</w:t>
      </w:r>
      <w:r>
        <w:rPr/>
        <w:t>）按行业划分</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2128"/>
        <w:gridCol w:w="1842"/>
        <w:gridCol w:w="2106"/>
        <w:gridCol w:w="1864"/>
      </w:tblGrid>
      <w:tr>
        <w:trPr>
          <w:trHeight w:val="407"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z w:val="18"/>
                <w:szCs w:val="18"/>
              </w:rPr>
              <w:t>年年度</w:t>
            </w:r>
            <w:r>
              <w:rPr>
                <w:rFonts w:ascii="宋体" w:hAnsi="宋体" w:cs="宋体" w:eastAsia="宋体"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8" w:hRule="exact"/>
        </w:trPr>
        <w:tc>
          <w:tcPr>
            <w:tcW w:w="1985" w:type="dxa"/>
            <w:vMerge/>
            <w:tcBorders>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1,161,720,641.81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912,098,346.40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1,230,508,727.28</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994,222,259.39</w:t>
            </w:r>
          </w:p>
        </w:tc>
      </w:tr>
      <w:tr>
        <w:trPr>
          <w:trHeight w:val="40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b/>
                <w:w w:val="95"/>
                <w:sz w:val="18"/>
              </w:rPr>
              <w:t>1,161,720,641.81</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912,098,346.40</w:t>
            </w:r>
            <w:r>
              <w:rPr>
                <w:rFonts w:ascii="宋体"/>
                <w:sz w:val="18"/>
              </w:rPr>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1,230,508,727.28</w:t>
            </w:r>
            <w:r>
              <w:rPr>
                <w:rFonts w:ascii="宋体"/>
                <w:sz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994,222,259.39</w:t>
            </w:r>
            <w:r>
              <w:rPr>
                <w:rFonts w:ascii="宋体"/>
                <w:sz w:val="18"/>
              </w:rPr>
            </w:r>
          </w:p>
        </w:tc>
      </w:tr>
    </w:tbl>
    <w:p>
      <w:pPr>
        <w:pStyle w:val="BodyText"/>
        <w:spacing w:line="260" w:lineRule="exact" w:before="0"/>
        <w:ind w:left="824" w:right="5945"/>
        <w:jc w:val="left"/>
      </w:pPr>
      <w:r>
        <w:rPr/>
        <w:t>（</w:t>
      </w:r>
      <w:r>
        <w:rPr>
          <w:rFonts w:ascii="宋体" w:hAnsi="宋体" w:cs="宋体" w:eastAsia="宋体" w:hint="default"/>
        </w:rPr>
        <w:t>3</w:t>
      </w:r>
      <w:r>
        <w:rPr/>
        <w:t>）按地区划分</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6"/>
        <w:gridCol w:w="2127"/>
        <w:gridCol w:w="1844"/>
        <w:gridCol w:w="2120"/>
        <w:gridCol w:w="1848"/>
      </w:tblGrid>
      <w:tr>
        <w:trPr>
          <w:trHeight w:val="350" w:hRule="exact"/>
        </w:trPr>
        <w:tc>
          <w:tcPr>
            <w:tcW w:w="19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地</w:t>
            </w:r>
            <w:r>
              <w:rPr>
                <w:rFonts w:ascii="宋体" w:hAnsi="宋体" w:cs="宋体" w:eastAsia="宋体" w:hint="default"/>
                <w:b/>
                <w:bCs/>
                <w:spacing w:val="90"/>
                <w:sz w:val="18"/>
                <w:szCs w:val="18"/>
              </w:rPr>
              <w:t> </w:t>
            </w:r>
            <w:r>
              <w:rPr>
                <w:rFonts w:ascii="宋体" w:hAnsi="宋体" w:cs="宋体" w:eastAsia="宋体" w:hint="default"/>
                <w:b/>
                <w:bCs/>
                <w:sz w:val="18"/>
                <w:szCs w:val="18"/>
              </w:rPr>
              <w:t>区</w:t>
            </w:r>
            <w:r>
              <w:rPr>
                <w:rFonts w:ascii="宋体" w:hAnsi="宋体" w:cs="宋体" w:eastAsia="宋体" w:hint="default"/>
                <w:sz w:val="18"/>
                <w:szCs w:val="18"/>
              </w:rPr>
            </w:r>
          </w:p>
        </w:tc>
        <w:tc>
          <w:tcPr>
            <w:tcW w:w="3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50" w:hRule="exact"/>
        </w:trPr>
        <w:tc>
          <w:tcPr>
            <w:tcW w:w="1986"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1,161,720,641.81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912,098,346.40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1,230,508,727.28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994,222,259.39</w:t>
            </w:r>
          </w:p>
        </w:tc>
      </w:tr>
      <w:tr>
        <w:trPr>
          <w:trHeight w:val="40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1,161,720,641.81</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912,098,346.40</w:t>
            </w:r>
            <w:r>
              <w:rPr>
                <w:rFonts w:ascii="宋体"/>
                <w:sz w:val="18"/>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b/>
                <w:w w:val="95"/>
                <w:sz w:val="18"/>
              </w:rPr>
              <w:t>1,230,508,727.28</w:t>
            </w:r>
            <w:r>
              <w:rPr>
                <w:rFonts w:ascii="宋体"/>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994,222,259.39</w:t>
            </w:r>
            <w:r>
              <w:rPr>
                <w:rFonts w:ascii="宋体"/>
                <w:sz w:val="18"/>
              </w:rPr>
            </w:r>
          </w:p>
        </w:tc>
      </w:tr>
    </w:tbl>
    <w:p>
      <w:pPr>
        <w:spacing w:line="240" w:lineRule="auto" w:before="7"/>
        <w:rPr>
          <w:rFonts w:ascii="宋体" w:hAnsi="宋体" w:cs="宋体" w:eastAsia="宋体" w:hint="default"/>
          <w:sz w:val="14"/>
          <w:szCs w:val="14"/>
        </w:rPr>
      </w:pPr>
    </w:p>
    <w:p>
      <w:pPr>
        <w:pStyle w:val="Heading3"/>
        <w:spacing w:line="240" w:lineRule="auto"/>
        <w:ind w:right="5945"/>
        <w:jc w:val="left"/>
        <w:rPr>
          <w:b w:val="0"/>
          <w:bCs w:val="0"/>
        </w:rPr>
      </w:pPr>
      <w:r>
        <w:rPr/>
        <w:t>注释</w:t>
      </w:r>
      <w:r>
        <w:rPr>
          <w:spacing w:val="-57"/>
        </w:rPr>
        <w:t> </w:t>
      </w:r>
      <w:r>
        <w:rPr>
          <w:rFonts w:ascii="宋体" w:hAnsi="宋体" w:cs="宋体" w:eastAsia="宋体" w:hint="default"/>
        </w:rPr>
        <w:t>5</w:t>
      </w:r>
      <w:r>
        <w:rPr/>
        <w:t>．投资收益</w:t>
      </w:r>
      <w:r>
        <w:rPr>
          <w:b w:val="0"/>
          <w:bCs w:val="0"/>
        </w:rPr>
      </w:r>
    </w:p>
    <w:p>
      <w:pPr>
        <w:pStyle w:val="BodyText"/>
        <w:spacing w:line="240" w:lineRule="auto" w:before="97"/>
        <w:ind w:left="824" w:right="5945"/>
        <w:jc w:val="left"/>
      </w:pPr>
      <w:r>
        <w:rPr/>
        <w:t>（</w:t>
      </w:r>
      <w:r>
        <w:rPr>
          <w:rFonts w:ascii="宋体" w:hAnsi="宋体" w:cs="宋体" w:eastAsia="宋体" w:hint="default"/>
        </w:rPr>
        <w:t>1</w:t>
      </w:r>
      <w:r>
        <w:rPr/>
        <w:t>）投资收益明细情况</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119"/>
        <w:gridCol w:w="2343"/>
        <w:gridCol w:w="2462"/>
      </w:tblGrid>
      <w:tr>
        <w:trPr>
          <w:trHeight w:val="350"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9"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r>
      <w:tr>
        <w:trPr>
          <w:trHeight w:val="350"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子公司利润分配</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1,699,757.74</w:t>
            </w: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4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34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-27,453,245.30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-3,860,574.52</w:t>
            </w:r>
          </w:p>
        </w:tc>
      </w:tr>
      <w:tr>
        <w:trPr>
          <w:trHeight w:val="407" w:hRule="exact"/>
        </w:trPr>
        <w:tc>
          <w:tcPr>
            <w:tcW w:w="5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b/>
                <w:w w:val="95"/>
                <w:sz w:val="18"/>
              </w:rPr>
              <w:t>-25,253,487.56</w:t>
            </w:r>
            <w:r>
              <w:rPr>
                <w:rFonts w:ascii="宋体"/>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b/>
                <w:w w:val="95"/>
                <w:sz w:val="18"/>
              </w:rPr>
              <w:t>-3,360,574.52</w:t>
            </w:r>
            <w:r>
              <w:rPr>
                <w:rFonts w:ascii="宋体"/>
                <w:sz w:val="18"/>
              </w:rPr>
            </w:r>
          </w:p>
        </w:tc>
      </w:tr>
    </w:tbl>
    <w:p>
      <w:pPr>
        <w:pStyle w:val="BodyText"/>
        <w:spacing w:line="240" w:lineRule="auto" w:before="47"/>
        <w:ind w:left="824" w:right="418"/>
        <w:jc w:val="left"/>
      </w:pPr>
      <w:r>
        <w:rPr/>
        <w:t>注：投资收益—其他为确定子公司的超额亏损。</w:t>
      </w:r>
    </w:p>
    <w:p>
      <w:pPr>
        <w:spacing w:line="240" w:lineRule="auto" w:before="9"/>
        <w:rPr>
          <w:rFonts w:ascii="宋体" w:hAnsi="宋体" w:cs="宋体" w:eastAsia="宋体" w:hint="default"/>
          <w:sz w:val="26"/>
          <w:szCs w:val="26"/>
        </w:rPr>
      </w:pPr>
    </w:p>
    <w:p>
      <w:pPr>
        <w:pStyle w:val="Heading3"/>
        <w:spacing w:line="355" w:lineRule="auto" w:before="0"/>
        <w:ind w:right="7523"/>
        <w:jc w:val="left"/>
        <w:rPr>
          <w:b w:val="0"/>
          <w:bCs w:val="0"/>
        </w:rPr>
      </w:pPr>
      <w:r>
        <w:rPr/>
        <w:t>十六、补充资料</w:t>
      </w:r>
      <w:r>
        <w:rPr>
          <w:w w:val="99"/>
        </w:rPr>
        <w:t> </w:t>
      </w:r>
      <w:r>
        <w:rPr>
          <w:rFonts w:ascii="宋体" w:hAnsi="宋体" w:cs="宋体" w:eastAsia="宋体" w:hint="default"/>
        </w:rPr>
        <w:t>1</w:t>
      </w:r>
      <w:r>
        <w:rPr/>
        <w:t>、当期发生的非经常性损益</w:t>
      </w:r>
      <w:r>
        <w:rPr>
          <w:b w:val="0"/>
          <w:bCs w:val="0"/>
        </w:rPr>
      </w:r>
    </w:p>
    <w:p>
      <w:pPr>
        <w:pStyle w:val="BodyText"/>
        <w:spacing w:line="274" w:lineRule="exact" w:before="0"/>
        <w:ind w:left="824" w:right="418"/>
        <w:jc w:val="left"/>
      </w:pPr>
      <w:r>
        <w:rPr>
          <w:rFonts w:ascii="宋体" w:hAnsi="宋体" w:cs="宋体" w:eastAsia="宋体" w:hint="default"/>
        </w:rPr>
        <w:t>2014</w:t>
      </w:r>
      <w:r>
        <w:rPr/>
        <w:t>年本公司发生的非经常性损益对合并净利润的影响金额为</w:t>
      </w:r>
      <w:r>
        <w:rPr>
          <w:rFonts w:ascii="宋体" w:hAnsi="宋体" w:cs="宋体" w:eastAsia="宋体" w:hint="default"/>
        </w:rPr>
        <w:t>1,010,296.12</w:t>
      </w:r>
      <w:r>
        <w:rPr/>
        <w:t>元。具体项目见下表：</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8368"/>
        <w:gridCol w:w="1558"/>
      </w:tblGrid>
      <w:tr>
        <w:trPr>
          <w:trHeight w:val="407"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2"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-660,171.57</w:t>
            </w:r>
          </w:p>
        </w:tc>
      </w:tr>
      <w:tr>
        <w:trPr>
          <w:trHeight w:val="351"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计入当期损益的政府补助（与企业业务密切相关，按照国家统一标准定额或定量享受的政府补助除外）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620,000.00</w:t>
            </w: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企业取得子公司、联营企业及合营企业的投资成本小于取得投资时应享有被投资单位可辨认净资产公允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价值产生的收益</w:t>
            </w: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368"/>
        <w:gridCol w:w="1558"/>
      </w:tblGrid>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除同公司正常经营业务相关的有效套期保值业务外，持有交易性金融资产、交易性金融负债产生的公允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价值变动损益，以及处置交易性金融资产、交易性金融负债和可供出售金融资产取得的投资收益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465,257.89</w:t>
            </w: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766,070.33</w:t>
            </w:r>
          </w:p>
        </w:tc>
      </w:tr>
      <w:tr>
        <w:trPr>
          <w:trHeight w:val="349"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上述项目对所得税的影响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181,474.70</w:t>
            </w:r>
          </w:p>
        </w:tc>
      </w:tr>
      <w:tr>
        <w:trPr>
          <w:trHeight w:val="350"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-614.17</w:t>
            </w:r>
          </w:p>
        </w:tc>
      </w:tr>
      <w:tr>
        <w:trPr>
          <w:trHeight w:val="407" w:hRule="exact"/>
        </w:trPr>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1,010,296.12</w:t>
            </w:r>
            <w:r>
              <w:rPr>
                <w:rFonts w:ascii="宋体"/>
                <w:sz w:val="18"/>
              </w:rPr>
            </w:r>
          </w:p>
        </w:tc>
      </w:tr>
    </w:tbl>
    <w:p>
      <w:pPr>
        <w:spacing w:line="240" w:lineRule="auto" w:before="2"/>
        <w:rPr>
          <w:rFonts w:ascii="宋体" w:hAnsi="宋体" w:cs="宋体" w:eastAsia="宋体" w:hint="default"/>
          <w:sz w:val="8"/>
          <w:szCs w:val="8"/>
        </w:rPr>
      </w:pPr>
    </w:p>
    <w:p>
      <w:pPr>
        <w:pStyle w:val="Heading3"/>
        <w:spacing w:line="240" w:lineRule="auto"/>
        <w:ind w:right="5945"/>
        <w:jc w:val="left"/>
        <w:rPr>
          <w:b w:val="0"/>
          <w:bCs w:val="0"/>
        </w:rPr>
      </w:pPr>
      <w:r>
        <w:rPr>
          <w:rFonts w:ascii="宋体" w:hAnsi="宋体" w:cs="宋体" w:eastAsia="宋体" w:hint="default"/>
        </w:rPr>
        <w:t>2</w:t>
      </w:r>
      <w:r>
        <w:rPr/>
        <w:t>、净资产收益率和每股收益</w:t>
      </w:r>
      <w:r>
        <w:rPr>
          <w:b w:val="0"/>
          <w:bCs w:val="0"/>
        </w:rPr>
      </w: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4255"/>
        <w:gridCol w:w="2492"/>
        <w:gridCol w:w="1618"/>
        <w:gridCol w:w="1560"/>
      </w:tblGrid>
      <w:tr>
        <w:trPr>
          <w:trHeight w:val="350" w:hRule="exact"/>
        </w:trPr>
        <w:tc>
          <w:tcPr>
            <w:tcW w:w="425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4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b/>
                <w:bCs/>
                <w:sz w:val="18"/>
                <w:szCs w:val="18"/>
              </w:rPr>
              <w:t>(%)</w:t>
            </w:r>
            <w:r>
              <w:rPr>
                <w:rFonts w:ascii="宋体" w:hAnsi="宋体" w:cs="宋体" w:eastAsia="宋体" w:hint="default"/>
                <w:sz w:val="18"/>
                <w:szCs w:val="18"/>
              </w:rPr>
            </w:r>
          </w:p>
        </w:tc>
        <w:tc>
          <w:tcPr>
            <w:tcW w:w="3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50" w:hRule="exact"/>
        </w:trPr>
        <w:tc>
          <w:tcPr>
            <w:tcW w:w="4255" w:type="dxa"/>
            <w:vMerge/>
            <w:tcBorders>
              <w:left w:val="single" w:sz="4" w:space="0" w:color="000000"/>
              <w:bottom w:val="single" w:sz="4" w:space="0" w:color="000000"/>
              <w:right w:val="single" w:sz="4" w:space="0" w:color="000000"/>
            </w:tcBorders>
          </w:tcPr>
          <w:p>
            <w:pPr/>
          </w:p>
        </w:tc>
        <w:tc>
          <w:tcPr>
            <w:tcW w:w="2492"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1"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22"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55"/>
              <w:jc w:val="right"/>
              <w:rPr>
                <w:rFonts w:ascii="宋体" w:hAnsi="宋体" w:cs="宋体" w:eastAsia="宋体" w:hint="default"/>
                <w:sz w:val="18"/>
                <w:szCs w:val="18"/>
              </w:rPr>
            </w:pPr>
            <w:r>
              <w:rPr>
                <w:rFonts w:ascii="宋体"/>
                <w:sz w:val="18"/>
              </w:rPr>
              <w:t>7.75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0.2146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0.2146</w:t>
            </w:r>
          </w:p>
        </w:tc>
      </w:tr>
      <w:tr>
        <w:trPr>
          <w:trHeight w:val="32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55"/>
              <w:jc w:val="right"/>
              <w:rPr>
                <w:rFonts w:ascii="宋体" w:hAnsi="宋体" w:cs="宋体" w:eastAsia="宋体" w:hint="default"/>
                <w:sz w:val="18"/>
                <w:szCs w:val="18"/>
              </w:rPr>
            </w:pPr>
            <w:r>
              <w:rPr>
                <w:rFonts w:ascii="宋体"/>
                <w:sz w:val="18"/>
              </w:rPr>
              <w:t>7.67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0.2144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0.2144</w:t>
            </w:r>
          </w:p>
        </w:tc>
      </w:tr>
    </w:tbl>
    <w:p>
      <w:pPr>
        <w:spacing w:line="240" w:lineRule="auto" w:before="1"/>
        <w:rPr>
          <w:rFonts w:ascii="宋体" w:hAnsi="宋体" w:cs="宋体" w:eastAsia="宋体" w:hint="default"/>
          <w:b/>
          <w:bCs/>
          <w:sz w:val="8"/>
          <w:szCs w:val="8"/>
        </w:rPr>
      </w:pPr>
    </w:p>
    <w:p>
      <w:pPr>
        <w:spacing w:line="408" w:lineRule="auto" w:before="35"/>
        <w:ind w:left="827" w:right="7222" w:hanging="3"/>
        <w:jc w:val="left"/>
        <w:rPr>
          <w:rFonts w:ascii="宋体" w:hAnsi="宋体" w:cs="宋体" w:eastAsia="宋体" w:hint="default"/>
          <w:sz w:val="21"/>
          <w:szCs w:val="21"/>
        </w:rPr>
      </w:pPr>
      <w:r>
        <w:rPr>
          <w:rFonts w:ascii="宋体" w:hAnsi="宋体" w:cs="宋体" w:eastAsia="宋体" w:hint="default"/>
          <w:sz w:val="21"/>
          <w:szCs w:val="21"/>
        </w:rPr>
        <w:t>注：不存在稀释性潜在普通股。 </w:t>
      </w:r>
      <w:r>
        <w:rPr>
          <w:rFonts w:ascii="宋体" w:hAnsi="宋体" w:cs="宋体" w:eastAsia="宋体" w:hint="default"/>
          <w:b/>
          <w:bCs/>
          <w:sz w:val="21"/>
          <w:szCs w:val="21"/>
        </w:rPr>
        <w:t>3</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pStyle w:val="BodyText"/>
        <w:spacing w:line="227" w:lineRule="exact" w:before="0"/>
        <w:ind w:left="824" w:right="418"/>
        <w:jc w:val="left"/>
      </w:pPr>
      <w:r>
        <w:rPr/>
        <w:t>公司根据财政部</w:t>
      </w:r>
      <w:r>
        <w:rPr>
          <w:spacing w:val="-38"/>
        </w:rPr>
        <w:t> </w:t>
      </w:r>
      <w:r>
        <w:rPr>
          <w:rFonts w:ascii="宋体" w:hAnsi="宋体" w:cs="宋体" w:eastAsia="宋体" w:hint="default"/>
        </w:rPr>
        <w:t>2014</w:t>
      </w:r>
      <w:r>
        <w:rPr>
          <w:rFonts w:ascii="宋体" w:hAnsi="宋体" w:cs="宋体" w:eastAsia="宋体" w:hint="default"/>
          <w:spacing w:val="-37"/>
        </w:rPr>
        <w:t> </w:t>
      </w:r>
      <w:r>
        <w:rPr/>
        <w:t>年发布的《企业会计准则第</w:t>
      </w:r>
      <w:r>
        <w:rPr>
          <w:spacing w:val="-38"/>
        </w:rPr>
        <w:t> </w:t>
      </w:r>
      <w:r>
        <w:rPr>
          <w:rFonts w:ascii="宋体" w:hAnsi="宋体" w:cs="宋体" w:eastAsia="宋体" w:hint="default"/>
        </w:rPr>
        <w:t>2</w:t>
      </w:r>
      <w:r>
        <w:rPr>
          <w:rFonts w:ascii="宋体" w:hAnsi="宋体" w:cs="宋体" w:eastAsia="宋体" w:hint="default"/>
          <w:spacing w:val="-36"/>
        </w:rPr>
        <w:t> </w:t>
      </w:r>
      <w:r>
        <w:rPr/>
        <w:t>号——长期股权投资》等八项会计准则变更了</w:t>
      </w:r>
    </w:p>
    <w:p>
      <w:pPr>
        <w:pStyle w:val="BodyText"/>
        <w:spacing w:line="273" w:lineRule="auto" w:before="36"/>
        <w:ind w:right="1182"/>
        <w:jc w:val="left"/>
      </w:pPr>
      <w:r>
        <w:rPr/>
        <w:t>相关会计政策并对比较财务报表进行了追溯重述，重述后的</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t>日、</w:t>
      </w:r>
      <w:r>
        <w:rPr>
          <w:rFonts w:ascii="宋体" w:hAnsi="宋体" w:cs="宋体" w:eastAsia="宋体" w:hint="default"/>
        </w:rPr>
        <w:t>2013</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日合并 资产负债表如下：</w:t>
      </w:r>
    </w:p>
    <w:tbl>
      <w:tblPr>
        <w:tblW w:w="0" w:type="auto"/>
        <w:jc w:val="left"/>
        <w:tblInd w:w="115" w:type="dxa"/>
        <w:tblLayout w:type="fixed"/>
        <w:tblCellMar>
          <w:top w:w="0" w:type="dxa"/>
          <w:left w:w="0" w:type="dxa"/>
          <w:bottom w:w="0" w:type="dxa"/>
          <w:right w:w="0" w:type="dxa"/>
        </w:tblCellMar>
        <w:tblLook w:val="01E0"/>
      </w:tblPr>
      <w:tblGrid>
        <w:gridCol w:w="2554"/>
        <w:gridCol w:w="2552"/>
        <w:gridCol w:w="2597"/>
        <w:gridCol w:w="2222"/>
      </w:tblGrid>
      <w:tr>
        <w:trPr>
          <w:trHeight w:val="40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1"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4"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283,120,467.94</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190,356,057.52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298,465,458.23</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以公允价值计量且其变动计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1,180,045.12</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714,787.23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773,441.53</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116,087,550.64</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37,666,261.85</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35,451,232.22</w:t>
            </w:r>
          </w:p>
        </w:tc>
      </w:tr>
    </w:tbl>
    <w:p>
      <w:pPr>
        <w:spacing w:after="0" w:line="240" w:lineRule="auto"/>
        <w:jc w:val="right"/>
        <w:rPr>
          <w:rFonts w:ascii="宋体" w:hAnsi="宋体" w:cs="宋体" w:eastAsia="宋体" w:hint="default"/>
          <w:sz w:val="18"/>
          <w:szCs w:val="18"/>
        </w:rPr>
        <w:sectPr>
          <w:footerReference w:type="default" r:id="rId53"/>
          <w:pgSz w:w="11910" w:h="16840"/>
          <w:pgMar w:footer="1219" w:header="883" w:top="1140" w:bottom="1400" w:left="900" w:right="0"/>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554"/>
        <w:gridCol w:w="2552"/>
        <w:gridCol w:w="2597"/>
        <w:gridCol w:w="2222"/>
      </w:tblGrid>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17,491,670.82</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4,587,659.51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16,927,237.58</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6,288,595.00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3,099,867.64</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5,096,790.37</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512,165,719.97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656,591,122.75</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644,355,896.88</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50,882,631.86</w:t>
            </w: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987,216,681.35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893,015,756.50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1,001,070,056.81</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5,000,000.00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5,000,000.00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5,000,000.00</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249,497,186.82</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259,498,304.46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269,633,375.76</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659,097,934.86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492,203,337.46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472,230,070.13</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5,304,092.03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2,775,870.59</w:t>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84,640,660.05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46,319,096.02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56,887,438.29</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744,562,994.84</w:t>
            </w:r>
          </w:p>
        </w:tc>
        <w:tc>
          <w:tcPr>
            <w:tcW w:w="2597"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63,294,959.66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16,033,443.10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14,840,581.64</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11,107,014.85</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6,358,427.40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8,850,877.97</w:t>
            </w:r>
          </w:p>
        </w:tc>
      </w:tr>
      <w:tr>
        <w:trPr>
          <w:trHeight w:val="34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1,011,142.27</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1,011,142.27</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1,011,142.27</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1,823,515,985.38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829,199,621.30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828,453,486.06</w:t>
            </w:r>
          </w:p>
        </w:tc>
      </w:tr>
      <w:tr>
        <w:trPr>
          <w:trHeight w:val="3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2,810,732,666.73</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1,722,215,377.80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1,829,523,542.87</w:t>
            </w:r>
          </w:p>
        </w:tc>
      </w:tr>
    </w:tbl>
    <w:p>
      <w:pPr>
        <w:spacing w:line="240" w:lineRule="auto" w:before="1"/>
        <w:rPr>
          <w:rFonts w:ascii="宋体" w:hAnsi="宋体" w:cs="宋体" w:eastAsia="宋体" w:hint="default"/>
          <w:sz w:val="8"/>
          <w:szCs w:val="8"/>
        </w:rPr>
      </w:pPr>
    </w:p>
    <w:p>
      <w:pPr>
        <w:pStyle w:val="BodyText"/>
        <w:spacing w:line="240" w:lineRule="auto" w:before="35"/>
        <w:ind w:left="824" w:right="5945"/>
        <w:jc w:val="left"/>
      </w:pPr>
      <w:r>
        <w:rPr/>
        <w:t>资产负债表续：</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09"/>
        <w:gridCol w:w="2495"/>
        <w:gridCol w:w="2553"/>
        <w:gridCol w:w="2268"/>
      </w:tblGrid>
      <w:tr>
        <w:trPr>
          <w:trHeight w:val="407"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71"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5" w:right="0"/>
              <w:jc w:val="left"/>
              <w:rPr>
                <w:rFonts w:ascii="宋体" w:hAnsi="宋体" w:cs="宋体" w:eastAsia="宋体" w:hint="default"/>
                <w:sz w:val="18"/>
                <w:szCs w:val="18"/>
              </w:rPr>
            </w:pPr>
            <w:r>
              <w:rPr>
                <w:rFonts w:ascii="宋体"/>
                <w:sz w:val="18"/>
              </w:rPr>
              <w:t>84,000,000.00</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1219" w:header="883" w:top="1140" w:bottom="1400" w:left="900" w:right="0"/>
          <w:pgNumType w:start="111"/>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609"/>
        <w:gridCol w:w="2495"/>
        <w:gridCol w:w="2553"/>
        <w:gridCol w:w="2268"/>
      </w:tblGrid>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当期损益的金融负债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296,195,572.40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218,146,204.11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241,237,068.10</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248,605,394.05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273,207,456.49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290,923,492.26</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15,867,759.55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12,324,200.15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12,843,215.57</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43,794,681.19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-33,337,914.66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-37,876,073.37</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185,956.27</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874,026.67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874,026.67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874,026.67</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86,979,138.51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73,640,454.08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61,487,380.21</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692,316,572.37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544,854,426.84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653,675,065.71</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80,000,000.00</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2,148,699.80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2,919,119.93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3,859,310.73</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2,733,196.00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4,003,627.00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3,178,153.00</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2,227,162.48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2,561,231.58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2,561,231.58</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7,109,058.28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9,483,978.51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89,598,695.31</w:t>
            </w:r>
          </w:p>
        </w:tc>
      </w:tr>
      <w:tr>
        <w:trPr>
          <w:trHeight w:val="35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699,425,630.65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554,338,405.35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743,273,761.02</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621,826,786.00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445,521,564.00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445,521,564.00</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0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609"/>
        <w:gridCol w:w="2495"/>
        <w:gridCol w:w="2553"/>
        <w:gridCol w:w="2268"/>
      </w:tblGrid>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1,104,618,007.62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417,459,829.28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417,459,829.28</w:t>
            </w:r>
          </w:p>
        </w:tc>
      </w:tr>
      <w:tr>
        <w:trPr>
          <w:trHeight w:val="35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48,351,946.52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38,476,426.68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29,186,050.93</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95"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331,973,909.93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261,806,090.50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189,330,659.61</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2,106,770,650.07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1,163,263,910.46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1,081,498,103.82</w:t>
            </w:r>
          </w:p>
        </w:tc>
      </w:tr>
      <w:tr>
        <w:trPr>
          <w:trHeight w:val="349"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4,536,386.01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4,613,061.99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4,751,678.03</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2,111,307,036.08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1,167,876,972.45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1,086,249,781.85</w:t>
            </w:r>
          </w:p>
        </w:tc>
      </w:tr>
      <w:tr>
        <w:trPr>
          <w:trHeight w:val="350"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2,810,732,666.73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1,722,215,377.80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1,829,523,542.87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544" w:lineRule="auto" w:before="35"/>
        <w:ind w:left="824" w:right="4912" w:firstLine="2"/>
        <w:jc w:val="left"/>
        <w:rPr>
          <w:rFonts w:ascii="宋体" w:hAnsi="宋体" w:cs="宋体" w:eastAsia="宋体" w:hint="default"/>
          <w:sz w:val="21"/>
          <w:szCs w:val="21"/>
        </w:rPr>
      </w:pPr>
      <w:r>
        <w:rPr>
          <w:rFonts w:ascii="宋体" w:hAnsi="宋体" w:cs="宋体" w:eastAsia="宋体" w:hint="default"/>
          <w:b/>
          <w:bCs/>
          <w:sz w:val="21"/>
          <w:szCs w:val="21"/>
        </w:rPr>
        <w:t>十七、财务报表的批准</w:t>
      </w:r>
      <w:r>
        <w:rPr>
          <w:rFonts w:ascii="宋体" w:hAnsi="宋体" w:cs="宋体" w:eastAsia="宋体" w:hint="default"/>
          <w:b/>
          <w:bCs/>
          <w:w w:val="99"/>
          <w:sz w:val="21"/>
          <w:szCs w:val="21"/>
        </w:rPr>
        <w:t> </w:t>
      </w:r>
      <w:r>
        <w:rPr>
          <w:rFonts w:ascii="宋体" w:hAnsi="宋体" w:cs="宋体" w:eastAsia="宋体" w:hint="default"/>
          <w:sz w:val="21"/>
          <w:szCs w:val="21"/>
        </w:rPr>
        <w:t>本财务报表业经本公司董事会于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5</w:t>
      </w:r>
      <w:r>
        <w:rPr>
          <w:rFonts w:ascii="宋体" w:hAnsi="宋体" w:cs="宋体" w:eastAsia="宋体" w:hint="default"/>
          <w:sz w:val="21"/>
          <w:szCs w:val="21"/>
        </w:rPr>
        <w:t>日决议批准。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240" w:lineRule="auto"/>
        <w:ind w:left="3584" w:right="418"/>
        <w:jc w:val="left"/>
        <w:rPr>
          <w:b w:val="0"/>
          <w:bCs w:val="0"/>
        </w:rPr>
      </w:pPr>
      <w:r>
        <w:rPr/>
        <w:t>第十章</w:t>
      </w:r>
      <w:r>
        <w:rPr>
          <w:spacing w:val="-7"/>
        </w:rPr>
        <w:t> </w:t>
      </w:r>
      <w:r>
        <w:rPr/>
        <w:t>备查文件目录</w:t>
      </w:r>
      <w:r>
        <w:rPr>
          <w:b w:val="0"/>
          <w:bCs w:val="0"/>
        </w:rPr>
      </w:r>
    </w:p>
    <w:p>
      <w:pPr>
        <w:spacing w:line="240" w:lineRule="auto" w:before="5"/>
        <w:rPr>
          <w:rFonts w:ascii="宋体" w:hAnsi="宋体" w:cs="宋体" w:eastAsia="宋体" w:hint="default"/>
          <w:b/>
          <w:bCs/>
          <w:sz w:val="34"/>
          <w:szCs w:val="34"/>
        </w:rPr>
      </w:pPr>
    </w:p>
    <w:p>
      <w:pPr>
        <w:pStyle w:val="BodyText"/>
        <w:spacing w:line="273" w:lineRule="auto" w:before="0"/>
        <w:ind w:right="418" w:firstLine="420"/>
        <w:jc w:val="left"/>
      </w:pPr>
      <w:r>
        <w:rPr>
          <w:spacing w:val="-2"/>
        </w:rPr>
        <w:t>一、载有本公司负责人、主管会计工作负责人、会计机构负责人（会计主管人员）签名并盖章的财</w:t>
      </w:r>
      <w:r>
        <w:rPr/>
        <w:t> 务报表。</w:t>
      </w:r>
    </w:p>
    <w:p>
      <w:pPr>
        <w:pStyle w:val="BodyText"/>
        <w:spacing w:line="408" w:lineRule="auto" w:before="163"/>
        <w:ind w:left="824" w:right="1762"/>
        <w:jc w:val="left"/>
      </w:pPr>
      <w:r>
        <w:rPr/>
        <w:t>二、载有会计师事务所盖章、注册会计师签名并盖章的审计报告原件。 三、报告期内在中国证监会指定网站上公开披露过的所有本公司文件的正本及公告的原稿。 本公司在公司证券部置备上述文件的原件。</w:t>
      </w:r>
    </w:p>
    <w:p>
      <w:pPr>
        <w:spacing w:line="240" w:lineRule="auto" w:before="6"/>
        <w:rPr>
          <w:rFonts w:ascii="宋体" w:hAnsi="宋体" w:cs="宋体" w:eastAsia="宋体" w:hint="default"/>
          <w:sz w:val="15"/>
          <w:szCs w:val="15"/>
        </w:rPr>
      </w:pPr>
    </w:p>
    <w:p>
      <w:pPr>
        <w:pStyle w:val="BodyText"/>
        <w:tabs>
          <w:tab w:pos="7753" w:val="left" w:leader="none"/>
        </w:tabs>
        <w:spacing w:line="544" w:lineRule="auto" w:before="0"/>
        <w:ind w:left="5548" w:right="1187" w:firstLine="2168"/>
        <w:jc w:val="left"/>
      </w:pPr>
      <w:r>
        <w:rPr/>
        <w:t>茂业物流股份有限公司 </w:t>
      </w:r>
      <w:r>
        <w:rPr>
          <w:spacing w:val="-1"/>
        </w:rPr>
        <w:t>法定代表人</w:t>
      </w:r>
      <w:r>
        <w:rPr>
          <w:rFonts w:ascii="宋体" w:hAnsi="宋体" w:cs="宋体" w:eastAsia="宋体" w:hint="default"/>
          <w:spacing w:val="-1"/>
        </w:rPr>
        <w:t>(</w:t>
      </w:r>
      <w:r>
        <w:rPr>
          <w:spacing w:val="-1"/>
        </w:rPr>
        <w:t>签字</w:t>
      </w:r>
      <w:r>
        <w:rPr>
          <w:rFonts w:ascii="宋体" w:hAnsi="宋体" w:cs="宋体" w:eastAsia="宋体" w:hint="default"/>
          <w:spacing w:val="-1"/>
        </w:rPr>
        <w:t>)</w:t>
      </w:r>
      <w:r>
        <w:rPr>
          <w:spacing w:val="-1"/>
        </w:rPr>
        <w:t>：</w:t>
        <w:tab/>
      </w:r>
      <w:r>
        <w:rPr/>
        <w:t>刘宏</w:t>
      </w:r>
    </w:p>
    <w:p>
      <w:pPr>
        <w:pStyle w:val="BodyText"/>
        <w:spacing w:line="240" w:lineRule="auto" w:before="82"/>
        <w:ind w:left="0" w:right="1186"/>
        <w:jc w:val="right"/>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5</w:t>
      </w:r>
      <w:r>
        <w:rPr>
          <w:rFonts w:ascii="宋体" w:hAnsi="宋体" w:cs="宋体" w:eastAsia="宋体" w:hint="default"/>
          <w:spacing w:val="-52"/>
        </w:rPr>
        <w:t> </w:t>
      </w:r>
      <w:r>
        <w:rPr/>
        <w:t>日</w:t>
      </w:r>
    </w:p>
    <w:sectPr>
      <w:pgSz w:w="11910" w:h="16840"/>
      <w:pgMar w:header="883" w:footer="1219" w:top="1140" w:bottom="140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46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008" type="#_x0000_t75" stroked="false">
          <v:imagedata r:id="rId1" o:title=""/>
        </v:shape>
      </w:pict>
    </w:r>
    <w:r>
      <w:rPr/>
      <w:pict>
        <v:shape style="position:absolute;margin-left:261.119995pt;margin-top:769.945618pt;width:78.8pt;height:12pt;mso-position-horizontal-relative:page;mso-position-vertical-relative:page;z-index:-760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40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960" type="#_x0000_t75" stroked="false">
          <v:imagedata r:id="rId1" o:title=""/>
        </v:shape>
      </w:pict>
    </w:r>
    <w:r>
      <w:rPr/>
      <w:pict>
        <v:shape style="position:absolute;margin-left:261.119995pt;margin-top:769.945618pt;width:78.8pt;height:12pt;mso-position-horizontal-relative:page;mso-position-vertical-relative:page;z-index:-760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912" type="#_x0000_t75" stroked="false">
          <v:imagedata r:id="rId1" o:title=""/>
        </v:shape>
      </w:pict>
    </w:r>
    <w:r>
      <w:rPr/>
      <w:pict>
        <v:shape style="position:absolute;margin-left:261.119995pt;margin-top:769.945618pt;width:78.75pt;height:12pt;mso-position-horizontal-relative:page;mso-position-vertical-relative:page;z-index:-760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50 </w:t>
                </w:r>
                <w:r>
                  <w:rPr>
                    <w:rFonts w:ascii="宋体" w:hAnsi="宋体" w:cs="宋体" w:eastAsia="宋体" w:hint="default"/>
                    <w:sz w:val="18"/>
                    <w:szCs w:val="18"/>
                  </w:rPr>
                  <w:t>页 共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864" type="#_x0000_t75" stroked="false">
          <v:imagedata r:id="rId1" o:title=""/>
        </v:shape>
      </w:pict>
    </w:r>
    <w:r>
      <w:rPr/>
      <w:pict>
        <v:shape style="position:absolute;margin-left:261.119995pt;margin-top:769.945618pt;width:78.8pt;height:12pt;mso-position-horizontal-relative:page;mso-position-vertical-relative:page;z-index:-760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54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816" type="#_x0000_t75" stroked="false">
          <v:imagedata r:id="rId1" o:title=""/>
        </v:shape>
      </w:pict>
    </w:r>
    <w:r>
      <w:rPr/>
      <w:pict>
        <v:shape style="position:absolute;margin-left:261.119995pt;margin-top:769.945618pt;width:78.8pt;height:12pt;mso-position-horizontal-relative:page;mso-position-vertical-relative:page;z-index:-760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60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768" type="#_x0000_t75" stroked="false">
          <v:imagedata r:id="rId1" o:title=""/>
        </v:shape>
      </w:pict>
    </w:r>
    <w:r>
      <w:rPr/>
      <w:pict>
        <v:shape style="position:absolute;margin-left:261.119995pt;margin-top:769.945618pt;width:78.8pt;height:12pt;mso-position-horizontal-relative:page;mso-position-vertical-relative:page;z-index:-760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61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720" type="#_x0000_t75" stroked="false">
          <v:imagedata r:id="rId1" o:title=""/>
        </v:shape>
      </w:pict>
    </w:r>
    <w:r>
      <w:rPr/>
      <w:pict>
        <v:shape style="position:absolute;margin-left:261.179993pt;margin-top:769.945618pt;width:78.650pt;height:12pt;mso-position-horizontal-relative:page;mso-position-vertical-relative:page;z-index:-760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70 </w:t>
                </w:r>
                <w:r>
                  <w:rPr>
                    <w:rFonts w:ascii="宋体" w:hAnsi="宋体" w:cs="宋体" w:eastAsia="宋体" w:hint="default"/>
                    <w:sz w:val="18"/>
                    <w:szCs w:val="18"/>
                  </w:rPr>
                  <w:t>页 共 </w:t>
                </w:r>
                <w:r>
                  <w:rPr>
                    <w:rFonts w:ascii="Calibri" w:hAnsi="Calibri" w:cs="Calibri" w:eastAsia="Calibri" w:hint="default"/>
                    <w:sz w:val="18"/>
                    <w:szCs w:val="18"/>
                  </w:rPr>
                  <w:t>113</w:t>
                </w:r>
                <w:r>
                  <w:rPr>
                    <w:rFonts w:ascii="Calibri" w:hAnsi="Calibri" w:cs="Calibri" w:eastAsia="Calibri"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672" type="#_x0000_t75" stroked="false">
          <v:imagedata r:id="rId1" o:title=""/>
        </v:shape>
      </w:pict>
    </w:r>
    <w:r>
      <w:rPr/>
      <w:pict>
        <v:shape style="position:absolute;margin-left:261.059998pt;margin-top:769.945618pt;width:78.95pt;height:12pt;mso-position-horizontal-relative:page;mso-position-vertical-relative:page;z-index:-760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71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624" type="#_x0000_t75" stroked="false">
          <v:imagedata r:id="rId1" o:title=""/>
        </v:shape>
      </w:pict>
    </w:r>
    <w:r>
      <w:rPr/>
      <w:pict>
        <v:shape style="position:absolute;margin-left:261.119995pt;margin-top:769.945618pt;width:78.8pt;height:12pt;mso-position-horizontal-relative:page;mso-position-vertical-relative:page;z-index:-760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80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576" type="#_x0000_t75" stroked="false">
          <v:imagedata r:id="rId1" o:title=""/>
        </v:shape>
      </w:pict>
    </w:r>
    <w:r>
      <w:rPr/>
      <w:pict>
        <v:shape style="position:absolute;margin-left:261.119995pt;margin-top:769.945618pt;width:78.8pt;height:12pt;mso-position-horizontal-relative:page;mso-position-vertical-relative:page;z-index:-760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81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392" type="#_x0000_t75" stroked="false">
          <v:imagedata r:id="rId1" o:title=""/>
        </v:shape>
      </w:pict>
    </w:r>
    <w:r>
      <w:rPr/>
      <w:pict>
        <v:shape style="position:absolute;margin-left:263.399994pt;margin-top:769.945618pt;width:74.25pt;height:12pt;mso-position-horizontal-relative:page;mso-position-vertical-relative:page;z-index:-761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5"/>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528" type="#_x0000_t75" stroked="false">
          <v:imagedata r:id="rId1" o:title=""/>
        </v:shape>
      </w:pict>
    </w:r>
    <w:r>
      <w:rPr/>
      <w:pict>
        <v:shape style="position:absolute;margin-left:261.119995pt;margin-top:769.945618pt;width:78.8pt;height:12pt;mso-position-horizontal-relative:page;mso-position-vertical-relative:page;z-index:-760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90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480" type="#_x0000_t75" stroked="false">
          <v:imagedata r:id="rId1" o:title=""/>
        </v:shape>
      </w:pict>
    </w:r>
    <w:r>
      <w:rPr/>
      <w:pict>
        <v:shape style="position:absolute;margin-left:261.119995pt;margin-top:769.945618pt;width:78.8pt;height:12pt;mso-position-horizontal-relative:page;mso-position-vertical-relative:page;z-index:-760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91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432" type="#_x0000_t75" stroked="false">
          <v:imagedata r:id="rId1" o:title=""/>
        </v:shape>
      </w:pict>
    </w:r>
    <w:r>
      <w:rPr/>
      <w:pict>
        <v:shape style="position:absolute;margin-left:258.839996pt;margin-top:769.945618pt;width:83.4pt;height:12pt;mso-position-horizontal-relative:page;mso-position-vertical-relative:page;z-index:-760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100 </w:t>
                </w:r>
                <w:r>
                  <w:rPr>
                    <w:rFonts w:ascii="宋体" w:hAnsi="宋体" w:cs="宋体" w:eastAsia="宋体" w:hint="default"/>
                    <w:sz w:val="18"/>
                    <w:szCs w:val="18"/>
                  </w:rPr>
                  <w:t>页 共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384" type="#_x0000_t75" stroked="false">
          <v:imagedata r:id="rId1" o:title=""/>
        </v:shape>
      </w:pict>
    </w:r>
    <w:r>
      <w:rPr/>
      <w:pict>
        <v:shape style="position:absolute;margin-left:258.839996pt;margin-top:769.945618pt;width:83.4pt;height:12pt;mso-position-horizontal-relative:page;mso-position-vertical-relative:page;z-index:-760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101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336" type="#_x0000_t75" stroked="false">
          <v:imagedata r:id="rId1" o:title=""/>
        </v:shape>
      </w:pict>
    </w:r>
    <w:r>
      <w:rPr/>
      <w:pict>
        <v:shape style="position:absolute;margin-left:258.839996pt;margin-top:769.945618pt;width:83.4pt;height:12pt;mso-position-horizontal-relative:page;mso-position-vertical-relative:page;z-index:-760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110 </w:t>
                </w:r>
                <w:r>
                  <w:rPr>
                    <w:rFonts w:ascii="宋体" w:hAnsi="宋体" w:cs="宋体" w:eastAsia="宋体" w:hint="default"/>
                    <w:sz w:val="18"/>
                    <w:szCs w:val="18"/>
                  </w:rPr>
                  <w:t>页 共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288" type="#_x0000_t75" stroked="false">
          <v:imagedata r:id="rId1" o:title=""/>
        </v:shape>
      </w:pict>
    </w:r>
    <w:r>
      <w:rPr/>
      <w:pict>
        <v:shape style="position:absolute;margin-left:258.839996pt;margin-top:769.945618pt;width:83.4pt;height:12pt;mso-position-horizontal-relative:page;mso-position-vertical-relative:page;z-index:-760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344" type="#_x0000_t75" stroked="false">
          <v:imagedata r:id="rId1" o:title=""/>
        </v:shape>
      </w:pict>
    </w:r>
    <w:r>
      <w:rPr/>
      <w:pict>
        <v:shape style="position:absolute;margin-left:261.119995pt;margin-top:769.945618pt;width:78.8pt;height:12pt;mso-position-horizontal-relative:page;mso-position-vertical-relative:page;z-index:-761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296" type="#_x0000_t75" stroked="false">
          <v:imagedata r:id="rId1" o:title=""/>
        </v:shape>
      </w:pict>
    </w:r>
    <w:r>
      <w:rPr/>
      <w:pict>
        <v:shape style="position:absolute;margin-left:261.119995pt;margin-top:769.945618pt;width:78.8pt;height:12pt;mso-position-horizontal-relative:page;mso-position-vertical-relative:page;z-index:-761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248" type="#_x0000_t75" stroked="false">
          <v:imagedata r:id="rId1" o:title=""/>
        </v:shape>
      </w:pict>
    </w:r>
    <w:r>
      <w:rPr/>
      <w:pict>
        <v:shape style="position:absolute;margin-left:261.119995pt;margin-top:769.945618pt;width:78.75pt;height:12pt;mso-position-horizontal-relative:page;mso-position-vertical-relative:page;z-index:-761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20 </w:t>
                </w:r>
                <w:r>
                  <w:rPr>
                    <w:rFonts w:ascii="宋体" w:hAnsi="宋体" w:cs="宋体" w:eastAsia="宋体" w:hint="default"/>
                    <w:sz w:val="18"/>
                    <w:szCs w:val="18"/>
                  </w:rPr>
                  <w:t>页 共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200" type="#_x0000_t75" stroked="false">
          <v:imagedata r:id="rId1" o:title=""/>
        </v:shape>
      </w:pict>
    </w:r>
    <w:r>
      <w:rPr/>
      <w:pict>
        <v:shape style="position:absolute;margin-left:261.119995pt;margin-top:769.945618pt;width:78.8pt;height:12pt;mso-position-horizontal-relative:page;mso-position-vertical-relative:page;z-index:-761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21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152" type="#_x0000_t75" stroked="false">
          <v:imagedata r:id="rId1" o:title=""/>
        </v:shape>
      </w:pict>
    </w:r>
    <w:r>
      <w:rPr/>
      <w:pict>
        <v:shape style="position:absolute;margin-left:261.119995pt;margin-top:769.945618pt;width:78.8pt;height:12pt;mso-position-horizontal-relative:page;mso-position-vertical-relative:page;z-index:-761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24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104" type="#_x0000_t75" stroked="false">
          <v:imagedata r:id="rId1" o:title=""/>
        </v:shape>
      </w:pict>
    </w:r>
    <w:r>
      <w:rPr/>
      <w:pict>
        <v:shape style="position:absolute;margin-left:261.119995pt;margin-top:769.945618pt;width:78.8pt;height:12pt;mso-position-horizontal-relative:page;mso-position-vertical-relative:page;z-index:-761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30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113</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056" type="#_x0000_t75" stroked="false">
          <v:imagedata r:id="rId1" o:title=""/>
        </v:shape>
      </w:pict>
    </w:r>
    <w:r>
      <w:rPr/>
      <w:pict>
        <v:shape style="position:absolute;margin-left:261.119995pt;margin-top:769.945618pt;width:78.8pt;height:12pt;mso-position-horizontal-relative:page;mso-position-vertical-relative:page;z-index:-761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113</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20001pt;margin-top:57.539982pt;width:473.65pt;height:.1pt;mso-position-horizontal-relative:page;mso-position-vertical-relative:page;z-index:-761440" coordorigin="1274,1151" coordsize="9473,2">
          <v:shape style="position:absolute;left:1274;top:1151;width:9473;height:2" coordorigin="1274,1151" coordsize="9473,0" path="m1274,1151l10747,115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4.220001pt;margin-top:43.136547pt;width:206.75pt;height:13.1pt;mso-position-horizontal-relative:page;mso-position-vertical-relative:page;z-index:-761416" type="#_x0000_t202" filled="false" stroked="false">
          <v:textbox inset="0,0,0,0">
            <w:txbxContent>
              <w:p>
                <w:pPr>
                  <w:pStyle w:val="BodyText"/>
                  <w:spacing w:line="246" w:lineRule="exact" w:before="0"/>
                  <w:ind w:left="20" w:right="0"/>
                  <w:jc w:val="left"/>
                </w:pPr>
                <w:r>
                  <w:rPr>
                    <w:color w:val="FF0000"/>
                  </w:rPr>
                  <w:t>茂业物流股份有限公司</w:t>
                </w:r>
                <w:r>
                  <w:rPr>
                    <w:color w:val="FF0000"/>
                    <w:spacing w:val="-53"/>
                  </w:rPr>
                  <w:t> </w:t>
                </w:r>
                <w:r>
                  <w:rPr>
                    <w:rFonts w:ascii="Times New Roman" w:hAnsi="Times New Roman" w:cs="Times New Roman" w:eastAsia="Times New Roman" w:hint="default"/>
                    <w:color w:val="FF0000"/>
                  </w:rPr>
                  <w:t>2014</w:t>
                </w:r>
                <w:r>
                  <w:rPr>
                    <w:rFonts w:ascii="Times New Roman" w:hAnsi="Times New Roman" w:cs="Times New Roman" w:eastAsia="Times New Roman" w:hint="default"/>
                    <w:color w:val="FF0000"/>
                    <w:spacing w:val="-1"/>
                  </w:rPr>
                  <w:t> </w:t>
                </w:r>
                <w:r>
                  <w:rPr>
                    <w:color w:val="FF0000"/>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7"/>
      <w:ind w:left="404"/>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13"/>
      <w:ind w:left="144"/>
      <w:outlineLvl w:val="2"/>
    </w:pPr>
    <w:rPr>
      <w:rFonts w:ascii="宋体" w:hAnsi="宋体" w:eastAsia="宋体"/>
      <w:b/>
      <w:bCs/>
      <w:sz w:val="28"/>
      <w:szCs w:val="28"/>
    </w:rPr>
  </w:style>
  <w:style w:styleId="Heading3" w:type="paragraph">
    <w:name w:val="Heading 3"/>
    <w:basedOn w:val="Normal"/>
    <w:uiPriority w:val="1"/>
    <w:qFormat/>
    <w:pPr>
      <w:spacing w:before="35"/>
      <w:ind w:left="82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hlsc.com.cn/" TargetMode="External"/><Relationship Id="rId10" Type="http://schemas.openxmlformats.org/officeDocument/2006/relationships/hyperlink" Target="mailto:hlsc000889@163.com" TargetMode="External"/><Relationship Id="rId11" Type="http://schemas.openxmlformats.org/officeDocument/2006/relationships/hyperlink" Target="mailto:hqjiao@sohu.com" TargetMode="External"/><Relationship Id="rId12" Type="http://schemas.openxmlformats.org/officeDocument/2006/relationships/hyperlink" Target="mailto:hlscshy000889@aliyun.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www.cninfo.com.cn/finalpage/2007-06-27/29371063.PDF" TargetMode="External"/><Relationship Id="rId38" Type="http://schemas.openxmlformats.org/officeDocument/2006/relationships/hyperlink" Target="http://www.cninfo.com.cn/finalpage/2007-11-01/34975598.PDF" TargetMode="External"/><Relationship Id="rId39" Type="http://schemas.openxmlformats.org/officeDocument/2006/relationships/hyperlink" Target="http://www.cninfo.com.cn/finalpage/2008-07-29/41611290.PDF" TargetMode="External"/><Relationship Id="rId40" Type="http://schemas.openxmlformats.org/officeDocument/2006/relationships/hyperlink" Target="http://www.cninfo.com.cn/finalpage/2008-11-29/46784953.PDF" TargetMode="Externa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2020-05-06T14:56:48Z</dcterms:created>
  <dcterms:modified xsi:type="dcterms:W3CDTF">2020-05-06T14:56:48Z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Microsoft® Office Word 2007</vt:lpwstr>
  </property>
  <property fmtid="{D5CDD505-2E9C-101B-9397-08002B2CF9AE}" pid="4" name="LastSaved">
    <vt:filetime>2020-05-06T00:00:00Z</vt:filetime>
  </property>
</Properties>
</file>